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388D5">
      <w:pPr>
        <w:tabs>
          <w:tab w:val="left" w:pos="1505"/>
        </w:tabs>
        <w:topLinePunct/>
        <w:spacing w:line="400" w:lineRule="atLeast"/>
        <w:jc w:val="center"/>
        <w:rPr>
          <w:rFonts w:hint="eastAsia" w:ascii="Times New Roman" w:hAnsi="Times New Roman" w:eastAsia="黑体" w:cs="Times New Roman"/>
          <w:color w:val="auto"/>
          <w:sz w:val="31"/>
          <w:szCs w:val="31"/>
          <w:highlight w:val="none"/>
          <w:lang w:eastAsia="zh-CN"/>
        </w:rPr>
      </w:pPr>
      <w:r>
        <w:rPr>
          <w:rFonts w:hint="eastAsia" w:ascii="Times New Roman" w:eastAsia="黑体" w:cs="Times New Roman"/>
          <w:color w:val="auto"/>
          <w:sz w:val="31"/>
          <w:szCs w:val="31"/>
          <w:highlight w:val="none"/>
          <w:u w:val="single"/>
          <w:lang w:eastAsia="zh-CN"/>
        </w:rPr>
        <w:t>辽宁省</w:t>
      </w:r>
    </w:p>
    <w:p w14:paraId="39DB2CA9">
      <w:pPr>
        <w:pStyle w:val="15"/>
        <w:pageBreakBefore w:val="0"/>
        <w:kinsoku/>
        <w:wordWrap w:val="0"/>
        <w:bidi w:val="0"/>
        <w:spacing w:line="440" w:lineRule="exact"/>
        <w:jc w:val="both"/>
        <w:rPr>
          <w:rFonts w:hint="eastAsia" w:ascii="Times New Roman" w:eastAsia="黑体" w:cs="Times New Roman"/>
          <w:b w:val="0"/>
          <w:bCs w:val="0"/>
          <w:color w:val="auto"/>
          <w:kern w:val="2"/>
          <w:sz w:val="31"/>
          <w:szCs w:val="31"/>
          <w:highlight w:val="yellow"/>
          <w:u w:val="single"/>
          <w:lang w:val="en-US" w:eastAsia="zh-CN" w:bidi="ar-SA"/>
        </w:rPr>
      </w:pPr>
      <w:r>
        <w:rPr>
          <w:rFonts w:hint="eastAsia" w:ascii="Times New Roman" w:eastAsia="黑体" w:cs="Times New Roman"/>
          <w:b w:val="0"/>
          <w:bCs w:val="0"/>
          <w:color w:val="auto"/>
          <w:kern w:val="2"/>
          <w:sz w:val="31"/>
          <w:szCs w:val="31"/>
          <w:highlight w:val="yellow"/>
          <w:u w:val="single"/>
          <w:lang w:val="en-US" w:eastAsia="zh-CN" w:bidi="ar-SA"/>
        </w:rPr>
        <w:t>盖州市2026年农村公路维修改造、危桥及安防工程</w:t>
      </w:r>
    </w:p>
    <w:p w14:paraId="16069E35">
      <w:pPr>
        <w:pStyle w:val="15"/>
        <w:pageBreakBefore w:val="0"/>
        <w:kinsoku/>
        <w:wordWrap w:val="0"/>
        <w:bidi w:val="0"/>
        <w:spacing w:line="440" w:lineRule="exact"/>
        <w:jc w:val="both"/>
        <w:rPr>
          <w:rFonts w:hint="default" w:ascii="Times New Roman" w:hAnsi="Times New Roman" w:eastAsia="黑体" w:cs="Times New Roman"/>
          <w:color w:val="auto"/>
          <w:sz w:val="31"/>
          <w:szCs w:val="31"/>
          <w:highlight w:val="none"/>
        </w:rPr>
      </w:pPr>
      <w:r>
        <w:rPr>
          <w:rFonts w:hint="eastAsia" w:ascii="Times New Roman" w:eastAsia="黑体" w:cs="Times New Roman"/>
          <w:b w:val="0"/>
          <w:bCs w:val="0"/>
          <w:color w:val="auto"/>
          <w:kern w:val="2"/>
          <w:sz w:val="31"/>
          <w:szCs w:val="31"/>
          <w:highlight w:val="yellow"/>
          <w:u w:val="single"/>
          <w:lang w:val="en-US" w:eastAsia="zh-CN" w:bidi="ar-SA"/>
        </w:rPr>
        <w:t>盖州市2026年农村公路维修改造、危桥及安防工程</w:t>
      </w:r>
      <w:r>
        <w:rPr>
          <w:rFonts w:hint="default" w:ascii="Times New Roman" w:hAnsi="Times New Roman" w:eastAsia="黑体" w:cs="Times New Roman"/>
          <w:color w:val="auto"/>
          <w:sz w:val="31"/>
          <w:szCs w:val="31"/>
          <w:highlight w:val="none"/>
        </w:rPr>
        <w:t>施工招标</w:t>
      </w:r>
    </w:p>
    <w:p w14:paraId="21E996F4">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6054E7AE">
      <w:pPr>
        <w:pageBreakBefore w:val="0"/>
        <w:kinsoku/>
        <w:wordWrap w:val="0"/>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eastAsia="黑体" w:cs="Times New Roman"/>
          <w:color w:val="auto"/>
          <w:sz w:val="28"/>
          <w:szCs w:val="28"/>
          <w:highlight w:val="none"/>
        </w:rPr>
        <w:t>（</w:t>
      </w:r>
      <w:r>
        <w:rPr>
          <w:rFonts w:hint="eastAsia" w:eastAsia="黑体" w:cs="Times New Roman"/>
          <w:color w:val="auto"/>
          <w:sz w:val="28"/>
          <w:szCs w:val="28"/>
          <w:highlight w:val="none"/>
          <w:lang w:eastAsia="zh-CN"/>
        </w:rPr>
        <w:t>项目编号</w:t>
      </w:r>
      <w:r>
        <w:rPr>
          <w:rFonts w:hint="default" w:ascii="Times New Roman" w:hAnsi="Times New Roman" w:eastAsia="黑体" w:cs="Times New Roman"/>
          <w:color w:val="auto"/>
          <w:sz w:val="28"/>
          <w:szCs w:val="28"/>
          <w:highlight w:val="none"/>
        </w:rPr>
        <w:t>：</w:t>
      </w:r>
      <w:r>
        <w:rPr>
          <w:rFonts w:hint="default" w:ascii="Times New Roman" w:hAnsi="Times New Roman" w:cs="Times New Roman"/>
          <w:color w:val="auto"/>
          <w:highlight w:val="none"/>
          <w:u w:val="single"/>
        </w:rPr>
        <w:t xml:space="preserve">     </w:t>
      </w:r>
      <w:r>
        <w:rPr>
          <w:rFonts w:hint="eastAsia" w:cs="Times New Roman"/>
          <w:color w:val="auto"/>
          <w:highlight w:val="none"/>
          <w:u w:val="single"/>
          <w:lang w:val="en-US" w:eastAsia="zh-CN"/>
        </w:rPr>
        <w:t>**</w:t>
      </w:r>
      <w:r>
        <w:rPr>
          <w:rFonts w:hint="default" w:ascii="Times New Roman" w:hAnsi="Times New Roman" w:cs="Times New Roman"/>
          <w:color w:val="auto"/>
          <w:highlight w:val="none"/>
          <w:u w:val="single"/>
        </w:rPr>
        <w:t xml:space="preserve">      </w:t>
      </w:r>
      <w:r>
        <w:rPr>
          <w:rFonts w:hint="default" w:ascii="Times New Roman" w:hAnsi="Times New Roman" w:eastAsia="黑体" w:cs="Times New Roman"/>
          <w:color w:val="auto"/>
          <w:sz w:val="28"/>
          <w:szCs w:val="28"/>
          <w:highlight w:val="none"/>
        </w:rPr>
        <w:t>）</w:t>
      </w:r>
    </w:p>
    <w:p w14:paraId="624F4D69">
      <w:pPr>
        <w:pageBreakBefore w:val="0"/>
        <w:kinsoku/>
        <w:wordWrap w:val="0"/>
        <w:bidi w:val="0"/>
        <w:spacing w:line="440" w:lineRule="exact"/>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 xml:space="preserve"> </w:t>
      </w:r>
    </w:p>
    <w:p w14:paraId="7F98B0CA">
      <w:pPr>
        <w:pageBreakBefore w:val="0"/>
        <w:kinsoku/>
        <w:wordWrap w:val="0"/>
        <w:bidi w:val="0"/>
        <w:spacing w:line="440" w:lineRule="exact"/>
        <w:rPr>
          <w:rFonts w:hint="default" w:ascii="Times New Roman" w:hAnsi="Times New Roman" w:cs="Times New Roman"/>
          <w:color w:val="auto"/>
          <w:sz w:val="20"/>
          <w:szCs w:val="20"/>
          <w:highlight w:val="none"/>
        </w:rPr>
      </w:pPr>
    </w:p>
    <w:p w14:paraId="3A431AE9">
      <w:pPr>
        <w:pStyle w:val="16"/>
        <w:rPr>
          <w:rFonts w:hint="default" w:ascii="Times New Roman" w:hAnsi="Times New Roman" w:cs="Times New Roman"/>
          <w:color w:val="auto"/>
          <w:sz w:val="20"/>
          <w:szCs w:val="20"/>
          <w:highlight w:val="none"/>
        </w:rPr>
      </w:pPr>
    </w:p>
    <w:p w14:paraId="1D2A3DA1">
      <w:pPr>
        <w:pStyle w:val="16"/>
        <w:rPr>
          <w:rFonts w:hint="default" w:ascii="Times New Roman" w:hAnsi="Times New Roman" w:cs="Times New Roman"/>
          <w:color w:val="auto"/>
          <w:sz w:val="20"/>
          <w:szCs w:val="20"/>
          <w:highlight w:val="none"/>
        </w:rPr>
      </w:pPr>
    </w:p>
    <w:p w14:paraId="3FA2FD57">
      <w:pPr>
        <w:pStyle w:val="16"/>
        <w:rPr>
          <w:rFonts w:hint="default" w:ascii="Times New Roman" w:hAnsi="Times New Roman" w:cs="Times New Roman"/>
          <w:color w:val="auto"/>
          <w:sz w:val="20"/>
          <w:szCs w:val="20"/>
          <w:highlight w:val="none"/>
        </w:rPr>
      </w:pPr>
    </w:p>
    <w:p w14:paraId="0B7A75D4">
      <w:pPr>
        <w:pStyle w:val="16"/>
        <w:rPr>
          <w:rFonts w:hint="default" w:ascii="Times New Roman" w:hAnsi="Times New Roman" w:cs="Times New Roman"/>
          <w:color w:val="auto"/>
          <w:sz w:val="20"/>
          <w:szCs w:val="20"/>
          <w:highlight w:val="none"/>
        </w:rPr>
      </w:pPr>
    </w:p>
    <w:p w14:paraId="068399D1">
      <w:pPr>
        <w:pageBreakBefore w:val="0"/>
        <w:kinsoku/>
        <w:wordWrap w:val="0"/>
        <w:bidi w:val="0"/>
        <w:spacing w:line="440" w:lineRule="exact"/>
        <w:rPr>
          <w:rFonts w:hint="default" w:ascii="Times New Roman" w:hAnsi="Times New Roman" w:cs="Times New Roman"/>
          <w:color w:val="auto"/>
          <w:sz w:val="20"/>
          <w:szCs w:val="20"/>
          <w:highlight w:val="none"/>
        </w:rPr>
      </w:pPr>
    </w:p>
    <w:p w14:paraId="58DF90FC">
      <w:pPr>
        <w:pageBreakBefore w:val="0"/>
        <w:kinsoku/>
        <w:wordWrap w:val="0"/>
        <w:bidi w:val="0"/>
        <w:spacing w:line="860" w:lineRule="exact"/>
        <w:jc w:val="center"/>
        <w:rPr>
          <w:rFonts w:hint="default" w:ascii="Times New Roman" w:hAnsi="Times New Roman" w:eastAsia="黑体" w:cs="Times New Roman"/>
          <w:color w:val="auto"/>
          <w:sz w:val="50"/>
          <w:szCs w:val="50"/>
          <w:highlight w:val="none"/>
        </w:rPr>
      </w:pPr>
      <w:r>
        <w:rPr>
          <w:rFonts w:hint="default" w:ascii="Times New Roman" w:hAnsi="Times New Roman" w:eastAsia="黑体" w:cs="Times New Roman"/>
          <w:color w:val="auto"/>
          <w:sz w:val="50"/>
          <w:szCs w:val="50"/>
          <w:highlight w:val="none"/>
        </w:rPr>
        <w:t>招 标 文 件</w:t>
      </w:r>
    </w:p>
    <w:p w14:paraId="501DD363">
      <w:pPr>
        <w:pageBreakBefore w:val="0"/>
        <w:kinsoku/>
        <w:wordWrap w:val="0"/>
        <w:bidi w:val="0"/>
        <w:spacing w:line="440" w:lineRule="exact"/>
        <w:rPr>
          <w:rFonts w:hint="default" w:ascii="Times New Roman" w:hAnsi="Times New Roman" w:cs="Times New Roman"/>
          <w:color w:val="auto"/>
          <w:sz w:val="20"/>
          <w:szCs w:val="20"/>
          <w:highlight w:val="none"/>
        </w:rPr>
      </w:pPr>
    </w:p>
    <w:p w14:paraId="27B870E6">
      <w:pPr>
        <w:pageBreakBefore w:val="0"/>
        <w:kinsoku/>
        <w:wordWrap w:val="0"/>
        <w:bidi w:val="0"/>
        <w:spacing w:line="440" w:lineRule="exact"/>
        <w:rPr>
          <w:rFonts w:hint="default" w:ascii="Times New Roman" w:hAnsi="Times New Roman" w:cs="Times New Roman"/>
          <w:color w:val="auto"/>
          <w:sz w:val="20"/>
          <w:szCs w:val="20"/>
          <w:highlight w:val="none"/>
        </w:rPr>
      </w:pPr>
    </w:p>
    <w:p w14:paraId="2BBCDEF8">
      <w:pPr>
        <w:pageBreakBefore w:val="0"/>
        <w:kinsoku/>
        <w:wordWrap w:val="0"/>
        <w:bidi w:val="0"/>
        <w:spacing w:line="440" w:lineRule="exact"/>
        <w:rPr>
          <w:rFonts w:hint="default" w:ascii="Times New Roman" w:hAnsi="Times New Roman" w:cs="Times New Roman"/>
          <w:color w:val="auto"/>
          <w:sz w:val="20"/>
          <w:szCs w:val="20"/>
          <w:highlight w:val="none"/>
        </w:rPr>
      </w:pPr>
    </w:p>
    <w:p w14:paraId="42EEF8F1">
      <w:pPr>
        <w:pageBreakBefore w:val="0"/>
        <w:kinsoku/>
        <w:wordWrap w:val="0"/>
        <w:bidi w:val="0"/>
        <w:spacing w:line="440" w:lineRule="exact"/>
        <w:rPr>
          <w:rFonts w:hint="default" w:ascii="Times New Roman" w:hAnsi="Times New Roman" w:cs="Times New Roman"/>
          <w:color w:val="auto"/>
          <w:sz w:val="20"/>
          <w:szCs w:val="20"/>
          <w:highlight w:val="none"/>
        </w:rPr>
      </w:pPr>
      <w:r>
        <w:rPr>
          <w:rFonts w:hint="eastAsia" w:ascii="仿宋_GB2312" w:hAnsi="仿宋_GB2312" w:eastAsia="仿宋_GB2312" w:cs="仿宋_GB2312"/>
          <w:b/>
          <w:color w:val="auto"/>
          <w:sz w:val="24"/>
          <w:highlight w:val="none"/>
          <w:lang w:eastAsia="zh-CN"/>
        </w:rPr>
        <w:drawing>
          <wp:anchor distT="0" distB="0" distL="114300" distR="114300" simplePos="0" relativeHeight="251666432" behindDoc="1" locked="0" layoutInCell="1" allowOverlap="1">
            <wp:simplePos x="0" y="0"/>
            <wp:positionH relativeFrom="column">
              <wp:posOffset>3566160</wp:posOffset>
            </wp:positionH>
            <wp:positionV relativeFrom="paragraph">
              <wp:posOffset>4966335</wp:posOffset>
            </wp:positionV>
            <wp:extent cx="1581150" cy="1590675"/>
            <wp:effectExtent l="0" t="0" r="0" b="9525"/>
            <wp:wrapNone/>
            <wp:docPr id="22" name="图片 9"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p>
    <w:p w14:paraId="305BEFD1">
      <w:pPr>
        <w:spacing w:before="91" w:line="219" w:lineRule="auto"/>
        <w:ind w:firstLine="1400" w:firstLineChars="500"/>
        <w:jc w:val="both"/>
        <w:rPr>
          <w:rFonts w:hint="default" w:ascii="Times New Roman" w:hAnsi="Times New Roman" w:eastAsia="黑体" w:cs="Times New Roman"/>
          <w:color w:val="auto"/>
          <w:sz w:val="28"/>
          <w:szCs w:val="28"/>
          <w:highlight w:val="none"/>
        </w:rPr>
      </w:pPr>
    </w:p>
    <w:p w14:paraId="404EB54F">
      <w:pPr>
        <w:spacing w:before="91" w:line="219" w:lineRule="auto"/>
        <w:ind w:firstLine="1205" w:firstLineChars="500"/>
        <w:jc w:val="both"/>
        <w:rPr>
          <w:rFonts w:hint="default" w:ascii="Times New Roman" w:hAnsi="Times New Roman" w:eastAsia="黑体" w:cs="Times New Roman"/>
          <w:color w:val="auto"/>
          <w:sz w:val="28"/>
          <w:szCs w:val="28"/>
          <w:highlight w:val="none"/>
        </w:rPr>
      </w:pPr>
      <w:r>
        <w:rPr>
          <w:rFonts w:hint="eastAsia" w:ascii="仿宋_GB2312" w:hAnsi="仿宋_GB2312" w:eastAsia="仿宋_GB2312" w:cs="仿宋_GB2312"/>
          <w:b/>
          <w:color w:val="auto"/>
          <w:sz w:val="24"/>
          <w:highlight w:val="none"/>
          <w:lang w:eastAsia="zh-CN"/>
        </w:rPr>
        <w:drawing>
          <wp:anchor distT="0" distB="0" distL="114300" distR="114300" simplePos="0" relativeHeight="251667456" behindDoc="1" locked="0" layoutInCell="1" allowOverlap="1">
            <wp:simplePos x="0" y="0"/>
            <wp:positionH relativeFrom="column">
              <wp:posOffset>2010410</wp:posOffset>
            </wp:positionH>
            <wp:positionV relativeFrom="paragraph">
              <wp:posOffset>197485</wp:posOffset>
            </wp:positionV>
            <wp:extent cx="1581150" cy="1590675"/>
            <wp:effectExtent l="0" t="0" r="0" b="9525"/>
            <wp:wrapNone/>
            <wp:docPr id="23" name="图片 10"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r>
        <w:rPr>
          <w:rFonts w:hint="default" w:ascii="Times New Roman" w:hAnsi="Times New Roman" w:eastAsia="黑体" w:cs="Times New Roman"/>
          <w:color w:val="auto"/>
          <w:sz w:val="28"/>
          <w:szCs w:val="28"/>
          <w:highlight w:val="none"/>
        </w:rPr>
        <w:t>招</w:t>
      </w:r>
      <w:r>
        <w:rPr>
          <w:rFonts w:hint="eastAsia" w:ascii="Times New Roman" w:hAnsi="Times New Roman" w:eastAsia="黑体" w:cs="Times New Roman"/>
          <w:color w:val="auto"/>
          <w:sz w:val="28"/>
          <w:szCs w:val="28"/>
          <w:highlight w:val="none"/>
          <w:lang w:val="en-US" w:eastAsia="zh-CN"/>
        </w:rPr>
        <w:t xml:space="preserve">   </w:t>
      </w:r>
      <w:r>
        <w:rPr>
          <w:rFonts w:hint="default" w:ascii="Times New Roman" w:hAnsi="Times New Roman" w:eastAsia="黑体" w:cs="Times New Roman"/>
          <w:color w:val="auto"/>
          <w:sz w:val="28"/>
          <w:szCs w:val="28"/>
          <w:highlight w:val="none"/>
        </w:rPr>
        <w:t>标</w:t>
      </w:r>
      <w:r>
        <w:rPr>
          <w:rFonts w:hint="eastAsia" w:ascii="Times New Roman" w:hAnsi="Times New Roman" w:eastAsia="黑体" w:cs="Times New Roman"/>
          <w:color w:val="auto"/>
          <w:sz w:val="28"/>
          <w:szCs w:val="28"/>
          <w:highlight w:val="none"/>
          <w:lang w:val="en-US" w:eastAsia="zh-CN"/>
        </w:rPr>
        <w:t xml:space="preserve">   </w:t>
      </w:r>
      <w:r>
        <w:rPr>
          <w:rFonts w:hint="default" w:ascii="Times New Roman" w:hAnsi="Times New Roman" w:eastAsia="黑体" w:cs="Times New Roman"/>
          <w:color w:val="auto"/>
          <w:sz w:val="28"/>
          <w:szCs w:val="28"/>
          <w:highlight w:val="none"/>
        </w:rPr>
        <w:t>人：</w:t>
      </w:r>
      <w:r>
        <w:rPr>
          <w:rFonts w:hint="eastAsia" w:ascii="Times New Roman" w:hAnsi="Times New Roman" w:eastAsia="黑体" w:cs="Times New Roman"/>
          <w:color w:val="auto"/>
          <w:sz w:val="28"/>
          <w:szCs w:val="28"/>
          <w:highlight w:val="none"/>
          <w:lang w:val="en-US" w:eastAsia="zh-CN"/>
        </w:rPr>
        <w:t>盖州</w:t>
      </w:r>
      <w:r>
        <w:rPr>
          <w:rFonts w:hint="default" w:ascii="Times New Roman" w:hAnsi="Times New Roman" w:eastAsia="黑体" w:cs="Times New Roman"/>
          <w:color w:val="auto"/>
          <w:sz w:val="28"/>
          <w:szCs w:val="28"/>
          <w:highlight w:val="none"/>
          <w:lang w:eastAsia="zh-CN"/>
        </w:rPr>
        <w:t>市交通运输服务中心</w:t>
      </w:r>
      <w:r>
        <w:rPr>
          <w:rFonts w:hint="eastAsia" w:ascii="仿宋_GB2312" w:hAnsi="仿宋_GB2312" w:eastAsia="仿宋_GB2312" w:cs="仿宋_GB2312"/>
          <w:b/>
          <w:color w:val="auto"/>
          <w:sz w:val="24"/>
          <w:highlight w:val="none"/>
          <w:lang w:eastAsia="zh-CN"/>
        </w:rPr>
        <w:drawing>
          <wp:anchor distT="0" distB="0" distL="114300" distR="114300" simplePos="0" relativeHeight="251662336" behindDoc="1" locked="0" layoutInCell="1" allowOverlap="1">
            <wp:simplePos x="0" y="0"/>
            <wp:positionH relativeFrom="column">
              <wp:posOffset>3008630</wp:posOffset>
            </wp:positionH>
            <wp:positionV relativeFrom="paragraph">
              <wp:posOffset>6940550</wp:posOffset>
            </wp:positionV>
            <wp:extent cx="1581150" cy="1590675"/>
            <wp:effectExtent l="0" t="0" r="0" b="9525"/>
            <wp:wrapNone/>
            <wp:docPr id="15" name="图片 5"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p>
    <w:p w14:paraId="5E875A2B">
      <w:pPr>
        <w:spacing w:before="91" w:line="219" w:lineRule="auto"/>
        <w:ind w:firstLine="1400" w:firstLineChars="500"/>
        <w:jc w:val="both"/>
        <w:rPr>
          <w:rFonts w:hint="default" w:ascii="Times New Roman" w:hAnsi="Times New Roman" w:eastAsia="黑体" w:cs="Times New Roman"/>
          <w:color w:val="auto"/>
          <w:sz w:val="28"/>
          <w:szCs w:val="28"/>
          <w:highlight w:val="none"/>
          <w:u w:val="single"/>
        </w:rPr>
      </w:pPr>
      <w:r>
        <w:rPr>
          <w:rFonts w:hint="default" w:ascii="Times New Roman" w:hAnsi="Times New Roman" w:eastAsia="黑体" w:cs="Times New Roman"/>
          <w:color w:val="auto"/>
          <w:sz w:val="28"/>
          <w:szCs w:val="28"/>
          <w:highlight w:val="none"/>
        </w:rPr>
        <w:t>招标代理机构：</w:t>
      </w:r>
      <w:r>
        <w:rPr>
          <w:rFonts w:hint="eastAsia" w:ascii="Times New Roman" w:hAnsi="Times New Roman" w:eastAsia="黑体" w:cs="Times New Roman"/>
          <w:color w:val="auto"/>
          <w:sz w:val="28"/>
          <w:szCs w:val="28"/>
          <w:highlight w:val="none"/>
          <w:lang w:eastAsia="zh-CN"/>
        </w:rPr>
        <w:t>沈阳金诺</w:t>
      </w:r>
      <w:r>
        <w:rPr>
          <w:rFonts w:hint="eastAsia" w:ascii="仿宋_GB2312" w:hAnsi="仿宋_GB2312" w:eastAsia="仿宋_GB2312" w:cs="仿宋_GB2312"/>
          <w:b/>
          <w:color w:val="auto"/>
          <w:sz w:val="24"/>
          <w:highlight w:val="none"/>
          <w:lang w:eastAsia="zh-CN"/>
        </w:rPr>
        <w:drawing>
          <wp:anchor distT="0" distB="0" distL="114300" distR="114300" simplePos="0" relativeHeight="251664384" behindDoc="1" locked="0" layoutInCell="1" allowOverlap="1">
            <wp:simplePos x="0" y="0"/>
            <wp:positionH relativeFrom="column">
              <wp:posOffset>3618230</wp:posOffset>
            </wp:positionH>
            <wp:positionV relativeFrom="paragraph">
              <wp:posOffset>7550150</wp:posOffset>
            </wp:positionV>
            <wp:extent cx="1581150" cy="1590675"/>
            <wp:effectExtent l="0" t="0" r="0" b="9525"/>
            <wp:wrapNone/>
            <wp:docPr id="19" name="图片 7"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r>
        <w:rPr>
          <w:rFonts w:hint="eastAsia" w:ascii="仿宋_GB2312" w:hAnsi="仿宋_GB2312" w:eastAsia="仿宋_GB2312" w:cs="仿宋_GB2312"/>
          <w:b/>
          <w:color w:val="auto"/>
          <w:sz w:val="24"/>
          <w:highlight w:val="none"/>
          <w:lang w:eastAsia="zh-CN"/>
        </w:rPr>
        <w:drawing>
          <wp:anchor distT="0" distB="0" distL="114300" distR="114300" simplePos="0" relativeHeight="251663360" behindDoc="1" locked="0" layoutInCell="1" allowOverlap="1">
            <wp:simplePos x="0" y="0"/>
            <wp:positionH relativeFrom="column">
              <wp:posOffset>3465830</wp:posOffset>
            </wp:positionH>
            <wp:positionV relativeFrom="paragraph">
              <wp:posOffset>7397750</wp:posOffset>
            </wp:positionV>
            <wp:extent cx="1581150" cy="1590675"/>
            <wp:effectExtent l="0" t="0" r="0" b="9525"/>
            <wp:wrapNone/>
            <wp:docPr id="17" name="图片 6"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r>
        <w:rPr>
          <w:rFonts w:hint="eastAsia" w:ascii="Times New Roman" w:hAnsi="Times New Roman" w:eastAsia="黑体" w:cs="Times New Roman"/>
          <w:color w:val="auto"/>
          <w:sz w:val="28"/>
          <w:szCs w:val="28"/>
          <w:highlight w:val="none"/>
          <w:lang w:eastAsia="zh-CN"/>
        </w:rPr>
        <w:t>工</w:t>
      </w:r>
      <w:r>
        <w:rPr>
          <w:rFonts w:hint="eastAsia" w:ascii="仿宋_GB2312" w:hAnsi="仿宋_GB2312" w:eastAsia="仿宋_GB2312" w:cs="仿宋_GB2312"/>
          <w:b/>
          <w:color w:val="auto"/>
          <w:sz w:val="24"/>
          <w:highlight w:val="none"/>
          <w:lang w:eastAsia="zh-CN"/>
        </w:rPr>
        <w:drawing>
          <wp:anchor distT="0" distB="0" distL="114300" distR="114300" simplePos="0" relativeHeight="251660288" behindDoc="1" locked="0" layoutInCell="1" allowOverlap="1">
            <wp:simplePos x="0" y="0"/>
            <wp:positionH relativeFrom="column">
              <wp:posOffset>3161030</wp:posOffset>
            </wp:positionH>
            <wp:positionV relativeFrom="paragraph">
              <wp:posOffset>7092950</wp:posOffset>
            </wp:positionV>
            <wp:extent cx="1581150" cy="1590675"/>
            <wp:effectExtent l="0" t="0" r="0" b="9525"/>
            <wp:wrapNone/>
            <wp:docPr id="12" name="图片 3"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r>
        <w:rPr>
          <w:rFonts w:hint="eastAsia" w:ascii="Times New Roman" w:hAnsi="Times New Roman" w:eastAsia="黑体" w:cs="Times New Roman"/>
          <w:color w:val="auto"/>
          <w:sz w:val="28"/>
          <w:szCs w:val="28"/>
          <w:highlight w:val="none"/>
          <w:lang w:eastAsia="zh-CN"/>
        </w:rPr>
        <w:t>程招</w:t>
      </w:r>
      <w:r>
        <w:rPr>
          <w:rFonts w:hint="eastAsia" w:ascii="仿宋_GB2312" w:hAnsi="仿宋_GB2312" w:eastAsia="仿宋_GB2312" w:cs="仿宋_GB2312"/>
          <w:b/>
          <w:color w:val="auto"/>
          <w:sz w:val="24"/>
          <w:highlight w:val="none"/>
          <w:lang w:eastAsia="zh-CN"/>
        </w:rPr>
        <w:drawing>
          <wp:anchor distT="0" distB="0" distL="114300" distR="114300" simplePos="0" relativeHeight="251661312" behindDoc="1" locked="0" layoutInCell="1" allowOverlap="1">
            <wp:simplePos x="0" y="0"/>
            <wp:positionH relativeFrom="column">
              <wp:posOffset>3313430</wp:posOffset>
            </wp:positionH>
            <wp:positionV relativeFrom="paragraph">
              <wp:posOffset>7245350</wp:posOffset>
            </wp:positionV>
            <wp:extent cx="1581150" cy="1590675"/>
            <wp:effectExtent l="0" t="0" r="0" b="9525"/>
            <wp:wrapNone/>
            <wp:docPr id="14" name="图片 4"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r>
        <w:rPr>
          <w:rFonts w:hint="eastAsia" w:ascii="仿宋_GB2312" w:hAnsi="仿宋_GB2312" w:eastAsia="仿宋_GB2312" w:cs="仿宋_GB2312"/>
          <w:b/>
          <w:color w:val="auto"/>
          <w:sz w:val="24"/>
          <w:highlight w:val="none"/>
          <w:lang w:eastAsia="zh-CN"/>
        </w:rPr>
        <w:drawing>
          <wp:anchor distT="0" distB="0" distL="114300" distR="114300" simplePos="0" relativeHeight="251659264" behindDoc="1" locked="0" layoutInCell="1" allowOverlap="1">
            <wp:simplePos x="0" y="0"/>
            <wp:positionH relativeFrom="column">
              <wp:posOffset>3008630</wp:posOffset>
            </wp:positionH>
            <wp:positionV relativeFrom="paragraph">
              <wp:posOffset>6940550</wp:posOffset>
            </wp:positionV>
            <wp:extent cx="1581150" cy="1590675"/>
            <wp:effectExtent l="0" t="0" r="0" b="9525"/>
            <wp:wrapNone/>
            <wp:docPr id="11" name="图片 2"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r>
        <w:rPr>
          <w:rFonts w:hint="eastAsia" w:ascii="Times New Roman" w:hAnsi="Times New Roman" w:eastAsia="黑体" w:cs="Times New Roman"/>
          <w:color w:val="auto"/>
          <w:sz w:val="28"/>
          <w:szCs w:val="28"/>
          <w:highlight w:val="none"/>
          <w:lang w:eastAsia="zh-CN"/>
        </w:rPr>
        <w:t>标代理</w:t>
      </w:r>
      <w:r>
        <w:rPr>
          <w:rFonts w:hint="eastAsia" w:ascii="仿宋_GB2312" w:hAnsi="仿宋_GB2312" w:eastAsia="仿宋_GB2312" w:cs="仿宋_GB2312"/>
          <w:b/>
          <w:color w:val="auto"/>
          <w:sz w:val="24"/>
          <w:highlight w:val="none"/>
          <w:lang w:eastAsia="zh-CN"/>
        </w:rPr>
        <w:drawing>
          <wp:anchor distT="0" distB="0" distL="114300" distR="114300" simplePos="0" relativeHeight="251665408" behindDoc="1" locked="0" layoutInCell="1" allowOverlap="1">
            <wp:simplePos x="0" y="0"/>
            <wp:positionH relativeFrom="column">
              <wp:posOffset>3770630</wp:posOffset>
            </wp:positionH>
            <wp:positionV relativeFrom="paragraph">
              <wp:posOffset>7702550</wp:posOffset>
            </wp:positionV>
            <wp:extent cx="1581150" cy="1590675"/>
            <wp:effectExtent l="0" t="0" r="0" b="9525"/>
            <wp:wrapNone/>
            <wp:docPr id="21" name="图片 8" descr="6b60d7d6014dae51050fcb24acaa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descr="6b60d7d6014dae51050fcb24acaa489"/>
                    <pic:cNvPicPr>
                      <a:picLocks noChangeAspect="1"/>
                    </pic:cNvPicPr>
                  </pic:nvPicPr>
                  <pic:blipFill>
                    <a:blip r:embed="rId49"/>
                    <a:stretch>
                      <a:fillRect/>
                    </a:stretch>
                  </pic:blipFill>
                  <pic:spPr>
                    <a:xfrm>
                      <a:off x="0" y="0"/>
                      <a:ext cx="1581150" cy="1590675"/>
                    </a:xfrm>
                    <a:prstGeom prst="rect">
                      <a:avLst/>
                    </a:prstGeom>
                    <a:noFill/>
                    <a:ln>
                      <a:noFill/>
                    </a:ln>
                  </pic:spPr>
                </pic:pic>
              </a:graphicData>
            </a:graphic>
          </wp:anchor>
        </w:drawing>
      </w:r>
      <w:r>
        <w:rPr>
          <w:rFonts w:hint="eastAsia" w:ascii="Times New Roman" w:hAnsi="Times New Roman" w:eastAsia="黑体" w:cs="Times New Roman"/>
          <w:color w:val="auto"/>
          <w:sz w:val="28"/>
          <w:szCs w:val="28"/>
          <w:highlight w:val="none"/>
          <w:lang w:eastAsia="zh-CN"/>
        </w:rPr>
        <w:t>有限公司</w:t>
      </w:r>
    </w:p>
    <w:p w14:paraId="538AD032">
      <w:pPr>
        <w:spacing w:before="92" w:line="220" w:lineRule="auto"/>
        <w:ind w:left="3202"/>
        <w:rPr>
          <w:rFonts w:hint="eastAsia" w:ascii="Times New Roman" w:hAnsi="Times New Roman" w:eastAsia="宋体" w:cs="Times New Roman"/>
          <w:color w:val="auto"/>
          <w:sz w:val="36"/>
          <w:szCs w:val="36"/>
          <w:highlight w:val="none"/>
          <w:lang w:val="en-US" w:eastAsia="zh-CN"/>
        </w:rPr>
        <w:sectPr>
          <w:headerReference r:id="rId4" w:type="default"/>
          <w:footerReference r:id="rId6" w:type="default"/>
          <w:headerReference r:id="rId5" w:type="even"/>
          <w:footerReference r:id="rId7" w:type="even"/>
          <w:footnotePr>
            <w:numFmt w:val="decimalEnclosedCircleChinese"/>
            <w:numRestart w:val="eachPage"/>
          </w:footnotePr>
          <w:pgSz w:w="11906" w:h="16838"/>
          <w:pgMar w:top="1984" w:right="1800" w:bottom="1440" w:left="1800" w:header="851" w:footer="992" w:gutter="0"/>
          <w:pgNumType w:fmt="decimal" w:start="1"/>
          <w:cols w:space="425" w:num="1"/>
          <w:docGrid w:type="lines" w:linePitch="312" w:charSpace="0"/>
        </w:sectPr>
      </w:pPr>
      <w:r>
        <w:rPr>
          <w:rFonts w:ascii="宋体" w:hAnsi="宋体" w:eastAsia="宋体" w:cs="宋体"/>
          <w:spacing w:val="-3"/>
          <w:sz w:val="28"/>
          <w:szCs w:val="28"/>
        </w:rPr>
        <w:t>二〇二</w:t>
      </w:r>
      <w:r>
        <w:rPr>
          <w:rFonts w:hint="eastAsia" w:ascii="宋体" w:hAnsi="宋体" w:cs="宋体"/>
          <w:spacing w:val="-3"/>
          <w:sz w:val="28"/>
          <w:szCs w:val="28"/>
          <w:lang w:val="en-US" w:eastAsia="zh-CN"/>
        </w:rPr>
        <w:t>六</w:t>
      </w:r>
      <w:r>
        <w:rPr>
          <w:rFonts w:ascii="宋体" w:hAnsi="宋体" w:eastAsia="宋体" w:cs="宋体"/>
          <w:spacing w:val="-3"/>
          <w:sz w:val="28"/>
          <w:szCs w:val="28"/>
        </w:rPr>
        <w:t>年</w:t>
      </w:r>
      <w:r>
        <w:rPr>
          <w:rFonts w:hint="eastAsia" w:ascii="宋体" w:hAnsi="宋体" w:cs="宋体"/>
          <w:spacing w:val="-3"/>
          <w:sz w:val="28"/>
          <w:szCs w:val="28"/>
          <w:lang w:val="en-US" w:eastAsia="zh-CN"/>
        </w:rPr>
        <w:t>八</w:t>
      </w:r>
      <w:r>
        <w:rPr>
          <w:rFonts w:ascii="宋体" w:hAnsi="宋体" w:eastAsia="宋体" w:cs="宋体"/>
          <w:spacing w:val="-3"/>
          <w:sz w:val="28"/>
          <w:szCs w:val="28"/>
        </w:rPr>
        <w:t>月</w:t>
      </w:r>
      <w:r>
        <w:rPr>
          <w:rFonts w:hint="eastAsia" w:ascii="宋体" w:hAnsi="宋体" w:cs="宋体"/>
          <w:spacing w:val="-3"/>
          <w:sz w:val="28"/>
          <w:szCs w:val="28"/>
          <w:lang w:val="en-US" w:eastAsia="zh-CN"/>
        </w:rPr>
        <w:t>七日</w:t>
      </w:r>
    </w:p>
    <w:p w14:paraId="53F487C3">
      <w:pPr>
        <w:pageBreakBefore w:val="0"/>
        <w:kinsoku/>
        <w:wordWrap w:val="0"/>
        <w:bidi w:val="0"/>
        <w:spacing w:line="352" w:lineRule="atLeast"/>
        <w:jc w:val="center"/>
        <w:rPr>
          <w:rFonts w:hint="default" w:ascii="Times New Roman" w:hAnsi="Times New Roman" w:eastAsia="黑体" w:cs="Times New Roman"/>
          <w:color w:val="auto"/>
          <w:sz w:val="36"/>
          <w:szCs w:val="36"/>
          <w:highlight w:val="none"/>
        </w:rPr>
      </w:pPr>
      <w:r>
        <w:rPr>
          <w:rFonts w:hint="default" w:ascii="Times New Roman" w:hAnsi="Times New Roman" w:eastAsia="黑体" w:cs="Times New Roman"/>
          <w:color w:val="auto"/>
          <w:sz w:val="36"/>
          <w:szCs w:val="36"/>
          <w:highlight w:val="none"/>
        </w:rPr>
        <w:t>目     录</w:t>
      </w:r>
    </w:p>
    <w:sdt>
      <w:sdtPr>
        <w:rPr>
          <w:rFonts w:ascii="宋体" w:hAnsi="宋体" w:eastAsia="宋体" w:cs="Times New Roman"/>
          <w:color w:val="auto"/>
          <w:kern w:val="2"/>
          <w:sz w:val="21"/>
          <w:szCs w:val="24"/>
          <w:highlight w:val="none"/>
          <w:lang w:val="en-US" w:eastAsia="zh-CN" w:bidi="ar-SA"/>
        </w:rPr>
        <w:id w:val="147469203"/>
        <w15:color w:val="DBDBDB"/>
        <w:docPartObj>
          <w:docPartGallery w:val="Table of Contents"/>
          <w:docPartUnique/>
        </w:docPartObj>
      </w:sdtPr>
      <w:sdtEndPr>
        <w:rPr>
          <w:rFonts w:hint="default" w:ascii="Times New Roman" w:hAnsi="Times New Roman" w:eastAsia="宋体" w:cs="Times New Roman"/>
          <w:b w:val="0"/>
          <w:bCs w:val="0"/>
          <w:i w:val="0"/>
          <w:iCs w:val="0"/>
          <w:color w:val="auto"/>
          <w:kern w:val="2"/>
          <w:sz w:val="21"/>
          <w:szCs w:val="21"/>
          <w:highlight w:val="none"/>
          <w:lang w:val="en-US" w:eastAsia="zh-CN" w:bidi="ar-SA"/>
        </w:rPr>
      </w:sdtEndPr>
      <w:sdtContent>
        <w:p w14:paraId="00F1EEC0">
          <w:pPr>
            <w:spacing w:before="0" w:beforeLines="0" w:after="0" w:afterLines="0" w:line="240" w:lineRule="auto"/>
            <w:ind w:left="0" w:leftChars="0" w:right="0" w:rightChars="0" w:firstLine="0" w:firstLineChars="0"/>
            <w:jc w:val="center"/>
            <w:rPr>
              <w:color w:val="auto"/>
              <w:highlight w:val="none"/>
            </w:rPr>
          </w:pPr>
        </w:p>
        <w:p w14:paraId="1000A1A7">
          <w:pPr>
            <w:pStyle w:val="28"/>
            <w:keepNext w:val="0"/>
            <w:keepLines w:val="0"/>
            <w:pageBreakBefore w:val="0"/>
            <w:tabs>
              <w:tab w:val="right" w:leader="dot" w:pos="8675"/>
              <w:tab w:val="clear" w:pos="425"/>
              <w:tab w:val="clear" w:pos="8805"/>
            </w:tabs>
            <w:kinsoku/>
            <w:overflowPunct/>
            <w:topLinePunct w:val="0"/>
            <w:autoSpaceDE/>
            <w:autoSpaceDN/>
            <w:bidi w:val="0"/>
            <w:adjustRightInd/>
            <w:snapToGrid/>
            <w:spacing w:line="440" w:lineRule="exact"/>
            <w:ind w:left="590" w:leftChars="281"/>
            <w:textAlignment w:val="auto"/>
            <w:rPr>
              <w:rFonts w:hint="default" w:ascii="Times New Roman" w:hAnsi="Times New Roman" w:eastAsia="黑体" w:cs="Times New Roman"/>
              <w:color w:val="auto"/>
              <w:sz w:val="20"/>
              <w:szCs w:val="20"/>
              <w:highlight w:val="none"/>
            </w:rPr>
          </w:pPr>
          <w:r>
            <w:rPr>
              <w:rFonts w:hint="default" w:ascii="Times New Roman" w:hAnsi="Times New Roman" w:eastAsia="宋体" w:cs="Times New Roman"/>
              <w:b w:val="0"/>
              <w:bCs w:val="0"/>
              <w:i w:val="0"/>
              <w:iCs w:val="0"/>
              <w:color w:val="auto"/>
              <w:sz w:val="20"/>
              <w:szCs w:val="20"/>
              <w:highlight w:val="none"/>
            </w:rPr>
            <w:fldChar w:fldCharType="begin"/>
          </w:r>
          <w:r>
            <w:rPr>
              <w:rFonts w:hint="default" w:ascii="Times New Roman" w:hAnsi="Times New Roman" w:eastAsia="宋体" w:cs="Times New Roman"/>
              <w:b w:val="0"/>
              <w:bCs w:val="0"/>
              <w:i w:val="0"/>
              <w:iCs w:val="0"/>
              <w:color w:val="auto"/>
              <w:sz w:val="20"/>
              <w:szCs w:val="20"/>
              <w:highlight w:val="none"/>
            </w:rPr>
            <w:instrText xml:space="preserve">TOC \o "1-3" \h \u </w:instrText>
          </w:r>
          <w:r>
            <w:rPr>
              <w:rFonts w:hint="default" w:ascii="Times New Roman" w:hAnsi="Times New Roman" w:eastAsia="宋体" w:cs="Times New Roman"/>
              <w:b w:val="0"/>
              <w:bCs w:val="0"/>
              <w:i w:val="0"/>
              <w:iCs w:val="0"/>
              <w:color w:val="auto"/>
              <w:sz w:val="20"/>
              <w:szCs w:val="20"/>
              <w:highlight w:val="none"/>
            </w:rPr>
            <w:fldChar w:fldCharType="separate"/>
          </w: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HYPERLINK \l _Toc14869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第 一 卷</w:t>
          </w:r>
          <w:r>
            <w:rPr>
              <w:rFonts w:hint="default" w:ascii="Times New Roman" w:hAnsi="Times New Roman" w:eastAsia="黑体" w:cs="Times New Roman"/>
              <w:color w:val="auto"/>
              <w:kern w:val="2"/>
              <w:sz w:val="30"/>
              <w:szCs w:val="30"/>
              <w:highlight w:val="none"/>
              <w:lang w:val="en-US" w:eastAsia="zh-CN" w:bidi="ar-SA"/>
            </w:rPr>
            <w:fldChar w:fldCharType="end"/>
          </w:r>
        </w:p>
        <w:p w14:paraId="52075681">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_Toc27722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第一章  招标公告</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_Toc27722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2</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63742815">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_Toc7389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color w:val="auto"/>
              <w:sz w:val="20"/>
              <w:szCs w:val="20"/>
              <w:highlight w:val="none"/>
            </w:rPr>
            <w:t>1. 招标条件</w:t>
          </w:r>
          <w:r>
            <w:rPr>
              <w:rFonts w:hint="default" w:ascii="Times New Roman" w:hAnsi="Times New Roman" w:eastAsia="宋体" w:cs="Times New Roman"/>
              <w:color w:val="auto"/>
              <w:sz w:val="20"/>
              <w:szCs w:val="20"/>
              <w:highlight w:val="none"/>
            </w:rPr>
            <w:tab/>
          </w:r>
          <w:r>
            <w:rPr>
              <w:rFonts w:hint="default" w:ascii="Times New Roman" w:hAnsi="Times New Roman" w:eastAsia="宋体" w:cs="Times New Roman"/>
              <w:color w:val="auto"/>
              <w:sz w:val="20"/>
              <w:szCs w:val="20"/>
              <w:highlight w:val="none"/>
            </w:rPr>
            <w:fldChar w:fldCharType="begin"/>
          </w:r>
          <w:r>
            <w:rPr>
              <w:rFonts w:hint="default" w:ascii="Times New Roman" w:hAnsi="Times New Roman" w:eastAsia="宋体" w:cs="Times New Roman"/>
              <w:color w:val="auto"/>
              <w:sz w:val="20"/>
              <w:szCs w:val="20"/>
              <w:highlight w:val="none"/>
            </w:rPr>
            <w:instrText xml:space="preserve"> PAGEREF _Toc7389 \h </w:instrText>
          </w:r>
          <w:r>
            <w:rPr>
              <w:rFonts w:hint="default" w:ascii="Times New Roman" w:hAnsi="Times New Roman" w:eastAsia="宋体" w:cs="Times New Roman"/>
              <w:color w:val="auto"/>
              <w:sz w:val="20"/>
              <w:szCs w:val="20"/>
              <w:highlight w:val="none"/>
            </w:rPr>
            <w:fldChar w:fldCharType="separate"/>
          </w:r>
          <w:r>
            <w:rPr>
              <w:rFonts w:hint="default" w:ascii="Times New Roman" w:hAnsi="Times New Roman" w:eastAsia="宋体" w:cs="Times New Roman"/>
              <w:color w:val="auto"/>
              <w:sz w:val="20"/>
              <w:szCs w:val="20"/>
              <w:highlight w:val="none"/>
            </w:rPr>
            <w:t>3</w:t>
          </w:r>
          <w:r>
            <w:rPr>
              <w:rFonts w:hint="default" w:ascii="Times New Roman" w:hAnsi="Times New Roman" w:eastAsia="宋体" w:cs="Times New Roman"/>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47A5F751">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_Toc1515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2. 项目概况与招标范围</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_Toc1515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3</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2CCA8BC3">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_Toc29935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3. 投标人资格要求</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_Toc29935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3</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0E6898C7">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_Toc24263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4. 招标文件的获取</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_Toc24263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6</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64E9933F">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_Toc7236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 投标文件的递交及相关事宜</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_Toc7236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6</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6AB87287">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_Toc21427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lang w:val="en-US" w:eastAsia="zh-CN"/>
            </w:rPr>
            <w:t>6. 评标办法</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_Toc21427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7</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065D197C">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_Toc31461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lang w:val="en-US" w:eastAsia="zh-CN"/>
            </w:rPr>
            <w:t>7</w:t>
          </w:r>
          <w:r>
            <w:rPr>
              <w:rFonts w:hint="default" w:ascii="Times New Roman" w:hAnsi="Times New Roman" w:eastAsia="宋体" w:cs="Times New Roman"/>
              <w:bCs w:val="0"/>
              <w:i w:val="0"/>
              <w:iCs w:val="0"/>
              <w:color w:val="auto"/>
              <w:sz w:val="20"/>
              <w:szCs w:val="20"/>
              <w:highlight w:val="none"/>
            </w:rPr>
            <w:t>. 发布公告的媒介</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_Toc31461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7</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29423CD7">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_Toc27909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lang w:val="en-US" w:eastAsia="zh-CN"/>
            </w:rPr>
            <w:t>8</w:t>
          </w:r>
          <w:r>
            <w:rPr>
              <w:rFonts w:hint="default" w:ascii="Times New Roman" w:hAnsi="Times New Roman" w:eastAsia="宋体" w:cs="Times New Roman"/>
              <w:bCs w:val="0"/>
              <w:i w:val="0"/>
              <w:iCs w:val="0"/>
              <w:color w:val="auto"/>
              <w:sz w:val="20"/>
              <w:szCs w:val="20"/>
              <w:highlight w:val="none"/>
            </w:rPr>
            <w:t>. 联系方式</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_Toc27909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7</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6620D380">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_Toc19741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第二章  投标人须知</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_Toc19741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10</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0833279F">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_Toc8928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投标人须知前附表</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_Toc8928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10</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168479EA">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_Toc19171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color w:val="auto"/>
              <w:sz w:val="20"/>
              <w:szCs w:val="20"/>
              <w:highlight w:val="none"/>
            </w:rPr>
            <w:t>附录1  资格审查条件（资质最低</w:t>
          </w:r>
          <w:r>
            <w:rPr>
              <w:rFonts w:hint="default" w:ascii="Times New Roman" w:hAnsi="Times New Roman" w:eastAsia="宋体" w:cs="Times New Roman"/>
              <w:color w:val="auto"/>
              <w:sz w:val="20"/>
              <w:szCs w:val="20"/>
              <w:highlight w:val="none"/>
              <w:lang w:eastAsia="zh-CN"/>
            </w:rPr>
            <w:t>要求</w:t>
          </w:r>
          <w:r>
            <w:rPr>
              <w:rFonts w:hint="default" w:ascii="Times New Roman" w:hAnsi="Times New Roman" w:eastAsia="宋体" w:cs="Times New Roman"/>
              <w:color w:val="auto"/>
              <w:sz w:val="20"/>
              <w:szCs w:val="20"/>
              <w:highlight w:val="none"/>
            </w:rPr>
            <w:t>）</w:t>
          </w:r>
          <w:r>
            <w:rPr>
              <w:rFonts w:hint="default" w:ascii="Times New Roman" w:hAnsi="Times New Roman" w:eastAsia="宋体" w:cs="Times New Roman"/>
              <w:color w:val="auto"/>
              <w:sz w:val="20"/>
              <w:szCs w:val="20"/>
              <w:highlight w:val="none"/>
            </w:rPr>
            <w:tab/>
          </w:r>
          <w:r>
            <w:rPr>
              <w:rFonts w:hint="default" w:ascii="Times New Roman" w:hAnsi="Times New Roman" w:eastAsia="宋体" w:cs="Times New Roman"/>
              <w:color w:val="auto"/>
              <w:sz w:val="20"/>
              <w:szCs w:val="20"/>
              <w:highlight w:val="none"/>
            </w:rPr>
            <w:fldChar w:fldCharType="begin"/>
          </w:r>
          <w:r>
            <w:rPr>
              <w:rFonts w:hint="default" w:ascii="Times New Roman" w:hAnsi="Times New Roman" w:eastAsia="宋体" w:cs="Times New Roman"/>
              <w:color w:val="auto"/>
              <w:sz w:val="20"/>
              <w:szCs w:val="20"/>
              <w:highlight w:val="none"/>
            </w:rPr>
            <w:instrText xml:space="preserve"> PAGEREF _Toc19171 \h </w:instrText>
          </w:r>
          <w:r>
            <w:rPr>
              <w:rFonts w:hint="default" w:ascii="Times New Roman" w:hAnsi="Times New Roman" w:eastAsia="宋体" w:cs="Times New Roman"/>
              <w:color w:val="auto"/>
              <w:sz w:val="20"/>
              <w:szCs w:val="20"/>
              <w:highlight w:val="none"/>
            </w:rPr>
            <w:fldChar w:fldCharType="separate"/>
          </w:r>
          <w:r>
            <w:rPr>
              <w:rFonts w:hint="default" w:ascii="Times New Roman" w:hAnsi="Times New Roman" w:eastAsia="宋体" w:cs="Times New Roman"/>
              <w:color w:val="auto"/>
              <w:sz w:val="20"/>
              <w:szCs w:val="20"/>
              <w:highlight w:val="none"/>
            </w:rPr>
            <w:t>30</w:t>
          </w:r>
          <w:r>
            <w:rPr>
              <w:rFonts w:hint="default" w:ascii="Times New Roman" w:hAnsi="Times New Roman" w:eastAsia="宋体" w:cs="Times New Roman"/>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089A11B0">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_Toc29861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color w:val="auto"/>
              <w:sz w:val="20"/>
              <w:szCs w:val="20"/>
              <w:highlight w:val="none"/>
            </w:rPr>
            <w:t>附录2  资格审查条件（财务最低要求）</w:t>
          </w:r>
          <w:r>
            <w:rPr>
              <w:rFonts w:hint="default" w:ascii="Times New Roman" w:hAnsi="Times New Roman" w:eastAsia="宋体" w:cs="Times New Roman"/>
              <w:color w:val="auto"/>
              <w:sz w:val="20"/>
              <w:szCs w:val="20"/>
              <w:highlight w:val="none"/>
            </w:rPr>
            <w:tab/>
          </w:r>
          <w:r>
            <w:rPr>
              <w:rFonts w:hint="default" w:ascii="Times New Roman" w:hAnsi="Times New Roman" w:eastAsia="宋体" w:cs="Times New Roman"/>
              <w:color w:val="auto"/>
              <w:sz w:val="20"/>
              <w:szCs w:val="20"/>
              <w:highlight w:val="none"/>
            </w:rPr>
            <w:fldChar w:fldCharType="begin"/>
          </w:r>
          <w:r>
            <w:rPr>
              <w:rFonts w:hint="default" w:ascii="Times New Roman" w:hAnsi="Times New Roman" w:eastAsia="宋体" w:cs="Times New Roman"/>
              <w:color w:val="auto"/>
              <w:sz w:val="20"/>
              <w:szCs w:val="20"/>
              <w:highlight w:val="none"/>
            </w:rPr>
            <w:instrText xml:space="preserve"> PAGEREF _Toc29861 \h </w:instrText>
          </w:r>
          <w:r>
            <w:rPr>
              <w:rFonts w:hint="default" w:ascii="Times New Roman" w:hAnsi="Times New Roman" w:eastAsia="宋体" w:cs="Times New Roman"/>
              <w:color w:val="auto"/>
              <w:sz w:val="20"/>
              <w:szCs w:val="20"/>
              <w:highlight w:val="none"/>
            </w:rPr>
            <w:fldChar w:fldCharType="separate"/>
          </w:r>
          <w:r>
            <w:rPr>
              <w:rFonts w:hint="default" w:ascii="Times New Roman" w:hAnsi="Times New Roman" w:eastAsia="宋体" w:cs="Times New Roman"/>
              <w:color w:val="auto"/>
              <w:sz w:val="20"/>
              <w:szCs w:val="20"/>
              <w:highlight w:val="none"/>
            </w:rPr>
            <w:t>31</w:t>
          </w:r>
          <w:r>
            <w:rPr>
              <w:rFonts w:hint="default" w:ascii="Times New Roman" w:hAnsi="Times New Roman" w:eastAsia="宋体" w:cs="Times New Roman"/>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761F004F">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_Toc30953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color w:val="auto"/>
              <w:sz w:val="20"/>
              <w:szCs w:val="20"/>
              <w:highlight w:val="none"/>
            </w:rPr>
            <w:t xml:space="preserve">附录3 </w:t>
          </w:r>
          <w:r>
            <w:rPr>
              <w:rFonts w:hint="default" w:ascii="Times New Roman" w:hAnsi="Times New Roman" w:eastAsia="宋体" w:cs="Times New Roman"/>
              <w:color w:val="auto"/>
              <w:sz w:val="20"/>
              <w:szCs w:val="20"/>
              <w:highlight w:val="none"/>
              <w:lang w:eastAsia="zh-CN"/>
            </w:rPr>
            <w:t xml:space="preserve"> </w:t>
          </w:r>
          <w:r>
            <w:rPr>
              <w:rFonts w:hint="default" w:ascii="Times New Roman" w:hAnsi="Times New Roman" w:eastAsia="宋体" w:cs="Times New Roman"/>
              <w:color w:val="auto"/>
              <w:sz w:val="20"/>
              <w:szCs w:val="20"/>
              <w:highlight w:val="none"/>
            </w:rPr>
            <w:t>资格审查条件（业绩最低要求）</w:t>
          </w:r>
          <w:r>
            <w:rPr>
              <w:rFonts w:hint="default" w:ascii="Times New Roman" w:hAnsi="Times New Roman" w:eastAsia="宋体" w:cs="Times New Roman"/>
              <w:color w:val="auto"/>
              <w:sz w:val="20"/>
              <w:szCs w:val="20"/>
              <w:highlight w:val="none"/>
            </w:rPr>
            <w:tab/>
          </w:r>
          <w:r>
            <w:rPr>
              <w:rFonts w:hint="default" w:ascii="Times New Roman" w:hAnsi="Times New Roman" w:eastAsia="宋体" w:cs="Times New Roman"/>
              <w:color w:val="auto"/>
              <w:sz w:val="20"/>
              <w:szCs w:val="20"/>
              <w:highlight w:val="none"/>
            </w:rPr>
            <w:fldChar w:fldCharType="begin"/>
          </w:r>
          <w:r>
            <w:rPr>
              <w:rFonts w:hint="default" w:ascii="Times New Roman" w:hAnsi="Times New Roman" w:eastAsia="宋体" w:cs="Times New Roman"/>
              <w:color w:val="auto"/>
              <w:sz w:val="20"/>
              <w:szCs w:val="20"/>
              <w:highlight w:val="none"/>
            </w:rPr>
            <w:instrText xml:space="preserve"> PAGEREF _Toc30953 \h </w:instrText>
          </w:r>
          <w:r>
            <w:rPr>
              <w:rFonts w:hint="default" w:ascii="Times New Roman" w:hAnsi="Times New Roman" w:eastAsia="宋体" w:cs="Times New Roman"/>
              <w:color w:val="auto"/>
              <w:sz w:val="20"/>
              <w:szCs w:val="20"/>
              <w:highlight w:val="none"/>
            </w:rPr>
            <w:fldChar w:fldCharType="separate"/>
          </w:r>
          <w:r>
            <w:rPr>
              <w:rFonts w:hint="default" w:ascii="Times New Roman" w:hAnsi="Times New Roman" w:eastAsia="宋体" w:cs="Times New Roman"/>
              <w:color w:val="auto"/>
              <w:sz w:val="20"/>
              <w:szCs w:val="20"/>
              <w:highlight w:val="none"/>
            </w:rPr>
            <w:t>32</w:t>
          </w:r>
          <w:r>
            <w:rPr>
              <w:rFonts w:hint="default" w:ascii="Times New Roman" w:hAnsi="Times New Roman" w:eastAsia="宋体" w:cs="Times New Roman"/>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2EFA9395">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_Toc29363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color w:val="auto"/>
              <w:sz w:val="20"/>
              <w:szCs w:val="20"/>
              <w:highlight w:val="none"/>
            </w:rPr>
            <w:t>附录4  资格审查条件（信誉最低要求）</w:t>
          </w:r>
          <w:r>
            <w:rPr>
              <w:rFonts w:hint="default" w:ascii="Times New Roman" w:hAnsi="Times New Roman" w:eastAsia="宋体" w:cs="Times New Roman"/>
              <w:color w:val="auto"/>
              <w:sz w:val="20"/>
              <w:szCs w:val="20"/>
              <w:highlight w:val="none"/>
            </w:rPr>
            <w:tab/>
          </w:r>
          <w:r>
            <w:rPr>
              <w:rFonts w:hint="default" w:ascii="Times New Roman" w:hAnsi="Times New Roman" w:eastAsia="宋体" w:cs="Times New Roman"/>
              <w:color w:val="auto"/>
              <w:sz w:val="20"/>
              <w:szCs w:val="20"/>
              <w:highlight w:val="none"/>
            </w:rPr>
            <w:fldChar w:fldCharType="begin"/>
          </w:r>
          <w:r>
            <w:rPr>
              <w:rFonts w:hint="default" w:ascii="Times New Roman" w:hAnsi="Times New Roman" w:eastAsia="宋体" w:cs="Times New Roman"/>
              <w:color w:val="auto"/>
              <w:sz w:val="20"/>
              <w:szCs w:val="20"/>
              <w:highlight w:val="none"/>
            </w:rPr>
            <w:instrText xml:space="preserve"> PAGEREF _Toc29363 \h </w:instrText>
          </w:r>
          <w:r>
            <w:rPr>
              <w:rFonts w:hint="default" w:ascii="Times New Roman" w:hAnsi="Times New Roman" w:eastAsia="宋体" w:cs="Times New Roman"/>
              <w:color w:val="auto"/>
              <w:sz w:val="20"/>
              <w:szCs w:val="20"/>
              <w:highlight w:val="none"/>
            </w:rPr>
            <w:fldChar w:fldCharType="separate"/>
          </w:r>
          <w:r>
            <w:rPr>
              <w:rFonts w:hint="default" w:ascii="Times New Roman" w:hAnsi="Times New Roman" w:eastAsia="宋体" w:cs="Times New Roman"/>
              <w:color w:val="auto"/>
              <w:sz w:val="20"/>
              <w:szCs w:val="20"/>
              <w:highlight w:val="none"/>
            </w:rPr>
            <w:t>33</w:t>
          </w:r>
          <w:r>
            <w:rPr>
              <w:rFonts w:hint="default" w:ascii="Times New Roman" w:hAnsi="Times New Roman" w:eastAsia="宋体" w:cs="Times New Roman"/>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687EBC1B">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_Toc4102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color w:val="auto"/>
              <w:sz w:val="20"/>
              <w:szCs w:val="20"/>
              <w:highlight w:val="none"/>
            </w:rPr>
            <w:t>附录5  资格审查条件（项目经理和项目总工最低要求）</w:t>
          </w:r>
          <w:r>
            <w:rPr>
              <w:rFonts w:hint="default" w:ascii="Times New Roman" w:hAnsi="Times New Roman" w:eastAsia="宋体" w:cs="Times New Roman"/>
              <w:color w:val="auto"/>
              <w:sz w:val="20"/>
              <w:szCs w:val="20"/>
              <w:highlight w:val="none"/>
            </w:rPr>
            <w:tab/>
          </w:r>
          <w:r>
            <w:rPr>
              <w:rFonts w:hint="default" w:ascii="Times New Roman" w:hAnsi="Times New Roman" w:eastAsia="宋体" w:cs="Times New Roman"/>
              <w:color w:val="auto"/>
              <w:sz w:val="20"/>
              <w:szCs w:val="20"/>
              <w:highlight w:val="none"/>
            </w:rPr>
            <w:fldChar w:fldCharType="begin"/>
          </w:r>
          <w:r>
            <w:rPr>
              <w:rFonts w:hint="default" w:ascii="Times New Roman" w:hAnsi="Times New Roman" w:eastAsia="宋体" w:cs="Times New Roman"/>
              <w:color w:val="auto"/>
              <w:sz w:val="20"/>
              <w:szCs w:val="20"/>
              <w:highlight w:val="none"/>
            </w:rPr>
            <w:instrText xml:space="preserve"> PAGEREF _Toc4102 \h </w:instrText>
          </w:r>
          <w:r>
            <w:rPr>
              <w:rFonts w:hint="default" w:ascii="Times New Roman" w:hAnsi="Times New Roman" w:eastAsia="宋体" w:cs="Times New Roman"/>
              <w:color w:val="auto"/>
              <w:sz w:val="20"/>
              <w:szCs w:val="20"/>
              <w:highlight w:val="none"/>
            </w:rPr>
            <w:fldChar w:fldCharType="separate"/>
          </w:r>
          <w:r>
            <w:rPr>
              <w:rFonts w:hint="default" w:ascii="Times New Roman" w:hAnsi="Times New Roman" w:eastAsia="宋体" w:cs="Times New Roman"/>
              <w:color w:val="auto"/>
              <w:sz w:val="20"/>
              <w:szCs w:val="20"/>
              <w:highlight w:val="none"/>
            </w:rPr>
            <w:t>34</w:t>
          </w:r>
          <w:r>
            <w:rPr>
              <w:rFonts w:hint="default" w:ascii="Times New Roman" w:hAnsi="Times New Roman" w:eastAsia="宋体" w:cs="Times New Roman"/>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0A5C0C8E">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_Toc15905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1. 总则</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_Toc15905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35</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70DEF727">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_Toc27865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2. 招标文件</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_Toc27865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39</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2317C3BF">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_Toc5945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3. 投标文件</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_Toc5945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40</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609EF559">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_Toc25479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4. 投标</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_Toc25479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47</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23C4716E">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eastAsia" w:ascii="Times New Roman" w:hAnsi="Times New Roman" w:eastAsia="宋体" w:cs="Times New Roman"/>
              <w:bCs w:val="0"/>
              <w:i w:val="0"/>
              <w:iCs w:val="0"/>
              <w:color w:val="auto"/>
              <w:sz w:val="20"/>
              <w:szCs w:val="20"/>
              <w:highlight w:val="none"/>
              <w:lang w:val="en-US" w:eastAsia="zh-CN"/>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_Toc1833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 开标</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_Toc1833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47</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7116BE0F">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_Toc25227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6. 评标</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_Toc25227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50</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6EC9E080">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_Toc16883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7. 合同授予</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_Toc16883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51</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51190938">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_Toc11642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lang w:eastAsia="zh-CN"/>
            </w:rPr>
            <w:t>8</w:t>
          </w:r>
          <w:r>
            <w:rPr>
              <w:rFonts w:hint="default" w:ascii="Times New Roman" w:hAnsi="Times New Roman" w:eastAsia="宋体" w:cs="Times New Roman"/>
              <w:bCs w:val="0"/>
              <w:i w:val="0"/>
              <w:iCs w:val="0"/>
              <w:color w:val="auto"/>
              <w:sz w:val="20"/>
              <w:szCs w:val="20"/>
              <w:highlight w:val="none"/>
            </w:rPr>
            <w:t>. 纪律和监督</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_Toc11642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53</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33131876">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_Toc5209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lang w:val="en-US" w:eastAsia="zh-CN"/>
            </w:rPr>
            <w:t>9</w:t>
          </w:r>
          <w:r>
            <w:rPr>
              <w:rFonts w:hint="default" w:ascii="Times New Roman" w:hAnsi="Times New Roman" w:eastAsia="宋体" w:cs="Times New Roman"/>
              <w:bCs w:val="0"/>
              <w:i w:val="0"/>
              <w:iCs w:val="0"/>
              <w:color w:val="auto"/>
              <w:sz w:val="20"/>
              <w:szCs w:val="20"/>
              <w:highlight w:val="none"/>
            </w:rPr>
            <w:t>.</w:t>
          </w:r>
          <w:r>
            <w:rPr>
              <w:rFonts w:hint="default" w:ascii="Times New Roman" w:hAnsi="Times New Roman" w:eastAsia="宋体" w:cs="Times New Roman"/>
              <w:bCs w:val="0"/>
              <w:i w:val="0"/>
              <w:iCs w:val="0"/>
              <w:color w:val="auto"/>
              <w:sz w:val="20"/>
              <w:szCs w:val="20"/>
              <w:highlight w:val="none"/>
              <w:lang w:eastAsia="zh-CN"/>
            </w:rPr>
            <w:t xml:space="preserve"> </w:t>
          </w:r>
          <w:r>
            <w:rPr>
              <w:rFonts w:hint="default" w:ascii="Times New Roman" w:hAnsi="Times New Roman" w:eastAsia="宋体" w:cs="Times New Roman"/>
              <w:bCs w:val="0"/>
              <w:i w:val="0"/>
              <w:iCs w:val="0"/>
              <w:color w:val="auto"/>
              <w:sz w:val="20"/>
              <w:szCs w:val="20"/>
              <w:highlight w:val="none"/>
            </w:rPr>
            <w:t>需要补充的其他内容</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_Toc5209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54</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578FB40A">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_Toc31950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附</w:t>
          </w:r>
          <w:r>
            <w:rPr>
              <w:rFonts w:hint="default" w:ascii="Times New Roman" w:hAnsi="Times New Roman" w:eastAsia="宋体" w:cs="Times New Roman"/>
              <w:bCs w:val="0"/>
              <w:i w:val="0"/>
              <w:iCs w:val="0"/>
              <w:color w:val="auto"/>
              <w:sz w:val="20"/>
              <w:szCs w:val="20"/>
              <w:highlight w:val="none"/>
              <w:lang w:eastAsia="zh-CN"/>
            </w:rPr>
            <w:t>件</w:t>
          </w:r>
          <w:r>
            <w:rPr>
              <w:rFonts w:hint="default" w:ascii="Times New Roman" w:hAnsi="Times New Roman" w:eastAsia="宋体" w:cs="Times New Roman"/>
              <w:bCs w:val="0"/>
              <w:i w:val="0"/>
              <w:iCs w:val="0"/>
              <w:color w:val="auto"/>
              <w:sz w:val="20"/>
              <w:szCs w:val="20"/>
              <w:highlight w:val="none"/>
            </w:rPr>
            <w:t>一</w:t>
          </w:r>
          <w:r>
            <w:rPr>
              <w:rFonts w:hint="default" w:ascii="Times New Roman" w:hAnsi="Times New Roman" w:eastAsia="宋体" w:cs="Times New Roman"/>
              <w:bCs w:val="0"/>
              <w:i w:val="0"/>
              <w:iCs w:val="0"/>
              <w:color w:val="auto"/>
              <w:sz w:val="20"/>
              <w:szCs w:val="20"/>
              <w:highlight w:val="none"/>
              <w:lang w:eastAsia="zh-CN"/>
            </w:rPr>
            <w:t xml:space="preserve"> </w:t>
          </w:r>
          <w:r>
            <w:rPr>
              <w:rFonts w:hint="default" w:ascii="Times New Roman" w:hAnsi="Times New Roman" w:eastAsia="宋体" w:cs="Times New Roman"/>
              <w:bCs w:val="0"/>
              <w:i w:val="0"/>
              <w:iCs w:val="0"/>
              <w:color w:val="auto"/>
              <w:sz w:val="20"/>
              <w:szCs w:val="20"/>
              <w:highlight w:val="none"/>
            </w:rPr>
            <w:t xml:space="preserve">开标记录表 </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_Toc31950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55</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7C4CF93F">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_Toc18880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附</w:t>
          </w:r>
          <w:r>
            <w:rPr>
              <w:rFonts w:hint="default" w:ascii="Times New Roman" w:hAnsi="Times New Roman" w:eastAsia="宋体" w:cs="Times New Roman"/>
              <w:bCs w:val="0"/>
              <w:i w:val="0"/>
              <w:iCs w:val="0"/>
              <w:color w:val="auto"/>
              <w:sz w:val="20"/>
              <w:szCs w:val="20"/>
              <w:highlight w:val="none"/>
              <w:lang w:eastAsia="zh-CN"/>
            </w:rPr>
            <w:t>件</w:t>
          </w:r>
          <w:r>
            <w:rPr>
              <w:rFonts w:hint="default" w:ascii="Times New Roman" w:hAnsi="Times New Roman" w:eastAsia="宋体" w:cs="Times New Roman"/>
              <w:bCs w:val="0"/>
              <w:i w:val="0"/>
              <w:iCs w:val="0"/>
              <w:color w:val="auto"/>
              <w:sz w:val="20"/>
              <w:szCs w:val="20"/>
              <w:highlight w:val="none"/>
            </w:rPr>
            <w:t>二</w:t>
          </w:r>
          <w:r>
            <w:rPr>
              <w:rFonts w:hint="default" w:ascii="Times New Roman" w:hAnsi="Times New Roman" w:eastAsia="宋体" w:cs="Times New Roman"/>
              <w:bCs w:val="0"/>
              <w:i w:val="0"/>
              <w:iCs w:val="0"/>
              <w:color w:val="auto"/>
              <w:sz w:val="20"/>
              <w:szCs w:val="20"/>
              <w:highlight w:val="none"/>
              <w:lang w:eastAsia="zh-CN"/>
            </w:rPr>
            <w:t xml:space="preserve"> </w:t>
          </w:r>
          <w:r>
            <w:rPr>
              <w:rFonts w:hint="default" w:ascii="Times New Roman" w:hAnsi="Times New Roman" w:eastAsia="宋体" w:cs="Times New Roman"/>
              <w:bCs w:val="0"/>
              <w:i w:val="0"/>
              <w:iCs w:val="0"/>
              <w:color w:val="auto"/>
              <w:sz w:val="20"/>
              <w:szCs w:val="20"/>
              <w:highlight w:val="none"/>
            </w:rPr>
            <w:t>问题澄清通知</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_Toc18880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56</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0E219EC8">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_Toc31852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附</w:t>
          </w:r>
          <w:r>
            <w:rPr>
              <w:rFonts w:hint="default" w:ascii="Times New Roman" w:hAnsi="Times New Roman" w:eastAsia="宋体" w:cs="Times New Roman"/>
              <w:bCs w:val="0"/>
              <w:i w:val="0"/>
              <w:iCs w:val="0"/>
              <w:color w:val="auto"/>
              <w:sz w:val="20"/>
              <w:szCs w:val="20"/>
              <w:highlight w:val="none"/>
              <w:lang w:eastAsia="zh-CN"/>
            </w:rPr>
            <w:t>件</w:t>
          </w:r>
          <w:r>
            <w:rPr>
              <w:rFonts w:hint="default" w:ascii="Times New Roman" w:hAnsi="Times New Roman" w:eastAsia="宋体" w:cs="Times New Roman"/>
              <w:bCs w:val="0"/>
              <w:i w:val="0"/>
              <w:iCs w:val="0"/>
              <w:color w:val="auto"/>
              <w:sz w:val="20"/>
              <w:szCs w:val="20"/>
              <w:highlight w:val="none"/>
            </w:rPr>
            <w:t>三</w:t>
          </w:r>
          <w:r>
            <w:rPr>
              <w:rFonts w:hint="default" w:ascii="Times New Roman" w:hAnsi="Times New Roman" w:eastAsia="宋体" w:cs="Times New Roman"/>
              <w:bCs w:val="0"/>
              <w:i w:val="0"/>
              <w:iCs w:val="0"/>
              <w:color w:val="auto"/>
              <w:sz w:val="20"/>
              <w:szCs w:val="20"/>
              <w:highlight w:val="none"/>
              <w:lang w:eastAsia="zh-CN"/>
            </w:rPr>
            <w:t xml:space="preserve"> </w:t>
          </w:r>
          <w:r>
            <w:rPr>
              <w:rFonts w:hint="default" w:ascii="Times New Roman" w:hAnsi="Times New Roman" w:eastAsia="宋体" w:cs="Times New Roman"/>
              <w:bCs w:val="0"/>
              <w:i w:val="0"/>
              <w:iCs w:val="0"/>
              <w:color w:val="auto"/>
              <w:sz w:val="20"/>
              <w:szCs w:val="20"/>
              <w:highlight w:val="none"/>
            </w:rPr>
            <w:t>问题的澄清</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_Toc31852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57</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00DD93C4">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_Toc22225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附</w:t>
          </w:r>
          <w:r>
            <w:rPr>
              <w:rFonts w:hint="default" w:ascii="Times New Roman" w:hAnsi="Times New Roman" w:eastAsia="宋体" w:cs="Times New Roman"/>
              <w:bCs w:val="0"/>
              <w:i w:val="0"/>
              <w:iCs w:val="0"/>
              <w:color w:val="auto"/>
              <w:sz w:val="20"/>
              <w:szCs w:val="20"/>
              <w:highlight w:val="none"/>
              <w:lang w:eastAsia="zh-CN"/>
            </w:rPr>
            <w:t>件</w:t>
          </w:r>
          <w:r>
            <w:rPr>
              <w:rFonts w:hint="default" w:ascii="Times New Roman" w:hAnsi="Times New Roman" w:eastAsia="宋体" w:cs="Times New Roman"/>
              <w:bCs w:val="0"/>
              <w:i w:val="0"/>
              <w:iCs w:val="0"/>
              <w:color w:val="auto"/>
              <w:sz w:val="20"/>
              <w:szCs w:val="20"/>
              <w:highlight w:val="none"/>
            </w:rPr>
            <w:t>四</w:t>
          </w:r>
          <w:r>
            <w:rPr>
              <w:rFonts w:hint="default" w:ascii="Times New Roman" w:hAnsi="Times New Roman" w:eastAsia="宋体" w:cs="Times New Roman"/>
              <w:bCs w:val="0"/>
              <w:i w:val="0"/>
              <w:iCs w:val="0"/>
              <w:color w:val="auto"/>
              <w:sz w:val="20"/>
              <w:szCs w:val="20"/>
              <w:highlight w:val="none"/>
              <w:lang w:eastAsia="zh-CN"/>
            </w:rPr>
            <w:t xml:space="preserve"> </w:t>
          </w:r>
          <w:r>
            <w:rPr>
              <w:rFonts w:hint="default" w:ascii="Times New Roman" w:hAnsi="Times New Roman" w:eastAsia="宋体" w:cs="Times New Roman"/>
              <w:bCs w:val="0"/>
              <w:i w:val="0"/>
              <w:iCs w:val="0"/>
              <w:color w:val="auto"/>
              <w:sz w:val="20"/>
              <w:szCs w:val="20"/>
              <w:highlight w:val="none"/>
            </w:rPr>
            <w:t>中标通知书</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_Toc22225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58</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387A5F53">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_Toc10728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第三章  评标办法（合理低价法）</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_Toc10728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60</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2A1CA307">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_Toc8233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 xml:space="preserve">评标办法前附表 </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_Toc8233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60</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723315C3">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_Toc15748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1. 评标方法</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_Toc15748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69</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1BFFAF17">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_Toc27850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2. 评审标准</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_Toc27850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69</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1A0AE8FB">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564" w:firstLineChars="282"/>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HYPERLINK \l _Toc17186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3. 评标程序</w:t>
          </w:r>
          <w:r>
            <w:rPr>
              <w:rFonts w:hint="default" w:ascii="Times New Roman" w:hAnsi="Times New Roman" w:eastAsia="宋体" w:cs="Times New Roman"/>
              <w:bCs w:val="0"/>
              <w:i w:val="0"/>
              <w:iCs w:val="0"/>
              <w:color w:val="auto"/>
              <w:sz w:val="20"/>
              <w:szCs w:val="20"/>
              <w:highlight w:val="none"/>
            </w:rPr>
            <w:tab/>
          </w:r>
          <w:r>
            <w:rPr>
              <w:rFonts w:hint="default" w:ascii="Times New Roman" w:hAnsi="Times New Roman" w:eastAsia="宋体" w:cs="Times New Roman"/>
              <w:bCs w:val="0"/>
              <w:i w:val="0"/>
              <w:iCs w:val="0"/>
              <w:color w:val="auto"/>
              <w:sz w:val="20"/>
              <w:szCs w:val="20"/>
              <w:highlight w:val="none"/>
            </w:rPr>
            <w:fldChar w:fldCharType="begin"/>
          </w:r>
          <w:r>
            <w:rPr>
              <w:rFonts w:hint="default" w:ascii="Times New Roman" w:hAnsi="Times New Roman" w:eastAsia="宋体" w:cs="Times New Roman"/>
              <w:bCs w:val="0"/>
              <w:i w:val="0"/>
              <w:iCs w:val="0"/>
              <w:color w:val="auto"/>
              <w:sz w:val="20"/>
              <w:szCs w:val="20"/>
              <w:highlight w:val="none"/>
            </w:rPr>
            <w:instrText xml:space="preserve"> PAGEREF _Toc17186 \h </w:instrText>
          </w:r>
          <w:r>
            <w:rPr>
              <w:rFonts w:hint="default" w:ascii="Times New Roman" w:hAnsi="Times New Roman" w:eastAsia="宋体" w:cs="Times New Roman"/>
              <w:bCs w:val="0"/>
              <w:i w:val="0"/>
              <w:iCs w:val="0"/>
              <w:color w:val="auto"/>
              <w:sz w:val="20"/>
              <w:szCs w:val="20"/>
              <w:highlight w:val="none"/>
            </w:rPr>
            <w:fldChar w:fldCharType="separate"/>
          </w:r>
          <w:r>
            <w:rPr>
              <w:rFonts w:hint="default" w:ascii="Times New Roman" w:hAnsi="Times New Roman" w:eastAsia="宋体" w:cs="Times New Roman"/>
              <w:bCs w:val="0"/>
              <w:i w:val="0"/>
              <w:iCs w:val="0"/>
              <w:color w:val="auto"/>
              <w:sz w:val="20"/>
              <w:szCs w:val="20"/>
              <w:highlight w:val="none"/>
            </w:rPr>
            <w:t>69</w:t>
          </w:r>
          <w:r>
            <w:rPr>
              <w:rFonts w:hint="default" w:ascii="Times New Roman" w:hAnsi="Times New Roman" w:eastAsia="宋体" w:cs="Times New Roman"/>
              <w:bCs w:val="0"/>
              <w:i w:val="0"/>
              <w:iCs w:val="0"/>
              <w:color w:val="auto"/>
              <w:sz w:val="20"/>
              <w:szCs w:val="20"/>
              <w:highlight w:val="none"/>
            </w:rPr>
            <w:fldChar w:fldCharType="end"/>
          </w:r>
          <w:r>
            <w:rPr>
              <w:rFonts w:hint="default" w:ascii="Times New Roman" w:hAnsi="Times New Roman" w:eastAsia="宋体" w:cs="Times New Roman"/>
              <w:bCs w:val="0"/>
              <w:i w:val="0"/>
              <w:iCs w:val="0"/>
              <w:color w:val="auto"/>
              <w:sz w:val="20"/>
              <w:szCs w:val="20"/>
              <w:highlight w:val="none"/>
            </w:rPr>
            <w:fldChar w:fldCharType="end"/>
          </w:r>
        </w:p>
        <w:p w14:paraId="4E6AB044">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jc w:val="both"/>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_Toc16169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第四章  合同条款及格式</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_Toc16169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74</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2F490B50">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_Toc8515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color w:val="auto"/>
              <w:sz w:val="20"/>
              <w:szCs w:val="20"/>
              <w:highlight w:val="none"/>
            </w:rPr>
            <w:t>第一节  通用合同条款</w:t>
          </w:r>
          <w:r>
            <w:rPr>
              <w:rFonts w:hint="default" w:ascii="Times New Roman" w:hAnsi="Times New Roman" w:eastAsia="黑体" w:cs="Times New Roman"/>
              <w:color w:val="auto"/>
              <w:sz w:val="20"/>
              <w:szCs w:val="20"/>
              <w:highlight w:val="none"/>
            </w:rPr>
            <w:tab/>
          </w:r>
          <w:r>
            <w:rPr>
              <w:rFonts w:hint="default" w:ascii="Times New Roman" w:hAnsi="Times New Roman" w:eastAsia="黑体" w:cs="Times New Roman"/>
              <w:color w:val="auto"/>
              <w:sz w:val="20"/>
              <w:szCs w:val="20"/>
              <w:highlight w:val="none"/>
            </w:rPr>
            <w:fldChar w:fldCharType="begin"/>
          </w:r>
          <w:r>
            <w:rPr>
              <w:rFonts w:hint="default" w:ascii="Times New Roman" w:hAnsi="Times New Roman" w:eastAsia="黑体" w:cs="Times New Roman"/>
              <w:color w:val="auto"/>
              <w:sz w:val="20"/>
              <w:szCs w:val="20"/>
              <w:highlight w:val="none"/>
            </w:rPr>
            <w:instrText xml:space="preserve"> PAGEREF _Toc8515 \h </w:instrText>
          </w:r>
          <w:r>
            <w:rPr>
              <w:rFonts w:hint="default" w:ascii="Times New Roman" w:hAnsi="Times New Roman" w:eastAsia="黑体" w:cs="Times New Roman"/>
              <w:color w:val="auto"/>
              <w:sz w:val="20"/>
              <w:szCs w:val="20"/>
              <w:highlight w:val="none"/>
            </w:rPr>
            <w:fldChar w:fldCharType="separate"/>
          </w:r>
          <w:r>
            <w:rPr>
              <w:rFonts w:hint="default" w:ascii="Times New Roman" w:hAnsi="Times New Roman" w:eastAsia="黑体" w:cs="Times New Roman"/>
              <w:color w:val="auto"/>
              <w:sz w:val="20"/>
              <w:szCs w:val="20"/>
              <w:highlight w:val="none"/>
            </w:rPr>
            <w:t>75</w:t>
          </w:r>
          <w:r>
            <w:rPr>
              <w:rFonts w:hint="default" w:ascii="Times New Roman" w:hAnsi="Times New Roman" w:eastAsia="黑体" w:cs="Times New Roman"/>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0CAA8B0B">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_Toc9532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第二节  专用合同条款</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_Toc9532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122</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030B0E2B">
          <w:pPr>
            <w:pStyle w:val="33"/>
            <w:keepNext w:val="0"/>
            <w:keepLines w:val="0"/>
            <w:pageBreakBefore w:val="0"/>
            <w:widowControl w:val="0"/>
            <w:tabs>
              <w:tab w:val="right" w:leader="dot" w:pos="8675"/>
            </w:tabs>
            <w:kinsoku/>
            <w:wordWrap/>
            <w:overflowPunct/>
            <w:topLinePunct w:val="0"/>
            <w:autoSpaceDE/>
            <w:autoSpaceDN/>
            <w:bidi w:val="0"/>
            <w:adjustRightInd/>
            <w:snapToGrid/>
            <w:spacing w:line="440" w:lineRule="exact"/>
            <w:ind w:left="0" w:leftChars="0" w:firstLine="282" w:firstLineChars="141"/>
            <w:textAlignment w:val="auto"/>
            <w:rPr>
              <w:rFonts w:hint="default" w:ascii="Times New Roman" w:hAnsi="Times New Roman" w:eastAsia="宋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_Toc25493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第三节  合同附件格式</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_Toc25493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187</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69D14F03">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_Toc22372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第五章  工程量清单</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_Toc22372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203</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4315CCAF">
          <w:pPr>
            <w:pStyle w:val="28"/>
            <w:keepNext w:val="0"/>
            <w:keepLines w:val="0"/>
            <w:pageBreakBefore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1275" w:firstLineChars="425"/>
            <w:textAlignment w:val="auto"/>
            <w:rPr>
              <w:rFonts w:hint="default" w:ascii="Times New Roman" w:hAnsi="Times New Roman" w:eastAsia="黑体" w:cs="Times New Roman"/>
              <w:color w:val="auto"/>
              <w:kern w:val="2"/>
              <w:sz w:val="30"/>
              <w:szCs w:val="30"/>
              <w:highlight w:val="none"/>
              <w:lang w:val="en-US" w:eastAsia="zh-CN" w:bidi="ar-SA"/>
            </w:rPr>
          </w:pPr>
        </w:p>
        <w:p w14:paraId="7A70BD7E">
          <w:pPr>
            <w:pStyle w:val="28"/>
            <w:keepNext w:val="0"/>
            <w:keepLines w:val="0"/>
            <w:pageBreakBefore w:val="0"/>
            <w:tabs>
              <w:tab w:val="right" w:leader="dot" w:pos="8675"/>
              <w:tab w:val="clear" w:pos="425"/>
              <w:tab w:val="clear" w:pos="8805"/>
            </w:tabs>
            <w:kinsoku/>
            <w:overflowPunct/>
            <w:topLinePunct w:val="0"/>
            <w:autoSpaceDE/>
            <w:autoSpaceDN/>
            <w:bidi w:val="0"/>
            <w:adjustRightInd/>
            <w:snapToGrid/>
            <w:spacing w:line="440" w:lineRule="exact"/>
            <w:ind w:left="590" w:leftChars="281"/>
            <w:textAlignment w:val="auto"/>
            <w:rPr>
              <w:rFonts w:hint="default" w:ascii="Times New Roman" w:hAnsi="Times New Roman" w:eastAsia="黑体" w:cs="Times New Roman"/>
              <w:color w:val="auto"/>
              <w:kern w:val="2"/>
              <w:sz w:val="30"/>
              <w:szCs w:val="30"/>
              <w:highlight w:val="none"/>
              <w:lang w:val="en-US" w:eastAsia="zh-CN" w:bidi="ar-SA"/>
            </w:rPr>
          </w:pP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HYPERLINK \l _Toc2859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第  二  卷</w:t>
          </w:r>
          <w:r>
            <w:rPr>
              <w:rFonts w:hint="default" w:ascii="Times New Roman" w:hAnsi="Times New Roman" w:eastAsia="黑体" w:cs="Times New Roman"/>
              <w:color w:val="auto"/>
              <w:kern w:val="2"/>
              <w:sz w:val="30"/>
              <w:szCs w:val="30"/>
              <w:highlight w:val="none"/>
              <w:lang w:val="en-US" w:eastAsia="zh-CN" w:bidi="ar-SA"/>
            </w:rPr>
            <w:fldChar w:fldCharType="end"/>
          </w:r>
        </w:p>
        <w:p w14:paraId="3B04E38D">
          <w:pPr>
            <w:rPr>
              <w:rFonts w:hint="default"/>
              <w:color w:val="auto"/>
              <w:highlight w:val="none"/>
              <w:lang w:val="en-US" w:eastAsia="zh-CN"/>
            </w:rPr>
          </w:pPr>
        </w:p>
        <w:p w14:paraId="4B3C6BF8">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_Toc16666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第六章  图纸（另册）</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_Toc16666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237</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2309A31D">
          <w:pPr>
            <w:pStyle w:val="28"/>
            <w:keepNext w:val="0"/>
            <w:keepLines w:val="0"/>
            <w:pageBreakBefore w:val="0"/>
            <w:tabs>
              <w:tab w:val="right" w:leader="dot" w:pos="8675"/>
              <w:tab w:val="clear" w:pos="425"/>
              <w:tab w:val="clear" w:pos="8805"/>
            </w:tabs>
            <w:kinsoku/>
            <w:overflowPunct/>
            <w:topLinePunct w:val="0"/>
            <w:autoSpaceDE/>
            <w:autoSpaceDN/>
            <w:bidi w:val="0"/>
            <w:adjustRightInd/>
            <w:snapToGrid/>
            <w:spacing w:line="440" w:lineRule="exact"/>
            <w:ind w:left="590" w:leftChars="281"/>
            <w:textAlignment w:val="auto"/>
            <w:rPr>
              <w:rFonts w:hint="default" w:ascii="Times New Roman" w:hAnsi="Times New Roman" w:eastAsia="黑体" w:cs="Times New Roman"/>
              <w:color w:val="auto"/>
              <w:kern w:val="2"/>
              <w:sz w:val="30"/>
              <w:szCs w:val="30"/>
              <w:highlight w:val="none"/>
              <w:lang w:val="en-US" w:eastAsia="zh-CN" w:bidi="ar-SA"/>
            </w:rPr>
          </w:pPr>
        </w:p>
        <w:p w14:paraId="71033052">
          <w:pPr>
            <w:pStyle w:val="28"/>
            <w:keepNext w:val="0"/>
            <w:keepLines w:val="0"/>
            <w:pageBreakBefore w:val="0"/>
            <w:tabs>
              <w:tab w:val="right" w:leader="dot" w:pos="8675"/>
              <w:tab w:val="clear" w:pos="425"/>
              <w:tab w:val="clear" w:pos="8805"/>
            </w:tabs>
            <w:kinsoku/>
            <w:overflowPunct/>
            <w:topLinePunct w:val="0"/>
            <w:autoSpaceDE/>
            <w:autoSpaceDN/>
            <w:bidi w:val="0"/>
            <w:adjustRightInd/>
            <w:snapToGrid/>
            <w:spacing w:line="440" w:lineRule="exact"/>
            <w:ind w:left="590" w:leftChars="281"/>
            <w:textAlignment w:val="auto"/>
            <w:rPr>
              <w:rFonts w:hint="default" w:ascii="Times New Roman" w:hAnsi="Times New Roman" w:eastAsia="黑体" w:cs="Times New Roman"/>
              <w:color w:val="auto"/>
              <w:kern w:val="2"/>
              <w:sz w:val="30"/>
              <w:szCs w:val="30"/>
              <w:highlight w:val="none"/>
              <w:lang w:val="en-US" w:eastAsia="zh-CN" w:bidi="ar-SA"/>
            </w:rPr>
          </w:pP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HYPERLINK \l _Toc27800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第  三  卷</w:t>
          </w:r>
          <w:r>
            <w:rPr>
              <w:rFonts w:hint="default" w:ascii="Times New Roman" w:hAnsi="Times New Roman" w:eastAsia="黑体" w:cs="Times New Roman"/>
              <w:color w:val="auto"/>
              <w:kern w:val="2"/>
              <w:sz w:val="30"/>
              <w:szCs w:val="30"/>
              <w:highlight w:val="none"/>
              <w:lang w:val="en-US" w:eastAsia="zh-CN" w:bidi="ar-SA"/>
            </w:rPr>
            <w:fldChar w:fldCharType="end"/>
          </w:r>
        </w:p>
        <w:p w14:paraId="0DB513B6">
          <w:pPr>
            <w:rPr>
              <w:rFonts w:hint="default"/>
              <w:color w:val="auto"/>
              <w:highlight w:val="none"/>
              <w:lang w:val="en-US" w:eastAsia="zh-CN"/>
            </w:rPr>
          </w:pPr>
        </w:p>
        <w:p w14:paraId="28088F95">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_Toc18862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第七章  技术规范（另册）</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_Toc18862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239</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6D4AB17A">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_Toc32110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第八章  工程量清单计量规则</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_Toc32110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240</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1A28E198">
          <w:pPr>
            <w:pStyle w:val="28"/>
            <w:keepNext w:val="0"/>
            <w:keepLines w:val="0"/>
            <w:pageBreakBefore w:val="0"/>
            <w:tabs>
              <w:tab w:val="right" w:leader="dot" w:pos="8675"/>
              <w:tab w:val="clear" w:pos="425"/>
              <w:tab w:val="clear" w:pos="8805"/>
            </w:tabs>
            <w:kinsoku/>
            <w:overflowPunct/>
            <w:topLinePunct w:val="0"/>
            <w:autoSpaceDE/>
            <w:autoSpaceDN/>
            <w:bidi w:val="0"/>
            <w:adjustRightInd/>
            <w:snapToGrid/>
            <w:spacing w:line="440" w:lineRule="exact"/>
            <w:ind w:left="590" w:leftChars="281"/>
            <w:textAlignment w:val="auto"/>
            <w:rPr>
              <w:rFonts w:hint="default" w:ascii="Times New Roman" w:hAnsi="Times New Roman" w:eastAsia="黑体" w:cs="Times New Roman"/>
              <w:color w:val="auto"/>
              <w:kern w:val="2"/>
              <w:sz w:val="30"/>
              <w:szCs w:val="30"/>
              <w:highlight w:val="none"/>
              <w:lang w:val="en-US" w:eastAsia="zh-CN" w:bidi="ar-SA"/>
            </w:rPr>
          </w:pPr>
        </w:p>
        <w:p w14:paraId="2D6BEFF2">
          <w:pPr>
            <w:pStyle w:val="28"/>
            <w:keepNext w:val="0"/>
            <w:keepLines w:val="0"/>
            <w:pageBreakBefore w:val="0"/>
            <w:tabs>
              <w:tab w:val="right" w:leader="dot" w:pos="8675"/>
              <w:tab w:val="clear" w:pos="425"/>
              <w:tab w:val="clear" w:pos="8805"/>
            </w:tabs>
            <w:kinsoku/>
            <w:overflowPunct/>
            <w:topLinePunct w:val="0"/>
            <w:autoSpaceDE/>
            <w:autoSpaceDN/>
            <w:bidi w:val="0"/>
            <w:adjustRightInd/>
            <w:snapToGrid/>
            <w:spacing w:line="440" w:lineRule="exact"/>
            <w:ind w:left="590" w:leftChars="281"/>
            <w:textAlignment w:val="auto"/>
            <w:rPr>
              <w:rFonts w:hint="default" w:ascii="Times New Roman" w:hAnsi="Times New Roman" w:eastAsia="黑体" w:cs="Times New Roman"/>
              <w:color w:val="auto"/>
              <w:kern w:val="2"/>
              <w:sz w:val="30"/>
              <w:szCs w:val="30"/>
              <w:highlight w:val="none"/>
              <w:lang w:val="en-US" w:eastAsia="zh-CN" w:bidi="ar-SA"/>
            </w:rPr>
          </w:pP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HYPERLINK \l _Toc1042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第  四  卷</w:t>
          </w:r>
          <w:r>
            <w:rPr>
              <w:rFonts w:hint="default" w:ascii="Times New Roman" w:hAnsi="Times New Roman" w:eastAsia="黑体" w:cs="Times New Roman"/>
              <w:color w:val="auto"/>
              <w:kern w:val="2"/>
              <w:sz w:val="30"/>
              <w:szCs w:val="30"/>
              <w:highlight w:val="none"/>
              <w:lang w:val="en-US" w:eastAsia="zh-CN" w:bidi="ar-SA"/>
            </w:rPr>
            <w:fldChar w:fldCharType="end"/>
          </w:r>
        </w:p>
        <w:p w14:paraId="6814DADC">
          <w:pPr>
            <w:rPr>
              <w:rFonts w:hint="default"/>
              <w:color w:val="auto"/>
              <w:highlight w:val="none"/>
              <w:lang w:val="en-US" w:eastAsia="zh-CN"/>
            </w:rPr>
          </w:pPr>
        </w:p>
        <w:p w14:paraId="15593DBD">
          <w:pPr>
            <w:pStyle w:val="28"/>
            <w:keepNext w:val="0"/>
            <w:keepLines w:val="0"/>
            <w:pageBreakBefore w:val="0"/>
            <w:widowControl w:val="0"/>
            <w:tabs>
              <w:tab w:val="right" w:leader="dot" w:pos="8675"/>
              <w:tab w:val="clear" w:pos="425"/>
              <w:tab w:val="clear" w:pos="8805"/>
            </w:tabs>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eastAsia="黑体" w:cs="Times New Roman"/>
              <w:bCs w:val="0"/>
              <w:i w:val="0"/>
              <w:iCs w:val="0"/>
              <w:color w:val="auto"/>
              <w:sz w:val="20"/>
              <w:szCs w:val="20"/>
              <w:highlight w:val="none"/>
            </w:rPr>
          </w:pP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HYPERLINK \l _Toc16811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第九章  投标文件格式</w:t>
          </w:r>
          <w:r>
            <w:rPr>
              <w:rFonts w:hint="default" w:ascii="Times New Roman" w:hAnsi="Times New Roman" w:eastAsia="黑体" w:cs="Times New Roman"/>
              <w:bCs w:val="0"/>
              <w:i w:val="0"/>
              <w:iCs w:val="0"/>
              <w:color w:val="auto"/>
              <w:sz w:val="20"/>
              <w:szCs w:val="20"/>
              <w:highlight w:val="none"/>
            </w:rPr>
            <w:tab/>
          </w:r>
          <w:r>
            <w:rPr>
              <w:rFonts w:hint="default" w:ascii="Times New Roman" w:hAnsi="Times New Roman" w:eastAsia="黑体" w:cs="Times New Roman"/>
              <w:bCs w:val="0"/>
              <w:i w:val="0"/>
              <w:iCs w:val="0"/>
              <w:color w:val="auto"/>
              <w:sz w:val="20"/>
              <w:szCs w:val="20"/>
              <w:highlight w:val="none"/>
            </w:rPr>
            <w:fldChar w:fldCharType="begin"/>
          </w:r>
          <w:r>
            <w:rPr>
              <w:rFonts w:hint="default" w:ascii="Times New Roman" w:hAnsi="Times New Roman" w:eastAsia="黑体" w:cs="Times New Roman"/>
              <w:bCs w:val="0"/>
              <w:i w:val="0"/>
              <w:iCs w:val="0"/>
              <w:color w:val="auto"/>
              <w:sz w:val="20"/>
              <w:szCs w:val="20"/>
              <w:highlight w:val="none"/>
            </w:rPr>
            <w:instrText xml:space="preserve"> PAGEREF _Toc16811 \h </w:instrText>
          </w:r>
          <w:r>
            <w:rPr>
              <w:rFonts w:hint="default" w:ascii="Times New Roman" w:hAnsi="Times New Roman" w:eastAsia="黑体" w:cs="Times New Roman"/>
              <w:bCs w:val="0"/>
              <w:i w:val="0"/>
              <w:iCs w:val="0"/>
              <w:color w:val="auto"/>
              <w:sz w:val="20"/>
              <w:szCs w:val="20"/>
              <w:highlight w:val="none"/>
            </w:rPr>
            <w:fldChar w:fldCharType="separate"/>
          </w:r>
          <w:r>
            <w:rPr>
              <w:rFonts w:hint="default" w:ascii="Times New Roman" w:hAnsi="Times New Roman" w:eastAsia="黑体" w:cs="Times New Roman"/>
              <w:bCs w:val="0"/>
              <w:i w:val="0"/>
              <w:iCs w:val="0"/>
              <w:color w:val="auto"/>
              <w:sz w:val="20"/>
              <w:szCs w:val="20"/>
              <w:highlight w:val="none"/>
            </w:rPr>
            <w:t>242</w:t>
          </w:r>
          <w:r>
            <w:rPr>
              <w:rFonts w:hint="default" w:ascii="Times New Roman" w:hAnsi="Times New Roman" w:eastAsia="黑体" w:cs="Times New Roman"/>
              <w:bCs w:val="0"/>
              <w:i w:val="0"/>
              <w:iCs w:val="0"/>
              <w:color w:val="auto"/>
              <w:sz w:val="20"/>
              <w:szCs w:val="20"/>
              <w:highlight w:val="none"/>
            </w:rPr>
            <w:fldChar w:fldCharType="end"/>
          </w:r>
          <w:r>
            <w:rPr>
              <w:rFonts w:hint="default" w:ascii="Times New Roman" w:hAnsi="Times New Roman" w:eastAsia="黑体" w:cs="Times New Roman"/>
              <w:bCs w:val="0"/>
              <w:i w:val="0"/>
              <w:iCs w:val="0"/>
              <w:color w:val="auto"/>
              <w:sz w:val="20"/>
              <w:szCs w:val="20"/>
              <w:highlight w:val="none"/>
            </w:rPr>
            <w:fldChar w:fldCharType="end"/>
          </w:r>
        </w:p>
        <w:p w14:paraId="2C4E3EA4">
          <w:pPr>
            <w:pStyle w:val="19"/>
            <w:keepNext w:val="0"/>
            <w:keepLines w:val="0"/>
            <w:pageBreakBefore w:val="0"/>
            <w:widowControl/>
            <w:tabs>
              <w:tab w:val="right" w:leader="dot" w:pos="8675"/>
            </w:tabs>
            <w:kinsoku/>
            <w:wordWrap/>
            <w:overflowPunct/>
            <w:topLinePunct w:val="0"/>
            <w:autoSpaceDE/>
            <w:autoSpaceDN/>
            <w:bidi w:val="0"/>
            <w:adjustRightInd/>
            <w:snapToGrid/>
            <w:spacing w:after="0" w:line="440" w:lineRule="exact"/>
            <w:ind w:left="0" w:leftChars="0" w:firstLine="564" w:firstLineChars="282"/>
            <w:textAlignment w:val="auto"/>
            <w:rPr>
              <w:rFonts w:hint="default" w:ascii="Times New Roman" w:hAnsi="Times New Roman" w:eastAsia="宋体" w:cs="Times New Roman"/>
              <w:bCs w:val="0"/>
              <w:i w:val="0"/>
              <w:iCs w:val="0"/>
              <w:color w:val="auto"/>
              <w:sz w:val="20"/>
              <w:szCs w:val="20"/>
              <w:highlight w:val="none"/>
            </w:rPr>
          </w:pPr>
        </w:p>
        <w:p w14:paraId="4C88E127">
          <w:pPr>
            <w:pStyle w:val="19"/>
            <w:keepNext w:val="0"/>
            <w:keepLines w:val="0"/>
            <w:pageBreakBefore w:val="0"/>
            <w:widowControl/>
            <w:tabs>
              <w:tab w:val="right" w:leader="dot" w:pos="8675"/>
            </w:tabs>
            <w:kinsoku/>
            <w:wordWrap/>
            <w:overflowPunct/>
            <w:topLinePunct w:val="0"/>
            <w:autoSpaceDE/>
            <w:autoSpaceDN/>
            <w:bidi w:val="0"/>
            <w:adjustRightInd/>
            <w:snapToGrid/>
            <w:spacing w:after="0" w:line="440" w:lineRule="exact"/>
            <w:ind w:left="0" w:leftChars="0" w:firstLine="564" w:firstLineChars="282"/>
            <w:textAlignment w:val="auto"/>
            <w:rPr>
              <w:rFonts w:hint="default" w:ascii="Times New Roman" w:hAnsi="Times New Roman" w:eastAsia="宋体" w:cs="Times New Roman"/>
              <w:bCs w:val="0"/>
              <w:i w:val="0"/>
              <w:iCs w:val="0"/>
              <w:color w:val="auto"/>
              <w:sz w:val="20"/>
              <w:szCs w:val="20"/>
              <w:highlight w:val="none"/>
            </w:rPr>
          </w:pPr>
        </w:p>
        <w:p w14:paraId="5EB252EB">
          <w:pPr>
            <w:keepNext w:val="0"/>
            <w:keepLines w:val="0"/>
            <w:pageBreakBefore w:val="0"/>
            <w:kinsoku/>
            <w:wordWrap w:val="0"/>
            <w:overflowPunct/>
            <w:topLinePunct w:val="0"/>
            <w:autoSpaceDE/>
            <w:autoSpaceDN/>
            <w:bidi w:val="0"/>
            <w:adjustRightInd/>
            <w:snapToGrid/>
            <w:spacing w:line="440" w:lineRule="exact"/>
            <w:ind w:left="590" w:leftChars="281"/>
            <w:jc w:val="center"/>
            <w:textAlignment w:val="auto"/>
            <w:rPr>
              <w:rFonts w:hint="default" w:ascii="Times New Roman" w:hAnsi="Times New Roman" w:eastAsia="宋体" w:cs="Times New Roman"/>
              <w:b w:val="0"/>
              <w:bCs w:val="0"/>
              <w:i w:val="0"/>
              <w:iCs w:val="0"/>
              <w:color w:val="auto"/>
              <w:sz w:val="21"/>
              <w:szCs w:val="21"/>
              <w:highlight w:val="none"/>
            </w:rPr>
          </w:pPr>
          <w:r>
            <w:rPr>
              <w:rFonts w:hint="default" w:ascii="Times New Roman" w:hAnsi="Times New Roman" w:eastAsia="宋体" w:cs="Times New Roman"/>
              <w:bCs w:val="0"/>
              <w:i w:val="0"/>
              <w:iCs w:val="0"/>
              <w:color w:val="auto"/>
              <w:sz w:val="20"/>
              <w:szCs w:val="20"/>
              <w:highlight w:val="none"/>
            </w:rPr>
            <w:fldChar w:fldCharType="end"/>
          </w:r>
        </w:p>
      </w:sdtContent>
    </w:sdt>
    <w:p w14:paraId="4D83CD32">
      <w:pPr>
        <w:pageBreakBefore w:val="0"/>
        <w:kinsoku/>
        <w:wordWrap w:val="0"/>
        <w:bidi w:val="0"/>
        <w:spacing w:line="352" w:lineRule="atLeast"/>
        <w:rPr>
          <w:rFonts w:hint="default" w:ascii="Times New Roman" w:hAnsi="Times New Roman" w:eastAsia="楷体_GB2312" w:cs="Times New Roman"/>
          <w:color w:val="auto"/>
          <w:szCs w:val="21"/>
          <w:highlight w:val="none"/>
        </w:rPr>
      </w:pPr>
    </w:p>
    <w:p w14:paraId="05B24DBA">
      <w:pPr>
        <w:pageBreakBefore w:val="0"/>
        <w:kinsoku/>
        <w:wordWrap w:val="0"/>
        <w:bidi w:val="0"/>
        <w:spacing w:line="352" w:lineRule="atLeast"/>
        <w:rPr>
          <w:rFonts w:hint="default" w:ascii="Times New Roman" w:hAnsi="Times New Roman" w:eastAsia="楷体_GB2312" w:cs="Times New Roman"/>
          <w:color w:val="auto"/>
          <w:szCs w:val="21"/>
          <w:highlight w:val="none"/>
        </w:rPr>
        <w:sectPr>
          <w:headerReference r:id="rId8" w:type="default"/>
          <w:footerReference r:id="rId9" w:type="default"/>
          <w:footnotePr>
            <w:numFmt w:val="decimalEnclosedCircleChinese"/>
            <w:numRestart w:val="eachPage"/>
          </w:footnotePr>
          <w:pgSz w:w="11906" w:h="16838"/>
          <w:pgMar w:top="1984" w:right="1800" w:bottom="1440" w:left="1800" w:header="851" w:footer="992" w:gutter="0"/>
          <w:pgNumType w:fmt="decimal" w:start="1"/>
          <w:cols w:space="425" w:num="1"/>
          <w:docGrid w:type="lines" w:linePitch="312" w:charSpace="0"/>
        </w:sectPr>
      </w:pPr>
    </w:p>
    <w:p w14:paraId="5B5CB95E">
      <w:pPr>
        <w:pageBreakBefore w:val="0"/>
        <w:kinsoku/>
        <w:wordWrap w:val="0"/>
        <w:bidi w:val="0"/>
        <w:spacing w:line="352" w:lineRule="atLeast"/>
        <w:rPr>
          <w:rFonts w:hint="default" w:ascii="Times New Roman" w:hAnsi="Times New Roman" w:eastAsia="楷体_GB2312" w:cs="Times New Roman"/>
          <w:color w:val="auto"/>
          <w:szCs w:val="21"/>
          <w:highlight w:val="none"/>
        </w:rPr>
      </w:pPr>
    </w:p>
    <w:p w14:paraId="267491B3">
      <w:pPr>
        <w:pageBreakBefore w:val="0"/>
        <w:kinsoku/>
        <w:wordWrap w:val="0"/>
        <w:bidi w:val="0"/>
        <w:spacing w:line="352" w:lineRule="atLeast"/>
        <w:rPr>
          <w:rFonts w:hint="default" w:ascii="Times New Roman" w:hAnsi="Times New Roman" w:eastAsia="楷体_GB2312" w:cs="Times New Roman"/>
          <w:color w:val="auto"/>
          <w:szCs w:val="21"/>
          <w:highlight w:val="none"/>
        </w:rPr>
      </w:pPr>
    </w:p>
    <w:p w14:paraId="37AE4ECA">
      <w:pPr>
        <w:pageBreakBefore w:val="0"/>
        <w:kinsoku/>
        <w:wordWrap w:val="0"/>
        <w:bidi w:val="0"/>
        <w:spacing w:line="352" w:lineRule="atLeast"/>
        <w:rPr>
          <w:rFonts w:hint="default" w:ascii="Times New Roman" w:hAnsi="Times New Roman" w:eastAsia="黑体" w:cs="Times New Roman"/>
          <w:color w:val="auto"/>
          <w:sz w:val="29"/>
          <w:szCs w:val="29"/>
          <w:highlight w:val="none"/>
        </w:rPr>
      </w:pPr>
    </w:p>
    <w:p w14:paraId="6EB651A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5F2F00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C11838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4AC6EF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0C710F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7038AC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8AC581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D2A69F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0997632">
      <w:pPr>
        <w:keepNext w:val="0"/>
        <w:keepLines w:val="0"/>
        <w:pageBreakBefore w:val="0"/>
        <w:widowControl w:val="0"/>
        <w:kinsoku/>
        <w:wordWrap w:val="0"/>
        <w:overflowPunct/>
        <w:topLinePunct/>
        <w:autoSpaceDE/>
        <w:autoSpaceDN/>
        <w:bidi w:val="0"/>
        <w:adjustRightInd/>
        <w:snapToGrid/>
        <w:spacing w:line="240" w:lineRule="atLeast"/>
        <w:ind w:right="31" w:rightChars="15"/>
        <w:jc w:val="center"/>
        <w:textAlignment w:val="auto"/>
        <w:outlineLvl w:val="0"/>
        <w:rPr>
          <w:rFonts w:hint="default" w:ascii="Times New Roman" w:hAnsi="Times New Roman" w:eastAsia="黑体" w:cs="Times New Roman"/>
          <w:color w:val="auto"/>
          <w:sz w:val="76"/>
          <w:szCs w:val="76"/>
          <w:highlight w:val="none"/>
        </w:rPr>
      </w:pPr>
      <w:bookmarkStart w:id="0" w:name="_Toc14869"/>
      <w:r>
        <w:rPr>
          <w:rFonts w:hint="default" w:ascii="Times New Roman" w:hAnsi="Times New Roman" w:eastAsia="黑体" w:cs="Times New Roman"/>
          <w:color w:val="auto"/>
          <w:sz w:val="76"/>
          <w:szCs w:val="76"/>
          <w:highlight w:val="none"/>
        </w:rPr>
        <w:t>第  一  卷</w:t>
      </w:r>
      <w:bookmarkEnd w:id="0"/>
    </w:p>
    <w:p w14:paraId="42538CDC">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6"/>
          <w:szCs w:val="36"/>
          <w:highlight w:val="none"/>
        </w:rPr>
        <w:sectPr>
          <w:headerReference r:id="rId10" w:type="default"/>
          <w:footerReference r:id="rId11" w:type="default"/>
          <w:footerReference r:id="rId12" w:type="even"/>
          <w:footnotePr>
            <w:numFmt w:val="decimalEnclosedCircleChinese"/>
            <w:numRestart w:val="eachPage"/>
          </w:footnotePr>
          <w:pgSz w:w="11906" w:h="16838"/>
          <w:pgMar w:top="1984" w:right="1800" w:bottom="1440" w:left="1800" w:header="851" w:footer="992" w:gutter="0"/>
          <w:pgNumType w:fmt="decimal" w:start="1"/>
          <w:cols w:space="425" w:num="1"/>
          <w:docGrid w:type="lines" w:linePitch="312" w:charSpace="0"/>
        </w:sectPr>
      </w:pPr>
    </w:p>
    <w:p w14:paraId="40131658">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6"/>
          <w:szCs w:val="36"/>
          <w:highlight w:val="none"/>
        </w:rPr>
      </w:pPr>
    </w:p>
    <w:p w14:paraId="4E74C5B0">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6"/>
          <w:szCs w:val="36"/>
          <w:highlight w:val="none"/>
        </w:rPr>
      </w:pPr>
    </w:p>
    <w:p w14:paraId="405EAA6A">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1EE32B84">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117A8A1">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432798F9">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15158033">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384FF5C">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0B432404">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4793D78A">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2081B51A">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7B20ABA2">
      <w:pPr>
        <w:pageBreakBefore w:val="0"/>
        <w:kinsoku/>
        <w:wordWrap w:val="0"/>
        <w:topLinePunct/>
        <w:bidi w:val="0"/>
        <w:spacing w:line="240" w:lineRule="atLeast"/>
        <w:ind w:right="31" w:rightChars="15"/>
        <w:jc w:val="center"/>
        <w:outlineLvl w:val="0"/>
        <w:rPr>
          <w:rFonts w:hint="default" w:ascii="Times New Roman" w:hAnsi="Times New Roman" w:eastAsia="黑体" w:cs="Times New Roman"/>
          <w:color w:val="auto"/>
          <w:sz w:val="56"/>
          <w:szCs w:val="56"/>
          <w:highlight w:val="none"/>
        </w:rPr>
      </w:pPr>
      <w:bookmarkStart w:id="1" w:name="_Toc16041"/>
      <w:bookmarkStart w:id="2" w:name="_Toc15626"/>
      <w:bookmarkStart w:id="3" w:name="_Toc32078"/>
      <w:bookmarkStart w:id="4" w:name="_Toc27722"/>
      <w:r>
        <w:rPr>
          <w:rFonts w:hint="default" w:ascii="Times New Roman" w:hAnsi="Times New Roman" w:eastAsia="黑体" w:cs="Times New Roman"/>
          <w:color w:val="auto"/>
          <w:sz w:val="56"/>
          <w:szCs w:val="56"/>
          <w:highlight w:val="none"/>
        </w:rPr>
        <w:t>第一章  招标公告</w:t>
      </w:r>
      <w:bookmarkEnd w:id="1"/>
      <w:bookmarkEnd w:id="2"/>
      <w:bookmarkEnd w:id="3"/>
      <w:bookmarkEnd w:id="4"/>
    </w:p>
    <w:p w14:paraId="5B471C6D">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0657DE50">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sectPr>
          <w:footerReference r:id="rId13" w:type="default"/>
          <w:footerReference r:id="rId14"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751E4F1F">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outlineLvl w:val="9"/>
        <w:rPr>
          <w:rFonts w:hint="default" w:ascii="Times New Roman" w:hAnsi="Times New Roman" w:eastAsia="黑体" w:cs="Times New Roman"/>
          <w:color w:val="auto"/>
          <w:sz w:val="42"/>
          <w:szCs w:val="42"/>
          <w:highlight w:val="none"/>
        </w:rPr>
      </w:pPr>
      <w:bookmarkStart w:id="5" w:name="_Toc5317"/>
      <w:bookmarkStart w:id="6" w:name="_Toc234832844"/>
      <w:bookmarkStart w:id="7" w:name="_Toc4069"/>
      <w:bookmarkStart w:id="8" w:name="_Toc3148"/>
      <w:bookmarkStart w:id="9" w:name="_Toc15669"/>
      <w:r>
        <w:rPr>
          <w:rStyle w:val="53"/>
          <w:rFonts w:hint="default" w:ascii="Times New Roman" w:hAnsi="Times New Roman" w:eastAsia="黑体" w:cs="Times New Roman"/>
          <w:color w:val="auto"/>
          <w:sz w:val="42"/>
          <w:szCs w:val="42"/>
          <w:highlight w:val="none"/>
        </w:rPr>
        <w:t>第一章  招标公告</w:t>
      </w:r>
      <w:bookmarkEnd w:id="5"/>
      <w:bookmarkEnd w:id="6"/>
      <w:bookmarkEnd w:id="7"/>
      <w:r>
        <w:rPr>
          <w:rStyle w:val="47"/>
          <w:rFonts w:hint="default" w:ascii="Times New Roman" w:hAnsi="Times New Roman" w:eastAsia="黑体" w:cs="Times New Roman"/>
          <w:color w:val="auto"/>
          <w:sz w:val="42"/>
          <w:szCs w:val="42"/>
          <w:highlight w:val="none"/>
        </w:rPr>
        <w:footnoteReference w:id="0"/>
      </w:r>
      <w:bookmarkEnd w:id="8"/>
      <w:bookmarkEnd w:id="9"/>
    </w:p>
    <w:p w14:paraId="0109CF7F">
      <w:pPr>
        <w:pageBreakBefore w:val="0"/>
        <w:tabs>
          <w:tab w:val="center" w:pos="4153"/>
        </w:tabs>
        <w:kinsoku/>
        <w:wordWrap w:val="0"/>
        <w:bidi w:val="0"/>
        <w:spacing w:line="440" w:lineRule="exact"/>
        <w:jc w:val="center"/>
        <w:rPr>
          <w:rFonts w:hint="default" w:ascii="Times New Roman" w:hAnsi="Times New Roman" w:eastAsia="黑体" w:cs="Times New Roman"/>
          <w:color w:val="auto"/>
          <w:sz w:val="17"/>
          <w:szCs w:val="17"/>
          <w:highlight w:val="none"/>
        </w:rPr>
      </w:pPr>
    </w:p>
    <w:p w14:paraId="1350D7A6">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eastAsia" w:eastAsia="黑体" w:cs="Times New Roman"/>
          <w:color w:val="auto"/>
          <w:sz w:val="28"/>
          <w:szCs w:val="28"/>
          <w:highlight w:val="none"/>
          <w:lang w:eastAsia="zh-CN"/>
        </w:rPr>
        <w:t>盖州市2026年农村公路维修改造、危桥及安防工程（</w:t>
      </w:r>
      <w:r>
        <w:rPr>
          <w:rFonts w:hint="default" w:ascii="Times New Roman" w:hAnsi="Times New Roman" w:eastAsia="黑体" w:cs="Times New Roman"/>
          <w:color w:val="auto"/>
          <w:sz w:val="28"/>
          <w:szCs w:val="28"/>
          <w:highlight w:val="none"/>
        </w:rPr>
        <w:t>项目名称）</w:t>
      </w:r>
    </w:p>
    <w:p w14:paraId="63C2150F">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eastAsia" w:eastAsia="黑体" w:cs="Times New Roman"/>
          <w:color w:val="auto"/>
          <w:sz w:val="28"/>
          <w:szCs w:val="28"/>
          <w:highlight w:val="none"/>
          <w:lang w:eastAsia="zh-CN"/>
        </w:rPr>
        <w:t>盖州市2026年农村公路维修改造、危桥及安防工程</w:t>
      </w:r>
      <w:r>
        <w:rPr>
          <w:rFonts w:hint="default" w:ascii="Times New Roman" w:hAnsi="Times New Roman" w:eastAsia="黑体" w:cs="Times New Roman"/>
          <w:color w:val="auto"/>
          <w:sz w:val="28"/>
          <w:szCs w:val="28"/>
          <w:highlight w:val="none"/>
        </w:rPr>
        <w:t>施工</w:t>
      </w:r>
      <w:r>
        <w:rPr>
          <w:rFonts w:hint="default" w:ascii="Times New Roman" w:hAnsi="Times New Roman" w:eastAsia="黑体" w:cs="Times New Roman"/>
          <w:b w:val="0"/>
          <w:bCs w:val="0"/>
          <w:color w:val="auto"/>
          <w:sz w:val="28"/>
          <w:szCs w:val="28"/>
          <w:highlight w:val="none"/>
        </w:rPr>
        <w:t>（</w:t>
      </w:r>
      <w:r>
        <w:rPr>
          <w:rFonts w:hint="default" w:ascii="Times New Roman" w:hAnsi="Times New Roman" w:eastAsia="黑体" w:cs="Times New Roman"/>
          <w:b w:val="0"/>
          <w:bCs w:val="0"/>
          <w:color w:val="auto"/>
          <w:sz w:val="28"/>
          <w:szCs w:val="28"/>
          <w:highlight w:val="none"/>
          <w:lang w:val="en-US" w:eastAsia="zh-CN"/>
        </w:rPr>
        <w:t>标段</w:t>
      </w:r>
      <w:r>
        <w:rPr>
          <w:rFonts w:hint="default" w:ascii="Times New Roman" w:hAnsi="Times New Roman" w:eastAsia="黑体" w:cs="Times New Roman"/>
          <w:b w:val="0"/>
          <w:bCs w:val="0"/>
          <w:color w:val="auto"/>
          <w:sz w:val="28"/>
          <w:szCs w:val="28"/>
          <w:highlight w:val="none"/>
        </w:rPr>
        <w:t>名称）</w:t>
      </w:r>
    </w:p>
    <w:p w14:paraId="4BE2B6C3">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招标公告</w:t>
      </w:r>
      <w:r>
        <w:rPr>
          <w:rStyle w:val="47"/>
          <w:rFonts w:hint="default" w:ascii="Times New Roman" w:hAnsi="Times New Roman" w:eastAsia="黑体" w:cs="Times New Roman"/>
          <w:color w:val="auto"/>
          <w:sz w:val="28"/>
          <w:szCs w:val="28"/>
          <w:highlight w:val="none"/>
        </w:rPr>
        <w:footnoteReference w:id="1"/>
      </w:r>
    </w:p>
    <w:p w14:paraId="061E2B9F">
      <w:pPr>
        <w:pageBreakBefore w:val="0"/>
        <w:kinsoku/>
        <w:wordWrap w:val="0"/>
        <w:bidi w:val="0"/>
        <w:spacing w:line="440" w:lineRule="exact"/>
        <w:jc w:val="center"/>
        <w:rPr>
          <w:rFonts w:hint="default" w:ascii="Times New Roman" w:hAnsi="Times New Roman" w:eastAsia="黑体" w:cs="Times New Roman"/>
          <w:color w:val="auto"/>
          <w:sz w:val="20"/>
          <w:szCs w:val="20"/>
          <w:highlight w:val="none"/>
        </w:rPr>
      </w:pPr>
    </w:p>
    <w:p w14:paraId="011D86FB">
      <w:pPr>
        <w:pStyle w:val="2"/>
        <w:pageBreakBefore w:val="0"/>
        <w:kinsoku/>
        <w:wordWrap w:val="0"/>
        <w:bidi w:val="0"/>
        <w:spacing w:before="240" w:after="240" w:line="240" w:lineRule="atLeast"/>
        <w:outlineLvl w:val="1"/>
        <w:rPr>
          <w:rFonts w:hint="default" w:ascii="Times New Roman" w:hAnsi="Times New Roman" w:cs="Times New Roman"/>
          <w:color w:val="auto"/>
          <w:sz w:val="28"/>
          <w:szCs w:val="28"/>
          <w:highlight w:val="none"/>
        </w:rPr>
      </w:pPr>
      <w:bookmarkStart w:id="10" w:name="_Toc470760973"/>
      <w:bookmarkStart w:id="11" w:name="_Toc3647"/>
      <w:bookmarkStart w:id="12" w:name="_Toc7389"/>
      <w:bookmarkStart w:id="13" w:name="_Toc15922"/>
      <w:r>
        <w:rPr>
          <w:rFonts w:hint="default" w:ascii="Times New Roman" w:hAnsi="Times New Roman" w:cs="Times New Roman"/>
          <w:color w:val="auto"/>
          <w:sz w:val="28"/>
          <w:szCs w:val="28"/>
          <w:highlight w:val="none"/>
        </w:rPr>
        <w:t xml:space="preserve">1. </w:t>
      </w:r>
      <w:r>
        <w:rPr>
          <w:rFonts w:hint="default" w:ascii="Times New Roman" w:hAnsi="Times New Roman" w:eastAsia="黑体" w:cs="Times New Roman"/>
          <w:color w:val="auto"/>
          <w:sz w:val="28"/>
          <w:szCs w:val="28"/>
          <w:highlight w:val="none"/>
        </w:rPr>
        <w:t>招标条件</w:t>
      </w:r>
      <w:bookmarkEnd w:id="10"/>
      <w:bookmarkEnd w:id="11"/>
      <w:bookmarkEnd w:id="12"/>
      <w:bookmarkEnd w:id="13"/>
    </w:p>
    <w:p w14:paraId="019DAEB4">
      <w:pPr>
        <w:pageBreakBefore w:val="0"/>
        <w:widowControl w:val="0"/>
        <w:kinsoku/>
        <w:wordWrap w:val="0"/>
        <w:overflowPunct/>
        <w:topLinePunct w:val="0"/>
        <w:autoSpaceDE/>
        <w:autoSpaceDN/>
        <w:bidi w:val="0"/>
        <w:adjustRightInd/>
        <w:snapToGrid/>
        <w:spacing w:line="430" w:lineRule="exact"/>
        <w:ind w:firstLine="480" w:firstLineChars="200"/>
        <w:textAlignment w:val="auto"/>
        <w:rPr>
          <w:rFonts w:hint="default" w:ascii="Times New Roman" w:hAnsi="Times New Roman" w:cs="Times New Roman"/>
          <w:color w:val="auto"/>
          <w:sz w:val="24"/>
          <w:highlight w:val="none"/>
        </w:rPr>
      </w:pPr>
      <w:bookmarkStart w:id="14" w:name="_Toc470760974"/>
      <w:bookmarkStart w:id="15" w:name="_Toc20166"/>
      <w:bookmarkStart w:id="16" w:name="_Toc1515"/>
      <w:bookmarkStart w:id="17" w:name="_Toc16754"/>
      <w:r>
        <w:rPr>
          <w:rFonts w:hint="eastAsia" w:ascii="宋体" w:hAnsi="宋体" w:eastAsia="宋体" w:cs="宋体"/>
          <w:sz w:val="24"/>
          <w:szCs w:val="24"/>
          <w:highlight w:val="none"/>
        </w:rPr>
        <w:t>本</w:t>
      </w:r>
      <w:r>
        <w:rPr>
          <w:rFonts w:hint="eastAsia" w:ascii="Times New Roman" w:hAnsi="Times New Roman" w:cs="Times New Roman"/>
          <w:color w:val="auto"/>
          <w:sz w:val="24"/>
          <w:highlight w:val="none"/>
        </w:rPr>
        <w:t>招标项目</w:t>
      </w:r>
      <w:r>
        <w:rPr>
          <w:rFonts w:hint="eastAsia" w:cs="Times New Roman"/>
          <w:color w:val="auto"/>
          <w:sz w:val="24"/>
          <w:highlight w:val="none"/>
          <w:lang w:eastAsia="zh-CN"/>
        </w:rPr>
        <w:t>盖州市2026年农村公路维修改造、危桥及安防工程</w:t>
      </w:r>
      <w:r>
        <w:rPr>
          <w:rFonts w:hint="eastAsia" w:ascii="Times New Roman" w:hAnsi="Times New Roman" w:cs="Times New Roman"/>
          <w:color w:val="auto"/>
          <w:sz w:val="24"/>
          <w:highlight w:val="none"/>
        </w:rPr>
        <w:t>（项目名称）已由</w:t>
      </w:r>
      <w:r>
        <w:rPr>
          <w:rFonts w:hint="eastAsia" w:ascii="Times New Roman" w:hAnsi="Times New Roman" w:cs="Times New Roman"/>
          <w:color w:val="auto"/>
          <w:sz w:val="24"/>
          <w:highlight w:val="none"/>
          <w:lang w:eastAsia="zh-CN"/>
        </w:rPr>
        <w:t>盖州市交通运输局</w:t>
      </w:r>
      <w:r>
        <w:rPr>
          <w:rFonts w:hint="eastAsia" w:ascii="Times New Roman" w:hAnsi="Times New Roman" w:cs="Times New Roman"/>
          <w:color w:val="auto"/>
          <w:sz w:val="24"/>
          <w:highlight w:val="none"/>
        </w:rPr>
        <w:t>以</w:t>
      </w:r>
      <w:r>
        <w:rPr>
          <w:rFonts w:hint="eastAsia" w:ascii="Times New Roman" w:hAnsi="Times New Roman" w:cs="Times New Roman"/>
          <w:color w:val="auto"/>
          <w:sz w:val="24"/>
          <w:highlight w:val="none"/>
          <w:lang w:val="en-US" w:eastAsia="zh-CN"/>
        </w:rPr>
        <w:t>《关于</w:t>
      </w:r>
      <w:r>
        <w:rPr>
          <w:rFonts w:hint="eastAsia" w:cs="Times New Roman"/>
          <w:color w:val="auto"/>
          <w:sz w:val="24"/>
          <w:highlight w:val="none"/>
          <w:lang w:val="en-US" w:eastAsia="zh-CN"/>
        </w:rPr>
        <w:t>盖州市2026年农村公路维修改造、危桥及安防工程</w:t>
      </w:r>
      <w:r>
        <w:rPr>
          <w:rFonts w:hint="eastAsia" w:ascii="Times New Roman" w:hAnsi="Times New Roman" w:cs="Times New Roman"/>
          <w:color w:val="auto"/>
          <w:sz w:val="24"/>
          <w:highlight w:val="none"/>
          <w:lang w:val="en-US" w:eastAsia="zh-CN"/>
        </w:rPr>
        <w:t xml:space="preserve">施工图设计的批复》盖交发[2026]批06号 </w:t>
      </w:r>
      <w:r>
        <w:rPr>
          <w:rFonts w:hint="eastAsia" w:ascii="Times New Roman" w:hAnsi="Times New Roman" w:cs="Times New Roman"/>
          <w:color w:val="auto"/>
          <w:sz w:val="24"/>
          <w:highlight w:val="none"/>
        </w:rPr>
        <w:t>（批文名称及编号）批准建设，建设资金来自</w:t>
      </w:r>
      <w:r>
        <w:rPr>
          <w:rFonts w:ascii="宋体" w:hAnsi="宋体" w:eastAsia="宋体" w:cs="宋体"/>
          <w:b w:val="0"/>
          <w:bCs w:val="0"/>
          <w:color w:val="000000"/>
          <w:sz w:val="24"/>
          <w:szCs w:val="24"/>
          <w:highlight w:val="none"/>
        </w:rPr>
        <w:t>中央补助资金、省级补助资金、</w:t>
      </w:r>
      <w:r>
        <w:rPr>
          <w:rFonts w:hint="eastAsia" w:ascii="宋体" w:hAnsi="宋体" w:eastAsia="宋体" w:cs="宋体"/>
          <w:b w:val="0"/>
          <w:bCs w:val="0"/>
          <w:color w:val="000000"/>
          <w:sz w:val="24"/>
          <w:szCs w:val="24"/>
          <w:highlight w:val="none"/>
          <w:lang w:val="en-US" w:eastAsia="zh-CN"/>
        </w:rPr>
        <w:t>地方政府</w:t>
      </w:r>
      <w:r>
        <w:rPr>
          <w:rFonts w:ascii="宋体" w:hAnsi="宋体" w:eastAsia="宋体" w:cs="宋体"/>
          <w:b w:val="0"/>
          <w:bCs w:val="0"/>
          <w:color w:val="000000"/>
          <w:sz w:val="24"/>
          <w:szCs w:val="24"/>
          <w:highlight w:val="none"/>
        </w:rPr>
        <w:t>配套资金 ，出资比例为</w:t>
      </w:r>
      <w:r>
        <w:rPr>
          <w:rFonts w:hint="eastAsia" w:ascii="宋体" w:hAnsi="宋体" w:cs="宋体"/>
          <w:b w:val="0"/>
          <w:bCs w:val="0"/>
          <w:color w:val="000000"/>
          <w:sz w:val="24"/>
          <w:szCs w:val="24"/>
          <w:highlight w:val="none"/>
          <w:lang w:val="en-US" w:eastAsia="zh-CN"/>
        </w:rPr>
        <w:t>21.8</w:t>
      </w:r>
      <w:r>
        <w:rPr>
          <w:rFonts w:ascii="宋体" w:hAnsi="宋体" w:eastAsia="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27.9</w:t>
      </w:r>
      <w:r>
        <w:rPr>
          <w:rFonts w:ascii="宋体" w:hAnsi="宋体" w:eastAsia="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50.3</w:t>
      </w:r>
      <w:r>
        <w:rPr>
          <w:rFonts w:ascii="宋体" w:hAnsi="宋体" w:eastAsia="宋体" w:cs="宋体"/>
          <w:b w:val="0"/>
          <w:bCs w:val="0"/>
          <w:color w:val="000000"/>
          <w:sz w:val="24"/>
          <w:szCs w:val="24"/>
          <w:highlight w:val="none"/>
        </w:rPr>
        <w:t xml:space="preserve">% </w:t>
      </w:r>
      <w:r>
        <w:rPr>
          <w:rFonts w:hint="eastAsia" w:ascii="Times New Roman" w:hAnsi="Times New Roman" w:cs="Times New Roman"/>
          <w:color w:val="auto"/>
          <w:sz w:val="24"/>
          <w:highlight w:val="none"/>
        </w:rPr>
        <w:t xml:space="preserve">，招标人为 </w:t>
      </w:r>
      <w:r>
        <w:rPr>
          <w:rFonts w:hint="eastAsia" w:ascii="Times New Roman" w:hAnsi="Times New Roman" w:cs="Times New Roman"/>
          <w:color w:val="auto"/>
          <w:sz w:val="24"/>
          <w:highlight w:val="none"/>
          <w:lang w:eastAsia="zh-CN"/>
        </w:rPr>
        <w:t>盖州市交通运输服务中心</w:t>
      </w:r>
      <w:r>
        <w:rPr>
          <w:rFonts w:hint="eastAsia" w:ascii="Times New Roman" w:hAnsi="Times New Roman" w:cs="Times New Roman"/>
          <w:color w:val="auto"/>
          <w:sz w:val="24"/>
          <w:highlight w:val="none"/>
        </w:rPr>
        <w:t xml:space="preserve"> 。项目已具备招标条件，现对该项目的施工进行公开招标。</w:t>
      </w:r>
    </w:p>
    <w:p w14:paraId="5D505BC1">
      <w:pPr>
        <w:pStyle w:val="2"/>
        <w:pageBreakBefore w:val="0"/>
        <w:kinsoku/>
        <w:wordWrap w:val="0"/>
        <w:bidi w:val="0"/>
        <w:spacing w:before="240" w:after="240" w:line="240" w:lineRule="atLeast"/>
        <w:outlineLvl w:val="1"/>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2. 项目概况与招标范围</w:t>
      </w:r>
      <w:bookmarkEnd w:id="14"/>
      <w:bookmarkEnd w:id="15"/>
      <w:bookmarkEnd w:id="16"/>
      <w:bookmarkEnd w:id="17"/>
    </w:p>
    <w:p w14:paraId="5622AE35">
      <w:pPr>
        <w:pageBreakBefore w:val="0"/>
        <w:kinsoku/>
        <w:wordWrap w:val="0"/>
        <w:bidi w:val="0"/>
        <w:spacing w:line="400" w:lineRule="atLeast"/>
        <w:ind w:firstLine="480" w:firstLineChars="200"/>
        <w:rPr>
          <w:rFonts w:hint="eastAsia" w:cs="Times New Roman"/>
          <w:color w:val="auto"/>
          <w:sz w:val="24"/>
          <w:highlight w:val="none"/>
          <w:lang w:val="en-US" w:eastAsia="zh-CN"/>
        </w:rPr>
      </w:pPr>
      <w:bookmarkStart w:id="18" w:name="_Toc470760975"/>
      <w:bookmarkStart w:id="19" w:name="_Toc1575"/>
      <w:bookmarkStart w:id="20" w:name="_Toc29935"/>
      <w:bookmarkStart w:id="21" w:name="_Toc9236"/>
      <w:r>
        <w:rPr>
          <w:rFonts w:hint="eastAsia" w:ascii="Times New Roman" w:hAnsi="Times New Roman" w:cs="Times New Roman"/>
          <w:color w:val="auto"/>
          <w:sz w:val="24"/>
          <w:highlight w:val="none"/>
        </w:rPr>
        <w:t>2.1</w:t>
      </w:r>
      <w:r>
        <w:rPr>
          <w:rFonts w:hint="eastAsia" w:ascii="Times New Roman" w:hAnsi="Times New Roman" w:cs="Times New Roman"/>
          <w:color w:val="auto"/>
          <w:sz w:val="24"/>
          <w:highlight w:val="none"/>
          <w:lang w:val="en-US" w:eastAsia="zh-CN"/>
        </w:rPr>
        <w:t xml:space="preserve">  </w:t>
      </w:r>
      <w:r>
        <w:rPr>
          <w:rFonts w:hint="eastAsia" w:cs="Times New Roman"/>
          <w:color w:val="auto"/>
          <w:sz w:val="24"/>
          <w:highlight w:val="none"/>
          <w:lang w:val="en-US" w:eastAsia="zh-CN"/>
        </w:rPr>
        <w:t>工程概况</w:t>
      </w:r>
    </w:p>
    <w:p w14:paraId="3540EA45">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u w:val="single"/>
          <w:lang w:eastAsia="zh-CN"/>
        </w:rPr>
        <w:t>盖州市2026年农村公路维修改造、危桥及安防工程，</w:t>
      </w:r>
      <w:r>
        <w:rPr>
          <w:rFonts w:hint="eastAsia" w:ascii="宋体" w:hAnsi="宋体" w:eastAsia="宋体" w:cs="宋体"/>
          <w:color w:val="auto"/>
          <w:sz w:val="24"/>
          <w:szCs w:val="24"/>
          <w:highlight w:val="none"/>
          <w:u w:val="single"/>
        </w:rPr>
        <w:t>该</w:t>
      </w:r>
      <w:r>
        <w:rPr>
          <w:rFonts w:hint="eastAsia" w:ascii="宋体" w:hAnsi="宋体" w:cs="宋体"/>
          <w:color w:val="auto"/>
          <w:sz w:val="24"/>
          <w:szCs w:val="24"/>
          <w:highlight w:val="none"/>
          <w:u w:val="single"/>
          <w:lang w:val="en-US" w:eastAsia="zh-CN"/>
        </w:rPr>
        <w:t>项</w:t>
      </w:r>
      <w:r>
        <w:rPr>
          <w:rFonts w:hint="eastAsia" w:ascii="宋体" w:hAnsi="宋体" w:eastAsia="宋体" w:cs="宋体"/>
          <w:color w:val="auto"/>
          <w:sz w:val="24"/>
          <w:szCs w:val="24"/>
          <w:highlight w:val="none"/>
          <w:u w:val="single"/>
        </w:rPr>
        <w:t>工程位于</w:t>
      </w:r>
      <w:r>
        <w:rPr>
          <w:rFonts w:hint="eastAsia" w:ascii="宋体" w:hAnsi="宋体" w:cs="宋体"/>
          <w:color w:val="auto"/>
          <w:sz w:val="24"/>
          <w:szCs w:val="24"/>
          <w:highlight w:val="none"/>
          <w:u w:val="single"/>
          <w:lang w:val="en-US" w:eastAsia="zh-CN"/>
        </w:rPr>
        <w:t>盖州</w:t>
      </w:r>
      <w:r>
        <w:rPr>
          <w:rFonts w:hint="eastAsia" w:ascii="宋体" w:hAnsi="宋体" w:eastAsia="宋体" w:cs="宋体"/>
          <w:color w:val="auto"/>
          <w:sz w:val="24"/>
          <w:szCs w:val="24"/>
          <w:highlight w:val="none"/>
          <w:u w:val="single"/>
        </w:rPr>
        <w:t>市境内，</w:t>
      </w:r>
      <w:r>
        <w:rPr>
          <w:rFonts w:hint="eastAsia" w:ascii="宋体" w:hAnsi="宋体" w:cs="宋体"/>
          <w:color w:val="auto"/>
          <w:sz w:val="24"/>
          <w:szCs w:val="24"/>
          <w:highlight w:val="none"/>
          <w:u w:val="single"/>
          <w:lang w:val="en-US" w:eastAsia="zh-CN"/>
        </w:rPr>
        <w:t>包含农村公路维修改造工程6条路线30.4公里，安防2.755公里，危桥5座145.5延米</w:t>
      </w:r>
    </w:p>
    <w:p w14:paraId="5B7A8883">
      <w:pPr>
        <w:pageBreakBefore w:val="0"/>
        <w:kinsoku/>
        <w:wordWrap w:val="0"/>
        <w:bidi w:val="0"/>
        <w:spacing w:line="400" w:lineRule="atLeast"/>
        <w:ind w:firstLine="480" w:firstLineChars="200"/>
        <w:rPr>
          <w:rFonts w:hint="eastAsia" w:cs="Times New Roman"/>
          <w:color w:val="auto"/>
          <w:sz w:val="24"/>
          <w:highlight w:val="none"/>
          <w:lang w:eastAsia="zh-CN"/>
        </w:rPr>
      </w:pPr>
      <w:r>
        <w:rPr>
          <w:rFonts w:hint="eastAsia" w:ascii="Times New Roman" w:hAnsi="Times New Roman" w:cs="Times New Roman"/>
          <w:color w:val="auto"/>
          <w:sz w:val="24"/>
          <w:highlight w:val="none"/>
        </w:rPr>
        <w:t>2.</w:t>
      </w:r>
      <w:r>
        <w:rPr>
          <w:rFonts w:hint="eastAsia" w:ascii="Times New Roman" w:hAnsi="Times New Roman" w:cs="Times New Roman"/>
          <w:color w:val="auto"/>
          <w:sz w:val="24"/>
          <w:highlight w:val="none"/>
          <w:lang w:val="en-US" w:eastAsia="zh-CN"/>
        </w:rPr>
        <w:t>2</w:t>
      </w:r>
      <w:r>
        <w:rPr>
          <w:rFonts w:hint="eastAsia" w:ascii="Times New Roman" w:hAnsi="Times New Roman" w:cs="Times New Roman"/>
          <w:color w:val="auto"/>
          <w:sz w:val="24"/>
          <w:highlight w:val="none"/>
        </w:rPr>
        <w:t>标段划分：本项目划分1个标段</w:t>
      </w:r>
      <w:r>
        <w:rPr>
          <w:rFonts w:hint="eastAsia" w:cs="Times New Roman"/>
          <w:color w:val="auto"/>
          <w:sz w:val="24"/>
          <w:highlight w:val="none"/>
          <w:lang w:eastAsia="zh-CN"/>
        </w:rPr>
        <w:t>。</w:t>
      </w:r>
    </w:p>
    <w:p w14:paraId="44121A70">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outlineLvl w:val="9"/>
        <w:rPr>
          <w:rFonts w:hint="eastAsia" w:ascii="Times New Roman" w:hAnsi="Times New Roman" w:cs="Times New Roman"/>
          <w:color w:val="auto"/>
          <w:sz w:val="24"/>
          <w:highlight w:val="none"/>
          <w:lang w:eastAsia="zh-CN"/>
        </w:rPr>
      </w:pPr>
      <w:r>
        <w:rPr>
          <w:rFonts w:hint="eastAsia" w:ascii="Times New Roman" w:hAnsi="Times New Roman" w:cs="Times New Roman"/>
          <w:color w:val="auto"/>
          <w:sz w:val="24"/>
          <w:highlight w:val="none"/>
          <w:lang w:val="en-US" w:eastAsia="zh-CN"/>
        </w:rPr>
        <w:t>2.3</w:t>
      </w:r>
      <w:r>
        <w:rPr>
          <w:rFonts w:hint="eastAsia" w:ascii="Times New Roman" w:hAnsi="Times New Roman" w:cs="Times New Roman"/>
          <w:color w:val="auto"/>
          <w:sz w:val="24"/>
          <w:highlight w:val="none"/>
        </w:rPr>
        <w:t>招标范围</w:t>
      </w:r>
      <w:r>
        <w:rPr>
          <w:rFonts w:hint="eastAsia" w:ascii="Times New Roman" w:hAnsi="Times New Roman" w:cs="Times New Roman"/>
          <w:color w:val="auto"/>
          <w:sz w:val="24"/>
          <w:highlight w:val="none"/>
          <w:lang w:eastAsia="zh-CN"/>
        </w:rPr>
        <w:t>：</w:t>
      </w:r>
      <w:r>
        <w:rPr>
          <w:rFonts w:hint="eastAsia" w:ascii="宋体" w:hAnsi="宋体" w:cs="宋体"/>
          <w:color w:val="auto"/>
          <w:sz w:val="24"/>
          <w:szCs w:val="24"/>
          <w:highlight w:val="none"/>
          <w:u w:val="single"/>
          <w:lang w:val="en-US" w:eastAsia="zh-CN"/>
        </w:rPr>
        <w:t>盖州市2026年农村公路维修改造、危桥及安防工程，包含农村公路维修改造工程6条路线30.4公里，安防2.755公里，危桥5座145.5延米</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具体工程内容以工程量清单及施工图纸为准</w:t>
      </w:r>
      <w:r>
        <w:rPr>
          <w:rFonts w:hint="eastAsia" w:cs="Times New Roman"/>
          <w:color w:val="auto"/>
          <w:sz w:val="24"/>
          <w:highlight w:val="none"/>
          <w:u w:val="single"/>
          <w:lang w:eastAsia="zh-CN"/>
        </w:rPr>
        <w:t>。</w:t>
      </w:r>
    </w:p>
    <w:p w14:paraId="507AE6D3">
      <w:pPr>
        <w:keepNext w:val="0"/>
        <w:keepLines w:val="0"/>
        <w:pageBreakBefore w:val="0"/>
        <w:widowControl w:val="0"/>
        <w:kinsoku/>
        <w:wordWrap w:val="0"/>
        <w:overflowPunct/>
        <w:topLinePunct w:val="0"/>
        <w:autoSpaceDE/>
        <w:autoSpaceDN/>
        <w:bidi w:val="0"/>
        <w:adjustRightInd/>
        <w:snapToGrid/>
        <w:spacing w:line="430" w:lineRule="exact"/>
        <w:ind w:firstLine="480" w:firstLineChars="200"/>
        <w:textAlignment w:val="auto"/>
        <w:outlineLvl w:val="9"/>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2.</w:t>
      </w:r>
      <w:r>
        <w:rPr>
          <w:rFonts w:hint="eastAsia" w:ascii="Times New Roman" w:hAnsi="Times New Roman" w:cs="Times New Roman"/>
          <w:color w:val="auto"/>
          <w:sz w:val="24"/>
          <w:highlight w:val="none"/>
          <w:lang w:val="en-US" w:eastAsia="zh-CN"/>
        </w:rPr>
        <w:t>4</w:t>
      </w:r>
      <w:r>
        <w:rPr>
          <w:rFonts w:hint="eastAsia" w:ascii="Times New Roman" w:hAnsi="Times New Roman" w:cs="Times New Roman"/>
          <w:color w:val="auto"/>
          <w:sz w:val="24"/>
          <w:highlight w:val="none"/>
        </w:rPr>
        <w:t xml:space="preserve"> </w:t>
      </w:r>
      <w:r>
        <w:rPr>
          <w:rFonts w:hint="eastAsia" w:ascii="Times New Roman" w:hAnsi="Times New Roman" w:cs="Times New Roman"/>
          <w:color w:val="auto"/>
          <w:sz w:val="24"/>
          <w:highlight w:val="none"/>
          <w:lang w:val="en-US" w:eastAsia="zh-CN"/>
        </w:rPr>
        <w:t xml:space="preserve"> </w:t>
      </w:r>
      <w:r>
        <w:rPr>
          <w:rFonts w:hint="eastAsia" w:ascii="Times New Roman" w:hAnsi="Times New Roman" w:cs="Times New Roman"/>
          <w:color w:val="auto"/>
          <w:sz w:val="24"/>
          <w:highlight w:val="none"/>
        </w:rPr>
        <w:t>计划工期：</w:t>
      </w:r>
      <w:r>
        <w:rPr>
          <w:rFonts w:hint="eastAsia" w:cs="Times New Roman"/>
          <w:color w:val="auto"/>
          <w:sz w:val="24"/>
          <w:highlight w:val="none"/>
          <w:lang w:eastAsia="zh-CN"/>
        </w:rPr>
        <w:t>2026年</w:t>
      </w:r>
      <w:r>
        <w:rPr>
          <w:rFonts w:hint="eastAsia" w:cs="Times New Roman"/>
          <w:color w:val="auto"/>
          <w:sz w:val="24"/>
          <w:highlight w:val="none"/>
          <w:lang w:val="en-US" w:eastAsia="zh-CN"/>
        </w:rPr>
        <w:t>10</w:t>
      </w:r>
      <w:r>
        <w:rPr>
          <w:rFonts w:hint="eastAsia" w:cs="Times New Roman"/>
          <w:color w:val="auto"/>
          <w:sz w:val="24"/>
          <w:highlight w:val="none"/>
          <w:lang w:eastAsia="zh-CN"/>
        </w:rPr>
        <w:t>月</w:t>
      </w:r>
      <w:r>
        <w:rPr>
          <w:rFonts w:hint="eastAsia" w:cs="Times New Roman"/>
          <w:color w:val="auto"/>
          <w:sz w:val="24"/>
          <w:highlight w:val="none"/>
          <w:lang w:val="en-US" w:eastAsia="zh-CN"/>
        </w:rPr>
        <w:t>15</w:t>
      </w:r>
      <w:r>
        <w:rPr>
          <w:rFonts w:hint="eastAsia" w:cs="Times New Roman"/>
          <w:color w:val="auto"/>
          <w:sz w:val="24"/>
          <w:highlight w:val="none"/>
          <w:lang w:eastAsia="zh-CN"/>
        </w:rPr>
        <w:t>日</w:t>
      </w:r>
      <w:r>
        <w:rPr>
          <w:rFonts w:hint="eastAsia" w:ascii="宋体" w:hAnsi="宋体" w:eastAsia="宋体" w:cs="宋体"/>
          <w:sz w:val="24"/>
          <w:szCs w:val="24"/>
          <w:highlight w:val="none"/>
          <w:u w:val="single"/>
          <w:lang w:val="en-US" w:eastAsia="zh-CN"/>
        </w:rPr>
        <w:t>开工</w:t>
      </w:r>
      <w:r>
        <w:rPr>
          <w:rFonts w:hint="eastAsia" w:ascii="宋体" w:hAnsi="宋体" w:eastAsia="宋体" w:cs="宋体"/>
          <w:sz w:val="24"/>
          <w:szCs w:val="24"/>
          <w:highlight w:val="none"/>
          <w:u w:val="single"/>
        </w:rPr>
        <w:t>，</w:t>
      </w:r>
      <w:r>
        <w:rPr>
          <w:rFonts w:hint="eastAsia" w:ascii="宋体" w:hAnsi="宋体" w:cs="宋体"/>
          <w:sz w:val="24"/>
          <w:szCs w:val="24"/>
          <w:highlight w:val="none"/>
          <w:u w:val="single"/>
          <w:lang w:eastAsia="zh-CN"/>
        </w:rPr>
        <w:t>202</w:t>
      </w:r>
      <w:r>
        <w:rPr>
          <w:rFonts w:hint="eastAsia" w:ascii="宋体" w:hAnsi="宋体" w:cs="宋体"/>
          <w:sz w:val="24"/>
          <w:szCs w:val="24"/>
          <w:highlight w:val="none"/>
          <w:u w:val="single"/>
          <w:lang w:val="en-US" w:eastAsia="zh-CN"/>
        </w:rPr>
        <w:t>6</w:t>
      </w:r>
      <w:r>
        <w:rPr>
          <w:rFonts w:hint="eastAsia" w:ascii="宋体" w:hAnsi="宋体" w:cs="宋体"/>
          <w:sz w:val="24"/>
          <w:szCs w:val="24"/>
          <w:highlight w:val="none"/>
          <w:u w:val="single"/>
          <w:lang w:eastAsia="zh-CN"/>
        </w:rPr>
        <w:t>年</w:t>
      </w:r>
      <w:r>
        <w:rPr>
          <w:rFonts w:hint="eastAsia" w:ascii="宋体" w:hAnsi="宋体" w:cs="宋体"/>
          <w:sz w:val="24"/>
          <w:szCs w:val="24"/>
          <w:highlight w:val="none"/>
          <w:u w:val="single"/>
          <w:lang w:val="en-US" w:eastAsia="zh-CN"/>
        </w:rPr>
        <w:t>11</w:t>
      </w:r>
      <w:r>
        <w:rPr>
          <w:rFonts w:hint="eastAsia" w:ascii="宋体" w:hAnsi="宋体" w:eastAsia="宋体" w:cs="宋体"/>
          <w:sz w:val="24"/>
          <w:szCs w:val="24"/>
          <w:highlight w:val="none"/>
          <w:u w:val="single"/>
        </w:rPr>
        <w:t>月</w:t>
      </w:r>
      <w:r>
        <w:rPr>
          <w:rFonts w:hint="eastAsia" w:ascii="宋体" w:hAnsi="宋体" w:cs="宋体"/>
          <w:sz w:val="24"/>
          <w:szCs w:val="24"/>
          <w:highlight w:val="none"/>
          <w:u w:val="single"/>
          <w:lang w:val="en-US" w:eastAsia="zh-CN"/>
        </w:rPr>
        <w:t>30</w:t>
      </w:r>
      <w:r>
        <w:rPr>
          <w:rFonts w:hint="eastAsia" w:ascii="宋体" w:hAnsi="宋体" w:eastAsia="宋体" w:cs="宋体"/>
          <w:sz w:val="24"/>
          <w:szCs w:val="24"/>
          <w:highlight w:val="none"/>
          <w:u w:val="single"/>
        </w:rPr>
        <w:t>日竣工，共计</w:t>
      </w:r>
      <w:r>
        <w:rPr>
          <w:rFonts w:hint="eastAsia" w:ascii="宋体" w:hAnsi="宋体" w:cs="宋体"/>
          <w:sz w:val="24"/>
          <w:szCs w:val="24"/>
          <w:highlight w:val="none"/>
          <w:u w:val="single"/>
          <w:lang w:val="en-US" w:eastAsia="zh-CN"/>
        </w:rPr>
        <w:t>46</w:t>
      </w:r>
      <w:r>
        <w:rPr>
          <w:rFonts w:hint="eastAsia" w:ascii="宋体" w:hAnsi="宋体" w:eastAsia="宋体" w:cs="宋体"/>
          <w:sz w:val="24"/>
          <w:szCs w:val="24"/>
          <w:highlight w:val="none"/>
          <w:u w:val="single"/>
        </w:rPr>
        <w:t>日历天（具体时间以签订合同为准）</w:t>
      </w:r>
      <w:r>
        <w:rPr>
          <w:rFonts w:hint="eastAsia" w:cs="Times New Roman"/>
          <w:color w:val="auto"/>
          <w:sz w:val="24"/>
          <w:highlight w:val="none"/>
          <w:u w:val="single"/>
          <w:lang w:eastAsia="zh-CN"/>
        </w:rPr>
        <w:t>。</w:t>
      </w:r>
      <w:r>
        <w:rPr>
          <w:rFonts w:hint="eastAsia" w:ascii="Times New Roman" w:hAnsi="Times New Roman" w:cs="Times New Roman"/>
          <w:color w:val="auto"/>
          <w:sz w:val="24"/>
          <w:highlight w:val="none"/>
        </w:rPr>
        <w:t>缺陷责任期：自实际交工验收合格之日起计算12个月。</w:t>
      </w:r>
    </w:p>
    <w:p w14:paraId="34B24005">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2.</w:t>
      </w:r>
      <w:r>
        <w:rPr>
          <w:rFonts w:hint="eastAsia" w:ascii="Times New Roman" w:hAnsi="Times New Roman" w:cs="Times New Roman"/>
          <w:color w:val="auto"/>
          <w:sz w:val="24"/>
          <w:highlight w:val="none"/>
          <w:lang w:val="en-US" w:eastAsia="zh-CN"/>
        </w:rPr>
        <w:t xml:space="preserve">5 </w:t>
      </w:r>
      <w:r>
        <w:rPr>
          <w:rFonts w:hint="eastAsia" w:ascii="Times New Roman" w:hAnsi="Times New Roman" w:cs="Times New Roman"/>
          <w:color w:val="auto"/>
          <w:sz w:val="24"/>
          <w:highlight w:val="none"/>
        </w:rPr>
        <w:t>投标保证金：</w:t>
      </w:r>
      <w:r>
        <w:rPr>
          <w:rFonts w:hint="eastAsia" w:cs="Times New Roman"/>
          <w:color w:val="auto"/>
          <w:sz w:val="24"/>
          <w:highlight w:val="none"/>
          <w:lang w:val="en-US" w:eastAsia="zh-CN"/>
        </w:rPr>
        <w:t>20</w:t>
      </w:r>
      <w:r>
        <w:rPr>
          <w:rFonts w:hint="eastAsia" w:ascii="Times New Roman" w:hAnsi="Times New Roman" w:cs="Times New Roman"/>
          <w:color w:val="auto"/>
          <w:sz w:val="24"/>
          <w:highlight w:val="none"/>
        </w:rPr>
        <w:t>万元</w:t>
      </w:r>
      <w:r>
        <w:rPr>
          <w:rFonts w:hint="eastAsia" w:cs="Times New Roman"/>
          <w:color w:val="auto"/>
          <w:sz w:val="24"/>
          <w:highlight w:val="none"/>
          <w:lang w:eastAsia="zh-CN"/>
        </w:rPr>
        <w:t>（</w:t>
      </w:r>
      <w:r>
        <w:rPr>
          <w:rFonts w:hint="eastAsia" w:ascii="Times New Roman" w:hAnsi="Times New Roman" w:cs="Times New Roman"/>
          <w:color w:val="auto"/>
          <w:sz w:val="24"/>
          <w:highlight w:val="none"/>
        </w:rPr>
        <w:t>其他相关要求详见招标文件</w:t>
      </w:r>
      <w:r>
        <w:rPr>
          <w:rFonts w:hint="eastAsia" w:cs="Times New Roman"/>
          <w:color w:val="auto"/>
          <w:sz w:val="24"/>
          <w:highlight w:val="none"/>
          <w:lang w:eastAsia="zh-CN"/>
        </w:rPr>
        <w:t>）</w:t>
      </w:r>
      <w:r>
        <w:rPr>
          <w:rFonts w:hint="eastAsia" w:ascii="Times New Roman" w:hAnsi="Times New Roman" w:cs="Times New Roman"/>
          <w:color w:val="auto"/>
          <w:sz w:val="24"/>
          <w:highlight w:val="none"/>
        </w:rPr>
        <w:t>。</w:t>
      </w:r>
    </w:p>
    <w:p w14:paraId="0FB68F5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2.6工程总投资：</w:t>
      </w:r>
      <w:r>
        <w:rPr>
          <w:rFonts w:hint="eastAsia" w:ascii="仿宋_GB2312" w:hAnsi="仿宋_GB2312" w:eastAsia="仿宋_GB2312" w:cs="仿宋_GB2312"/>
          <w:color w:val="auto"/>
          <w:sz w:val="24"/>
          <w:szCs w:val="24"/>
          <w:highlight w:val="none"/>
          <w:lang w:val="en-US" w:eastAsia="zh-CN"/>
        </w:rPr>
        <w:t>2448.3372万元</w:t>
      </w:r>
    </w:p>
    <w:p w14:paraId="5F48B0C4">
      <w:pPr>
        <w:pStyle w:val="2"/>
        <w:pageBreakBefore w:val="0"/>
        <w:kinsoku/>
        <w:wordWrap w:val="0"/>
        <w:bidi w:val="0"/>
        <w:spacing w:before="240" w:after="240" w:line="240" w:lineRule="atLeast"/>
        <w:outlineLvl w:val="1"/>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3. 投标人资格要求</w:t>
      </w:r>
      <w:bookmarkEnd w:id="18"/>
      <w:r>
        <w:rPr>
          <w:rStyle w:val="47"/>
          <w:rFonts w:hint="default" w:ascii="Times New Roman" w:hAnsi="Times New Roman" w:eastAsia="黑体" w:cs="Times New Roman"/>
          <w:color w:val="auto"/>
          <w:sz w:val="28"/>
          <w:szCs w:val="28"/>
          <w:highlight w:val="none"/>
        </w:rPr>
        <w:footnoteReference w:id="2"/>
      </w:r>
      <w:bookmarkEnd w:id="19"/>
      <w:bookmarkEnd w:id="20"/>
      <w:bookmarkEnd w:id="21"/>
    </w:p>
    <w:p w14:paraId="343C2944">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3.1</w:t>
      </w:r>
      <w:r>
        <w:rPr>
          <w:rFonts w:hint="eastAsia" w:ascii="宋体" w:hAnsi="宋体" w:eastAsia="宋体" w:cs="宋体"/>
          <w:color w:val="auto"/>
          <w:sz w:val="24"/>
          <w:szCs w:val="24"/>
        </w:rPr>
        <w:t>本次招标要求投标人在人员、设备、资金等方面具有相应的施工能力，投标人须具备的资格条件如下：</w:t>
      </w:r>
    </w:p>
    <w:p w14:paraId="5228132B">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3.1.1资质等级：</w:t>
      </w:r>
    </w:p>
    <w:p w14:paraId="7AC9603A">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（1）投标人必须具有国内独立法人资格及有效的企业法人营业执照。</w:t>
      </w:r>
    </w:p>
    <w:p w14:paraId="5C5DF7F0">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（2）投标人的资质应该满足以下要求：</w:t>
      </w:r>
    </w:p>
    <w:p w14:paraId="3B67D4A6">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eastAsia="zh-CN"/>
        </w:rPr>
      </w:pPr>
      <w:r>
        <w:rPr>
          <w:rFonts w:hint="eastAsia" w:ascii="Times New Roman" w:hAnsi="Times New Roman" w:cs="Times New Roman"/>
          <w:color w:val="auto"/>
          <w:sz w:val="24"/>
          <w:highlight w:val="yellow"/>
        </w:rPr>
        <w:t>具有公路工程施工总承包三级及以上资质</w:t>
      </w:r>
      <w:r>
        <w:rPr>
          <w:rFonts w:hint="eastAsia" w:ascii="Times New Roman" w:hAnsi="Times New Roman" w:cs="Times New Roman"/>
          <w:color w:val="auto"/>
          <w:sz w:val="24"/>
          <w:highlight w:val="yellow"/>
          <w:lang w:val="en-US" w:eastAsia="zh-CN"/>
        </w:rPr>
        <w:t>或具有</w:t>
      </w:r>
      <w:r>
        <w:rPr>
          <w:rFonts w:hint="eastAsia" w:ascii="Times New Roman" w:hAnsi="Times New Roman" w:cs="Times New Roman"/>
          <w:color w:val="auto"/>
          <w:sz w:val="24"/>
          <w:highlight w:val="yellow"/>
        </w:rPr>
        <w:t>省级交通运输主管部门颁发</w:t>
      </w:r>
      <w:r>
        <w:rPr>
          <w:rFonts w:hint="eastAsia" w:ascii="Times New Roman" w:hAnsi="Times New Roman" w:cs="Times New Roman"/>
          <w:color w:val="auto"/>
          <w:sz w:val="24"/>
          <w:highlight w:val="yellow"/>
          <w:lang w:eastAsia="zh-CN"/>
        </w:rPr>
        <w:t>且</w:t>
      </w:r>
      <w:r>
        <w:rPr>
          <w:rFonts w:hint="eastAsia" w:ascii="Times New Roman" w:hAnsi="Times New Roman" w:cs="Times New Roman"/>
          <w:color w:val="auto"/>
          <w:sz w:val="24"/>
          <w:highlight w:val="yellow"/>
        </w:rPr>
        <w:t>有效的</w:t>
      </w:r>
      <w:r>
        <w:rPr>
          <w:rFonts w:hint="eastAsia" w:ascii="Times New Roman" w:hAnsi="Times New Roman" w:cs="Times New Roman"/>
          <w:color w:val="auto"/>
          <w:sz w:val="24"/>
          <w:highlight w:val="yellow"/>
          <w:lang w:eastAsia="zh-CN"/>
        </w:rPr>
        <w:t>“</w:t>
      </w:r>
      <w:r>
        <w:rPr>
          <w:rFonts w:hint="eastAsia" w:ascii="Times New Roman" w:hAnsi="Times New Roman" w:cs="Times New Roman"/>
          <w:color w:val="auto"/>
          <w:sz w:val="24"/>
          <w:highlight w:val="yellow"/>
        </w:rPr>
        <w:t>路基路面养护</w:t>
      </w:r>
      <w:r>
        <w:rPr>
          <w:rFonts w:hint="eastAsia" w:cs="Times New Roman"/>
          <w:color w:val="auto"/>
          <w:sz w:val="24"/>
          <w:highlight w:val="yellow"/>
          <w:lang w:val="en-US" w:eastAsia="zh-CN"/>
        </w:rPr>
        <w:t>乙</w:t>
      </w:r>
      <w:r>
        <w:rPr>
          <w:rFonts w:hint="eastAsia" w:ascii="Times New Roman" w:hAnsi="Times New Roman" w:cs="Times New Roman"/>
          <w:color w:val="auto"/>
          <w:sz w:val="24"/>
          <w:highlight w:val="yellow"/>
        </w:rPr>
        <w:t>级</w:t>
      </w:r>
      <w:r>
        <w:rPr>
          <w:rFonts w:hint="eastAsia" w:ascii="Times New Roman" w:hAnsi="Times New Roman" w:cs="Times New Roman"/>
          <w:color w:val="auto"/>
          <w:sz w:val="24"/>
          <w:highlight w:val="yellow"/>
          <w:lang w:val="en-US" w:eastAsia="zh-CN"/>
        </w:rPr>
        <w:t>资质”和“</w:t>
      </w:r>
      <w:r>
        <w:rPr>
          <w:rFonts w:hint="eastAsia" w:ascii="Times New Roman" w:hAnsi="Times New Roman" w:cs="Times New Roman"/>
          <w:color w:val="auto"/>
          <w:sz w:val="24"/>
          <w:highlight w:val="yellow"/>
        </w:rPr>
        <w:t>交通安全设施养护</w:t>
      </w:r>
      <w:r>
        <w:rPr>
          <w:rFonts w:hint="eastAsia" w:ascii="Times New Roman" w:hAnsi="Times New Roman" w:cs="Times New Roman"/>
          <w:color w:val="auto"/>
          <w:sz w:val="24"/>
          <w:highlight w:val="yellow"/>
          <w:lang w:val="en-US" w:eastAsia="zh-CN"/>
        </w:rPr>
        <w:t>资质</w:t>
      </w:r>
      <w:r>
        <w:rPr>
          <w:rFonts w:hint="eastAsia" w:ascii="Times New Roman" w:hAnsi="Times New Roman" w:cs="Times New Roman"/>
          <w:color w:val="auto"/>
          <w:sz w:val="24"/>
          <w:highlight w:val="yellow"/>
          <w:lang w:eastAsia="zh-CN"/>
        </w:rPr>
        <w:t>”</w:t>
      </w:r>
      <w:r>
        <w:rPr>
          <w:rFonts w:hint="eastAsia" w:ascii="Times New Roman" w:hAnsi="Times New Roman" w:cs="Times New Roman"/>
          <w:color w:val="auto"/>
          <w:sz w:val="24"/>
          <w:highlight w:val="yellow"/>
          <w:lang w:val="en-US" w:eastAsia="zh-CN"/>
        </w:rPr>
        <w:t>和“桥梁养护乙级”及以上</w:t>
      </w:r>
      <w:r>
        <w:rPr>
          <w:rFonts w:hint="eastAsia" w:ascii="Times New Roman" w:hAnsi="Times New Roman" w:cs="Times New Roman"/>
          <w:color w:val="auto"/>
          <w:sz w:val="24"/>
          <w:highlight w:val="none"/>
          <w:lang w:eastAsia="zh-CN"/>
        </w:rPr>
        <w:t>。</w:t>
      </w:r>
    </w:p>
    <w:p w14:paraId="4C173DF6">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投标人应具有建设行政主管部门颁发且有效的安全生产许可证。</w:t>
      </w:r>
    </w:p>
    <w:p w14:paraId="0F0A2EC6">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3.1.</w:t>
      </w:r>
      <w:r>
        <w:rPr>
          <w:rFonts w:hint="eastAsia" w:ascii="Times New Roman" w:hAnsi="Times New Roman" w:cs="Times New Roman"/>
          <w:color w:val="auto"/>
          <w:sz w:val="24"/>
          <w:highlight w:val="none"/>
          <w:lang w:val="en-US" w:eastAsia="zh-CN"/>
        </w:rPr>
        <w:t>2</w:t>
      </w:r>
      <w:r>
        <w:rPr>
          <w:rFonts w:hint="eastAsia" w:ascii="Times New Roman" w:hAnsi="Times New Roman" w:cs="Times New Roman"/>
          <w:color w:val="auto"/>
          <w:sz w:val="24"/>
          <w:highlight w:val="none"/>
        </w:rPr>
        <w:t>企业业绩</w:t>
      </w:r>
    </w:p>
    <w:p w14:paraId="1D6A9AAA">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近</w:t>
      </w:r>
      <w:r>
        <w:rPr>
          <w:rFonts w:hint="eastAsia" w:cs="Times New Roman"/>
          <w:color w:val="auto"/>
          <w:sz w:val="24"/>
          <w:highlight w:val="none"/>
          <w:lang w:val="en-US" w:eastAsia="zh-CN"/>
        </w:rPr>
        <w:t>3</w:t>
      </w:r>
      <w:r>
        <w:rPr>
          <w:rFonts w:hint="eastAsia" w:ascii="Times New Roman" w:hAnsi="Times New Roman" w:cs="Times New Roman"/>
          <w:color w:val="auto"/>
          <w:sz w:val="24"/>
          <w:highlight w:val="none"/>
        </w:rPr>
        <w:t>年（指交工验收时间为</w:t>
      </w:r>
      <w:r>
        <w:rPr>
          <w:rFonts w:hint="eastAsia" w:ascii="Times New Roman" w:hAnsi="Times New Roman" w:cs="Times New Roman"/>
          <w:color w:val="auto"/>
          <w:sz w:val="24"/>
          <w:highlight w:val="yellow"/>
        </w:rPr>
        <w:t>20</w:t>
      </w:r>
      <w:r>
        <w:rPr>
          <w:rFonts w:hint="eastAsia" w:ascii="Times New Roman" w:hAnsi="Times New Roman" w:cs="Times New Roman"/>
          <w:color w:val="auto"/>
          <w:sz w:val="24"/>
          <w:highlight w:val="yellow"/>
          <w:lang w:val="en-US" w:eastAsia="zh-CN"/>
        </w:rPr>
        <w:t>2</w:t>
      </w:r>
      <w:r>
        <w:rPr>
          <w:rFonts w:hint="eastAsia" w:cs="Times New Roman"/>
          <w:color w:val="auto"/>
          <w:sz w:val="24"/>
          <w:highlight w:val="yellow"/>
          <w:lang w:val="en-US" w:eastAsia="zh-CN"/>
        </w:rPr>
        <w:t>3</w:t>
      </w:r>
      <w:r>
        <w:rPr>
          <w:rFonts w:hint="eastAsia" w:ascii="Times New Roman" w:hAnsi="Times New Roman" w:cs="Times New Roman"/>
          <w:color w:val="auto"/>
          <w:sz w:val="24"/>
          <w:highlight w:val="yellow"/>
        </w:rPr>
        <w:t>年</w:t>
      </w:r>
      <w:r>
        <w:rPr>
          <w:rFonts w:hint="eastAsia" w:cs="Times New Roman"/>
          <w:color w:val="auto"/>
          <w:sz w:val="24"/>
          <w:highlight w:val="yellow"/>
          <w:lang w:val="en-US" w:eastAsia="zh-CN"/>
        </w:rPr>
        <w:t>7</w:t>
      </w:r>
      <w:r>
        <w:rPr>
          <w:rFonts w:hint="eastAsia" w:ascii="Times New Roman" w:hAnsi="Times New Roman" w:cs="Times New Roman"/>
          <w:color w:val="auto"/>
          <w:sz w:val="24"/>
          <w:highlight w:val="yellow"/>
        </w:rPr>
        <w:t>月</w:t>
      </w:r>
      <w:r>
        <w:rPr>
          <w:rFonts w:hint="eastAsia" w:cs="Times New Roman"/>
          <w:color w:val="auto"/>
          <w:sz w:val="24"/>
          <w:highlight w:val="yellow"/>
          <w:lang w:val="en-US" w:eastAsia="zh-CN"/>
        </w:rPr>
        <w:t>8</w:t>
      </w:r>
      <w:r>
        <w:rPr>
          <w:rFonts w:hint="eastAsia" w:ascii="Times New Roman" w:hAnsi="Times New Roman" w:cs="Times New Roman"/>
          <w:color w:val="auto"/>
          <w:sz w:val="24"/>
          <w:highlight w:val="none"/>
        </w:rPr>
        <w:t>日至投标文件递交截止日）内，至少独立完成过1个</w:t>
      </w:r>
      <w:r>
        <w:rPr>
          <w:rFonts w:hint="eastAsia"/>
          <w:color w:val="auto"/>
          <w:sz w:val="24"/>
          <w:szCs w:val="24"/>
          <w:highlight w:val="none"/>
          <w:u w:val="none"/>
        </w:rPr>
        <w:t>类似公路工程</w:t>
      </w:r>
      <w:r>
        <w:rPr>
          <w:rFonts w:hint="eastAsia" w:ascii="Times New Roman" w:hAnsi="Times New Roman" w:cs="Times New Roman"/>
          <w:color w:val="auto"/>
          <w:sz w:val="24"/>
          <w:highlight w:val="none"/>
        </w:rPr>
        <w:t>施工项目，且工程验收</w:t>
      </w:r>
      <w:r>
        <w:rPr>
          <w:rFonts w:hint="eastAsia" w:ascii="Times New Roman" w:hAnsi="Times New Roman" w:cs="Times New Roman"/>
          <w:color w:val="auto"/>
          <w:sz w:val="24"/>
          <w:highlight w:val="none"/>
          <w:lang w:eastAsia="zh-CN"/>
        </w:rPr>
        <w:t>评定</w:t>
      </w:r>
      <w:r>
        <w:rPr>
          <w:rFonts w:hint="eastAsia" w:ascii="Times New Roman" w:hAnsi="Times New Roman" w:cs="Times New Roman"/>
          <w:color w:val="auto"/>
          <w:sz w:val="24"/>
          <w:highlight w:val="none"/>
        </w:rPr>
        <w:t>为合格</w:t>
      </w:r>
      <w:r>
        <w:rPr>
          <w:rFonts w:hint="eastAsia" w:ascii="Times New Roman" w:hAnsi="Times New Roman" w:cs="Times New Roman"/>
          <w:color w:val="auto"/>
          <w:sz w:val="24"/>
          <w:highlight w:val="none"/>
          <w:lang w:eastAsia="zh-CN"/>
        </w:rPr>
        <w:t>或</w:t>
      </w:r>
      <w:r>
        <w:rPr>
          <w:rFonts w:hint="eastAsia" w:ascii="Times New Roman" w:hAnsi="Times New Roman" w:cs="Times New Roman"/>
          <w:color w:val="auto"/>
          <w:sz w:val="24"/>
          <w:highlight w:val="none"/>
        </w:rPr>
        <w:t>以上等级。注：投标人应提供中标通知书、施工合同及竣工</w:t>
      </w:r>
      <w:r>
        <w:rPr>
          <w:rFonts w:hint="eastAsia" w:ascii="Times New Roman" w:hAnsi="Times New Roman" w:cs="Times New Roman"/>
          <w:color w:val="auto"/>
          <w:sz w:val="24"/>
          <w:highlight w:val="none"/>
          <w:lang w:val="en-US" w:eastAsia="zh-CN"/>
        </w:rPr>
        <w:t>验收报告</w:t>
      </w:r>
      <w:r>
        <w:rPr>
          <w:rFonts w:hint="eastAsia" w:ascii="Times New Roman" w:hAnsi="Times New Roman" w:cs="Times New Roman"/>
          <w:color w:val="auto"/>
          <w:sz w:val="24"/>
          <w:highlight w:val="none"/>
        </w:rPr>
        <w:t>，三者缺一不可。</w:t>
      </w:r>
    </w:p>
    <w:p w14:paraId="2AEAFFD8">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1</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rPr>
        <w:t>已录入“辽宁省公共资源交易平台主体交易库”中的企业业绩，可以从主体库中选取后关联至投标文件中，作为企业业绩的证明材料。</w:t>
      </w:r>
    </w:p>
    <w:p w14:paraId="45DC2D2E">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2</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rPr>
        <w:t>未录入“辽宁省公共资源交易平台主体交易库”中的企业业绩，在投标文件第一个信封的“其他材料”中提供以下材料作为企业业绩证明材料：中标通知书、施工合同、竣工</w:t>
      </w:r>
      <w:r>
        <w:rPr>
          <w:rFonts w:hint="eastAsia" w:ascii="Times New Roman" w:hAnsi="Times New Roman" w:cs="Times New Roman"/>
          <w:color w:val="auto"/>
          <w:sz w:val="24"/>
          <w:highlight w:val="none"/>
          <w:lang w:val="en-US" w:eastAsia="zh-CN"/>
        </w:rPr>
        <w:t>验收报告</w:t>
      </w:r>
      <w:r>
        <w:rPr>
          <w:rFonts w:hint="eastAsia" w:ascii="Times New Roman" w:hAnsi="Times New Roman" w:cs="Times New Roman"/>
          <w:color w:val="auto"/>
          <w:sz w:val="24"/>
          <w:highlight w:val="none"/>
        </w:rPr>
        <w:t>、中标结果公示网站截图；</w:t>
      </w:r>
    </w:p>
    <w:p w14:paraId="6066D848">
      <w:pPr>
        <w:pageBreakBefore w:val="0"/>
        <w:kinsoku/>
        <w:wordWrap w:val="0"/>
        <w:bidi w:val="0"/>
        <w:spacing w:line="400" w:lineRule="atLeast"/>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3</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rPr>
        <w:t>如投标人法人机构发生变更或重组或法人名称变更时，应提供相关部门的合法批件。</w:t>
      </w:r>
    </w:p>
    <w:p w14:paraId="08FD9DB0">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3.1.3主要人员</w:t>
      </w:r>
    </w:p>
    <w:p w14:paraId="7AF6149A">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项目经理1名：具有公路工程专业二级及以上注册建造师证书且证书目前必须注册在投标人单位，同时具有交通运输行业主管部门颁发的安全生产考核合格“B”类证书并在有效期内且证书目前必须注册在投标人单位。且该项目经理应在近</w:t>
      </w:r>
      <w:r>
        <w:rPr>
          <w:rFonts w:hint="eastAsia" w:cs="Times New Roman"/>
          <w:color w:val="auto"/>
          <w:sz w:val="24"/>
          <w:highlight w:val="none"/>
          <w:lang w:val="en-US" w:eastAsia="zh-CN"/>
        </w:rPr>
        <w:t>3</w:t>
      </w:r>
      <w:r>
        <w:rPr>
          <w:rFonts w:hint="eastAsia" w:ascii="Times New Roman" w:hAnsi="Times New Roman" w:cs="Times New Roman"/>
          <w:color w:val="auto"/>
          <w:sz w:val="24"/>
          <w:highlight w:val="none"/>
          <w:lang w:val="en-US" w:eastAsia="zh-CN"/>
        </w:rPr>
        <w:t>年（指交工验收时间为</w:t>
      </w:r>
      <w:r>
        <w:rPr>
          <w:rFonts w:hint="eastAsia" w:ascii="Times New Roman" w:hAnsi="Times New Roman" w:cs="Times New Roman"/>
          <w:color w:val="auto"/>
          <w:sz w:val="24"/>
          <w:highlight w:val="yellow"/>
          <w:lang w:val="en-US" w:eastAsia="zh-CN"/>
        </w:rPr>
        <w:t>202</w:t>
      </w:r>
      <w:r>
        <w:rPr>
          <w:rFonts w:hint="eastAsia" w:cs="Times New Roman"/>
          <w:color w:val="auto"/>
          <w:sz w:val="24"/>
          <w:highlight w:val="yellow"/>
          <w:lang w:val="en-US" w:eastAsia="zh-CN"/>
        </w:rPr>
        <w:t>3</w:t>
      </w:r>
      <w:r>
        <w:rPr>
          <w:rFonts w:hint="eastAsia" w:ascii="Times New Roman" w:hAnsi="Times New Roman" w:cs="Times New Roman"/>
          <w:color w:val="auto"/>
          <w:sz w:val="24"/>
          <w:highlight w:val="yellow"/>
          <w:lang w:val="en-US" w:eastAsia="zh-CN"/>
        </w:rPr>
        <w:t>年</w:t>
      </w:r>
      <w:r>
        <w:rPr>
          <w:rFonts w:hint="eastAsia" w:cs="Times New Roman"/>
          <w:color w:val="auto"/>
          <w:sz w:val="24"/>
          <w:highlight w:val="yellow"/>
          <w:lang w:val="en-US" w:eastAsia="zh-CN"/>
        </w:rPr>
        <w:t>7</w:t>
      </w:r>
      <w:r>
        <w:rPr>
          <w:rFonts w:hint="eastAsia" w:ascii="Times New Roman" w:hAnsi="Times New Roman" w:cs="Times New Roman"/>
          <w:color w:val="auto"/>
          <w:sz w:val="24"/>
          <w:highlight w:val="yellow"/>
          <w:lang w:val="en-US" w:eastAsia="zh-CN"/>
        </w:rPr>
        <w:t>月</w:t>
      </w:r>
      <w:r>
        <w:rPr>
          <w:rFonts w:hint="eastAsia" w:cs="Times New Roman"/>
          <w:color w:val="auto"/>
          <w:sz w:val="24"/>
          <w:highlight w:val="yellow"/>
          <w:lang w:val="en-US" w:eastAsia="zh-CN"/>
        </w:rPr>
        <w:t>8</w:t>
      </w:r>
      <w:r>
        <w:rPr>
          <w:rFonts w:hint="eastAsia" w:ascii="Times New Roman" w:hAnsi="Times New Roman" w:cs="Times New Roman"/>
          <w:color w:val="auto"/>
          <w:sz w:val="24"/>
          <w:highlight w:val="yellow"/>
          <w:lang w:val="en-US" w:eastAsia="zh-CN"/>
        </w:rPr>
        <w:t>日</w:t>
      </w:r>
      <w:r>
        <w:rPr>
          <w:rFonts w:hint="eastAsia" w:ascii="Times New Roman" w:hAnsi="Times New Roman" w:cs="Times New Roman"/>
          <w:color w:val="auto"/>
          <w:sz w:val="24"/>
          <w:highlight w:val="none"/>
          <w:lang w:val="en-US" w:eastAsia="zh-CN"/>
        </w:rPr>
        <w:t>至投标文件递交截止日）内，至少独立完成过1个</w:t>
      </w:r>
      <w:r>
        <w:rPr>
          <w:rFonts w:hint="eastAsia" w:ascii="宋体" w:hAnsi="宋体" w:cs="宋体"/>
          <w:color w:val="auto"/>
          <w:sz w:val="24"/>
          <w:szCs w:val="24"/>
          <w:highlight w:val="yellow"/>
          <w:u w:val="single"/>
          <w:lang w:val="en-US" w:eastAsia="zh-CN"/>
        </w:rPr>
        <w:t>具有公路工程类似工程</w:t>
      </w:r>
      <w:r>
        <w:rPr>
          <w:rFonts w:hint="eastAsia" w:ascii="Times New Roman" w:hAnsi="Times New Roman" w:cs="Times New Roman"/>
          <w:color w:val="auto"/>
          <w:sz w:val="24"/>
          <w:highlight w:val="none"/>
          <w:lang w:val="en-US" w:eastAsia="zh-CN"/>
        </w:rPr>
        <w:t>施工项目，且工程验收评定为合格或以上等级。</w:t>
      </w:r>
    </w:p>
    <w:p w14:paraId="39F4A6CD">
      <w:pPr>
        <w:pageBreakBefore w:val="0"/>
        <w:kinsoku/>
        <w:wordWrap w:val="0"/>
        <w:bidi w:val="0"/>
        <w:spacing w:line="400" w:lineRule="atLeast"/>
        <w:ind w:firstLine="480" w:firstLineChars="200"/>
        <w:rPr>
          <w:rFonts w:hint="eastAsia" w:ascii="Times New Roman" w:hAnsi="Times New Roman" w:cs="Times New Roman"/>
          <w:color w:val="auto"/>
          <w:sz w:val="24"/>
          <w:highlight w:val="yellow"/>
          <w:lang w:val="en-US" w:eastAsia="zh-CN"/>
        </w:rPr>
      </w:pPr>
      <w:r>
        <w:rPr>
          <w:rFonts w:hint="eastAsia" w:ascii="Times New Roman" w:hAnsi="Times New Roman" w:cs="Times New Roman"/>
          <w:color w:val="auto"/>
          <w:sz w:val="24"/>
          <w:highlight w:val="none"/>
          <w:lang w:val="en-US" w:eastAsia="zh-CN"/>
        </w:rPr>
        <w:t>（2）项目总工1名：具有公路工程相关专业中级以上技术职称</w:t>
      </w:r>
      <w:r>
        <w:rPr>
          <w:rFonts w:hint="eastAsia" w:cs="Times New Roman"/>
          <w:color w:val="auto"/>
          <w:sz w:val="24"/>
          <w:highlight w:val="none"/>
          <w:lang w:val="en-US" w:eastAsia="zh-CN"/>
        </w:rPr>
        <w:t>，</w:t>
      </w:r>
      <w:r>
        <w:rPr>
          <w:rFonts w:hint="eastAsia" w:cs="Times New Roman"/>
          <w:color w:val="auto"/>
          <w:sz w:val="24"/>
          <w:highlight w:val="yellow"/>
          <w:lang w:val="en-US" w:eastAsia="zh-CN"/>
        </w:rPr>
        <w:t>具有公路工程类似工程管理业绩</w:t>
      </w:r>
      <w:r>
        <w:rPr>
          <w:rFonts w:hint="eastAsia" w:ascii="Times New Roman" w:hAnsi="Times New Roman" w:cs="Times New Roman"/>
          <w:color w:val="auto"/>
          <w:sz w:val="24"/>
          <w:highlight w:val="yellow"/>
          <w:lang w:val="en-US" w:eastAsia="zh-CN"/>
        </w:rPr>
        <w:t>。</w:t>
      </w:r>
    </w:p>
    <w:p w14:paraId="7EE7C9C3">
      <w:pPr>
        <w:pageBreakBefore w:val="0"/>
        <w:kinsoku/>
        <w:wordWrap w:val="0"/>
        <w:bidi w:val="0"/>
        <w:spacing w:line="400" w:lineRule="atLeast"/>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注：项目经理和项目总工程师均不得同时在两个及以上项目任职。相关业绩证明材料须体现人员姓名及职务，业绩证明材料包括但不限于中标通知书、施工合同及竣工验收报告；若前述材料未体现项目经理、项目总工姓名及任职情况，投标人须另行提供业主单位出具的任职证明或项目任命文件或施工许可文件或交通建设市场信用信息平台公示截图等有效佐证材料，佐证材料须加盖公章，信息真实可查，否则该项业绩不予认可。</w:t>
      </w:r>
    </w:p>
    <w:p w14:paraId="23AF269E">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cs="Times New Roman"/>
          <w:color w:val="auto"/>
          <w:sz w:val="24"/>
          <w:szCs w:val="24"/>
          <w:highlight w:val="none"/>
          <w:lang w:val="en-US" w:eastAsia="zh-CN"/>
        </w:rPr>
        <w:t>3.1.4其他要求</w:t>
      </w:r>
    </w:p>
    <w:p w14:paraId="75C6AE88">
      <w:pPr>
        <w:pageBreakBefore w:val="0"/>
        <w:kinsoku/>
        <w:wordWrap w:val="0"/>
        <w:bidi w:val="0"/>
        <w:spacing w:line="400" w:lineRule="atLeas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根据《关于发布公路工程从业企业资质名录的通知》（厅公路字〔2011〕114号）要求，投标人如为名录范围的施工企业，则应进入交通运输部</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全国公路建设市场监督管理系统（https://hwdms.mot.gov.cn/BMWebSite/）</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中的公路工程施工资质企业名录，且投标人名称和资质与该名录中的相应企业名称和资质完全一致。</w:t>
      </w:r>
      <w:r>
        <w:rPr>
          <w:rFonts w:hint="eastAsia" w:ascii="Times New Roman" w:hAnsi="Times New Roman" w:cs="Times New Roman"/>
          <w:color w:val="auto"/>
          <w:sz w:val="24"/>
          <w:highlight w:val="none"/>
          <w:lang w:val="en-US" w:eastAsia="zh-CN"/>
        </w:rPr>
        <w:footnoteReference w:id="3"/>
      </w:r>
    </w:p>
    <w:p w14:paraId="7F769B16">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3.2本次招标不接受联合体投标。</w:t>
      </w:r>
    </w:p>
    <w:p w14:paraId="5EFED97F">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3.3与招标人存在利害关系可能影响招标公正性的单位，不得参加投标；单位负责人为同一人或者存在控股、管理关系的不同单位，不得同时参加本项目投标，否则，相关投标均无效。</w:t>
      </w:r>
    </w:p>
    <w:p w14:paraId="55B558A5">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3.4存在下列不良状况或不良信用记录的单位，不得以任何形式参加投标：</w:t>
      </w:r>
    </w:p>
    <w:p w14:paraId="6B6697E7">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（1）被省级及以上交通运输主管部门取消招标项目所在地的投标资格且处于有效期内；</w:t>
      </w:r>
    </w:p>
    <w:p w14:paraId="783AE48A">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（2）被责令停业，暂扣或吊销执照，或吊销资质证书；</w:t>
      </w:r>
    </w:p>
    <w:p w14:paraId="58D87C76">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（3）进入清算程序，或被宣告破产，或其他丧失履约能力的情形；</w:t>
      </w:r>
    </w:p>
    <w:p w14:paraId="2BA9E227">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（4）在国家企业信用信息公示系统（http://www.gsxt.gov.cn）中被列入严重违法失信企业名单；</w:t>
      </w:r>
    </w:p>
    <w:p w14:paraId="724880FE">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（5）在“信用中国”网站（http://www.creditchina.gov.cn）（或中国执行信息公开网 http://zxgk.court.gov.cn/shixin/）中被列入失信被执行人名单；</w:t>
      </w:r>
    </w:p>
    <w:p w14:paraId="753389A3">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（6）投标人或其法定代表人、拟委任的项目经理在近三年内有行贿犯罪行为的；</w:t>
      </w:r>
    </w:p>
    <w:p w14:paraId="2A4001EA">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（7）投标人财产未被接管或冻结；</w:t>
      </w:r>
    </w:p>
    <w:p w14:paraId="07AB32E2">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cs="Times New Roman"/>
          <w:color w:val="auto"/>
          <w:sz w:val="24"/>
          <w:highlight w:val="none"/>
          <w:lang w:val="en-US" w:eastAsia="zh-CN"/>
        </w:rPr>
        <w:t>（8）投标人在以往工程未因拖欠农民工工资、材料采购、工程分包款等，而受到省级有关部门的通报；</w:t>
      </w:r>
    </w:p>
    <w:p w14:paraId="2A429D70">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w:t>
      </w:r>
      <w:r>
        <w:rPr>
          <w:rFonts w:hint="eastAsia" w:cs="Times New Roman"/>
          <w:color w:val="auto"/>
          <w:sz w:val="24"/>
          <w:highlight w:val="none"/>
          <w:lang w:val="en-US" w:eastAsia="zh-CN"/>
        </w:rPr>
        <w:t>9</w:t>
      </w:r>
      <w:r>
        <w:rPr>
          <w:rFonts w:hint="eastAsia" w:ascii="Times New Roman" w:hAnsi="Times New Roman" w:cs="Times New Roman"/>
          <w:color w:val="auto"/>
          <w:sz w:val="24"/>
          <w:highlight w:val="none"/>
          <w:lang w:val="en-US" w:eastAsia="zh-CN"/>
        </w:rPr>
        <w:t>）法律法规规定的其他情形。</w:t>
      </w:r>
    </w:p>
    <w:p w14:paraId="50D7009D">
      <w:pPr>
        <w:pageBreakBefore w:val="0"/>
        <w:kinsoku/>
        <w:wordWrap w:val="0"/>
        <w:bidi w:val="0"/>
        <w:spacing w:line="400" w:lineRule="atLeast"/>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w:t>
      </w:r>
      <w:r>
        <w:rPr>
          <w:rFonts w:hint="eastAsia" w:cs="Times New Roman"/>
          <w:color w:val="auto"/>
          <w:sz w:val="24"/>
          <w:highlight w:val="none"/>
          <w:lang w:val="en-US" w:eastAsia="zh-CN"/>
        </w:rPr>
        <w:t>5</w:t>
      </w:r>
      <w:r>
        <w:rPr>
          <w:rFonts w:hint="eastAsia" w:ascii="Times New Roman" w:hAnsi="Times New Roman" w:cs="Times New Roman"/>
          <w:color w:val="auto"/>
          <w:sz w:val="24"/>
          <w:highlight w:val="none"/>
          <w:lang w:val="en-US" w:eastAsia="zh-CN"/>
        </w:rPr>
        <w:t>投标人不得以他人名义或者弄虚作假投标，如发现投标人存在以他人名义或者弄虚作假投标行为，招标人将取消其中标候选人资格，并上报省级交通运输主管部门，作为不良记录纳入公路建设市场监督管理系统，情节严重的取消其在辽宁省公路建设市场1</w:t>
      </w:r>
      <w:r>
        <w:rPr>
          <w:rFonts w:hint="eastAsia"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3年的投标资格。</w:t>
      </w:r>
    </w:p>
    <w:p w14:paraId="7E2D1428">
      <w:pPr>
        <w:pStyle w:val="2"/>
        <w:pageBreakBefore w:val="0"/>
        <w:kinsoku/>
        <w:wordWrap w:val="0"/>
        <w:bidi w:val="0"/>
        <w:spacing w:before="240" w:after="240" w:line="240" w:lineRule="atLeast"/>
        <w:outlineLvl w:val="1"/>
        <w:rPr>
          <w:rFonts w:hint="default" w:ascii="Times New Roman" w:hAnsi="Times New Roman" w:eastAsia="黑体" w:cs="Times New Roman"/>
          <w:color w:val="auto"/>
          <w:sz w:val="28"/>
          <w:szCs w:val="28"/>
          <w:highlight w:val="none"/>
        </w:rPr>
      </w:pPr>
      <w:bookmarkStart w:id="22" w:name="_Toc31217"/>
      <w:bookmarkStart w:id="23" w:name="_Toc24263"/>
      <w:bookmarkStart w:id="24" w:name="_Toc20700"/>
      <w:bookmarkStart w:id="25" w:name="_Toc470760976"/>
      <w:r>
        <w:rPr>
          <w:rFonts w:hint="default" w:ascii="Times New Roman" w:hAnsi="Times New Roman" w:eastAsia="黑体" w:cs="Times New Roman"/>
          <w:color w:val="auto"/>
          <w:sz w:val="28"/>
          <w:szCs w:val="28"/>
          <w:highlight w:val="none"/>
        </w:rPr>
        <w:t>4. 招标文件的获取</w:t>
      </w:r>
      <w:bookmarkEnd w:id="22"/>
      <w:bookmarkEnd w:id="23"/>
      <w:bookmarkEnd w:id="24"/>
      <w:bookmarkEnd w:id="25"/>
      <w:r>
        <w:rPr>
          <w:rFonts w:hint="default" w:ascii="Times New Roman" w:hAnsi="Times New Roman" w:eastAsia="黑体" w:cs="Times New Roman"/>
          <w:color w:val="auto"/>
          <w:sz w:val="28"/>
          <w:szCs w:val="28"/>
          <w:highlight w:val="none"/>
        </w:rPr>
        <w:tab/>
      </w:r>
    </w:p>
    <w:p w14:paraId="1006B30F">
      <w:pPr>
        <w:pageBreakBefore w:val="0"/>
        <w:kinsoku/>
        <w:wordWrap w:val="0"/>
        <w:bidi w:val="0"/>
        <w:spacing w:line="400" w:lineRule="atLeas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4.1 凡有意参加投标者，请在 辽宁省公共资源交易</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一张网</w:t>
      </w:r>
      <w:r>
        <w:rPr>
          <w:rFonts w:hint="eastAsia"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lang w:val="en-US" w:eastAsia="zh-CN"/>
        </w:rPr>
        <w:t>电子化平台（以下简称</w:t>
      </w:r>
      <w:r>
        <w:rPr>
          <w:rFonts w:hint="eastAsia" w:ascii="Times New Roman" w:hAnsi="Times New Roman" w:cs="Times New Roman"/>
          <w:color w:val="auto"/>
          <w:sz w:val="24"/>
          <w:highlight w:val="none"/>
          <w:lang w:val="en-US" w:eastAsia="zh-CN"/>
        </w:rPr>
        <w:t>“电子交易平台”</w:t>
      </w:r>
      <w:r>
        <w:rPr>
          <w:rFonts w:hint="default" w:ascii="Times New Roman" w:hAnsi="Times New Roman" w:cs="Times New Roman"/>
          <w:color w:val="auto"/>
          <w:sz w:val="24"/>
          <w:highlight w:val="none"/>
          <w:lang w:val="en-US" w:eastAsia="zh-CN"/>
        </w:rPr>
        <w:t>，网址： https://www.lnsggzy.com/EpointSSO/login/oauth2login ）进行网员注册，并</w:t>
      </w:r>
      <w:r>
        <w:rPr>
          <w:rFonts w:hint="eastAsia" w:ascii="Times New Roman" w:hAnsi="Times New Roman" w:cs="Times New Roman"/>
          <w:color w:val="auto"/>
          <w:sz w:val="24"/>
          <w:highlight w:val="none"/>
          <w:lang w:val="en-US" w:eastAsia="zh-CN"/>
        </w:rPr>
        <w:t>办理</w:t>
      </w:r>
      <w:r>
        <w:rPr>
          <w:rFonts w:hint="default" w:ascii="Times New Roman" w:hAnsi="Times New Roman" w:cs="Times New Roman"/>
          <w:color w:val="auto"/>
          <w:sz w:val="24"/>
          <w:highlight w:val="none"/>
          <w:lang w:val="en-US" w:eastAsia="zh-CN"/>
        </w:rPr>
        <w:t>CA数字证书。</w:t>
      </w:r>
    </w:p>
    <w:p w14:paraId="34662BEB">
      <w:pPr>
        <w:pageBreakBefore w:val="0"/>
        <w:kinsoku/>
        <w:wordWrap w:val="0"/>
        <w:bidi w:val="0"/>
        <w:spacing w:line="400" w:lineRule="atLeas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4.2 完成网员注册后，请于</w:t>
      </w:r>
      <w:r>
        <w:rPr>
          <w:rFonts w:hint="default" w:ascii="Times New Roman" w:hAnsi="Times New Roman" w:cs="Times New Roman"/>
          <w:color w:val="auto"/>
          <w:sz w:val="24"/>
          <w:highlight w:val="yellow"/>
          <w:lang w:val="en-US" w:eastAsia="zh-CN"/>
        </w:rPr>
        <w:t xml:space="preserve"> </w:t>
      </w:r>
      <w:r>
        <w:rPr>
          <w:rFonts w:hint="eastAsia" w:ascii="Times New Roman" w:hAnsi="Times New Roman" w:cs="Times New Roman"/>
          <w:color w:val="auto"/>
          <w:sz w:val="24"/>
          <w:highlight w:val="yellow"/>
          <w:lang w:val="en-US" w:eastAsia="zh-CN"/>
        </w:rPr>
        <w:t>2026年</w:t>
      </w:r>
      <w:r>
        <w:rPr>
          <w:rFonts w:hint="eastAsia" w:cs="Times New Roman"/>
          <w:color w:val="auto"/>
          <w:sz w:val="24"/>
          <w:highlight w:val="yellow"/>
          <w:lang w:val="en-US" w:eastAsia="zh-CN"/>
        </w:rPr>
        <w:t>9</w:t>
      </w:r>
      <w:r>
        <w:rPr>
          <w:rFonts w:hint="eastAsia" w:ascii="Times New Roman" w:hAnsi="Times New Roman" w:cs="Times New Roman"/>
          <w:color w:val="auto"/>
          <w:sz w:val="24"/>
          <w:highlight w:val="yellow"/>
          <w:lang w:val="en-US" w:eastAsia="zh-CN"/>
        </w:rPr>
        <w:t>月</w:t>
      </w:r>
      <w:r>
        <w:rPr>
          <w:rFonts w:hint="eastAsia" w:cs="Times New Roman"/>
          <w:color w:val="auto"/>
          <w:sz w:val="24"/>
          <w:highlight w:val="yellow"/>
          <w:lang w:val="en-US" w:eastAsia="zh-CN"/>
        </w:rPr>
        <w:t>22</w:t>
      </w:r>
      <w:r>
        <w:rPr>
          <w:rFonts w:hint="eastAsia" w:ascii="Times New Roman" w:hAnsi="Times New Roman" w:cs="Times New Roman"/>
          <w:color w:val="auto"/>
          <w:sz w:val="24"/>
          <w:highlight w:val="yellow"/>
          <w:lang w:val="en-US" w:eastAsia="zh-CN"/>
        </w:rPr>
        <w:t>日23:59时</w:t>
      </w:r>
      <w:r>
        <w:rPr>
          <w:rFonts w:hint="default" w:ascii="Times New Roman" w:hAnsi="Times New Roman" w:cs="Times New Roman"/>
          <w:color w:val="auto"/>
          <w:sz w:val="24"/>
          <w:highlight w:val="none"/>
          <w:lang w:val="en-US" w:eastAsia="zh-CN"/>
        </w:rPr>
        <w:t>，通过互联网使用CA数字证书登录</w:t>
      </w:r>
      <w:r>
        <w:rPr>
          <w:rFonts w:hint="eastAsia" w:ascii="Times New Roman" w:hAnsi="Times New Roman" w:cs="Times New Roman"/>
          <w:color w:val="auto"/>
          <w:sz w:val="24"/>
          <w:highlight w:val="none"/>
          <w:lang w:val="en-US" w:eastAsia="zh-CN"/>
        </w:rPr>
        <w:t>“电子交易平台”</w:t>
      </w:r>
      <w:r>
        <w:rPr>
          <w:rFonts w:hint="default" w:ascii="Times New Roman" w:hAnsi="Times New Roman" w:cs="Times New Roman"/>
          <w:color w:val="auto"/>
          <w:sz w:val="24"/>
          <w:highlight w:val="none"/>
          <w:lang w:val="en-US" w:eastAsia="zh-CN"/>
        </w:rPr>
        <w:t>，明确所投标段，匿名免费下载招标文件、图纸和参考资料。</w:t>
      </w:r>
    </w:p>
    <w:p w14:paraId="1ECF8EFA">
      <w:pPr>
        <w:pageBreakBefore w:val="0"/>
        <w:kinsoku/>
        <w:wordWrap w:val="0"/>
        <w:bidi w:val="0"/>
        <w:spacing w:line="400" w:lineRule="atLeas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4.3 请各投标人随时关注辽宁省公共资源交易一张网电子化平台，及时获取相关信息，避免影响投标文件编制，否则一切后果由投标人自行承担。</w:t>
      </w:r>
    </w:p>
    <w:p w14:paraId="142E3B6C">
      <w:pPr>
        <w:pageBreakBefore w:val="0"/>
        <w:kinsoku/>
        <w:wordWrap w:val="0"/>
        <w:bidi w:val="0"/>
        <w:spacing w:line="400" w:lineRule="atLeas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4.4 招标文件售价：0元。</w:t>
      </w:r>
    </w:p>
    <w:p w14:paraId="7E675F3E">
      <w:pPr>
        <w:pageBreakBefore w:val="0"/>
        <w:kinsoku/>
        <w:wordWrap w:val="0"/>
        <w:bidi w:val="0"/>
        <w:spacing w:line="400" w:lineRule="atLeas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4.5 投标人须提交的投标保证金金额及其他相关要求详见招标文件。</w:t>
      </w:r>
    </w:p>
    <w:p w14:paraId="74A9B3A9">
      <w:pPr>
        <w:pStyle w:val="2"/>
        <w:pageBreakBefore w:val="0"/>
        <w:kinsoku/>
        <w:wordWrap w:val="0"/>
        <w:bidi w:val="0"/>
        <w:spacing w:before="240" w:after="240" w:line="240" w:lineRule="atLeast"/>
        <w:outlineLvl w:val="1"/>
        <w:rPr>
          <w:rFonts w:hint="default" w:ascii="Times New Roman" w:hAnsi="Times New Roman" w:eastAsia="黑体" w:cs="Times New Roman"/>
          <w:color w:val="auto"/>
          <w:sz w:val="28"/>
          <w:szCs w:val="28"/>
          <w:highlight w:val="none"/>
        </w:rPr>
      </w:pPr>
      <w:bookmarkStart w:id="26" w:name="_Toc22946"/>
      <w:bookmarkStart w:id="27" w:name="_Toc7236"/>
      <w:bookmarkStart w:id="28" w:name="_Toc470760977"/>
      <w:bookmarkStart w:id="29" w:name="_Toc26563"/>
      <w:r>
        <w:rPr>
          <w:rFonts w:hint="default" w:ascii="Times New Roman" w:hAnsi="Times New Roman" w:eastAsia="黑体" w:cs="Times New Roman"/>
          <w:color w:val="auto"/>
          <w:sz w:val="28"/>
          <w:szCs w:val="28"/>
          <w:highlight w:val="none"/>
        </w:rPr>
        <w:t>5. 投标文件的递交及相关事宜</w:t>
      </w:r>
      <w:bookmarkEnd w:id="26"/>
      <w:bookmarkEnd w:id="27"/>
      <w:bookmarkEnd w:id="28"/>
      <w:bookmarkEnd w:id="29"/>
    </w:p>
    <w:p w14:paraId="15D41EC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 招标人不组织进行工程现场踏勘和召开投标预备会</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w:t>
      </w:r>
    </w:p>
    <w:p w14:paraId="601F417E">
      <w:pPr>
        <w:pageBreakBefore w:val="0"/>
        <w:kinsoku/>
        <w:wordWrap w:val="0"/>
        <w:bidi w:val="0"/>
        <w:spacing w:line="400" w:lineRule="atLeast"/>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 xml:space="preserve">5.2 投标文件应为加密的投标文件。投标文件递交的截止时间（投标截止时间，下同）为 </w:t>
      </w:r>
      <w:r>
        <w:rPr>
          <w:rFonts w:hint="default" w:ascii="Times New Roman" w:hAnsi="Times New Roman" w:cs="Times New Roman"/>
          <w:color w:val="auto"/>
          <w:sz w:val="24"/>
          <w:highlight w:val="yellow"/>
          <w:lang w:val="en-US" w:eastAsia="zh-CN"/>
        </w:rPr>
        <w:t>2026</w:t>
      </w:r>
      <w:r>
        <w:rPr>
          <w:rFonts w:hint="default" w:ascii="Times New Roman" w:hAnsi="Times New Roman" w:cs="Times New Roman"/>
          <w:color w:val="auto"/>
          <w:sz w:val="24"/>
          <w:highlight w:val="yellow"/>
        </w:rPr>
        <w:t>年</w:t>
      </w:r>
      <w:r>
        <w:rPr>
          <w:rFonts w:hint="eastAsia" w:cs="Times New Roman"/>
          <w:color w:val="auto"/>
          <w:sz w:val="24"/>
          <w:highlight w:val="yellow"/>
          <w:lang w:val="en-US" w:eastAsia="zh-CN"/>
        </w:rPr>
        <w:t>10</w:t>
      </w:r>
      <w:r>
        <w:rPr>
          <w:rFonts w:hint="default" w:ascii="Times New Roman" w:hAnsi="Times New Roman" w:cs="Times New Roman"/>
          <w:color w:val="auto"/>
          <w:sz w:val="24"/>
          <w:highlight w:val="yellow"/>
        </w:rPr>
        <w:t>月</w:t>
      </w:r>
      <w:r>
        <w:rPr>
          <w:rFonts w:hint="eastAsia" w:cs="Times New Roman"/>
          <w:color w:val="auto"/>
          <w:sz w:val="24"/>
          <w:highlight w:val="yellow"/>
          <w:lang w:val="en-US" w:eastAsia="zh-CN"/>
        </w:rPr>
        <w:t>8</w:t>
      </w:r>
      <w:r>
        <w:rPr>
          <w:rFonts w:hint="default" w:ascii="Times New Roman" w:hAnsi="Times New Roman" w:cs="Times New Roman"/>
          <w:color w:val="auto"/>
          <w:sz w:val="24"/>
          <w:highlight w:val="yellow"/>
        </w:rPr>
        <w:t>日</w:t>
      </w:r>
      <w:r>
        <w:rPr>
          <w:rFonts w:hint="eastAsia" w:cs="Times New Roman"/>
          <w:color w:val="auto"/>
          <w:sz w:val="24"/>
          <w:highlight w:val="yellow"/>
          <w:lang w:val="en-US" w:eastAsia="zh-CN"/>
        </w:rPr>
        <w:t>11:00</w:t>
      </w:r>
      <w:r>
        <w:rPr>
          <w:rFonts w:hint="default" w:ascii="Times New Roman" w:hAnsi="Times New Roman" w:cs="Times New Roman"/>
          <w:color w:val="auto"/>
          <w:sz w:val="24"/>
          <w:highlight w:val="yellow"/>
        </w:rPr>
        <w:t xml:space="preserve"> </w:t>
      </w:r>
      <w:r>
        <w:rPr>
          <w:rFonts w:hint="default" w:ascii="Times New Roman" w:hAnsi="Times New Roman" w:cs="Times New Roman"/>
          <w:color w:val="auto"/>
          <w:sz w:val="24"/>
          <w:highlight w:val="none"/>
        </w:rPr>
        <w:t>时</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（北京时间，下同），投标人应在投标截止时间前，通过互联网使用 CA 数字证书登录“电子交易平台 ”，将加密的投标文件上传。逾期未完成上传或未按规定加密的投标文件，招标人予以拒收</w:t>
      </w:r>
      <w:r>
        <w:rPr>
          <w:rFonts w:hint="eastAsia" w:cs="Times New Roman"/>
          <w:color w:val="auto"/>
          <w:sz w:val="24"/>
          <w:highlight w:val="none"/>
          <w:lang w:eastAsia="zh-CN"/>
        </w:rPr>
        <w:t>。</w:t>
      </w:r>
    </w:p>
    <w:p w14:paraId="55B8E13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bookmarkStart w:id="30" w:name="bookmark8"/>
      <w:bookmarkEnd w:id="30"/>
      <w:r>
        <w:rPr>
          <w:rFonts w:hint="default" w:ascii="Times New Roman" w:hAnsi="Times New Roman" w:cs="Times New Roman"/>
          <w:color w:val="auto"/>
          <w:sz w:val="24"/>
          <w:highlight w:val="none"/>
        </w:rPr>
        <w:t>5.3</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投标人自行准备CA锁及相关解密设备，并保证网络畅通，在规定的时间内完成电子投标文件的线上解密工作。</w:t>
      </w:r>
    </w:p>
    <w:p w14:paraId="43D9D61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电子交易相关软件的下载：</w:t>
      </w:r>
    </w:p>
    <w:p w14:paraId="0C89A60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（1）驱动下载地址：https://download.bqpoint.com/download/downloaddetail.html?SourceFrom=Ztb&amp;ZtbSoftXiaQuCode=0215&amp;ZtbSoftType=DR</w:t>
      </w:r>
      <w:r>
        <w:rPr>
          <w:rFonts w:hint="eastAsia" w:cs="Times New Roman"/>
          <w:color w:val="auto"/>
          <w:sz w:val="24"/>
          <w:highlight w:val="none"/>
          <w:lang w:eastAsia="zh-CN"/>
        </w:rPr>
        <w:t>;</w:t>
      </w:r>
    </w:p>
    <w:p w14:paraId="16CC0AA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（2）投标文件制作软件下载地址：</w:t>
      </w:r>
    </w:p>
    <w:p w14:paraId="5715BF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https://download.bqpoint.com/download/downloaddetail.html?SourceFrom=Ztb&amp;ZtbSoftXiaQuCode=0209&amp;ZtbSoftType=tballinclusive</w:t>
      </w:r>
      <w:r>
        <w:rPr>
          <w:rFonts w:hint="eastAsia" w:cs="Times New Roman"/>
          <w:color w:val="auto"/>
          <w:sz w:val="24"/>
          <w:highlight w:val="none"/>
          <w:lang w:eastAsia="zh-CN"/>
        </w:rPr>
        <w:t>;</w:t>
      </w:r>
    </w:p>
    <w:p w14:paraId="40CDF0F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（3）投标人操作手册下载地址：http://ggzy.ln.gov.cn/fwdt/xzzx1/gczb/jtgc/scxz/。</w:t>
      </w:r>
    </w:p>
    <w:p w14:paraId="6954275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5.5</w:t>
      </w:r>
      <w:r>
        <w:rPr>
          <w:rFonts w:hint="default" w:ascii="Times New Roman" w:hAnsi="Times New Roman" w:cs="Times New Roman"/>
          <w:color w:val="auto"/>
          <w:sz w:val="24"/>
          <w:highlight w:val="none"/>
          <w:lang w:val="en-US" w:eastAsia="zh-CN"/>
        </w:rPr>
        <w:t xml:space="preserve"> </w:t>
      </w:r>
      <w:r>
        <w:rPr>
          <w:rFonts w:hint="default" w:ascii="Times New Roman" w:hAnsi="Times New Roman" w:cs="Times New Roman"/>
          <w:color w:val="auto"/>
          <w:sz w:val="24"/>
          <w:highlight w:val="none"/>
        </w:rPr>
        <w:t>逾期上传的、未上传指定地点的或不按照招标文件要求加密的投标文件，招标人将予以拒收。</w:t>
      </w:r>
    </w:p>
    <w:p w14:paraId="35BD34F0">
      <w:pPr>
        <w:pStyle w:val="2"/>
        <w:pageBreakBefore w:val="0"/>
        <w:kinsoku/>
        <w:wordWrap w:val="0"/>
        <w:overflowPunct/>
        <w:bidi w:val="0"/>
        <w:spacing w:line="240" w:lineRule="auto"/>
        <w:jc w:val="left"/>
        <w:outlineLvl w:val="1"/>
        <w:rPr>
          <w:rFonts w:hint="default" w:ascii="Times New Roman" w:hAnsi="Times New Roman" w:eastAsia="黑体" w:cs="Times New Roman"/>
          <w:b w:val="0"/>
          <w:bCs/>
          <w:i w:val="0"/>
          <w:iCs w:val="0"/>
          <w:color w:val="auto"/>
          <w:kern w:val="44"/>
          <w:sz w:val="28"/>
          <w:szCs w:val="28"/>
          <w:highlight w:val="none"/>
          <w:lang w:val="en-US" w:eastAsia="zh-CN" w:bidi="ar-SA"/>
        </w:rPr>
      </w:pPr>
      <w:bookmarkStart w:id="31" w:name="_Toc22018"/>
      <w:bookmarkStart w:id="32" w:name="_Toc4681"/>
      <w:bookmarkStart w:id="33" w:name="_Toc6994_WPSOffice_Level2"/>
      <w:bookmarkStart w:id="34" w:name="_Toc31627"/>
      <w:bookmarkStart w:id="35" w:name="_Toc29510"/>
      <w:bookmarkStart w:id="36" w:name="_Toc21427"/>
      <w:bookmarkStart w:id="37" w:name="_Toc234832850"/>
      <w:r>
        <w:rPr>
          <w:rFonts w:hint="default" w:ascii="Times New Roman" w:hAnsi="Times New Roman" w:cs="Times New Roman"/>
          <w:b w:val="0"/>
          <w:bCs/>
          <w:i w:val="0"/>
          <w:iCs w:val="0"/>
          <w:color w:val="auto"/>
          <w:kern w:val="44"/>
          <w:sz w:val="28"/>
          <w:szCs w:val="28"/>
          <w:highlight w:val="none"/>
          <w:lang w:val="en-US" w:eastAsia="zh-CN" w:bidi="ar-SA"/>
        </w:rPr>
        <w:t>6</w:t>
      </w:r>
      <w:r>
        <w:rPr>
          <w:rFonts w:hint="default" w:ascii="Times New Roman" w:hAnsi="Times New Roman" w:eastAsia="黑体" w:cs="Times New Roman"/>
          <w:b w:val="0"/>
          <w:bCs/>
          <w:i w:val="0"/>
          <w:iCs w:val="0"/>
          <w:color w:val="auto"/>
          <w:kern w:val="44"/>
          <w:sz w:val="28"/>
          <w:szCs w:val="28"/>
          <w:highlight w:val="none"/>
          <w:lang w:val="en-US" w:eastAsia="zh-CN" w:bidi="ar-SA"/>
        </w:rPr>
        <w:t>. 评标办法</w:t>
      </w:r>
      <w:bookmarkEnd w:id="31"/>
      <w:bookmarkEnd w:id="32"/>
      <w:bookmarkEnd w:id="33"/>
      <w:bookmarkEnd w:id="34"/>
      <w:bookmarkEnd w:id="35"/>
      <w:bookmarkEnd w:id="36"/>
    </w:p>
    <w:p w14:paraId="6B4AC53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lang w:val="en-US" w:eastAsia="zh-CN"/>
        </w:rPr>
      </w:pPr>
      <w:bookmarkStart w:id="38" w:name="_Toc26310"/>
      <w:bookmarkStart w:id="39" w:name="_Toc4689"/>
      <w:bookmarkStart w:id="40" w:name="_Toc1626"/>
      <w:bookmarkStart w:id="41" w:name="_Toc31461"/>
      <w:r>
        <w:rPr>
          <w:rFonts w:hint="default" w:ascii="Times New Roman" w:hAnsi="Times New Roman" w:eastAsia="宋体" w:cs="Times New Roman"/>
          <w:color w:val="auto"/>
          <w:sz w:val="24"/>
          <w:highlight w:val="none"/>
          <w:lang w:val="en-US" w:eastAsia="zh-CN"/>
        </w:rPr>
        <w:t>本项目评标办法采用合理低价法 ，评标标准和方法详见 《辽宁省招标投标监管网》（http://www.lntb.gov.cn）发布的本招标公告附件。</w:t>
      </w:r>
    </w:p>
    <w:p w14:paraId="2A615B1B">
      <w:pPr>
        <w:pStyle w:val="2"/>
        <w:pageBreakBefore w:val="0"/>
        <w:kinsoku/>
        <w:wordWrap w:val="0"/>
        <w:overflowPunct/>
        <w:bidi w:val="0"/>
        <w:spacing w:before="240" w:after="240" w:line="240" w:lineRule="atLeast"/>
        <w:outlineLvl w:val="1"/>
        <w:rPr>
          <w:rFonts w:hint="default" w:ascii="Times New Roman" w:hAnsi="Times New Roman" w:eastAsia="黑体" w:cs="Times New Roman"/>
          <w:color w:val="auto"/>
          <w:sz w:val="28"/>
          <w:szCs w:val="28"/>
          <w:highlight w:val="none"/>
        </w:rPr>
      </w:pPr>
      <w:r>
        <w:rPr>
          <w:rFonts w:hint="default" w:ascii="Times New Roman" w:hAnsi="Times New Roman" w:cs="Times New Roman"/>
          <w:color w:val="auto"/>
          <w:sz w:val="28"/>
          <w:szCs w:val="28"/>
          <w:highlight w:val="none"/>
          <w:lang w:val="en-US" w:eastAsia="zh-CN"/>
        </w:rPr>
        <w:t>7</w:t>
      </w:r>
      <w:r>
        <w:rPr>
          <w:rFonts w:hint="default" w:ascii="Times New Roman" w:hAnsi="Times New Roman" w:eastAsia="黑体" w:cs="Times New Roman"/>
          <w:color w:val="auto"/>
          <w:sz w:val="28"/>
          <w:szCs w:val="28"/>
          <w:highlight w:val="none"/>
        </w:rPr>
        <w:t>. 发布公告的媒介</w:t>
      </w:r>
      <w:bookmarkEnd w:id="37"/>
      <w:bookmarkEnd w:id="38"/>
      <w:bookmarkEnd w:id="39"/>
      <w:bookmarkEnd w:id="40"/>
      <w:bookmarkEnd w:id="41"/>
    </w:p>
    <w:p w14:paraId="664BA96A">
      <w:pPr>
        <w:pStyle w:val="16"/>
        <w:tabs>
          <w:tab w:val="left" w:pos="2897"/>
        </w:tabs>
        <w:spacing w:before="191" w:line="296" w:lineRule="auto"/>
        <w:ind w:left="28" w:right="187" w:firstLine="483"/>
        <w:rPr>
          <w:rFonts w:hint="default" w:ascii="Times New Roman" w:hAnsi="Times New Roman" w:cs="Times New Roman"/>
          <w:color w:val="auto"/>
          <w:sz w:val="24"/>
          <w:szCs w:val="24"/>
          <w:highlight w:val="none"/>
          <w:lang w:eastAsia="zh-CN"/>
        </w:rPr>
      </w:pPr>
      <w:r>
        <w:rPr>
          <w:rFonts w:hint="eastAsia" w:ascii="Times New Roman" w:hAnsi="Times New Roman" w:eastAsia="宋体" w:cs="Times New Roman"/>
          <w:color w:val="auto"/>
          <w:kern w:val="2"/>
          <w:sz w:val="24"/>
          <w:szCs w:val="24"/>
          <w:highlight w:val="none"/>
          <w:lang w:val="en-US" w:eastAsia="zh-CN" w:bidi="ar-SA"/>
        </w:rPr>
        <w:t>7.1本次招标公告同时在 《辽宁省招标投标监管网》（http://www.lntb.gov.cn）、《辽宁省公共资源交易网》（http://ggzy.ln.gov.cn）、《中国招标投标公共服务平台》（http://www.cebpubservice.com）、《</w:t>
      </w:r>
      <w:r>
        <w:rPr>
          <w:rFonts w:ascii="宋体" w:hAnsi="宋体" w:eastAsia="宋体" w:cs="宋体"/>
          <w:sz w:val="24"/>
          <w:szCs w:val="24"/>
          <w:highlight w:val="none"/>
        </w:rPr>
        <w:fldChar w:fldCharType="begin"/>
      </w:r>
      <w:r>
        <w:rPr>
          <w:rFonts w:ascii="宋体" w:hAnsi="宋体" w:eastAsia="宋体" w:cs="宋体"/>
          <w:sz w:val="24"/>
          <w:szCs w:val="24"/>
          <w:highlight w:val="none"/>
        </w:rPr>
        <w:instrText xml:space="preserve"> HYPERLINK "http://ccgp.yingkou.net.cn/html/main.asp" </w:instrText>
      </w:r>
      <w:r>
        <w:rPr>
          <w:rFonts w:ascii="宋体" w:hAnsi="宋体" w:eastAsia="宋体" w:cs="宋体"/>
          <w:sz w:val="24"/>
          <w:szCs w:val="24"/>
          <w:highlight w:val="none"/>
        </w:rPr>
        <w:fldChar w:fldCharType="separate"/>
      </w:r>
      <w:r>
        <w:rPr>
          <w:rStyle w:val="45"/>
          <w:rFonts w:ascii="宋体" w:hAnsi="宋体" w:eastAsia="宋体" w:cs="宋体"/>
          <w:sz w:val="24"/>
          <w:szCs w:val="24"/>
          <w:highlight w:val="none"/>
        </w:rPr>
        <w:t>营口市公共资源交易中心</w:t>
      </w:r>
      <w:r>
        <w:rPr>
          <w:rFonts w:hint="eastAsia" w:ascii="Times New Roman" w:hAnsi="Times New Roman" w:eastAsia="宋体" w:cs="Times New Roman"/>
          <w:color w:val="auto"/>
          <w:kern w:val="2"/>
          <w:sz w:val="24"/>
          <w:szCs w:val="24"/>
          <w:highlight w:val="none"/>
          <w:lang w:val="en-US" w:eastAsia="zh-CN" w:bidi="ar-SA"/>
        </w:rPr>
        <w:t>》</w:t>
      </w:r>
      <w:r>
        <w:rPr>
          <w:rStyle w:val="45"/>
          <w:rFonts w:ascii="宋体" w:hAnsi="宋体" w:eastAsia="宋体" w:cs="宋体"/>
          <w:sz w:val="24"/>
          <w:szCs w:val="24"/>
          <w:highlight w:val="none"/>
        </w:rPr>
        <w:t xml:space="preserve"> (</w:t>
      </w:r>
      <w:r>
        <w:rPr>
          <w:rStyle w:val="45"/>
          <w:rFonts w:hint="eastAsia" w:ascii="宋体" w:hAnsi="宋体" w:eastAsia="宋体" w:cs="宋体"/>
          <w:sz w:val="24"/>
          <w:szCs w:val="24"/>
          <w:highlight w:val="none"/>
        </w:rPr>
        <w:t>http://ccgp.yingkou.net.cn/html/main.asp</w:t>
      </w:r>
      <w:r>
        <w:rPr>
          <w:rStyle w:val="45"/>
          <w:rFonts w:ascii="宋体" w:hAnsi="宋体" w:eastAsia="宋体" w:cs="宋体"/>
          <w:sz w:val="24"/>
          <w:szCs w:val="24"/>
          <w:highlight w:val="none"/>
        </w:rPr>
        <w:t>)</w:t>
      </w:r>
      <w:r>
        <w:rPr>
          <w:rFonts w:ascii="宋体" w:hAnsi="宋体" w:eastAsia="宋体" w:cs="宋体"/>
          <w:sz w:val="24"/>
          <w:szCs w:val="24"/>
          <w:highlight w:val="none"/>
        </w:rPr>
        <w:fldChar w:fldCharType="end"/>
      </w:r>
      <w:r>
        <w:rPr>
          <w:rFonts w:hint="eastAsia" w:ascii="宋体" w:hAnsi="宋体" w:eastAsia="宋体" w:cs="宋体"/>
          <w:sz w:val="24"/>
          <w:szCs w:val="24"/>
          <w:lang w:eastAsia="zh-CN"/>
        </w:rPr>
        <w:t>、</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营口市交通运输局</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https://jtj.yingkou.gov.cn/</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上发布。</w:t>
      </w:r>
    </w:p>
    <w:p w14:paraId="66F150F0">
      <w:pPr>
        <w:pStyle w:val="15"/>
        <w:pageBreakBefore w:val="0"/>
        <w:kinsoku/>
        <w:wordWrap w:val="0"/>
        <w:topLinePunct/>
        <w:bidi w:val="0"/>
        <w:spacing w:line="400" w:lineRule="atLeas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7.2潜在投标人或者其他利害关系人如对本招标公告有异议，可在投标截止时间10日前按照《中华人民共和国招标投标法实施条例》中的有关规定向招标人提出。</w:t>
      </w:r>
    </w:p>
    <w:p w14:paraId="06D8EB7D">
      <w:pPr>
        <w:pStyle w:val="2"/>
        <w:pageBreakBefore w:val="0"/>
        <w:kinsoku/>
        <w:wordWrap w:val="0"/>
        <w:bidi w:val="0"/>
        <w:spacing w:before="240" w:after="240" w:line="240" w:lineRule="atLeast"/>
        <w:outlineLvl w:val="1"/>
        <w:rPr>
          <w:rFonts w:hint="default" w:ascii="Times New Roman" w:hAnsi="Times New Roman" w:eastAsia="黑体" w:cs="Times New Roman"/>
          <w:color w:val="auto"/>
          <w:sz w:val="28"/>
          <w:szCs w:val="28"/>
          <w:highlight w:val="none"/>
        </w:rPr>
      </w:pPr>
      <w:bookmarkStart w:id="42" w:name="_Toc27909"/>
      <w:bookmarkStart w:id="43" w:name="_Toc470760979"/>
      <w:bookmarkStart w:id="44" w:name="_Toc31367"/>
      <w:bookmarkStart w:id="45" w:name="_Toc26506"/>
      <w:r>
        <w:rPr>
          <w:rFonts w:hint="eastAsia" w:cs="Times New Roman"/>
          <w:color w:val="auto"/>
          <w:sz w:val="28"/>
          <w:szCs w:val="28"/>
          <w:highlight w:val="none"/>
          <w:lang w:val="en-US" w:eastAsia="zh-CN"/>
        </w:rPr>
        <w:t>8</w:t>
      </w:r>
      <w:r>
        <w:rPr>
          <w:rFonts w:hint="default" w:ascii="Times New Roman" w:hAnsi="Times New Roman" w:eastAsia="黑体" w:cs="Times New Roman"/>
          <w:color w:val="auto"/>
          <w:sz w:val="28"/>
          <w:szCs w:val="28"/>
          <w:highlight w:val="none"/>
        </w:rPr>
        <w:t>. 联系方式</w:t>
      </w:r>
      <w:bookmarkEnd w:id="42"/>
      <w:bookmarkEnd w:id="43"/>
      <w:bookmarkEnd w:id="44"/>
      <w:bookmarkEnd w:id="45"/>
    </w:p>
    <w:p w14:paraId="04995057">
      <w:pPr>
        <w:pageBreakBefore w:val="0"/>
        <w:kinsoku/>
        <w:wordWrap w:val="0"/>
        <w:topLinePunct/>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监督部门：</w:t>
      </w:r>
      <w:r>
        <w:rPr>
          <w:rFonts w:hint="eastAsia" w:cs="Times New Roman"/>
          <w:color w:val="auto"/>
          <w:sz w:val="24"/>
          <w:szCs w:val="24"/>
          <w:highlight w:val="none"/>
          <w:lang w:val="en-US" w:eastAsia="zh-CN"/>
        </w:rPr>
        <w:t>盖</w:t>
      </w:r>
      <w:r>
        <w:rPr>
          <w:rFonts w:hint="eastAsia" w:ascii="Times New Roman" w:hAnsi="Times New Roman" w:eastAsia="宋体" w:cs="Times New Roman"/>
          <w:color w:val="auto"/>
          <w:sz w:val="24"/>
          <w:szCs w:val="24"/>
          <w:highlight w:val="none"/>
          <w:lang w:val="en-US" w:eastAsia="zh-CN"/>
        </w:rPr>
        <w:t>州市交通运输局</w:t>
      </w:r>
    </w:p>
    <w:p w14:paraId="6787E5F0">
      <w:pPr>
        <w:pageBreakBefore w:val="0"/>
        <w:kinsoku/>
        <w:wordWrap w:val="0"/>
        <w:topLinePunct/>
        <w:bidi w:val="0"/>
        <w:spacing w:line="400" w:lineRule="exact"/>
        <w:ind w:firstLine="480" w:firstLineChars="2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rPr>
        <w:t xml:space="preserve">地  </w:t>
      </w:r>
      <w:r>
        <w:rPr>
          <w:rFonts w:hint="default" w:ascii="Times New Roman" w:hAnsi="Times New Roman" w:cs="Times New Roman"/>
          <w:color w:val="auto"/>
          <w:sz w:val="24"/>
          <w:szCs w:val="24"/>
          <w:highlight w:val="none"/>
          <w:u w:val="none"/>
        </w:rPr>
        <w:t xml:space="preserve">  址：</w:t>
      </w:r>
      <w:r>
        <w:rPr>
          <w:rFonts w:hint="default" w:ascii="Times New Roman" w:hAnsi="Times New Roman" w:cs="Times New Roman"/>
          <w:color w:val="auto"/>
          <w:sz w:val="24"/>
          <w:szCs w:val="24"/>
          <w:highlight w:val="none"/>
          <w:u w:val="none"/>
          <w:lang w:val="en-US" w:eastAsia="zh-CN"/>
        </w:rPr>
        <w:t>营口市</w:t>
      </w:r>
      <w:r>
        <w:rPr>
          <w:rFonts w:hint="default" w:ascii="Times New Roman" w:hAnsi="Times New Roman" w:cs="Times New Roman"/>
          <w:color w:val="auto"/>
          <w:sz w:val="24"/>
          <w:szCs w:val="24"/>
          <w:highlight w:val="none"/>
          <w:u w:val="none"/>
        </w:rPr>
        <w:t>盖州市</w:t>
      </w:r>
      <w:r>
        <w:rPr>
          <w:rFonts w:hint="eastAsia" w:cs="Times New Roman"/>
          <w:color w:val="auto"/>
          <w:sz w:val="24"/>
          <w:szCs w:val="24"/>
          <w:highlight w:val="none"/>
          <w:u w:val="none"/>
          <w:lang w:val="en-US" w:eastAsia="zh-CN"/>
        </w:rPr>
        <w:t>清河大街政府2号楼</w:t>
      </w:r>
    </w:p>
    <w:p w14:paraId="6D62B240">
      <w:pPr>
        <w:pageBreakBefore w:val="0"/>
        <w:kinsoku/>
        <w:wordWrap w:val="0"/>
        <w:topLinePunct/>
        <w:bidi w:val="0"/>
        <w:spacing w:line="400" w:lineRule="exact"/>
        <w:ind w:firstLine="480" w:firstLineChars="2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联 系 人：</w:t>
      </w:r>
      <w:r>
        <w:rPr>
          <w:rFonts w:hint="eastAsia" w:cs="Times New Roman"/>
          <w:color w:val="auto"/>
          <w:sz w:val="24"/>
          <w:szCs w:val="24"/>
          <w:highlight w:val="none"/>
          <w:u w:val="none"/>
          <w:lang w:val="en-US" w:eastAsia="zh-CN"/>
        </w:rPr>
        <w:t>任先生</w:t>
      </w:r>
      <w:r>
        <w:rPr>
          <w:rFonts w:hint="default" w:cs="Times New Roman"/>
          <w:color w:val="auto"/>
          <w:sz w:val="24"/>
          <w:szCs w:val="24"/>
          <w:highlight w:val="none"/>
          <w:u w:val="none"/>
          <w:lang w:val="en-US" w:eastAsia="zh-CN"/>
        </w:rPr>
        <w:t xml:space="preserve">    </w:t>
      </w:r>
      <w:r>
        <w:rPr>
          <w:rFonts w:hint="default" w:ascii="Times New Roman" w:hAnsi="Times New Roman" w:eastAsia="黑体" w:cs="Times New Roman"/>
          <w:color w:val="auto"/>
          <w:sz w:val="24"/>
          <w:szCs w:val="24"/>
          <w:highlight w:val="none"/>
          <w:u w:val="none"/>
        </w:rPr>
        <w:t xml:space="preserve">       </w:t>
      </w:r>
    </w:p>
    <w:p w14:paraId="41619C2F">
      <w:pPr>
        <w:pageBreakBefore w:val="0"/>
        <w:kinsoku/>
        <w:wordWrap w:val="0"/>
        <w:topLinePunct/>
        <w:bidi w:val="0"/>
        <w:spacing w:line="400" w:lineRule="exact"/>
        <w:ind w:firstLine="480" w:firstLineChars="200"/>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电    话：</w:t>
      </w:r>
      <w:r>
        <w:rPr>
          <w:rFonts w:hint="eastAsia" w:eastAsia="黑体" w:cs="Times New Roman"/>
          <w:color w:val="auto"/>
          <w:sz w:val="24"/>
          <w:szCs w:val="24"/>
          <w:highlight w:val="none"/>
          <w:u w:val="none"/>
          <w:lang w:val="en-US" w:eastAsia="zh-CN"/>
        </w:rPr>
        <w:t>0417-7696996</w:t>
      </w:r>
      <w:r>
        <w:rPr>
          <w:rFonts w:hint="default" w:ascii="Times New Roman" w:hAnsi="Times New Roman" w:eastAsia="黑体" w:cs="Times New Roman"/>
          <w:color w:val="auto"/>
          <w:sz w:val="24"/>
          <w:szCs w:val="24"/>
          <w:highlight w:val="none"/>
          <w:u w:val="none"/>
        </w:rPr>
        <w:t xml:space="preserve">         </w:t>
      </w:r>
    </w:p>
    <w:p w14:paraId="7D0572E1">
      <w:pPr>
        <w:pageBreakBefore w:val="0"/>
        <w:kinsoku/>
        <w:wordWrap w:val="0"/>
        <w:topLinePunct/>
        <w:bidi w:val="0"/>
        <w:spacing w:line="400" w:lineRule="exact"/>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招 标 人：</w:t>
      </w:r>
      <w:r>
        <w:rPr>
          <w:rFonts w:hint="default" w:ascii="Times New Roman" w:hAnsi="Times New Roman" w:cs="Times New Roman"/>
          <w:color w:val="auto"/>
          <w:sz w:val="24"/>
          <w:szCs w:val="24"/>
          <w:highlight w:val="none"/>
          <w:lang w:val="en-US" w:eastAsia="zh-CN"/>
        </w:rPr>
        <w:t>盖州市交通运输服务中心</w:t>
      </w:r>
    </w:p>
    <w:p w14:paraId="254EA45A">
      <w:pPr>
        <w:pageBreakBefore w:val="0"/>
        <w:kinsoku/>
        <w:wordWrap w:val="0"/>
        <w:topLinePunct/>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地  </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址：</w:t>
      </w:r>
      <w:r>
        <w:rPr>
          <w:rFonts w:hint="default" w:ascii="Times New Roman" w:hAnsi="Times New Roman" w:cs="Times New Roman"/>
          <w:color w:val="auto"/>
          <w:sz w:val="24"/>
          <w:szCs w:val="24"/>
          <w:highlight w:val="none"/>
          <w:lang w:val="en-US" w:eastAsia="zh-CN"/>
        </w:rPr>
        <w:t>营口市</w:t>
      </w:r>
      <w:r>
        <w:rPr>
          <w:rFonts w:hint="default" w:ascii="Times New Roman" w:hAnsi="Times New Roman" w:cs="Times New Roman"/>
          <w:color w:val="auto"/>
          <w:sz w:val="24"/>
          <w:szCs w:val="24"/>
          <w:highlight w:val="none"/>
        </w:rPr>
        <w:t>盖州市盖州路108号</w:t>
      </w:r>
    </w:p>
    <w:p w14:paraId="3706B8FA">
      <w:pPr>
        <w:pageBreakBefore w:val="0"/>
        <w:kinsoku/>
        <w:wordWrap w:val="0"/>
        <w:topLinePunct/>
        <w:bidi w:val="0"/>
        <w:spacing w:line="400" w:lineRule="exact"/>
        <w:ind w:firstLine="480" w:firstLineChars="200"/>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rPr>
        <w:t>联 系 人：</w:t>
      </w:r>
      <w:r>
        <w:rPr>
          <w:rFonts w:hint="eastAsia" w:cs="Times New Roman"/>
          <w:color w:val="auto"/>
          <w:sz w:val="24"/>
          <w:szCs w:val="24"/>
          <w:highlight w:val="none"/>
          <w:lang w:val="en-US" w:eastAsia="zh-CN"/>
        </w:rPr>
        <w:t>万先生</w:t>
      </w:r>
    </w:p>
    <w:p w14:paraId="4504EC47">
      <w:pPr>
        <w:pageBreakBefore w:val="0"/>
        <w:kinsoku/>
        <w:wordWrap w:val="0"/>
        <w:topLinePunct/>
        <w:bidi w:val="0"/>
        <w:spacing w:line="40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电    话：</w:t>
      </w:r>
      <w:bookmarkStart w:id="46" w:name="_Toc384308186"/>
      <w:bookmarkStart w:id="47" w:name="_Toc352691454"/>
      <w:bookmarkStart w:id="48" w:name="_Toc3520"/>
      <w:bookmarkStart w:id="49" w:name="_Toc369531496"/>
      <w:bookmarkStart w:id="50" w:name="_Toc247513933"/>
      <w:bookmarkStart w:id="51" w:name="_Toc247527534"/>
      <w:bookmarkStart w:id="52" w:name="_Toc300834928"/>
      <w:bookmarkStart w:id="53" w:name="_Toc361508561"/>
      <w:r>
        <w:rPr>
          <w:rFonts w:hint="default" w:ascii="Times New Roman" w:hAnsi="Times New Roman" w:cs="Times New Roman"/>
          <w:color w:val="auto"/>
          <w:sz w:val="24"/>
          <w:szCs w:val="24"/>
          <w:highlight w:val="none"/>
        </w:rPr>
        <w:t>0417</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7</w:t>
      </w:r>
      <w:bookmarkEnd w:id="46"/>
      <w:bookmarkEnd w:id="47"/>
      <w:bookmarkEnd w:id="48"/>
      <w:bookmarkEnd w:id="49"/>
      <w:bookmarkEnd w:id="50"/>
      <w:bookmarkEnd w:id="51"/>
      <w:bookmarkEnd w:id="52"/>
      <w:bookmarkEnd w:id="53"/>
      <w:r>
        <w:rPr>
          <w:rFonts w:hint="eastAsia" w:cs="Times New Roman"/>
          <w:color w:val="auto"/>
          <w:sz w:val="24"/>
          <w:szCs w:val="24"/>
          <w:highlight w:val="none"/>
          <w:lang w:val="en-US" w:eastAsia="zh-CN"/>
        </w:rPr>
        <w:t>690866</w:t>
      </w:r>
    </w:p>
    <w:p w14:paraId="13957C4A">
      <w:pPr>
        <w:pageBreakBefore w:val="0"/>
        <w:kinsoku/>
        <w:wordWrap w:val="0"/>
        <w:topLinePunct/>
        <w:bidi w:val="0"/>
        <w:spacing w:line="40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招标代理：沈阳金诺工程招标代理有限公司</w:t>
      </w:r>
    </w:p>
    <w:p w14:paraId="36332E6C">
      <w:pPr>
        <w:pageBreakBefore w:val="0"/>
        <w:kinsoku/>
        <w:wordWrap w:val="0"/>
        <w:topLinePunct/>
        <w:bidi w:val="0"/>
        <w:spacing w:line="400" w:lineRule="exact"/>
        <w:ind w:firstLine="480" w:firstLineChars="20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地    址：辽宁省沈阳市浑南区远航中路25-1号</w:t>
      </w:r>
    </w:p>
    <w:p w14:paraId="7E53EA51">
      <w:pPr>
        <w:pageBreakBefore w:val="0"/>
        <w:kinsoku/>
        <w:wordWrap w:val="0"/>
        <w:topLinePunct/>
        <w:bidi w:val="0"/>
        <w:spacing w:line="40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联 系 人：金先生 张女士</w:t>
      </w:r>
    </w:p>
    <w:p w14:paraId="019CE379">
      <w:pPr>
        <w:pageBreakBefore w:val="0"/>
        <w:kinsoku/>
        <w:wordWrap w:val="0"/>
        <w:topLinePunct/>
        <w:bidi w:val="0"/>
        <w:spacing w:line="400" w:lineRule="exact"/>
        <w:ind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 xml:space="preserve">联系电话：024-31695917-8527或8529   </w:t>
      </w:r>
    </w:p>
    <w:p w14:paraId="467F7758">
      <w:pPr>
        <w:pageBreakBefore w:val="0"/>
        <w:kinsoku/>
        <w:wordWrap w:val="0"/>
        <w:topLinePunct/>
        <w:bidi w:val="0"/>
        <w:spacing w:line="400" w:lineRule="exact"/>
        <w:ind w:firstLine="480" w:firstLineChars="200"/>
        <w:rPr>
          <w:rFonts w:hint="default" w:ascii="Times New Roman" w:hAnsi="Times New Roman" w:cs="Times New Roman"/>
          <w:color w:val="0000FF"/>
          <w:sz w:val="24"/>
          <w:highlight w:val="none"/>
        </w:rPr>
      </w:pPr>
      <w:r>
        <w:rPr>
          <w:rFonts w:hint="eastAsia" w:ascii="Times New Roman" w:hAnsi="Times New Roman" w:eastAsia="宋体" w:cs="Times New Roman"/>
          <w:color w:val="auto"/>
          <w:sz w:val="24"/>
          <w:szCs w:val="24"/>
          <w:highlight w:val="none"/>
          <w:lang w:val="en-US" w:eastAsia="zh-CN"/>
        </w:rPr>
        <w:t>邮    箱：1053482638@qq.com</w:t>
      </w:r>
      <w:r>
        <w:rPr>
          <w:rFonts w:hint="default" w:ascii="Times New Roman" w:hAnsi="Times New Roman" w:cs="Times New Roman"/>
          <w:color w:val="auto"/>
          <w:sz w:val="24"/>
          <w:highlight w:val="none"/>
        </w:rPr>
        <w:t xml:space="preserve">                                               </w:t>
      </w:r>
    </w:p>
    <w:p w14:paraId="701202E8">
      <w:pPr>
        <w:tabs>
          <w:tab w:val="left" w:pos="6027"/>
        </w:tabs>
        <w:spacing w:before="179" w:line="220" w:lineRule="auto"/>
        <w:rPr>
          <w:rFonts w:hint="eastAsia" w:ascii="仿宋" w:hAnsi="仿宋" w:eastAsia="仿宋" w:cs="仿宋"/>
          <w:sz w:val="24"/>
          <w:szCs w:val="24"/>
          <w:highlight w:val="none"/>
        </w:rPr>
      </w:pPr>
      <w:r>
        <w:rPr>
          <w:rFonts w:hint="default" w:ascii="Times New Roman" w:hAnsi="Times New Roman" w:cs="Times New Roman"/>
          <w:color w:val="0000FF"/>
          <w:sz w:val="24"/>
          <w:highlight w:val="none"/>
        </w:rPr>
        <w:t>　　　　　　　　 　       　　　　　</w:t>
      </w:r>
      <w:r>
        <w:rPr>
          <w:rFonts w:hint="eastAsia" w:ascii="仿宋" w:hAnsi="仿宋" w:eastAsia="仿宋" w:cs="仿宋"/>
          <w:sz w:val="24"/>
          <w:szCs w:val="24"/>
          <w:highlight w:val="none"/>
          <w:u w:val="none" w:color="auto"/>
          <w:lang w:val="en-US" w:eastAsia="zh-CN"/>
        </w:rPr>
        <w:t>2026</w:t>
      </w:r>
      <w:r>
        <w:rPr>
          <w:rFonts w:hint="eastAsia" w:ascii="仿宋" w:hAnsi="仿宋" w:eastAsia="仿宋" w:cs="仿宋"/>
          <w:spacing w:val="-7"/>
          <w:sz w:val="24"/>
          <w:szCs w:val="24"/>
          <w:highlight w:val="none"/>
          <w:u w:val="none" w:color="auto"/>
        </w:rPr>
        <w:t>年</w:t>
      </w:r>
      <w:r>
        <w:rPr>
          <w:rFonts w:hint="eastAsia" w:ascii="仿宋" w:hAnsi="仿宋" w:eastAsia="仿宋" w:cs="仿宋"/>
          <w:sz w:val="24"/>
          <w:szCs w:val="24"/>
          <w:highlight w:val="none"/>
          <w:u w:val="none" w:color="auto"/>
          <w:lang w:val="en-US" w:eastAsia="zh-CN"/>
        </w:rPr>
        <w:t>9</w:t>
      </w:r>
      <w:r>
        <w:rPr>
          <w:rFonts w:hint="eastAsia" w:ascii="仿宋" w:hAnsi="仿宋" w:eastAsia="仿宋" w:cs="仿宋"/>
          <w:spacing w:val="-7"/>
          <w:sz w:val="24"/>
          <w:szCs w:val="24"/>
          <w:highlight w:val="none"/>
          <w:u w:val="none" w:color="auto"/>
        </w:rPr>
        <w:t>月</w:t>
      </w:r>
      <w:r>
        <w:rPr>
          <w:rFonts w:hint="eastAsia" w:ascii="仿宋" w:hAnsi="仿宋" w:eastAsia="仿宋" w:cs="仿宋"/>
          <w:sz w:val="24"/>
          <w:szCs w:val="24"/>
          <w:highlight w:val="none"/>
          <w:u w:val="none" w:color="auto"/>
          <w:lang w:val="en-US" w:eastAsia="zh-CN"/>
        </w:rPr>
        <w:t>03</w:t>
      </w:r>
      <w:r>
        <w:rPr>
          <w:rFonts w:hint="eastAsia" w:ascii="仿宋" w:hAnsi="仿宋" w:eastAsia="仿宋" w:cs="仿宋"/>
          <w:spacing w:val="-7"/>
          <w:sz w:val="24"/>
          <w:szCs w:val="24"/>
          <w:highlight w:val="none"/>
          <w:u w:val="none" w:color="auto"/>
        </w:rPr>
        <w:t>日</w:t>
      </w:r>
    </w:p>
    <w:p w14:paraId="1416F629">
      <w:pPr>
        <w:pageBreakBefore w:val="0"/>
        <w:widowControl/>
        <w:kinsoku/>
        <w:wordWrap w:val="0"/>
        <w:bidi w:val="0"/>
        <w:ind w:firstLine="960" w:firstLineChars="400"/>
        <w:jc w:val="left"/>
        <w:rPr>
          <w:rFonts w:hint="default" w:ascii="Times New Roman" w:hAnsi="Times New Roman" w:cs="Times New Roman"/>
          <w:color w:val="auto"/>
          <w:sz w:val="24"/>
          <w:highlight w:val="none"/>
        </w:rPr>
        <w:sectPr>
          <w:headerReference r:id="rId15" w:type="default"/>
          <w:footerReference r:id="rId17" w:type="default"/>
          <w:headerReference r:id="rId16" w:type="even"/>
          <w:footerReference r:id="rId18"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0776E4AF">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AE8B78B">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6EB2E210">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02736FCA">
      <w:pPr>
        <w:pageBreakBefore w:val="0"/>
        <w:kinsoku/>
        <w:wordWrap w:val="0"/>
        <w:topLinePunct/>
        <w:bidi w:val="0"/>
        <w:spacing w:line="440" w:lineRule="exact"/>
        <w:ind w:right="31" w:rightChars="15"/>
        <w:rPr>
          <w:rFonts w:hint="default" w:ascii="Times New Roman" w:hAnsi="Times New Roman" w:eastAsia="黑体" w:cs="Times New Roman"/>
          <w:color w:val="auto"/>
          <w:sz w:val="29"/>
          <w:szCs w:val="29"/>
          <w:highlight w:val="none"/>
        </w:rPr>
      </w:pPr>
    </w:p>
    <w:p w14:paraId="372348EF">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00CB3C1F">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51B70D81">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29"/>
          <w:szCs w:val="29"/>
          <w:highlight w:val="none"/>
        </w:rPr>
      </w:pPr>
    </w:p>
    <w:p w14:paraId="4F63DE3C">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156C7880">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5F162A05">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r>
        <w:rPr>
          <w:rFonts w:hint="default" w:ascii="Times New Roman" w:hAnsi="Times New Roman" w:eastAsia="黑体" w:cs="Times New Roman"/>
          <w:color w:val="auto"/>
          <w:sz w:val="56"/>
          <w:szCs w:val="56"/>
          <w:highlight w:val="none"/>
        </w:rPr>
        <w:t>第二章  投标人须知</w:t>
      </w:r>
    </w:p>
    <w:p w14:paraId="2E1F30B1">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p>
    <w:p w14:paraId="11B09E97">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sectPr>
          <w:headerReference r:id="rId19" w:type="default"/>
          <w:footerReference r:id="rId21" w:type="default"/>
          <w:headerReference r:id="rId20" w:type="even"/>
          <w:footerReference r:id="rId22"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7C1A14F0">
      <w:pPr>
        <w:pageBreakBefore w:val="0"/>
        <w:kinsoku/>
        <w:wordWrap w:val="0"/>
        <w:bidi w:val="0"/>
        <w:spacing w:line="440" w:lineRule="exact"/>
        <w:jc w:val="center"/>
        <w:outlineLvl w:val="0"/>
        <w:rPr>
          <w:rStyle w:val="53"/>
          <w:rFonts w:hint="default" w:ascii="Times New Roman" w:hAnsi="Times New Roman" w:eastAsia="黑体" w:cs="Times New Roman"/>
          <w:color w:val="auto"/>
          <w:sz w:val="42"/>
          <w:szCs w:val="42"/>
          <w:highlight w:val="none"/>
        </w:rPr>
      </w:pPr>
      <w:bookmarkStart w:id="54" w:name="_Toc19741"/>
      <w:bookmarkStart w:id="55" w:name="_Toc9806"/>
      <w:bookmarkStart w:id="56" w:name="_Toc10289"/>
      <w:bookmarkStart w:id="57" w:name="_Toc234832861"/>
      <w:r>
        <w:rPr>
          <w:rStyle w:val="53"/>
          <w:rFonts w:hint="default" w:ascii="Times New Roman" w:hAnsi="Times New Roman" w:eastAsia="黑体" w:cs="Times New Roman"/>
          <w:color w:val="auto"/>
          <w:sz w:val="42"/>
          <w:szCs w:val="42"/>
          <w:highlight w:val="none"/>
        </w:rPr>
        <w:t>第二章  投标人须知</w:t>
      </w:r>
      <w:bookmarkEnd w:id="54"/>
      <w:bookmarkEnd w:id="55"/>
      <w:bookmarkEnd w:id="56"/>
      <w:bookmarkEnd w:id="57"/>
    </w:p>
    <w:p w14:paraId="18382C42">
      <w:pPr>
        <w:pStyle w:val="2"/>
        <w:pageBreakBefore w:val="0"/>
        <w:kinsoku/>
        <w:wordWrap w:val="0"/>
        <w:bidi w:val="0"/>
        <w:spacing w:before="240" w:after="240" w:line="240" w:lineRule="atLeast"/>
        <w:outlineLvl w:val="1"/>
        <w:rPr>
          <w:rFonts w:hint="default" w:ascii="Times New Roman" w:hAnsi="Times New Roman" w:eastAsia="黑体" w:cs="Times New Roman"/>
          <w:color w:val="auto"/>
          <w:sz w:val="28"/>
          <w:szCs w:val="28"/>
          <w:highlight w:val="none"/>
        </w:rPr>
      </w:pPr>
      <w:bookmarkStart w:id="58" w:name="_Toc234832862"/>
      <w:bookmarkStart w:id="59" w:name="_Toc20369"/>
      <w:bookmarkStart w:id="60" w:name="_Toc29020"/>
      <w:bookmarkStart w:id="61" w:name="_Toc8928"/>
      <w:r>
        <w:rPr>
          <w:rFonts w:hint="default" w:ascii="Times New Roman" w:hAnsi="Times New Roman" w:eastAsia="黑体" w:cs="Times New Roman"/>
          <w:color w:val="auto"/>
          <w:sz w:val="28"/>
          <w:szCs w:val="28"/>
          <w:highlight w:val="none"/>
        </w:rPr>
        <w:t>投标人须知前附表</w:t>
      </w:r>
      <w:r>
        <w:rPr>
          <w:rStyle w:val="47"/>
          <w:rFonts w:hint="default" w:ascii="Times New Roman" w:hAnsi="Times New Roman" w:eastAsia="黑体" w:cs="Times New Roman"/>
          <w:color w:val="auto"/>
          <w:sz w:val="28"/>
          <w:szCs w:val="28"/>
          <w:highlight w:val="none"/>
        </w:rPr>
        <w:footnoteReference w:id="4"/>
      </w:r>
      <w:bookmarkEnd w:id="58"/>
      <w:bookmarkEnd w:id="59"/>
      <w:bookmarkEnd w:id="60"/>
      <w:bookmarkEnd w:id="61"/>
    </w:p>
    <w:tbl>
      <w:tblPr>
        <w:tblStyle w:val="39"/>
        <w:tblW w:w="9004" w:type="dxa"/>
        <w:tblInd w:w="0" w:type="dxa"/>
        <w:tblLayout w:type="fixed"/>
        <w:tblCellMar>
          <w:top w:w="0" w:type="dxa"/>
          <w:left w:w="108" w:type="dxa"/>
          <w:bottom w:w="0" w:type="dxa"/>
          <w:right w:w="108" w:type="dxa"/>
        </w:tblCellMar>
      </w:tblPr>
      <w:tblGrid>
        <w:gridCol w:w="1036"/>
        <w:gridCol w:w="3101"/>
        <w:gridCol w:w="4867"/>
      </w:tblGrid>
      <w:tr w14:paraId="55B68763">
        <w:tblPrEx>
          <w:tblCellMar>
            <w:top w:w="0" w:type="dxa"/>
            <w:left w:w="108" w:type="dxa"/>
            <w:bottom w:w="0" w:type="dxa"/>
            <w:right w:w="108" w:type="dxa"/>
          </w:tblCellMar>
        </w:tblPrEx>
        <w:trPr>
          <w:trHeight w:val="340" w:hRule="atLeast"/>
          <w:tblHeader/>
        </w:trPr>
        <w:tc>
          <w:tcPr>
            <w:tcW w:w="1036" w:type="dxa"/>
            <w:tcBorders>
              <w:top w:val="single" w:color="auto" w:sz="4" w:space="0"/>
              <w:left w:val="single" w:color="auto" w:sz="4" w:space="0"/>
              <w:bottom w:val="single" w:color="auto" w:sz="4" w:space="0"/>
              <w:right w:val="single" w:color="auto" w:sz="4" w:space="0"/>
            </w:tcBorders>
            <w:noWrap w:val="0"/>
            <w:vAlign w:val="center"/>
          </w:tcPr>
          <w:p w14:paraId="1C3D1844">
            <w:pPr>
              <w:pageBreakBefore w:val="0"/>
              <w:kinsoku/>
              <w:wordWrap w:val="0"/>
              <w:bidi w:val="0"/>
              <w:spacing w:line="440" w:lineRule="exact"/>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60F9693">
            <w:pPr>
              <w:pageBreakBefore w:val="0"/>
              <w:kinsoku/>
              <w:wordWrap w:val="0"/>
              <w:bidi w:val="0"/>
              <w:spacing w:line="440" w:lineRule="exact"/>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  款  名  称</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EBCE4BC">
            <w:pPr>
              <w:pageBreakBefore w:val="0"/>
              <w:kinsoku/>
              <w:wordWrap w:val="0"/>
              <w:bidi w:val="0"/>
              <w:spacing w:line="440" w:lineRule="exact"/>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编  列  内  容</w:t>
            </w:r>
          </w:p>
        </w:tc>
      </w:tr>
      <w:tr w14:paraId="3E31A0F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9E08C0D">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4A55DA60">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招标人</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3A6E4A5">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6EA2591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2DFBD6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1.1.3</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588491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招标代理机构</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1130C292">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493B401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FA032E0">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1.1.4</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492BC7E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招标项目名称</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6E332F4">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1EAA814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DAE385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1.1.5</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6275C1B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标段建设地点</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252C8F4">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7D0C47B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3FFABB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1.2.1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4C8C2E6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资金来源及比例</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A87285C">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7DEB25C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81E036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1.2.2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01BC939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资金落实情况</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7BEF006A">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575347E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9FC66F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1.3.1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C87774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招标范围</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2ABB03F">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0C45538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07C722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1.3.2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E2D523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计划工期</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8B5AE22">
            <w:pPr>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详见</w:t>
            </w:r>
            <w:r>
              <w:rPr>
                <w:rFonts w:hint="default" w:ascii="Times New Roman" w:hAnsi="Times New Roman" w:cs="Times New Roman"/>
                <w:color w:val="auto"/>
                <w:sz w:val="24"/>
                <w:szCs w:val="24"/>
                <w:highlight w:val="none"/>
                <w:lang w:eastAsia="zh-CN"/>
              </w:rPr>
              <w:t>第一章</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招标公告</w:t>
            </w:r>
            <w:r>
              <w:rPr>
                <w:rFonts w:hint="eastAsia" w:ascii="宋体" w:hAnsi="宋体" w:eastAsia="宋体" w:cs="宋体"/>
                <w:color w:val="auto"/>
                <w:sz w:val="24"/>
                <w:szCs w:val="24"/>
                <w:highlight w:val="none"/>
                <w:lang w:eastAsia="zh-CN"/>
              </w:rPr>
              <w:t>”</w:t>
            </w:r>
          </w:p>
        </w:tc>
      </w:tr>
      <w:tr w14:paraId="06138C5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5B136F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1.3.3</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6A5F2A8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质量要求</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88E2450">
            <w:pPr>
              <w:pStyle w:val="15"/>
              <w:pageBreakBefore w:val="0"/>
              <w:kinsoku/>
              <w:wordWrap w:val="0"/>
              <w:topLinePunct/>
              <w:bidi w:val="0"/>
              <w:spacing w:line="440" w:lineRule="exact"/>
              <w:rPr>
                <w:rFonts w:hint="default" w:ascii="Times New Roman" w:hAnsi="Times New Roman" w:eastAsia="宋体" w:cs="Times New Roman"/>
                <w:color w:val="auto"/>
                <w:sz w:val="24"/>
                <w:szCs w:val="24"/>
                <w:highlight w:val="none"/>
                <w:u w:val="singl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标段工程交工验收的质量评定：</w:t>
            </w:r>
            <w:r>
              <w:rPr>
                <w:rFonts w:hint="eastAsia" w:ascii="仿宋" w:hAnsi="仿宋" w:eastAsia="仿宋" w:cs="仿宋"/>
                <w:spacing w:val="4"/>
                <w:highlight w:val="none"/>
                <w:u w:val="single" w:color="auto"/>
                <w:lang w:val="en-US" w:eastAsia="zh-CN"/>
              </w:rPr>
              <w:t>合格</w:t>
            </w:r>
            <w:r>
              <w:rPr>
                <w:rFonts w:hint="eastAsia" w:ascii="仿宋" w:hAnsi="仿宋" w:eastAsia="仿宋" w:cs="仿宋"/>
                <w:spacing w:val="4"/>
                <w:highlight w:val="none"/>
                <w:u w:val="single" w:color="auto"/>
              </w:rPr>
              <w:t xml:space="preserve"> </w:t>
            </w:r>
            <w:r>
              <w:rPr>
                <w:rFonts w:hint="default" w:ascii="Times New Roman" w:hAnsi="Times New Roman" w:cs="Times New Roman"/>
                <w:color w:val="auto"/>
                <w:sz w:val="24"/>
                <w:szCs w:val="24"/>
                <w:highlight w:val="none"/>
                <w:u w:val="single"/>
              </w:rPr>
              <w:t xml:space="preserve">   </w:t>
            </w:r>
            <w:r>
              <w:rPr>
                <w:rFonts w:hint="eastAsia" w:ascii="Times New Roman" w:cs="Times New Roman"/>
                <w:color w:val="auto"/>
                <w:sz w:val="24"/>
                <w:szCs w:val="24"/>
                <w:highlight w:val="none"/>
                <w:u w:val="none"/>
                <w:lang w:eastAsia="zh-CN"/>
              </w:rPr>
              <w:t>；</w:t>
            </w:r>
            <w:r>
              <w:rPr>
                <w:rFonts w:hint="default" w:ascii="Times New Roman" w:hAnsi="Times New Roman" w:cs="Times New Roman"/>
                <w:color w:val="auto"/>
                <w:sz w:val="24"/>
                <w:szCs w:val="24"/>
                <w:highlight w:val="none"/>
              </w:rPr>
              <w:t>竣工验收的质量评定：</w:t>
            </w:r>
            <w:r>
              <w:rPr>
                <w:rFonts w:hint="eastAsia" w:ascii="仿宋" w:hAnsi="仿宋" w:eastAsia="仿宋" w:cs="仿宋"/>
                <w:spacing w:val="4"/>
                <w:highlight w:val="none"/>
                <w:u w:val="single" w:color="auto"/>
                <w:lang w:val="en-US" w:eastAsia="zh-CN"/>
              </w:rPr>
              <w:t>合格</w:t>
            </w:r>
            <w:r>
              <w:rPr>
                <w:rFonts w:hint="eastAsia" w:ascii="仿宋" w:hAnsi="仿宋" w:eastAsia="仿宋" w:cs="仿宋"/>
                <w:spacing w:val="4"/>
                <w:highlight w:val="none"/>
                <w:u w:val="single" w:color="auto"/>
              </w:rPr>
              <w:t xml:space="preserve"> </w:t>
            </w:r>
            <w:r>
              <w:rPr>
                <w:rFonts w:hint="default" w:ascii="Times New Roman" w:hAnsi="Times New Roman" w:cs="Times New Roman"/>
                <w:color w:val="auto"/>
                <w:sz w:val="24"/>
                <w:szCs w:val="24"/>
                <w:highlight w:val="none"/>
                <w:u w:val="single"/>
              </w:rPr>
              <w:t xml:space="preserve">    </w:t>
            </w:r>
          </w:p>
        </w:tc>
      </w:tr>
      <w:tr w14:paraId="09E8001A">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9923CD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sz w:val="24"/>
                <w:szCs w:val="24"/>
                <w:highlight w:val="none"/>
              </w:rPr>
              <w:t>1.3.4</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566D8AE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安全目标</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7A01A29D">
            <w:pPr>
              <w:pStyle w:val="15"/>
              <w:pageBreakBefore w:val="0"/>
              <w:numPr>
                <w:ilvl w:val="-1"/>
                <w:numId w:val="0"/>
              </w:numPr>
              <w:kinsoku/>
              <w:wordWrap w:val="0"/>
              <w:topLinePunct/>
              <w:bidi w:val="0"/>
              <w:spacing w:line="440" w:lineRule="exact"/>
              <w:rPr>
                <w:rFonts w:hint="default" w:ascii="Times New Roman" w:cs="Times New Roman"/>
                <w:color w:val="auto"/>
                <w:sz w:val="24"/>
                <w:szCs w:val="24"/>
                <w:highlight w:val="none"/>
                <w:lang w:val="en-US" w:eastAsia="zh-CN"/>
              </w:rPr>
            </w:pPr>
            <w:r>
              <w:rPr>
                <w:rFonts w:hint="default" w:ascii="Times New Roman" w:cs="Times New Roman"/>
                <w:color w:val="auto"/>
                <w:sz w:val="24"/>
                <w:szCs w:val="24"/>
                <w:highlight w:val="none"/>
                <w:lang w:val="en-US" w:eastAsia="zh-CN"/>
              </w:rPr>
              <w:t>杜绝较大及以上安全生产责任事故，减少一般事故，力争零责任事故。</w:t>
            </w:r>
          </w:p>
        </w:tc>
      </w:tr>
      <w:tr w14:paraId="56B7FC5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BE2AB3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21F6F7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投标人资质条件、能力和信誉</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8CFB9FD">
            <w:pPr>
              <w:pStyle w:val="15"/>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资质要求：见</w:t>
            </w:r>
            <w:r>
              <w:rPr>
                <w:rFonts w:hint="default" w:ascii="Times New Roman" w:hAnsi="Times New Roman" w:eastAsia="黑体" w:cs="Times New Roman"/>
                <w:color w:val="auto"/>
                <w:sz w:val="24"/>
                <w:szCs w:val="24"/>
                <w:highlight w:val="none"/>
              </w:rPr>
              <w:t>附录1</w:t>
            </w:r>
          </w:p>
          <w:p w14:paraId="51E4A75D">
            <w:pPr>
              <w:pStyle w:val="15"/>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财务要求：见</w:t>
            </w:r>
            <w:r>
              <w:rPr>
                <w:rFonts w:hint="default" w:ascii="Times New Roman" w:hAnsi="Times New Roman" w:eastAsia="黑体" w:cs="Times New Roman"/>
                <w:color w:val="auto"/>
                <w:sz w:val="24"/>
                <w:szCs w:val="24"/>
                <w:highlight w:val="none"/>
              </w:rPr>
              <w:t>附录2</w:t>
            </w:r>
          </w:p>
          <w:p w14:paraId="05C77E55">
            <w:pPr>
              <w:pStyle w:val="15"/>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业绩要求：见</w:t>
            </w:r>
            <w:r>
              <w:rPr>
                <w:rFonts w:hint="default" w:ascii="Times New Roman" w:hAnsi="Times New Roman" w:eastAsia="黑体" w:cs="Times New Roman"/>
                <w:color w:val="auto"/>
                <w:sz w:val="24"/>
                <w:szCs w:val="24"/>
                <w:highlight w:val="none"/>
              </w:rPr>
              <w:t>附录3</w:t>
            </w:r>
          </w:p>
          <w:p w14:paraId="29086515">
            <w:pPr>
              <w:pStyle w:val="15"/>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信誉要求：见</w:t>
            </w:r>
            <w:r>
              <w:rPr>
                <w:rFonts w:hint="default" w:ascii="Times New Roman" w:hAnsi="Times New Roman" w:eastAsia="黑体" w:cs="Times New Roman"/>
                <w:color w:val="auto"/>
                <w:sz w:val="24"/>
                <w:szCs w:val="24"/>
                <w:highlight w:val="none"/>
              </w:rPr>
              <w:t>附录4</w:t>
            </w:r>
          </w:p>
          <w:p w14:paraId="228205BC">
            <w:pPr>
              <w:pStyle w:val="15"/>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项目经理和项目总工资格：见</w:t>
            </w:r>
            <w:r>
              <w:rPr>
                <w:rFonts w:hint="default" w:ascii="Times New Roman" w:hAnsi="Times New Roman" w:eastAsia="黑体" w:cs="Times New Roman"/>
                <w:color w:val="auto"/>
                <w:sz w:val="24"/>
                <w:szCs w:val="24"/>
                <w:highlight w:val="none"/>
              </w:rPr>
              <w:t>附录5</w:t>
            </w:r>
          </w:p>
          <w:p w14:paraId="4463588C">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其他要求：</w:t>
            </w:r>
            <w:r>
              <w:rPr>
                <w:rFonts w:hint="eastAsia" w:ascii="Times New Roman" w:hAnsi="Times New Roman" w:eastAsia="宋体" w:cs="Times New Roman"/>
                <w:color w:val="auto"/>
                <w:kern w:val="2"/>
                <w:sz w:val="24"/>
                <w:szCs w:val="24"/>
                <w:highlight w:val="none"/>
                <w:u w:val="single"/>
                <w:lang w:val="en-US" w:eastAsia="zh-CN" w:bidi="ar-SA"/>
              </w:rPr>
              <w:t>投标文件“资格审查资料”各项表格后应提供的证明材料以本附表各附录中的注解规定为准。</w:t>
            </w:r>
          </w:p>
        </w:tc>
      </w:tr>
      <w:tr w14:paraId="5A408D2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196393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5038174">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是否接受联合体投标</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754D8711">
            <w:pPr>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不接受</w:t>
            </w:r>
          </w:p>
          <w:p w14:paraId="13A73449">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lang w:val="en-US" w:eastAsia="zh-CN"/>
              </w:rPr>
              <w:t>标段，</w:t>
            </w:r>
            <w:r>
              <w:rPr>
                <w:rFonts w:hint="eastAsia" w:cs="Times New Roman"/>
                <w:color w:val="auto"/>
                <w:sz w:val="24"/>
                <w:szCs w:val="24"/>
                <w:highlight w:val="none"/>
                <w:lang w:val="en-US" w:eastAsia="zh-CN"/>
              </w:rPr>
              <w:t>接收</w:t>
            </w:r>
            <w:r>
              <w:rPr>
                <w:rFonts w:hint="default" w:ascii="Times New Roman" w:hAnsi="Times New Roman" w:cs="Times New Roman"/>
                <w:color w:val="auto"/>
                <w:sz w:val="24"/>
                <w:szCs w:val="24"/>
                <w:highlight w:val="none"/>
              </w:rPr>
              <w:t>，应满足下列要求：</w:t>
            </w:r>
          </w:p>
        </w:tc>
      </w:tr>
      <w:tr w14:paraId="3375594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E7BBDC9">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1.4.3</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1237755">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投标人不得存在的其他关联情形</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EB597D1">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与招标人存在利害关系可能影响招标公正性的单位，不得参加本项目投标。电子招标投标交易平台的运营机构，以及与该机构有控股或者管理关系可能影响招标公正性的任何单位和个人不得参与本项目投标</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单位负责人为同一人或存在控股、管理关系的不同单位，不得同时参加本项目投标</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否则，相关投标均无效。</w:t>
            </w:r>
          </w:p>
        </w:tc>
      </w:tr>
      <w:tr w14:paraId="12964F0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EF9F67D">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1.4.4</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9E07C3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投标人不得存在的其他不良状况或不良信用记录</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B68EB5F">
            <w:pPr>
              <w:pageBreakBefore w:val="0"/>
              <w:kinsoku/>
              <w:wordWrap w:val="0"/>
              <w:bidi w:val="0"/>
              <w:spacing w:line="440" w:lineRule="exac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 xml:space="preserve"> （1）被省级及以上交通运输主管部门取消招标项目所在地的投标资格且处于有效期内；</w:t>
            </w:r>
          </w:p>
          <w:p w14:paraId="60EBB2FF">
            <w:pPr>
              <w:pageBreakBefore w:val="0"/>
              <w:kinsoku/>
              <w:wordWrap w:val="0"/>
              <w:bidi w:val="0"/>
              <w:spacing w:line="440" w:lineRule="exac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（2）被责令停业，暂扣或吊销执照，或吊销资质证书；</w:t>
            </w:r>
          </w:p>
          <w:p w14:paraId="17AAF863">
            <w:pPr>
              <w:pageBreakBefore w:val="0"/>
              <w:kinsoku/>
              <w:wordWrap w:val="0"/>
              <w:bidi w:val="0"/>
              <w:spacing w:line="440" w:lineRule="exac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（3）进入清算程序，或被宣告破产，或其他丧失履约能力的情形；</w:t>
            </w:r>
          </w:p>
          <w:p w14:paraId="4FE42297">
            <w:pPr>
              <w:pageBreakBefore w:val="0"/>
              <w:kinsoku/>
              <w:wordWrap w:val="0"/>
              <w:bidi w:val="0"/>
              <w:spacing w:line="440" w:lineRule="exac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（4）在国家企业信用信息公示系统（http://www.gsxt.gov.cn）中被列入严重违法失信企业名单；</w:t>
            </w:r>
          </w:p>
          <w:p w14:paraId="3A9E7081">
            <w:pPr>
              <w:pageBreakBefore w:val="0"/>
              <w:kinsoku/>
              <w:wordWrap w:val="0"/>
              <w:bidi w:val="0"/>
              <w:spacing w:line="440" w:lineRule="exac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（5）在“信用中国”网站（http://www.creditchina.gov.cn）（或中国执行信息公开网 http://zxgk.court.gov.cn/shixin/）中被列入失信被执行人名单；</w:t>
            </w:r>
          </w:p>
          <w:p w14:paraId="5D53BD2E">
            <w:pPr>
              <w:pageBreakBefore w:val="0"/>
              <w:kinsoku/>
              <w:wordWrap w:val="0"/>
              <w:bidi w:val="0"/>
              <w:spacing w:line="440" w:lineRule="exac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（6）投标人或其法定代表人、拟委任的项目经理在近三年内有行贿犯罪行为的；</w:t>
            </w:r>
          </w:p>
          <w:p w14:paraId="6FBCD801">
            <w:pPr>
              <w:pageBreakBefore w:val="0"/>
              <w:kinsoku/>
              <w:wordWrap w:val="0"/>
              <w:bidi w:val="0"/>
              <w:spacing w:line="440" w:lineRule="exact"/>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（7）投标人财产未被接管或冻结；</w:t>
            </w:r>
          </w:p>
          <w:p w14:paraId="2A1B6E94">
            <w:pPr>
              <w:pageBreakBefore w:val="0"/>
              <w:kinsoku/>
              <w:wordWrap w:val="0"/>
              <w:bidi w:val="0"/>
              <w:spacing w:line="440" w:lineRule="exact"/>
              <w:rPr>
                <w:rFonts w:hint="default"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val="en-US" w:eastAsia="zh-CN"/>
              </w:rPr>
              <w:t>投标人在以往工程未因拖欠农民工工资、材料采购、工程分包款等，而受到省级有关部门的通报；</w:t>
            </w:r>
          </w:p>
          <w:p w14:paraId="60801947">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9</w:t>
            </w:r>
            <w:r>
              <w:rPr>
                <w:rFonts w:hint="eastAsia" w:ascii="Times New Roman" w:hAnsi="Times New Roman" w:cs="Times New Roman"/>
                <w:color w:val="auto"/>
                <w:sz w:val="24"/>
                <w:szCs w:val="24"/>
                <w:highlight w:val="none"/>
                <w:lang w:val="en-US" w:eastAsia="zh-CN"/>
              </w:rPr>
              <w:t>）法律法规规定的其他情形。</w:t>
            </w:r>
          </w:p>
        </w:tc>
      </w:tr>
      <w:tr w14:paraId="0B115D9E">
        <w:tblPrEx>
          <w:tblCellMar>
            <w:top w:w="0" w:type="dxa"/>
            <w:left w:w="108" w:type="dxa"/>
            <w:bottom w:w="0" w:type="dxa"/>
            <w:right w:w="108" w:type="dxa"/>
          </w:tblCellMar>
        </w:tblPrEx>
        <w:trPr>
          <w:trHeight w:val="340" w:hRule="atLeast"/>
        </w:trPr>
        <w:tc>
          <w:tcPr>
            <w:tcW w:w="1036" w:type="dxa"/>
            <w:vMerge w:val="restart"/>
            <w:tcBorders>
              <w:top w:val="single" w:color="auto" w:sz="4" w:space="0"/>
              <w:left w:val="single" w:color="auto" w:sz="4" w:space="0"/>
              <w:right w:val="single" w:color="auto" w:sz="4" w:space="0"/>
            </w:tcBorders>
            <w:noWrap w:val="0"/>
            <w:vAlign w:val="center"/>
          </w:tcPr>
          <w:p w14:paraId="5A70A89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1.10.2</w:t>
            </w:r>
          </w:p>
        </w:tc>
        <w:tc>
          <w:tcPr>
            <w:tcW w:w="3101" w:type="dxa"/>
            <w:vMerge w:val="restart"/>
            <w:tcBorders>
              <w:top w:val="single" w:color="auto" w:sz="4" w:space="0"/>
              <w:left w:val="single" w:color="auto" w:sz="4" w:space="0"/>
              <w:right w:val="single" w:color="auto" w:sz="4" w:space="0"/>
            </w:tcBorders>
            <w:noWrap w:val="0"/>
            <w:vAlign w:val="center"/>
          </w:tcPr>
          <w:p w14:paraId="6B4661E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投标人在投标预备会前提出问题</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CB8A4B9">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时间：</w:t>
            </w:r>
            <w:r>
              <w:rPr>
                <w:rFonts w:hint="eastAsia" w:ascii="仿宋" w:hAnsi="仿宋" w:eastAsia="仿宋" w:cs="仿宋"/>
                <w:sz w:val="21"/>
                <w:highlight w:val="none"/>
                <w:u w:val="single"/>
                <w:lang w:val="en-US" w:eastAsia="zh-CN"/>
              </w:rPr>
              <w:t xml:space="preserve"> </w:t>
            </w:r>
            <w:r>
              <w:rPr>
                <w:rFonts w:hint="eastAsia" w:ascii="仿宋" w:hAnsi="仿宋" w:eastAsia="仿宋" w:cs="仿宋"/>
                <w:spacing w:val="1"/>
                <w:highlight w:val="none"/>
                <w:u w:val="single" w:color="auto"/>
                <w:lang w:val="en-US" w:eastAsia="zh-CN"/>
              </w:rPr>
              <w:t xml:space="preserve">/ </w:t>
            </w:r>
          </w:p>
        </w:tc>
      </w:tr>
      <w:tr w14:paraId="104779D0">
        <w:tblPrEx>
          <w:tblCellMar>
            <w:top w:w="0" w:type="dxa"/>
            <w:left w:w="108" w:type="dxa"/>
            <w:bottom w:w="0" w:type="dxa"/>
            <w:right w:w="108" w:type="dxa"/>
          </w:tblCellMar>
        </w:tblPrEx>
        <w:trPr>
          <w:trHeight w:val="340" w:hRule="atLeast"/>
        </w:trPr>
        <w:tc>
          <w:tcPr>
            <w:tcW w:w="1036" w:type="dxa"/>
            <w:vMerge w:val="continue"/>
            <w:tcBorders>
              <w:left w:val="single" w:color="auto" w:sz="4" w:space="0"/>
              <w:bottom w:val="single" w:color="auto" w:sz="4" w:space="0"/>
              <w:right w:val="single" w:color="auto" w:sz="4" w:space="0"/>
            </w:tcBorders>
            <w:noWrap w:val="0"/>
            <w:vAlign w:val="center"/>
          </w:tcPr>
          <w:p w14:paraId="6E5A0B54">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3101" w:type="dxa"/>
            <w:vMerge w:val="continue"/>
            <w:tcBorders>
              <w:left w:val="single" w:color="auto" w:sz="4" w:space="0"/>
              <w:bottom w:val="single" w:color="auto" w:sz="4" w:space="0"/>
              <w:right w:val="single" w:color="auto" w:sz="4" w:space="0"/>
            </w:tcBorders>
            <w:noWrap w:val="0"/>
            <w:vAlign w:val="center"/>
          </w:tcPr>
          <w:p w14:paraId="2DA8FD5C">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23DD3DA">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形式：</w:t>
            </w:r>
            <w:r>
              <w:rPr>
                <w:rFonts w:hint="eastAsia" w:ascii="仿宋" w:hAnsi="仿宋" w:eastAsia="仿宋" w:cs="仿宋"/>
                <w:sz w:val="21"/>
                <w:highlight w:val="none"/>
                <w:u w:val="single"/>
                <w:lang w:val="en-US" w:eastAsia="zh-CN"/>
              </w:rPr>
              <w:t xml:space="preserve"> </w:t>
            </w:r>
            <w:r>
              <w:rPr>
                <w:rFonts w:hint="eastAsia" w:ascii="仿宋" w:hAnsi="仿宋" w:eastAsia="仿宋" w:cs="仿宋"/>
                <w:spacing w:val="1"/>
                <w:highlight w:val="none"/>
                <w:u w:val="single" w:color="auto"/>
                <w:lang w:val="en-US" w:eastAsia="zh-CN"/>
              </w:rPr>
              <w:t xml:space="preserve">/ </w:t>
            </w:r>
          </w:p>
        </w:tc>
      </w:tr>
      <w:tr w14:paraId="0A17130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CED4D0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1.11.1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9F776A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分  包</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9C52328">
            <w:pPr>
              <w:spacing w:line="360" w:lineRule="atLeast"/>
              <w:rPr>
                <w:rFonts w:ascii="Times New Roman" w:hAnsi="Times New Roman" w:eastAsia="宋体" w:cs="Times New Roman"/>
                <w:color w:val="auto"/>
                <w:szCs w:val="21"/>
                <w:highlight w:val="none"/>
              </w:rPr>
            </w:pPr>
            <w:r>
              <w:rPr>
                <w:rFonts w:hint="eastAsia" w:cs="Times New Roman"/>
                <w:color w:val="auto"/>
                <w:sz w:val="32"/>
                <w:highlight w:val="none"/>
                <w:lang w:eastAsia="zh-CN"/>
              </w:rPr>
              <w:t>☑</w:t>
            </w:r>
            <w:r>
              <w:rPr>
                <w:rFonts w:ascii="Times New Roman" w:hAnsi="Times New Roman" w:eastAsia="宋体" w:cs="Times New Roman"/>
                <w:color w:val="auto"/>
                <w:szCs w:val="21"/>
                <w:highlight w:val="none"/>
              </w:rPr>
              <w:t>不允许</w:t>
            </w:r>
          </w:p>
          <w:p w14:paraId="2283361F">
            <w:pPr>
              <w:pStyle w:val="14"/>
              <w:pageBreakBefore w:val="0"/>
              <w:kinsoku/>
              <w:wordWrap w:val="0"/>
              <w:bidi w:val="0"/>
              <w:spacing w:line="440" w:lineRule="exact"/>
              <w:ind w:firstLine="0" w:firstLineChars="0"/>
              <w:jc w:val="both"/>
              <w:rPr>
                <w:rFonts w:hint="default" w:ascii="Times New Roman" w:hAnsi="Times New Roman" w:eastAsia="宋体" w:cs="Times New Roman"/>
                <w:color w:val="auto"/>
                <w:sz w:val="24"/>
                <w:szCs w:val="24"/>
                <w:highlight w:val="none"/>
                <w:lang w:val="en-US" w:eastAsia="zh-CN"/>
              </w:rPr>
            </w:pPr>
            <w:r>
              <w:rPr>
                <w:rFonts w:ascii="Times New Roman" w:hAnsi="Times New Roman" w:eastAsia="宋体" w:cs="Times New Roman"/>
                <w:color w:val="auto"/>
                <w:kern w:val="2"/>
                <w:sz w:val="32"/>
                <w:szCs w:val="24"/>
                <w:highlight w:val="none"/>
                <w:lang w:val="en-US" w:eastAsia="zh-CN" w:bidi="ar-SA"/>
              </w:rPr>
              <w:t>□</w:t>
            </w:r>
            <w:r>
              <w:rPr>
                <w:rFonts w:ascii="Times New Roman" w:hAnsi="Times New Roman" w:eastAsia="宋体" w:cs="Times New Roman"/>
                <w:color w:val="auto"/>
                <w:spacing w:val="-10"/>
                <w:kern w:val="2"/>
                <w:sz w:val="21"/>
                <w:szCs w:val="21"/>
                <w:highlight w:val="none"/>
                <w:lang w:val="en-US" w:eastAsia="zh-CN" w:bidi="ar-SA"/>
              </w:rPr>
              <w:t>允许</w:t>
            </w:r>
            <w:r>
              <w:rPr>
                <w:rFonts w:hint="eastAsia" w:ascii="Times New Roman" w:hAnsi="Times New Roman" w:eastAsia="宋体" w:cs="Times New Roman"/>
                <w:color w:val="auto"/>
                <w:spacing w:val="-10"/>
                <w:kern w:val="2"/>
                <w:sz w:val="21"/>
                <w:szCs w:val="21"/>
                <w:highlight w:val="none"/>
                <w:lang w:val="en-US" w:eastAsia="zh-CN" w:bidi="ar-SA"/>
              </w:rPr>
              <w:t>，</w:t>
            </w:r>
            <w:r>
              <w:rPr>
                <w:rFonts w:hint="default" w:ascii="Times New Roman" w:hAnsi="Times New Roman" w:cs="Times New Roman"/>
                <w:color w:val="auto"/>
                <w:sz w:val="24"/>
                <w:szCs w:val="24"/>
                <w:highlight w:val="none"/>
                <w:u w:val="none"/>
              </w:rPr>
              <w:t>承包人按照合同约定或者经发包人书面同意，可以将中标项目中负面清单以外的部分单位工程、分部工程或者分项工程分包给满足相应条件的其他专业施工单位完成。</w:t>
            </w:r>
          </w:p>
        </w:tc>
      </w:tr>
      <w:tr w14:paraId="06A636F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55EC65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CAB2C5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构成招标文件的其他资料</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6D5594A">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（1）详见辽宁省公共资源交易一张网电子化平台中随招标文件下载的“招标文件的其他材料”。</w:t>
            </w:r>
          </w:p>
          <w:p w14:paraId="55421081">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电子系统生成的招标文件中的第二章“投标人须知”、第三章“评标办法”、第九章“投标文件格式”与“招标文件的其他资料”中对应的章节内容不一致时，以“招标文件的其他材料”中的资料为准。“招标文件的其他材料”中未约定事宜，以电子系统生成的招标文件中的第二章“投标人须知”、第三章“评标办法”为准。</w:t>
            </w:r>
          </w:p>
          <w:p w14:paraId="7C433AAC">
            <w:pPr>
              <w:pageBreakBefore w:val="0"/>
              <w:numPr>
                <w:ilvl w:val="0"/>
                <w:numId w:val="1"/>
              </w:numPr>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招标人在“辽宁省公共资源交易一张网电子化平台”或“百度网盘”（链接：详见第二章“投标人须知”第2.2.2项）中，提供与本项目招标相关的资料。</w:t>
            </w:r>
          </w:p>
          <w:p w14:paraId="1D6CE26B">
            <w:pPr>
              <w:pageBreakBefore w:val="0"/>
              <w:numPr>
                <w:ilvl w:val="0"/>
                <w:numId w:val="1"/>
              </w:numPr>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招标文件的澄清文件和修改文件均构成招标文件的组成部分，对所有投标人均具有约束力。当招标文件、招标文件的澄清或修改等在同一内容的表述上不一致时，以电子交易平台最后发出的书面文件为准。</w:t>
            </w:r>
          </w:p>
        </w:tc>
      </w:tr>
      <w:tr w14:paraId="40572669">
        <w:tblPrEx>
          <w:tblCellMar>
            <w:top w:w="0" w:type="dxa"/>
            <w:left w:w="108" w:type="dxa"/>
            <w:bottom w:w="0" w:type="dxa"/>
            <w:right w:w="108" w:type="dxa"/>
          </w:tblCellMar>
        </w:tblPrEx>
        <w:trPr>
          <w:trHeight w:val="340" w:hRule="atLeast"/>
        </w:trPr>
        <w:tc>
          <w:tcPr>
            <w:tcW w:w="1036" w:type="dxa"/>
            <w:vMerge w:val="restart"/>
            <w:tcBorders>
              <w:top w:val="single" w:color="auto" w:sz="4" w:space="0"/>
              <w:left w:val="single" w:color="auto" w:sz="4" w:space="0"/>
              <w:right w:val="single" w:color="auto" w:sz="4" w:space="0"/>
            </w:tcBorders>
            <w:noWrap w:val="0"/>
            <w:vAlign w:val="center"/>
          </w:tcPr>
          <w:p w14:paraId="38515552">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2.2.1</w:t>
            </w:r>
          </w:p>
        </w:tc>
        <w:tc>
          <w:tcPr>
            <w:tcW w:w="3101" w:type="dxa"/>
            <w:vMerge w:val="restart"/>
            <w:tcBorders>
              <w:top w:val="single" w:color="auto" w:sz="4" w:space="0"/>
              <w:left w:val="single" w:color="auto" w:sz="4" w:space="0"/>
              <w:right w:val="single" w:color="auto" w:sz="4" w:space="0"/>
            </w:tcBorders>
            <w:noWrap w:val="0"/>
            <w:vAlign w:val="center"/>
          </w:tcPr>
          <w:p w14:paraId="4DEDD15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投标人要求澄清招标文件</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3960946A">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时间：递交投标文件截止之日</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10</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天前（以发出时间为准）</w:t>
            </w:r>
          </w:p>
        </w:tc>
      </w:tr>
      <w:tr w14:paraId="467ECF37">
        <w:tblPrEx>
          <w:tblCellMar>
            <w:top w:w="0" w:type="dxa"/>
            <w:left w:w="108" w:type="dxa"/>
            <w:bottom w:w="0" w:type="dxa"/>
            <w:right w:w="108" w:type="dxa"/>
          </w:tblCellMar>
        </w:tblPrEx>
        <w:trPr>
          <w:trHeight w:val="340" w:hRule="atLeast"/>
        </w:trPr>
        <w:tc>
          <w:tcPr>
            <w:tcW w:w="1036" w:type="dxa"/>
            <w:vMerge w:val="continue"/>
            <w:tcBorders>
              <w:left w:val="single" w:color="auto" w:sz="4" w:space="0"/>
              <w:bottom w:val="single" w:color="auto" w:sz="4" w:space="0"/>
              <w:right w:val="single" w:color="auto" w:sz="4" w:space="0"/>
            </w:tcBorders>
            <w:noWrap w:val="0"/>
            <w:vAlign w:val="center"/>
          </w:tcPr>
          <w:p w14:paraId="4CB76AC3">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3101" w:type="dxa"/>
            <w:vMerge w:val="continue"/>
            <w:tcBorders>
              <w:left w:val="single" w:color="auto" w:sz="4" w:space="0"/>
              <w:bottom w:val="single" w:color="auto" w:sz="4" w:space="0"/>
              <w:right w:val="single" w:color="auto" w:sz="4" w:space="0"/>
            </w:tcBorders>
            <w:noWrap w:val="0"/>
            <w:vAlign w:val="center"/>
          </w:tcPr>
          <w:p w14:paraId="0B860DCA">
            <w:pPr>
              <w:pageBreakBefore w:val="0"/>
              <w:kinsoku/>
              <w:wordWrap w:val="0"/>
              <w:bidi w:val="0"/>
              <w:spacing w:line="440" w:lineRule="exact"/>
              <w:jc w:val="center"/>
              <w:rPr>
                <w:rFonts w:hint="default" w:ascii="Times New Roman" w:hAnsi="Times New Roman" w:cs="Times New Roman"/>
                <w:color w:val="auto"/>
                <w:sz w:val="24"/>
                <w:szCs w:val="24"/>
                <w:highlight w:val="none"/>
              </w:rPr>
            </w:pPr>
          </w:p>
        </w:tc>
        <w:tc>
          <w:tcPr>
            <w:tcW w:w="4867" w:type="dxa"/>
            <w:tcBorders>
              <w:top w:val="single" w:color="auto" w:sz="4" w:space="0"/>
              <w:left w:val="single" w:color="auto" w:sz="4" w:space="0"/>
              <w:bottom w:val="single" w:color="auto" w:sz="4" w:space="0"/>
              <w:right w:val="single" w:color="auto" w:sz="4" w:space="0"/>
            </w:tcBorders>
            <w:noWrap w:val="0"/>
            <w:vAlign w:val="center"/>
          </w:tcPr>
          <w:p w14:paraId="3E24F6C9">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形式：</w:t>
            </w:r>
            <w:bookmarkStart w:id="62" w:name="EB1739ce6098664f60a63f86a166a66b1e"/>
            <w:r>
              <w:rPr>
                <w:rFonts w:hint="default" w:ascii="Times New Roman" w:hAnsi="Times New Roman" w:eastAsia="宋体" w:cs="Times New Roman"/>
                <w:color w:val="auto"/>
                <w:kern w:val="2"/>
                <w:sz w:val="24"/>
                <w:szCs w:val="24"/>
                <w:highlight w:val="none"/>
                <w:lang w:val="en-US" w:eastAsia="zh-CN" w:bidi="ar-SA"/>
              </w:rPr>
              <w:t>使用CA数字证书登录“电子交易平台”，在“答疑澄清”菜单以书面形式将提出的问题送达招标人，同时发送招标代理机构邮箱并电话通知招标代理机构。</w:t>
            </w:r>
            <w:bookmarkEnd w:id="62"/>
          </w:p>
        </w:tc>
      </w:tr>
      <w:tr w14:paraId="7289FF0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34BD4E9">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0F123D8D">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招标文件澄清发出的形式</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749E3D8F">
            <w:pPr>
              <w:pageBreakBefore w:val="0"/>
              <w:kinsoku/>
              <w:wordWrap w:val="0"/>
              <w:bidi w:val="0"/>
              <w:spacing w:line="440" w:lineRule="exact"/>
              <w:rPr>
                <w:rFonts w:hint="default" w:ascii="Times New Roman" w:hAnsi="Times New Roman" w:eastAsia="宋体" w:cs="Times New Roman"/>
                <w:color w:val="C0504D" w:themeColor="accent2"/>
                <w:kern w:val="2"/>
                <w:sz w:val="24"/>
                <w:szCs w:val="24"/>
                <w:highlight w:val="none"/>
                <w:lang w:val="en-US" w:eastAsia="zh-CN" w:bidi="ar-SA"/>
                <w14:textFill>
                  <w14:solidFill>
                    <w14:schemeClr w14:val="accent2"/>
                  </w14:solidFill>
                </w14:textFill>
              </w:rPr>
            </w:pPr>
            <w:r>
              <w:rPr>
                <w:rFonts w:hint="default" w:ascii="Times New Roman" w:hAnsi="Times New Roman" w:eastAsia="宋体" w:cs="Times New Roman"/>
                <w:color w:val="auto"/>
                <w:kern w:val="2"/>
                <w:sz w:val="24"/>
                <w:szCs w:val="24"/>
                <w:highlight w:val="none"/>
                <w:lang w:val="en-US" w:eastAsia="zh-CN" w:bidi="ar-SA"/>
              </w:rPr>
              <w:t>招标文件的澄清和修改内容将在“电子交易平台或百度网盘（</w:t>
            </w:r>
            <w:r>
              <w:rPr>
                <w:rFonts w:hint="default" w:ascii="Times New Roman" w:hAnsi="Times New Roman" w:eastAsia="宋体" w:cs="Times New Roman"/>
                <w:color w:val="C0504D" w:themeColor="accent2"/>
                <w:kern w:val="2"/>
                <w:sz w:val="24"/>
                <w:szCs w:val="24"/>
                <w:highlight w:val="none"/>
                <w:lang w:val="en-US" w:eastAsia="zh-CN" w:bidi="ar-SA"/>
                <w14:textFill>
                  <w14:solidFill>
                    <w14:schemeClr w14:val="accent2"/>
                  </w14:solidFill>
                </w14:textFill>
              </w:rPr>
              <w:t xml:space="preserve"> </w:t>
            </w:r>
          </w:p>
          <w:p w14:paraId="5CDC95AE">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链接: https://pan.baidu.com/s/1EK_PtcGy7H4z76OIf_lAtg?pwd=1234 提取码: 1234 ）”中发布给投标人。各潜在投标人应自行密切关注电子交易平台及百度网盘，及时获取对招标文件的澄清和修改内容，避免影响投标文件的编制及递交，否则一切后果由投标人自行承担。</w:t>
            </w:r>
          </w:p>
        </w:tc>
      </w:tr>
      <w:tr w14:paraId="7814BCB0">
        <w:tblPrEx>
          <w:tblCellMar>
            <w:top w:w="0" w:type="dxa"/>
            <w:left w:w="108" w:type="dxa"/>
            <w:bottom w:w="0" w:type="dxa"/>
            <w:right w:w="108" w:type="dxa"/>
          </w:tblCellMar>
        </w:tblPrEx>
        <w:trPr>
          <w:trHeight w:val="720" w:hRule="atLeast"/>
        </w:trPr>
        <w:tc>
          <w:tcPr>
            <w:tcW w:w="1036" w:type="dxa"/>
            <w:tcBorders>
              <w:top w:val="single" w:color="auto" w:sz="4" w:space="0"/>
              <w:left w:val="single" w:color="auto" w:sz="4" w:space="0"/>
              <w:right w:val="single" w:color="auto" w:sz="4" w:space="0"/>
            </w:tcBorders>
            <w:noWrap w:val="0"/>
            <w:vAlign w:val="center"/>
          </w:tcPr>
          <w:p w14:paraId="428E620D">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2.2.3</w:t>
            </w:r>
          </w:p>
        </w:tc>
        <w:tc>
          <w:tcPr>
            <w:tcW w:w="3101" w:type="dxa"/>
            <w:tcBorders>
              <w:top w:val="single" w:color="auto" w:sz="4" w:space="0"/>
              <w:left w:val="single" w:color="auto" w:sz="4" w:space="0"/>
              <w:right w:val="single" w:color="auto" w:sz="4" w:space="0"/>
            </w:tcBorders>
            <w:noWrap w:val="0"/>
            <w:vAlign w:val="center"/>
          </w:tcPr>
          <w:p w14:paraId="307D75EC">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投标人确认收到招标文件澄清</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4C25AF2D">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投标人无需回函确认，招标文件澄清或修改上传完成即视为潜在投标人已收悉，无需回函确认。</w:t>
            </w:r>
          </w:p>
        </w:tc>
      </w:tr>
      <w:tr w14:paraId="07F7D83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C89CF9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2.3.1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3ACE4FB">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招标文件修改发出的形式</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69CFBD7">
            <w:pPr>
              <w:pageBreakBefore w:val="0"/>
              <w:kinsoku/>
              <w:wordWrap w:val="0"/>
              <w:bidi w:val="0"/>
              <w:spacing w:line="440" w:lineRule="exac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rPr>
              <w:t>同本附表第2.2.2项</w:t>
            </w:r>
          </w:p>
        </w:tc>
      </w:tr>
      <w:tr w14:paraId="71364FD6">
        <w:tblPrEx>
          <w:tblCellMar>
            <w:top w:w="0" w:type="dxa"/>
            <w:left w:w="108" w:type="dxa"/>
            <w:bottom w:w="0" w:type="dxa"/>
            <w:right w:w="108" w:type="dxa"/>
          </w:tblCellMar>
        </w:tblPrEx>
        <w:trPr>
          <w:trHeight w:val="720" w:hRule="atLeast"/>
        </w:trPr>
        <w:tc>
          <w:tcPr>
            <w:tcW w:w="1036" w:type="dxa"/>
            <w:tcBorders>
              <w:top w:val="single" w:color="auto" w:sz="4" w:space="0"/>
              <w:left w:val="single" w:color="auto" w:sz="4" w:space="0"/>
              <w:right w:val="single" w:color="auto" w:sz="4" w:space="0"/>
            </w:tcBorders>
            <w:noWrap w:val="0"/>
            <w:vAlign w:val="center"/>
          </w:tcPr>
          <w:p w14:paraId="63567D6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2.3.2</w:t>
            </w:r>
          </w:p>
        </w:tc>
        <w:tc>
          <w:tcPr>
            <w:tcW w:w="3101" w:type="dxa"/>
            <w:tcBorders>
              <w:top w:val="single" w:color="auto" w:sz="4" w:space="0"/>
              <w:left w:val="single" w:color="auto" w:sz="4" w:space="0"/>
              <w:right w:val="single" w:color="auto" w:sz="4" w:space="0"/>
            </w:tcBorders>
            <w:noWrap w:val="0"/>
            <w:vAlign w:val="center"/>
          </w:tcPr>
          <w:p w14:paraId="553D993C">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投标人确认收到招标文件修改</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7CB55E5C">
            <w:pPr>
              <w:pageBreakBefore w:val="0"/>
              <w:kinsoku/>
              <w:wordWrap w:val="0"/>
              <w:bidi w:val="0"/>
              <w:spacing w:line="440" w:lineRule="exac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rPr>
              <w:t>同本附表第2.2.2项</w:t>
            </w:r>
          </w:p>
        </w:tc>
      </w:tr>
      <w:tr w14:paraId="196D1923">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F39D7D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3.1.1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4AF8B694">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构成投标文件的其他资料</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CD4C11D">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构成投标文件的其他材料详见第九章</w:t>
            </w:r>
            <w:r>
              <w:rPr>
                <w:rFonts w:hint="default" w:ascii="Times New Roman" w:hAnsi="Times New Roman"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rPr>
              <w:t>“投标文件格式”</w:t>
            </w:r>
          </w:p>
        </w:tc>
      </w:tr>
      <w:tr w14:paraId="0AB32929">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9DE694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3.2.1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24AEF8F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增值税税金的计算方法</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B73E225">
            <w:pPr>
              <w:spacing w:line="440" w:lineRule="exact"/>
              <w:rPr>
                <w:rFonts w:hint="eastAsia" w:ascii="宋体" w:hAnsi="宋体" w:eastAsia="宋体" w:cs="宋体"/>
                <w:color w:val="auto"/>
                <w:sz w:val="24"/>
                <w:szCs w:val="24"/>
                <w:highlight w:val="none"/>
              </w:rPr>
            </w:pPr>
            <w:r>
              <w:rPr>
                <w:rFonts w:hint="eastAsia"/>
                <w:color w:val="auto"/>
                <w:sz w:val="24"/>
                <w:highlight w:val="none"/>
                <w:lang w:eastAsia="zh-CN"/>
              </w:rPr>
              <w:t>☑</w:t>
            </w:r>
            <w:r>
              <w:rPr>
                <w:rFonts w:hint="eastAsia" w:ascii="宋体" w:hAnsi="宋体" w:eastAsia="宋体" w:cs="宋体"/>
                <w:color w:val="auto"/>
                <w:sz w:val="24"/>
                <w:szCs w:val="24"/>
                <w:highlight w:val="none"/>
              </w:rPr>
              <w:t xml:space="preserve"> 一般计税法</w:t>
            </w:r>
          </w:p>
          <w:p w14:paraId="5858DD60">
            <w:pPr>
              <w:spacing w:line="440" w:lineRule="exact"/>
              <w:rPr>
                <w:rFonts w:hint="eastAsia" w:ascii="宋体" w:hAnsi="宋体" w:eastAsia="宋体" w:cs="宋体"/>
                <w:color w:val="auto"/>
                <w:sz w:val="24"/>
                <w:szCs w:val="24"/>
                <w:highlight w:val="none"/>
              </w:rPr>
            </w:pPr>
            <w:r>
              <w:rPr>
                <w:rFonts w:hint="eastAsia"/>
                <w:color w:val="auto"/>
                <w:sz w:val="24"/>
                <w:highlight w:val="none"/>
                <w:lang w:eastAsia="zh-CN"/>
              </w:rPr>
              <w:t>☑</w:t>
            </w:r>
            <w:r>
              <w:rPr>
                <w:rFonts w:hint="eastAsia" w:ascii="宋体" w:hAnsi="宋体" w:eastAsia="宋体" w:cs="宋体"/>
                <w:color w:val="auto"/>
                <w:sz w:val="24"/>
                <w:szCs w:val="24"/>
                <w:highlight w:val="none"/>
              </w:rPr>
              <w:t xml:space="preserve"> 简易计税法</w:t>
            </w:r>
          </w:p>
          <w:p w14:paraId="15F253F2">
            <w:pPr>
              <w:spacing w:line="440" w:lineRule="exact"/>
              <w:rPr>
                <w:rFonts w:hint="eastAsia" w:ascii="宋体" w:hAnsi="宋体" w:eastAsia="宋体" w:cs="宋体"/>
                <w:color w:val="auto"/>
                <w:sz w:val="24"/>
                <w:szCs w:val="24"/>
                <w:highlight w:val="none"/>
              </w:rPr>
            </w:pPr>
            <w:r>
              <w:rPr>
                <w:rFonts w:hint="eastAsia"/>
                <w:color w:val="auto"/>
                <w:sz w:val="24"/>
                <w:highlight w:val="none"/>
                <w:lang w:eastAsia="zh-CN"/>
              </w:rPr>
              <w:t>□</w:t>
            </w:r>
            <w:r>
              <w:rPr>
                <w:rFonts w:hint="eastAsia" w:ascii="宋体" w:hAnsi="宋体" w:eastAsia="宋体" w:cs="宋体"/>
                <w:color w:val="auto"/>
                <w:sz w:val="24"/>
                <w:szCs w:val="24"/>
                <w:highlight w:val="none"/>
              </w:rPr>
              <w:t xml:space="preserve"> 扣缴计税法</w:t>
            </w:r>
          </w:p>
          <w:p w14:paraId="724804D1">
            <w:pPr>
              <w:pageBreakBefore w:val="0"/>
              <w:kinsoku/>
              <w:wordWrap w:val="0"/>
              <w:bidi w:val="0"/>
              <w:spacing w:line="440" w:lineRule="exact"/>
              <w:ind w:left="460" w:hanging="480" w:hangingChars="200"/>
              <w:rPr>
                <w:rFonts w:hint="default" w:ascii="Times New Roman" w:hAnsi="Times New Roman" w:cs="Times New Roman"/>
                <w:color w:val="auto"/>
                <w:spacing w:val="10"/>
                <w:sz w:val="24"/>
                <w:szCs w:val="24"/>
                <w:highlight w:val="none"/>
                <w:bdr w:val="single" w:color="auto" w:sz="4" w:space="0"/>
              </w:rPr>
            </w:pPr>
            <w:r>
              <w:rPr>
                <w:rFonts w:hint="eastAsia"/>
                <w:color w:val="auto"/>
                <w:sz w:val="24"/>
                <w:highlight w:val="none"/>
                <w:lang w:eastAsia="zh-CN"/>
              </w:rPr>
              <w:t>□</w:t>
            </w:r>
            <w:r>
              <w:rPr>
                <w:rFonts w:hint="eastAsia" w:ascii="宋体" w:hAnsi="宋体" w:eastAsia="宋体" w:cs="宋体"/>
                <w:color w:val="auto"/>
                <w:sz w:val="24"/>
                <w:szCs w:val="24"/>
                <w:highlight w:val="none"/>
              </w:rPr>
              <w:t xml:space="preserve"> 其他</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计税法</w:t>
            </w:r>
          </w:p>
        </w:tc>
      </w:tr>
      <w:tr w14:paraId="420BFF2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5ABE18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3.2.1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DE5B38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工程量清单的填写方式</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2C4B7E9">
            <w:pPr>
              <w:pageBreakBefore w:val="0"/>
              <w:kinsoku/>
              <w:wordWrap w:val="0"/>
              <w:bidi w:val="0"/>
              <w:spacing w:line="440" w:lineRule="exact"/>
              <w:rPr>
                <w:rFonts w:hint="default" w:ascii="Times New Roman" w:hAnsi="Times New Roman" w:cs="Times New Roman"/>
                <w:color w:val="auto"/>
                <w:sz w:val="24"/>
                <w:szCs w:val="24"/>
                <w:highlight w:val="none"/>
                <w:u w:val="single"/>
                <w:lang w:val="en-US"/>
              </w:rPr>
            </w:pPr>
            <w:r>
              <w:rPr>
                <w:rFonts w:hint="eastAsia"/>
                <w:color w:val="auto"/>
                <w:sz w:val="24"/>
                <w:highlight w:val="none"/>
                <w:lang w:eastAsia="zh-CN"/>
              </w:rPr>
              <w:t>☑</w:t>
            </w:r>
            <w:r>
              <w:rPr>
                <w:color w:val="auto"/>
                <w:sz w:val="24"/>
                <w:highlight w:val="none"/>
              </w:rPr>
              <w:t>投标人按照招标人提供与最高投标限价相对应的已标价工程量清单</w:t>
            </w:r>
            <w:r>
              <w:rPr>
                <w:rFonts w:hint="eastAsia"/>
                <w:color w:val="auto"/>
                <w:sz w:val="24"/>
                <w:highlight w:val="none"/>
              </w:rPr>
              <w:t>，</w:t>
            </w:r>
            <w:r>
              <w:rPr>
                <w:rFonts w:hint="default" w:ascii="Times New Roman" w:hAnsi="Times New Roman" w:cs="Times New Roman"/>
                <w:color w:val="auto"/>
                <w:sz w:val="24"/>
                <w:szCs w:val="24"/>
                <w:highlight w:val="none"/>
              </w:rPr>
              <w:t>下载网站：</w:t>
            </w:r>
            <w:r>
              <w:rPr>
                <w:rFonts w:hint="default" w:ascii="Times New Roman" w:hAnsi="Times New Roman" w:cs="Times New Roman"/>
                <w:color w:val="auto"/>
                <w:sz w:val="24"/>
                <w:szCs w:val="24"/>
                <w:highlight w:val="none"/>
                <w:u w:val="single"/>
              </w:rPr>
              <w:t xml:space="preserve"> 通过“电子交易平台或百度网盘</w:t>
            </w:r>
            <w:r>
              <w:rPr>
                <w:rFonts w:hint="default" w:ascii="Times New Roman" w:hAnsi="Times New Roman" w:eastAsia="宋体" w:cs="Times New Roman"/>
                <w:color w:val="auto"/>
                <w:kern w:val="2"/>
                <w:sz w:val="24"/>
                <w:szCs w:val="24"/>
                <w:highlight w:val="none"/>
                <w:lang w:val="en-US" w:eastAsia="zh-CN" w:bidi="ar-SA"/>
              </w:rPr>
              <w:t>（ 链接:  https://pan.baidu.com/s/1EK_PtcGy7H4z76OIf_lAtg?pwd=1234 提取码: 1234）</w:t>
            </w:r>
            <w:r>
              <w:rPr>
                <w:rFonts w:hint="default" w:ascii="Times New Roman" w:hAnsi="Times New Roman" w:cs="Times New Roman"/>
                <w:color w:val="auto"/>
                <w:sz w:val="24"/>
                <w:szCs w:val="24"/>
                <w:highlight w:val="none"/>
                <w:u w:val="single"/>
              </w:rPr>
              <w:t>”</w:t>
            </w:r>
          </w:p>
        </w:tc>
      </w:tr>
      <w:tr w14:paraId="48F68E8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2C5873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3.2.3</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6D08E0B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报价方式</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9E73707">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单价</w:t>
            </w:r>
          </w:p>
          <w:p w14:paraId="100501FB">
            <w:pPr>
              <w:pageBreakBefore w:val="0"/>
              <w:kinsoku/>
              <w:wordWrap w:val="0"/>
              <w:bidi w:val="0"/>
              <w:spacing w:line="440" w:lineRule="exact"/>
              <w:rPr>
                <w:rFonts w:hint="eastAsia"/>
                <w:highlight w:val="none"/>
                <w:lang w:eastAsia="zh-CN"/>
              </w:rPr>
            </w:pPr>
            <w:r>
              <w:rPr>
                <w:rFonts w:hint="eastAsia"/>
                <w:color w:val="auto"/>
                <w:sz w:val="24"/>
                <w:highlight w:val="none"/>
                <w:lang w:eastAsia="zh-CN"/>
              </w:rPr>
              <w:t>☑</w:t>
            </w:r>
            <w:r>
              <w:rPr>
                <w:rFonts w:hint="default" w:ascii="Times New Roman" w:hAnsi="Times New Roman" w:eastAsia="宋体" w:cs="Times New Roman"/>
                <w:color w:val="auto"/>
                <w:kern w:val="2"/>
                <w:sz w:val="24"/>
                <w:szCs w:val="24"/>
                <w:highlight w:val="none"/>
                <w:lang w:val="en-US" w:eastAsia="zh-CN" w:bidi="ar-SA"/>
              </w:rPr>
              <w:t>总价</w:t>
            </w:r>
            <w:r>
              <w:rPr>
                <w:rFonts w:hint="eastAsia" w:ascii="Times New Roman" w:hAnsi="Times New Roman" w:eastAsia="宋体" w:cs="Times New Roman"/>
                <w:color w:val="auto"/>
                <w:kern w:val="2"/>
                <w:sz w:val="24"/>
                <w:szCs w:val="24"/>
                <w:highlight w:val="none"/>
                <w:lang w:val="en-US" w:eastAsia="zh-CN" w:bidi="ar-SA"/>
              </w:rPr>
              <w:t>，</w:t>
            </w:r>
            <w:bookmarkStart w:id="63" w:name="OLE_LINK14"/>
            <w:bookmarkStart w:id="64" w:name="OLE_LINK15"/>
            <w:r>
              <w:rPr>
                <w:rFonts w:hint="eastAsia" w:cs="宋体" w:asciiTheme="minorEastAsia" w:hAnsiTheme="minorEastAsia" w:eastAsiaTheme="minorEastAsia"/>
                <w:b/>
                <w:sz w:val="24"/>
                <w:highlight w:val="none"/>
              </w:rPr>
              <w:t>投标报价精确到个位</w:t>
            </w:r>
            <w:bookmarkEnd w:id="63"/>
            <w:bookmarkEnd w:id="64"/>
            <w:r>
              <w:rPr>
                <w:rFonts w:hint="eastAsia" w:ascii="Times New Roman" w:hAnsi="Times New Roman" w:eastAsia="宋体" w:cs="Times New Roman"/>
                <w:color w:val="auto"/>
                <w:kern w:val="2"/>
                <w:sz w:val="24"/>
                <w:szCs w:val="24"/>
                <w:highlight w:val="none"/>
                <w:lang w:val="en-US" w:eastAsia="zh-CN" w:bidi="ar-SA"/>
              </w:rPr>
              <w:t>。</w:t>
            </w:r>
          </w:p>
        </w:tc>
      </w:tr>
      <w:tr w14:paraId="7700DD9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BBE0231">
            <w:pPr>
              <w:pageBreakBefore w:val="0"/>
              <w:kinsoku/>
              <w:wordWrap w:val="0"/>
              <w:bidi w:val="0"/>
              <w:spacing w:line="440" w:lineRule="exact"/>
              <w:jc w:val="center"/>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3.2.</w:t>
            </w:r>
            <w:r>
              <w:rPr>
                <w:rFonts w:hint="eastAsia" w:cs="Times New Roman"/>
                <w:color w:val="auto"/>
                <w:sz w:val="24"/>
                <w:szCs w:val="24"/>
                <w:highlight w:val="none"/>
                <w:lang w:val="en-US" w:eastAsia="zh-CN"/>
              </w:rPr>
              <w:t>7</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1B501C5">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最高投标限价</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FC8CB95">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无</w:t>
            </w:r>
          </w:p>
          <w:p w14:paraId="2FF4381C">
            <w:pPr>
              <w:pageBreakBefore w:val="0"/>
              <w:kinsoku/>
              <w:wordWrap w:val="0"/>
              <w:bidi w:val="0"/>
              <w:spacing w:line="440" w:lineRule="exact"/>
              <w:rPr>
                <w:rFonts w:hint="default" w:ascii="Times New Roman" w:hAnsi="Times New Roman" w:eastAsia="宋体" w:cs="Times New Roman"/>
                <w:color w:val="auto"/>
                <w:sz w:val="24"/>
                <w:szCs w:val="24"/>
                <w:highlight w:val="none"/>
                <w:u w:val="singl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有，最高投标限价</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 xml:space="preserve">万元          </w:t>
            </w:r>
          </w:p>
          <w:p w14:paraId="278DA13E">
            <w:pPr>
              <w:pStyle w:val="15"/>
              <w:pageBreakBefore w:val="0"/>
              <w:kinsoku/>
              <w:wordWrap w:val="0"/>
              <w:overflowPunct/>
              <w:topLine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投标人的投标报价</w:t>
            </w:r>
            <w:r>
              <w:rPr>
                <w:rFonts w:hint="eastAsia" w:asci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X</w:t>
            </w:r>
            <w:r>
              <w:rPr>
                <w:rFonts w:hint="eastAsia" w:ascii="Times New Roman"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不得超过最高投标限价(N)，否则评标委员会将否决其投标。</w:t>
            </w:r>
          </w:p>
          <w:p w14:paraId="1B540D9F">
            <w:pPr>
              <w:pStyle w:val="15"/>
              <w:pageBreakBefore w:val="0"/>
              <w:kinsoku/>
              <w:wordWrap w:val="0"/>
              <w:overflowPunct/>
              <w:topLine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有，最高投标限价以补遗书的形式通过</w:t>
            </w:r>
            <w:r>
              <w:rPr>
                <w:rFonts w:hint="eastAsia" w:ascii="宋体" w:hAnsi="宋体" w:eastAsia="宋体" w:cs="宋体"/>
                <w:color w:val="auto"/>
                <w:sz w:val="24"/>
                <w:szCs w:val="24"/>
                <w:highlight w:val="none"/>
              </w:rPr>
              <w:t>“</w:t>
            </w:r>
            <w:r>
              <w:rPr>
                <w:rFonts w:hint="eastAsia" w:ascii="Times New Roman"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发布</w:t>
            </w:r>
          </w:p>
        </w:tc>
      </w:tr>
      <w:tr w14:paraId="33309CA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581BBFF">
            <w:pPr>
              <w:pageBreakBefore w:val="0"/>
              <w:kinsoku/>
              <w:wordWrap w:val="0"/>
              <w:bidi w:val="0"/>
              <w:spacing w:line="440" w:lineRule="exact"/>
              <w:jc w:val="center"/>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3.2.</w:t>
            </w:r>
            <w:r>
              <w:rPr>
                <w:rFonts w:hint="eastAsia" w:cs="Times New Roman"/>
                <w:color w:val="auto"/>
                <w:sz w:val="24"/>
                <w:szCs w:val="24"/>
                <w:highlight w:val="none"/>
                <w:lang w:val="en-US" w:eastAsia="zh-CN"/>
              </w:rPr>
              <w:t>8</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D0F83A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投标报价的其他要求</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3E530403">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详见本</w:t>
            </w:r>
            <w:r>
              <w:rPr>
                <w:rFonts w:hint="default" w:ascii="Times New Roman" w:hAnsi="Times New Roman" w:cs="Times New Roman"/>
                <w:color w:val="auto"/>
                <w:sz w:val="24"/>
                <w:szCs w:val="24"/>
                <w:highlight w:val="none"/>
                <w:lang w:val="en-US" w:eastAsia="zh-CN"/>
              </w:rPr>
              <w:t>附</w:t>
            </w:r>
            <w:r>
              <w:rPr>
                <w:rFonts w:hint="default" w:ascii="Times New Roman" w:hAnsi="Times New Roman" w:cs="Times New Roman"/>
                <w:color w:val="auto"/>
                <w:sz w:val="24"/>
                <w:szCs w:val="24"/>
                <w:highlight w:val="none"/>
              </w:rPr>
              <w:t>表中补充的其他内容</w:t>
            </w:r>
            <w:r>
              <w:rPr>
                <w:rFonts w:hint="default" w:ascii="Times New Roman" w:hAnsi="Times New Roman" w:cs="Times New Roman"/>
                <w:color w:val="auto"/>
                <w:sz w:val="24"/>
                <w:szCs w:val="24"/>
                <w:highlight w:val="none"/>
                <w:lang w:val="en-US" w:eastAsia="zh-CN"/>
              </w:rPr>
              <w:t>及工程量清单编制说明</w:t>
            </w:r>
          </w:p>
        </w:tc>
      </w:tr>
      <w:tr w14:paraId="2EBA1C8A">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17E604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3.3.1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87D87C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投标有效期</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B8C1D53">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自投标人提交投标文件截止之日起计算</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90</w:t>
            </w:r>
            <w:r>
              <w:rPr>
                <w:rFonts w:hint="default" w:ascii="Times New Roman" w:hAnsi="Times New Roman" w:cs="Times New Roman"/>
                <w:color w:val="auto"/>
                <w:sz w:val="24"/>
                <w:szCs w:val="24"/>
                <w:highlight w:val="none"/>
              </w:rPr>
              <w:t>日</w:t>
            </w:r>
          </w:p>
        </w:tc>
      </w:tr>
      <w:tr w14:paraId="036C1778">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9D37E6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3.4.1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3406C27D">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投标保证金</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77BC044D">
            <w:pPr>
              <w:pStyle w:val="15"/>
              <w:topLinePunct/>
              <w:spacing w:line="440" w:lineRule="exact"/>
              <w:rPr>
                <w:spacing w:val="6"/>
                <w:highlight w:val="none"/>
              </w:rPr>
            </w:pPr>
            <w:r>
              <w:rPr>
                <w:spacing w:val="9"/>
                <w:highlight w:val="none"/>
              </w:rPr>
              <w:t>投标人应按本项规定递交投标保证金，并作为其投标文件的组成部分。投标保证金有效期应与投标有效期一致。招标人如果</w:t>
            </w:r>
            <w:r>
              <w:rPr>
                <w:spacing w:val="6"/>
                <w:highlight w:val="none"/>
              </w:rPr>
              <w:t>按本章第3.3.3项的规定延长了投标有效期，则投标保</w:t>
            </w:r>
            <w:r>
              <w:rPr>
                <w:spacing w:val="5"/>
                <w:highlight w:val="none"/>
              </w:rPr>
              <w:t>证金的有效</w:t>
            </w:r>
            <w:r>
              <w:rPr>
                <w:spacing w:val="6"/>
                <w:highlight w:val="none"/>
              </w:rPr>
              <w:t>期也相应延长</w:t>
            </w:r>
          </w:p>
          <w:p w14:paraId="233C8D40">
            <w:pPr>
              <w:pStyle w:val="15"/>
              <w:topLinePunct/>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是否要求投标人递交投标保证金：</w:t>
            </w:r>
          </w:p>
          <w:p w14:paraId="6B33AAFE">
            <w:pPr>
              <w:pStyle w:val="15"/>
              <w:topLinePunct/>
              <w:spacing w:line="440" w:lineRule="exact"/>
              <w:rPr>
                <w:rFonts w:hint="default" w:ascii="Times New Roman" w:hAnsi="Times New Roman" w:cs="Times New Roman"/>
                <w:color w:val="auto"/>
                <w:sz w:val="24"/>
                <w:szCs w:val="24"/>
                <w:highlight w:val="none"/>
                <w:lang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要求</w:t>
            </w:r>
            <w:r>
              <w:rPr>
                <w:rFonts w:hint="default" w:ascii="Times New Roman" w:hAnsi="Times New Roman" w:cs="Times New Roman"/>
                <w:color w:val="auto"/>
                <w:sz w:val="24"/>
                <w:szCs w:val="24"/>
                <w:highlight w:val="none"/>
                <w:lang w:eastAsia="zh-CN"/>
              </w:rPr>
              <w:t>：</w:t>
            </w:r>
          </w:p>
          <w:p w14:paraId="531D70B1">
            <w:pPr>
              <w:pStyle w:val="93"/>
              <w:keepNext w:val="0"/>
              <w:keepLines w:val="0"/>
              <w:pageBreakBefore w:val="0"/>
              <w:widowControl/>
              <w:kinsoku w:val="0"/>
              <w:wordWrap/>
              <w:overflowPunct/>
              <w:topLinePunct w:val="0"/>
              <w:autoSpaceDE w:val="0"/>
              <w:autoSpaceDN w:val="0"/>
              <w:bidi w:val="0"/>
              <w:adjustRightInd w:val="0"/>
              <w:snapToGrid w:val="0"/>
              <w:spacing w:line="300" w:lineRule="auto"/>
              <w:ind w:left="118"/>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（1）投标保证金的金额： 人民币</w:t>
            </w:r>
            <w:r>
              <w:rPr>
                <w:rFonts w:hint="eastAsia" w:ascii="Times New Roman" w:hAnsi="Times New Roman" w:cs="Times New Roman"/>
                <w:color w:val="auto"/>
                <w:kern w:val="2"/>
                <w:sz w:val="24"/>
                <w:szCs w:val="24"/>
                <w:highlight w:val="none"/>
                <w:lang w:val="en-US" w:eastAsia="zh-CN" w:bidi="ar-SA"/>
              </w:rPr>
              <w:t>20</w:t>
            </w:r>
            <w:r>
              <w:rPr>
                <w:rFonts w:hint="eastAsia" w:ascii="Times New Roman" w:hAnsi="Times New Roman" w:eastAsia="宋体" w:cs="Times New Roman"/>
                <w:color w:val="auto"/>
                <w:kern w:val="2"/>
                <w:sz w:val="24"/>
                <w:szCs w:val="24"/>
                <w:highlight w:val="none"/>
                <w:lang w:val="en-US" w:eastAsia="zh-CN" w:bidi="ar-SA"/>
              </w:rPr>
              <w:t xml:space="preserve">万元  </w:t>
            </w:r>
          </w:p>
          <w:p w14:paraId="536B545E">
            <w:pPr>
              <w:pStyle w:val="93"/>
              <w:keepNext w:val="0"/>
              <w:keepLines w:val="0"/>
              <w:pageBreakBefore w:val="0"/>
              <w:widowControl/>
              <w:kinsoku w:val="0"/>
              <w:wordWrap/>
              <w:overflowPunct/>
              <w:topLinePunct w:val="0"/>
              <w:autoSpaceDE w:val="0"/>
              <w:autoSpaceDN w:val="0"/>
              <w:bidi w:val="0"/>
              <w:adjustRightInd w:val="0"/>
              <w:snapToGrid w:val="0"/>
              <w:spacing w:line="300" w:lineRule="auto"/>
              <w:ind w:left="118"/>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（2）投标保证金的形式</w:t>
            </w:r>
          </w:p>
          <w:p w14:paraId="73C0A85E">
            <w:pPr>
              <w:pStyle w:val="93"/>
              <w:keepNext w:val="0"/>
              <w:keepLines w:val="0"/>
              <w:pageBreakBefore w:val="0"/>
              <w:widowControl/>
              <w:kinsoku w:val="0"/>
              <w:wordWrap/>
              <w:overflowPunct/>
              <w:topLinePunct w:val="0"/>
              <w:autoSpaceDE w:val="0"/>
              <w:autoSpaceDN w:val="0"/>
              <w:bidi w:val="0"/>
              <w:adjustRightInd w:val="0"/>
              <w:snapToGrid w:val="0"/>
              <w:spacing w:line="300" w:lineRule="auto"/>
              <w:ind w:left="113" w:right="103" w:firstLine="263"/>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☑现金（银行电汇或网银转账）形式：</w:t>
            </w:r>
          </w:p>
          <w:p w14:paraId="39788B2C">
            <w:pPr>
              <w:pStyle w:val="93"/>
              <w:keepNext w:val="0"/>
              <w:keepLines w:val="0"/>
              <w:pageBreakBefore w:val="0"/>
              <w:widowControl/>
              <w:kinsoku w:val="0"/>
              <w:wordWrap/>
              <w:overflowPunct/>
              <w:topLinePunct w:val="0"/>
              <w:autoSpaceDE w:val="0"/>
              <w:autoSpaceDN w:val="0"/>
              <w:bidi w:val="0"/>
              <w:adjustRightInd w:val="0"/>
              <w:snapToGrid w:val="0"/>
              <w:spacing w:line="300" w:lineRule="auto"/>
              <w:ind w:left="353"/>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招标人指定的开户银行及账号如下：</w:t>
            </w:r>
          </w:p>
          <w:p w14:paraId="464B6B2E">
            <w:pPr>
              <w:pStyle w:val="93"/>
              <w:keepNext w:val="0"/>
              <w:keepLines w:val="0"/>
              <w:pageBreakBefore w:val="0"/>
              <w:widowControl/>
              <w:kinsoku w:val="0"/>
              <w:wordWrap/>
              <w:overflowPunct/>
              <w:topLinePunct w:val="0"/>
              <w:autoSpaceDE w:val="0"/>
              <w:autoSpaceDN w:val="0"/>
              <w:bidi w:val="0"/>
              <w:adjustRightInd w:val="0"/>
              <w:snapToGrid w:val="0"/>
              <w:spacing w:line="300" w:lineRule="auto"/>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账户名称：沈阳金诺工程招标代理有限公司</w:t>
            </w:r>
          </w:p>
          <w:p w14:paraId="0F8D4965">
            <w:pPr>
              <w:pStyle w:val="93"/>
              <w:keepNext w:val="0"/>
              <w:keepLines w:val="0"/>
              <w:pageBreakBefore w:val="0"/>
              <w:widowControl/>
              <w:kinsoku w:val="0"/>
              <w:wordWrap/>
              <w:overflowPunct/>
              <w:topLinePunct w:val="0"/>
              <w:autoSpaceDE w:val="0"/>
              <w:autoSpaceDN w:val="0"/>
              <w:bidi w:val="0"/>
              <w:adjustRightInd w:val="0"/>
              <w:snapToGrid w:val="0"/>
              <w:spacing w:line="300" w:lineRule="auto"/>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开户银行：中国建设银行股份有限公司沈阳浑南支行</w:t>
            </w:r>
          </w:p>
          <w:p w14:paraId="13C84313">
            <w:pPr>
              <w:pStyle w:val="93"/>
              <w:keepNext w:val="0"/>
              <w:keepLines w:val="0"/>
              <w:pageBreakBefore w:val="0"/>
              <w:widowControl/>
              <w:kinsoku w:val="0"/>
              <w:wordWrap/>
              <w:overflowPunct/>
              <w:topLinePunct w:val="0"/>
              <w:autoSpaceDE w:val="0"/>
              <w:autoSpaceDN w:val="0"/>
              <w:bidi w:val="0"/>
              <w:adjustRightInd w:val="0"/>
              <w:snapToGrid w:val="0"/>
              <w:spacing w:line="300" w:lineRule="auto"/>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账    号：21001430008052515863</w:t>
            </w:r>
          </w:p>
          <w:p w14:paraId="435E43BB">
            <w:pPr>
              <w:pStyle w:val="93"/>
              <w:keepNext w:val="0"/>
              <w:keepLines w:val="0"/>
              <w:pageBreakBefore w:val="0"/>
              <w:widowControl/>
              <w:kinsoku w:val="0"/>
              <w:wordWrap/>
              <w:overflowPunct/>
              <w:topLinePunct w:val="0"/>
              <w:autoSpaceDE w:val="0"/>
              <w:autoSpaceDN w:val="0"/>
              <w:bidi w:val="0"/>
              <w:adjustRightInd w:val="0"/>
              <w:snapToGrid w:val="0"/>
              <w:spacing w:line="300" w:lineRule="auto"/>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投标人将投标保证金由投标人基本账户转入指定账户，否则，视为投标保证金无效。</w:t>
            </w:r>
          </w:p>
          <w:p w14:paraId="497AE33D">
            <w:pPr>
              <w:pStyle w:val="93"/>
              <w:keepNext w:val="0"/>
              <w:keepLines w:val="0"/>
              <w:pageBreakBefore w:val="0"/>
              <w:widowControl/>
              <w:kinsoku w:val="0"/>
              <w:wordWrap/>
              <w:overflowPunct/>
              <w:topLinePunct w:val="0"/>
              <w:autoSpaceDE w:val="0"/>
              <w:autoSpaceDN w:val="0"/>
              <w:bidi w:val="0"/>
              <w:adjustRightInd w:val="0"/>
              <w:snapToGrid w:val="0"/>
              <w:spacing w:line="300" w:lineRule="auto"/>
              <w:ind w:right="103"/>
              <w:jc w:val="both"/>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1.</w:t>
            </w:r>
            <w:r>
              <w:rPr>
                <w:rFonts w:hint="eastAsia" w:ascii="Times New Roman" w:hAnsi="Times New Roman" w:eastAsia="宋体" w:cs="Times New Roman"/>
                <w:color w:val="auto"/>
                <w:kern w:val="2"/>
                <w:sz w:val="24"/>
                <w:szCs w:val="24"/>
                <w:highlight w:val="none"/>
                <w:lang w:val="en-US" w:eastAsia="zh-CN" w:bidi="ar-SA"/>
              </w:rPr>
              <w:t>投标保证金的汇款单位必须与投标人名称一致，且应在汇款凭证上注明本次招标项目信息（盖州市2026年农村公路维修改造、危桥及安防工程</w:t>
            </w:r>
            <w:r>
              <w:rPr>
                <w:rFonts w:hint="default"/>
                <w:highlight w:val="none"/>
                <w:u w:val="single"/>
              </w:rPr>
              <w:t>施工</w:t>
            </w:r>
            <w:r>
              <w:rPr>
                <w:rFonts w:hint="eastAsia" w:ascii="Times New Roman" w:hAnsi="Times New Roman" w:eastAsia="宋体" w:cs="Times New Roman"/>
                <w:color w:val="auto"/>
                <w:kern w:val="2"/>
                <w:sz w:val="24"/>
                <w:szCs w:val="24"/>
                <w:highlight w:val="none"/>
                <w:lang w:val="en-US" w:eastAsia="zh-CN" w:bidi="ar-SA"/>
              </w:rPr>
              <w:t>）投标保证金)。对逾期递交(以到账时间为准)或从非投标人基本账户汇出的投标保证金，视为投标保证金无效。投标人应将投标保证金汇款凭单的彩色影印件附在投标文件内。</w:t>
            </w:r>
          </w:p>
          <w:p w14:paraId="19B4D26A">
            <w:pPr>
              <w:pStyle w:val="93"/>
              <w:keepNext w:val="0"/>
              <w:keepLines w:val="0"/>
              <w:pageBreakBefore w:val="0"/>
              <w:widowControl/>
              <w:kinsoku w:val="0"/>
              <w:wordWrap/>
              <w:overflowPunct/>
              <w:topLinePunct w:val="0"/>
              <w:autoSpaceDE w:val="0"/>
              <w:autoSpaceDN w:val="0"/>
              <w:bidi w:val="0"/>
              <w:adjustRightInd w:val="0"/>
              <w:snapToGrid w:val="0"/>
              <w:spacing w:line="300" w:lineRule="auto"/>
              <w:ind w:right="103"/>
              <w:jc w:val="both"/>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为确保在规定时间前投标保证金能到达招标人指定账户，投标人在汇款时须充分考虑银行汇款的时间误差风险，否则所造成的后果由投标人自负。</w:t>
            </w:r>
          </w:p>
          <w:p w14:paraId="227301B0">
            <w:pPr>
              <w:pStyle w:val="93"/>
              <w:keepNext w:val="0"/>
              <w:keepLines w:val="0"/>
              <w:pageBreakBefore w:val="0"/>
              <w:widowControl/>
              <w:kinsoku w:val="0"/>
              <w:wordWrap/>
              <w:overflowPunct/>
              <w:topLinePunct w:val="0"/>
              <w:autoSpaceDE w:val="0"/>
              <w:autoSpaceDN w:val="0"/>
              <w:bidi w:val="0"/>
              <w:adjustRightInd w:val="0"/>
              <w:snapToGrid w:val="0"/>
              <w:spacing w:line="300" w:lineRule="auto"/>
              <w:ind w:right="103"/>
              <w:jc w:val="both"/>
              <w:textAlignment w:val="baseline"/>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3.</w:t>
            </w:r>
            <w:r>
              <w:rPr>
                <w:rFonts w:hint="eastAsia" w:cs="Times New Roman"/>
                <w:color w:val="auto"/>
                <w:kern w:val="2"/>
                <w:sz w:val="24"/>
                <w:szCs w:val="24"/>
                <w:highlight w:val="none"/>
                <w:lang w:val="en-US" w:eastAsia="zh-CN" w:bidi="ar-SA"/>
              </w:rPr>
              <w:t>投标有效期内</w:t>
            </w:r>
            <w:r>
              <w:rPr>
                <w:rFonts w:hint="eastAsia" w:ascii="Times New Roman" w:hAnsi="Times New Roman" w:eastAsia="宋体" w:cs="Times New Roman"/>
                <w:color w:val="auto"/>
                <w:kern w:val="2"/>
                <w:sz w:val="24"/>
                <w:szCs w:val="24"/>
                <w:highlight w:val="none"/>
                <w:lang w:val="en-US" w:eastAsia="zh-CN" w:bidi="ar-SA"/>
              </w:rPr>
              <w:t>保证金退还</w:t>
            </w:r>
            <w:r>
              <w:rPr>
                <w:rFonts w:hint="eastAsia" w:cs="Times New Roman"/>
                <w:color w:val="auto"/>
                <w:kern w:val="2"/>
                <w:sz w:val="24"/>
                <w:szCs w:val="24"/>
                <w:highlight w:val="none"/>
                <w:lang w:val="en-US" w:eastAsia="zh-CN" w:bidi="ar-SA"/>
              </w:rPr>
              <w:t>方法按</w:t>
            </w:r>
            <w:r>
              <w:rPr>
                <w:rFonts w:hint="eastAsia" w:ascii="Times New Roman" w:hAnsi="Times New Roman" w:eastAsia="宋体" w:cs="Times New Roman"/>
                <w:color w:val="auto"/>
                <w:kern w:val="2"/>
                <w:sz w:val="24"/>
                <w:szCs w:val="24"/>
                <w:highlight w:val="none"/>
                <w:lang w:val="en-US" w:eastAsia="zh-CN" w:bidi="ar-SA"/>
              </w:rPr>
              <w:t>沈阳金诺工程招标代理有限公司</w:t>
            </w:r>
            <w:r>
              <w:rPr>
                <w:rFonts w:hint="eastAsia" w:ascii="Times New Roman" w:hAnsi="Times New Roman" w:cs="Times New Roman"/>
                <w:color w:val="auto"/>
                <w:kern w:val="2"/>
                <w:sz w:val="24"/>
                <w:szCs w:val="24"/>
                <w:highlight w:val="none"/>
                <w:lang w:val="en-US" w:eastAsia="zh-CN" w:bidi="ar-SA"/>
              </w:rPr>
              <w:t>保证金退还制度执行，保证金退还</w:t>
            </w:r>
            <w:r>
              <w:rPr>
                <w:rFonts w:hint="eastAsia" w:ascii="Times New Roman" w:hAnsi="Times New Roman" w:eastAsia="宋体" w:cs="Times New Roman"/>
                <w:color w:val="auto"/>
                <w:kern w:val="2"/>
                <w:sz w:val="24"/>
                <w:szCs w:val="24"/>
                <w:highlight w:val="none"/>
                <w:lang w:val="en-US" w:eastAsia="zh-CN" w:bidi="ar-SA"/>
              </w:rPr>
              <w:t>申请表见</w:t>
            </w:r>
            <w:r>
              <w:rPr>
                <w:rFonts w:hint="default" w:ascii="Times New Roman" w:hAnsi="Times New Roman" w:eastAsia="宋体" w:cs="Times New Roman"/>
                <w:color w:val="auto"/>
                <w:kern w:val="2"/>
                <w:sz w:val="24"/>
                <w:szCs w:val="24"/>
                <w:highlight w:val="none"/>
                <w:lang w:val="en-US" w:eastAsia="zh-CN" w:bidi="ar-SA"/>
              </w:rPr>
              <w:t>百度网盘（</w:t>
            </w:r>
            <w:r>
              <w:rPr>
                <w:rFonts w:hint="default" w:ascii="Times New Roman" w:hAnsi="Times New Roman" w:eastAsia="宋体" w:cs="Times New Roman"/>
                <w:color w:val="C0504D" w:themeColor="accent2"/>
                <w:kern w:val="2"/>
                <w:sz w:val="24"/>
                <w:szCs w:val="24"/>
                <w:highlight w:val="none"/>
                <w:lang w:val="en-US" w:eastAsia="zh-CN" w:bidi="ar-SA"/>
                <w14:textFill>
                  <w14:solidFill>
                    <w14:schemeClr w14:val="accent2"/>
                  </w14:solidFill>
                </w14:textFill>
              </w:rPr>
              <w:t xml:space="preserve">链接: </w:t>
            </w:r>
            <w:r>
              <w:rPr>
                <w:rFonts w:hint="default" w:ascii="Times New Roman" w:hAnsi="Times New Roman" w:eastAsia="宋体" w:cs="Times New Roman"/>
                <w:color w:val="auto"/>
                <w:kern w:val="2"/>
                <w:sz w:val="24"/>
                <w:szCs w:val="24"/>
                <w:highlight w:val="none"/>
                <w:lang w:val="en-US" w:eastAsia="zh-CN" w:bidi="ar-SA"/>
              </w:rPr>
              <w:t xml:space="preserve">  https://pan.baidu.com/s/1EK_PtcGy7H4z76OIf_lAtg?pwd=1234 提取码: 1234</w:t>
            </w:r>
            <w:r>
              <w:rPr>
                <w:rFonts w:hint="default" w:ascii="Times New Roman" w:hAnsi="Times New Roman" w:eastAsia="宋体" w:cs="Times New Roman"/>
                <w:color w:val="C0504D" w:themeColor="accent2"/>
                <w:kern w:val="2"/>
                <w:sz w:val="24"/>
                <w:szCs w:val="24"/>
                <w:highlight w:val="none"/>
                <w:lang w:val="en-US" w:eastAsia="zh-CN" w:bidi="ar-SA"/>
                <w14:textFill>
                  <w14:solidFill>
                    <w14:schemeClr w14:val="accent2"/>
                  </w14:solidFill>
                </w14:textFill>
              </w:rPr>
              <w:t>）</w:t>
            </w:r>
          </w:p>
          <w:p w14:paraId="0E593DE5">
            <w:pPr>
              <w:pStyle w:val="93"/>
              <w:keepNext w:val="0"/>
              <w:keepLines w:val="0"/>
              <w:pageBreakBefore w:val="0"/>
              <w:widowControl/>
              <w:kinsoku w:val="0"/>
              <w:wordWrap/>
              <w:overflowPunct/>
              <w:topLinePunct w:val="0"/>
              <w:autoSpaceDE w:val="0"/>
              <w:autoSpaceDN w:val="0"/>
              <w:bidi w:val="0"/>
              <w:adjustRightInd w:val="0"/>
              <w:snapToGrid w:val="0"/>
              <w:spacing w:line="300" w:lineRule="auto"/>
              <w:ind w:left="376"/>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☑银行保函形式：</w:t>
            </w:r>
          </w:p>
          <w:p w14:paraId="20EA98EC">
            <w:pPr>
              <w:pStyle w:val="93"/>
              <w:keepNext w:val="0"/>
              <w:keepLines w:val="0"/>
              <w:pageBreakBefore w:val="0"/>
              <w:widowControl/>
              <w:kinsoku w:val="0"/>
              <w:wordWrap/>
              <w:overflowPunct/>
              <w:topLinePunct w:val="0"/>
              <w:autoSpaceDE w:val="0"/>
              <w:autoSpaceDN w:val="0"/>
              <w:bidi w:val="0"/>
              <w:adjustRightInd w:val="0"/>
              <w:snapToGrid w:val="0"/>
              <w:spacing w:line="300" w:lineRule="auto"/>
              <w:ind w:left="113" w:right="103" w:firstLine="241"/>
              <w:jc w:val="both"/>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出具保函的银行级别： 国有商业银行或股份制商业银行的支行及其以上银行 </w:t>
            </w:r>
          </w:p>
          <w:p w14:paraId="4D3742E6">
            <w:pPr>
              <w:pStyle w:val="93"/>
              <w:keepNext w:val="0"/>
              <w:keepLines w:val="0"/>
              <w:pageBreakBefore w:val="0"/>
              <w:widowControl/>
              <w:kinsoku w:val="0"/>
              <w:wordWrap/>
              <w:overflowPunct/>
              <w:topLinePunct w:val="0"/>
              <w:autoSpaceDE w:val="0"/>
              <w:autoSpaceDN w:val="0"/>
              <w:bidi w:val="0"/>
              <w:adjustRightInd w:val="0"/>
              <w:snapToGrid w:val="0"/>
              <w:spacing w:line="300" w:lineRule="auto"/>
              <w:ind w:left="376"/>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☑采用电子保函形式：</w:t>
            </w:r>
          </w:p>
          <w:p w14:paraId="0EAEF762">
            <w:pPr>
              <w:pStyle w:val="93"/>
              <w:keepNext w:val="0"/>
              <w:keepLines w:val="0"/>
              <w:pageBreakBefore w:val="0"/>
              <w:widowControl/>
              <w:kinsoku w:val="0"/>
              <w:wordWrap/>
              <w:overflowPunct/>
              <w:topLinePunct w:val="0"/>
              <w:autoSpaceDE w:val="0"/>
              <w:autoSpaceDN w:val="0"/>
              <w:bidi w:val="0"/>
              <w:adjustRightInd w:val="0"/>
              <w:snapToGrid w:val="0"/>
              <w:spacing w:line="300" w:lineRule="auto"/>
              <w:ind w:right="103"/>
              <w:jc w:val="both"/>
              <w:textAlignment w:val="baseline"/>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由投标人自主选择具有金融服务担保能力的机构出具，办理机构应提供电子化保函验真渠道和保函财务费用支付凭证（保函财务费用应从投标人基本账户支出）。</w:t>
            </w:r>
          </w:p>
          <w:p w14:paraId="102D82C3">
            <w:pPr>
              <w:pStyle w:val="15"/>
              <w:topLinePunct/>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cs="Times New Roman"/>
                <w:color w:val="auto"/>
                <w:kern w:val="2"/>
                <w:sz w:val="24"/>
                <w:szCs w:val="24"/>
                <w:highlight w:val="none"/>
                <w:lang w:val="en-US" w:eastAsia="zh-CN" w:bidi="ar-SA"/>
              </w:rPr>
              <w:t>保函</w:t>
            </w:r>
            <w:r>
              <w:rPr>
                <w:rFonts w:hint="eastAsia" w:ascii="Times New Roman" w:hAnsi="Times New Roman" w:eastAsia="宋体" w:cs="Times New Roman"/>
                <w:color w:val="auto"/>
                <w:kern w:val="2"/>
                <w:sz w:val="24"/>
                <w:szCs w:val="24"/>
                <w:highlight w:val="none"/>
                <w:lang w:val="en-US" w:eastAsia="zh-CN" w:bidi="ar-SA"/>
              </w:rPr>
              <w:t>其他要求： ① 若投标人发生招标文件明确规定可以不予退还投标保证金的任一情况时，保函出具单位收到招标人书面通知后，应无条件向招标人支付对应金额的投标保证金，电子保函中不得设置任何支付保证金的前提条件。②（解密后）保函彩色影印件及保函办理机构提供的电子化保函验真渠道便捷方式等需附在投标文件内。③ 保函应采用招标文件提供的格式，若采用保函办理机构自有格式，其提交的保函内容不得对担保金额、担保范围、担保期限、担保内容作出降低担保效力的实质性修改。</w:t>
            </w:r>
          </w:p>
        </w:tc>
      </w:tr>
      <w:tr w14:paraId="534720F3">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01F1BC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3.4.3</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053742A7">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eastAsiaTheme="minorEastAsia"/>
                <w:color w:val="auto"/>
                <w:sz w:val="24"/>
                <w:szCs w:val="24"/>
                <w:highlight w:val="none"/>
              </w:rPr>
              <w:t>投标保证金利息计算原则</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1AF28C0">
            <w:pPr>
              <w:pageBreakBefore w:val="0"/>
              <w:kinsoku/>
              <w:wordWrap w:val="0"/>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投标保证金由</w:t>
            </w:r>
            <w:r>
              <w:rPr>
                <w:rFonts w:hint="eastAsia" w:ascii="Times New Roman" w:hAnsi="Times New Roman" w:eastAsia="宋体" w:cs="Times New Roman"/>
                <w:color w:val="auto"/>
                <w:kern w:val="2"/>
                <w:sz w:val="24"/>
                <w:szCs w:val="24"/>
                <w:highlight w:val="none"/>
                <w:lang w:val="en-US" w:eastAsia="zh-CN" w:bidi="ar-SA"/>
              </w:rPr>
              <w:t>沈阳金诺工程招标代理有限公司</w:t>
            </w:r>
            <w:r>
              <w:rPr>
                <w:rFonts w:hint="default" w:ascii="Times New Roman" w:hAnsi="Times New Roman" w:eastAsia="宋体" w:cs="Times New Roman"/>
                <w:color w:val="auto"/>
                <w:kern w:val="2"/>
                <w:sz w:val="24"/>
                <w:szCs w:val="24"/>
                <w:highlight w:val="none"/>
                <w:lang w:val="en-US" w:eastAsia="zh-CN" w:bidi="ar-SA"/>
              </w:rPr>
              <w:t>收取，投标保证金利息计算原则从其相关规定</w:t>
            </w:r>
            <w:r>
              <w:rPr>
                <w:rFonts w:hint="eastAsia" w:ascii="Times New Roman" w:hAnsi="Times New Roman" w:eastAsia="宋体" w:cs="Times New Roman"/>
                <w:color w:val="auto"/>
                <w:kern w:val="2"/>
                <w:sz w:val="24"/>
                <w:szCs w:val="24"/>
                <w:highlight w:val="none"/>
                <w:lang w:val="en-US" w:eastAsia="zh-CN" w:bidi="ar-SA"/>
              </w:rPr>
              <w:t>。</w:t>
            </w:r>
          </w:p>
        </w:tc>
      </w:tr>
      <w:tr w14:paraId="5B7AC9D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21B8D1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3.4.4</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3442EB9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其他可以不予退还投标保证金的情形</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4B6F5700">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有下列情形之一的，投标保证金可不予退还：</w:t>
            </w:r>
          </w:p>
          <w:p w14:paraId="21188BAC">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（1）投标人不接受依据评标办法的规定对其投标文件中细微偏差进行澄清和补正；</w:t>
            </w:r>
          </w:p>
          <w:p w14:paraId="17CB32D1">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rPr>
              <w:t>投标人在规定的投标有效期内撤销或修改其投标文件，包括在收到中标通知书前放弃中标候选人资格的情形；</w:t>
            </w:r>
          </w:p>
          <w:p w14:paraId="36825166">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（3）中标人在收到中标通知书后，无正当理由拒签合同协议书；</w:t>
            </w:r>
          </w:p>
          <w:p w14:paraId="1AA4A176">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（4）中标人在签订合同时向招标人提出附加条件，或不按照招标文件要求提交履约保证金；</w:t>
            </w:r>
          </w:p>
          <w:p w14:paraId="3A81C00B">
            <w:pPr>
              <w:spacing w:line="360" w:lineRule="auto"/>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（5）投标人提交了虚假资料；</w:t>
            </w:r>
          </w:p>
          <w:p w14:paraId="7BB48697">
            <w:pPr>
              <w:pStyle w:val="15"/>
              <w:pageBreakBefore w:val="0"/>
              <w:kinsoku/>
              <w:wordWrap w:val="0"/>
              <w:topLinePunct/>
              <w:bidi w:val="0"/>
              <w:spacing w:line="440" w:lineRule="exact"/>
              <w:rPr>
                <w:rFonts w:hint="default" w:ascii="Times New Roman" w:hAnsi="Times New Roman" w:cs="Times New Roman"/>
                <w:color w:val="auto"/>
                <w:sz w:val="24"/>
                <w:szCs w:val="24"/>
                <w:highlight w:val="none"/>
                <w:u w:val="none"/>
              </w:rPr>
            </w:pPr>
            <w:r>
              <w:rPr>
                <w:rFonts w:hint="eastAsia" w:ascii="Times New Roman" w:hAnsi="Times New Roman" w:cs="Times New Roman"/>
                <w:color w:val="auto"/>
                <w:sz w:val="24"/>
                <w:szCs w:val="24"/>
                <w:highlight w:val="none"/>
              </w:rPr>
              <w:t>（6）投标人有串标、围标、“挂靠”其他单位参与投标，贿赂评标专家或招标工作人员，以及其他违反国家招标投标管理有关规定的行为</w:t>
            </w:r>
            <w:r>
              <w:rPr>
                <w:rFonts w:hint="eastAsia" w:ascii="Times New Roman" w:hAnsi="Times New Roman" w:cs="Times New Roman"/>
                <w:color w:val="auto"/>
                <w:sz w:val="24"/>
                <w:szCs w:val="24"/>
                <w:highlight w:val="none"/>
                <w:lang w:eastAsia="zh-CN"/>
              </w:rPr>
              <w:t>。</w:t>
            </w:r>
          </w:p>
        </w:tc>
      </w:tr>
      <w:tr w14:paraId="5C165678">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595014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3.5</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5D23861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资格审查资料的特殊要求</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3B57A13C">
            <w:pPr>
              <w:pStyle w:val="15"/>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无</w:t>
            </w:r>
          </w:p>
          <w:p w14:paraId="09953703">
            <w:pPr>
              <w:pStyle w:val="15"/>
              <w:pageBreakBefore w:val="0"/>
              <w:kinsoku/>
              <w:wordWrap w:val="0"/>
              <w:topLinePunct/>
              <w:bidi w:val="0"/>
              <w:spacing w:line="440" w:lineRule="exact"/>
              <w:rPr>
                <w:rFonts w:hint="default" w:ascii="Times New Roman" w:hAnsi="Times New Roman" w:cs="Times New Roman"/>
                <w:color w:val="auto"/>
                <w:sz w:val="24"/>
                <w:szCs w:val="24"/>
                <w:highlight w:val="none"/>
                <w:u w:val="singl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有，具体要求：</w:t>
            </w:r>
            <w:r>
              <w:rPr>
                <w:rFonts w:hint="default" w:ascii="Times New Roman" w:hAnsi="Times New Roman" w:cs="Times New Roman"/>
                <w:color w:val="auto"/>
                <w:sz w:val="24"/>
                <w:szCs w:val="24"/>
                <w:highlight w:val="none"/>
                <w:u w:val="single"/>
              </w:rPr>
              <w:t xml:space="preserve"> 投标文件“资格审查资料”各项表格应提供的证明材料以本附表各附录中的规定为准。 </w:t>
            </w:r>
          </w:p>
        </w:tc>
      </w:tr>
      <w:tr w14:paraId="25A1FAD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15394A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3.5.2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54E3CB5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近年财务状况的年份要求</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4C371E7">
            <w:pPr>
              <w:pageBreakBefore w:val="0"/>
              <w:kinsoku/>
              <w:wordWrap w:val="0"/>
              <w:bidi w:val="0"/>
              <w:spacing w:line="440" w:lineRule="exact"/>
              <w:rPr>
                <w:rFonts w:hint="eastAsia" w:ascii="Times New Roman" w:hAnsi="Times New Roman" w:eastAsia="宋体" w:cs="Times New Roman"/>
                <w:color w:val="auto"/>
                <w:sz w:val="24"/>
                <w:szCs w:val="24"/>
                <w:highlight w:val="none"/>
                <w:lang w:eastAsia="zh-CN"/>
              </w:rPr>
            </w:pPr>
            <w:r>
              <w:rPr>
                <w:rFonts w:hint="eastAsia" w:eastAsia="黑体" w:cs="Times New Roman"/>
                <w:color w:val="auto"/>
                <w:sz w:val="24"/>
                <w:szCs w:val="24"/>
                <w:highlight w:val="none"/>
                <w:u w:val="single"/>
                <w:lang w:val="en-US" w:eastAsia="zh-CN"/>
              </w:rPr>
              <w:t>/</w:t>
            </w:r>
          </w:p>
        </w:tc>
      </w:tr>
      <w:tr w14:paraId="74F72758">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5C1332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3.5.3</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907793C">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近年完成的类似项目情况的时间要求</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E62E0B5">
            <w:pPr>
              <w:pageBreakBefore w:val="0"/>
              <w:kinsoku/>
              <w:wordWrap w:val="0"/>
              <w:bidi w:val="0"/>
              <w:spacing w:line="440" w:lineRule="exact"/>
              <w:rPr>
                <w:rFonts w:hint="default" w:ascii="Times New Roman" w:hAnsi="Times New Roman" w:cs="Times New Roman"/>
                <w:color w:val="auto"/>
                <w:sz w:val="24"/>
                <w:szCs w:val="24"/>
                <w:highlight w:val="none"/>
              </w:rPr>
            </w:pPr>
            <w:r>
              <w:rPr>
                <w:b/>
                <w:bCs/>
                <w:spacing w:val="5"/>
                <w:highlight w:val="none"/>
              </w:rPr>
              <w:t>详见本附表附录</w:t>
            </w:r>
            <w:r>
              <w:rPr>
                <w:rFonts w:hint="eastAsia"/>
                <w:b/>
                <w:bCs/>
                <w:spacing w:val="5"/>
                <w:highlight w:val="none"/>
                <w:lang w:val="en-US" w:eastAsia="zh-CN"/>
              </w:rPr>
              <w:t>3</w:t>
            </w:r>
            <w:r>
              <w:rPr>
                <w:rFonts w:hint="eastAsia"/>
                <w:spacing w:val="22"/>
                <w:highlight w:val="none"/>
                <w:lang w:eastAsia="zh-CN"/>
              </w:rPr>
              <w:t>：</w:t>
            </w:r>
            <w:r>
              <w:rPr>
                <w:rFonts w:hint="default" w:ascii="Times New Roman" w:hAnsi="Times New Roman" w:eastAsia="宋体" w:cs="Times New Roman"/>
                <w:color w:val="auto"/>
                <w:kern w:val="2"/>
                <w:sz w:val="24"/>
                <w:szCs w:val="24"/>
                <w:highlight w:val="none"/>
                <w:lang w:val="en-US" w:eastAsia="zh-CN" w:bidi="ar-SA"/>
              </w:rPr>
              <w:t>资格审查条件</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业绩最低要求)</w:t>
            </w:r>
          </w:p>
        </w:tc>
      </w:tr>
      <w:tr w14:paraId="48C8583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AC9E56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3.6.1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A3B9CDD">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是否允许递交备选投标方案</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95994BF">
            <w:pPr>
              <w:pStyle w:val="15"/>
              <w:pageBreakBefore w:val="0"/>
              <w:kinsoku/>
              <w:wordWrap w:val="0"/>
              <w:topLinePunct/>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不允许</w:t>
            </w:r>
          </w:p>
          <w:p w14:paraId="764C27EC">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允许</w:t>
            </w:r>
          </w:p>
        </w:tc>
      </w:tr>
      <w:tr w14:paraId="7F859CA3">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F878849">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br w:type="page"/>
            </w:r>
            <w:r>
              <w:rPr>
                <w:rFonts w:hint="default" w:ascii="Times New Roman" w:hAnsi="Times New Roman" w:cs="Times New Roman"/>
                <w:color w:val="auto"/>
                <w:sz w:val="24"/>
                <w:szCs w:val="24"/>
                <w:highlight w:val="none"/>
              </w:rPr>
              <w:t>3.7.</w:t>
            </w:r>
            <w:r>
              <w:rPr>
                <w:rFonts w:hint="default" w:ascii="Times New Roman" w:hAnsi="Times New Roman" w:cs="Times New Roman"/>
                <w:color w:val="auto"/>
                <w:sz w:val="24"/>
                <w:szCs w:val="24"/>
                <w:highlight w:val="none"/>
                <w:lang w:val="en-US" w:eastAsia="zh-CN"/>
              </w:rPr>
              <w:t>5</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0494A8B3">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投标文件</w:t>
            </w:r>
            <w:r>
              <w:rPr>
                <w:rFonts w:hint="default" w:ascii="Times New Roman" w:hAnsi="Times New Roman" w:cs="Times New Roman"/>
                <w:color w:val="auto"/>
                <w:sz w:val="24"/>
                <w:szCs w:val="24"/>
                <w:highlight w:val="none"/>
                <w:lang w:val="en-US" w:eastAsia="zh-CN"/>
              </w:rPr>
              <w:t>上传</w:t>
            </w:r>
            <w:r>
              <w:rPr>
                <w:rFonts w:hint="default" w:ascii="Times New Roman" w:hAnsi="Times New Roman" w:cs="Times New Roman"/>
                <w:color w:val="auto"/>
                <w:sz w:val="24"/>
                <w:szCs w:val="24"/>
                <w:highlight w:val="none"/>
              </w:rPr>
              <w:t>要求</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DBDB356">
            <w:pPr>
              <w:pStyle w:val="15"/>
              <w:pageBreakBefore w:val="0"/>
              <w:kinsoku/>
              <w:wordWrap w:val="0"/>
              <w:topLine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投标人应在规定的投标截止时间前，通过互联网</w:t>
            </w:r>
            <w:r>
              <w:rPr>
                <w:rFonts w:hint="eastAsia" w:ascii="Times New Roman"/>
                <w:color w:val="auto"/>
                <w:sz w:val="24"/>
                <w:szCs w:val="32"/>
                <w:highlight w:val="none"/>
                <w:lang w:val="en-US" w:eastAsia="zh-CN"/>
              </w:rPr>
              <w:t>使用</w:t>
            </w:r>
            <w:r>
              <w:rPr>
                <w:rFonts w:hint="default" w:ascii="Times New Roman" w:hAnsi="Times New Roman" w:cs="Times New Roman"/>
                <w:color w:val="auto"/>
                <w:sz w:val="24"/>
                <w:szCs w:val="24"/>
                <w:highlight w:val="none"/>
              </w:rPr>
              <w:t>CA数字证书登录</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，将加密的投标文件上传。投标人应充分考虑上传文件时的不可预见因素，未在投标截止</w:t>
            </w:r>
            <w:r>
              <w:rPr>
                <w:rFonts w:hint="eastAsia" w:asci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时间前完成上传的，视为逾期送达，招标人（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）将拒绝接收。</w:t>
            </w:r>
          </w:p>
        </w:tc>
      </w:tr>
      <w:tr w14:paraId="75E827A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F9CF69E">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3.7.</w:t>
            </w:r>
            <w:r>
              <w:rPr>
                <w:rFonts w:hint="default" w:ascii="Times New Roman" w:hAnsi="Times New Roman" w:cs="Times New Roman"/>
                <w:color w:val="auto"/>
                <w:sz w:val="24"/>
                <w:szCs w:val="24"/>
                <w:highlight w:val="none"/>
                <w:lang w:val="en-US" w:eastAsia="zh-CN"/>
              </w:rPr>
              <w:t>6</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B853BDB">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投标文件其他要求</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0147400">
            <w:pPr>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本项目采用电子招标投标形式，投标期间不需提供纸质投标文件。中标人在</w:t>
            </w:r>
            <w:r>
              <w:rPr>
                <w:rFonts w:hint="eastAsia" w:cs="Times New Roman"/>
                <w:color w:val="auto"/>
                <w:sz w:val="24"/>
                <w:szCs w:val="24"/>
                <w:highlight w:val="none"/>
                <w:lang w:val="en-US" w:eastAsia="zh-CN"/>
              </w:rPr>
              <w:t>获取中标通知书</w:t>
            </w:r>
            <w:r>
              <w:rPr>
                <w:rFonts w:hint="default" w:ascii="Times New Roman" w:hAnsi="Times New Roman" w:cs="Times New Roman"/>
                <w:color w:val="auto"/>
                <w:sz w:val="24"/>
                <w:szCs w:val="24"/>
                <w:highlight w:val="none"/>
              </w:rPr>
              <w:t>前需向招标</w:t>
            </w:r>
            <w:r>
              <w:rPr>
                <w:rFonts w:hint="eastAsia" w:cs="Times New Roman"/>
                <w:color w:val="auto"/>
                <w:sz w:val="24"/>
                <w:szCs w:val="24"/>
                <w:highlight w:val="none"/>
                <w:lang w:val="en-US" w:eastAsia="zh-CN"/>
              </w:rPr>
              <w:t>代理</w:t>
            </w:r>
            <w:r>
              <w:rPr>
                <w:rFonts w:hint="default" w:ascii="Times New Roman" w:hAnsi="Times New Roman" w:cs="Times New Roman"/>
                <w:color w:val="auto"/>
                <w:sz w:val="24"/>
                <w:szCs w:val="24"/>
                <w:highlight w:val="none"/>
              </w:rPr>
              <w:t>提交资料：</w:t>
            </w:r>
          </w:p>
          <w:p w14:paraId="67D0840E">
            <w:pPr>
              <w:spacing w:line="440" w:lineRule="exact"/>
              <w:jc w:val="lef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 xml:space="preserve"> 纸质版投标文件：</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u w:val="single"/>
                <w:lang w:val="en-US" w:eastAsia="zh-CN"/>
              </w:rPr>
              <w:t>套（</w:t>
            </w:r>
            <w:r>
              <w:rPr>
                <w:rFonts w:hint="eastAsia" w:cs="Times New Roman"/>
                <w:color w:val="auto"/>
                <w:sz w:val="24"/>
                <w:szCs w:val="24"/>
                <w:highlight w:val="none"/>
                <w:u w:val="single"/>
                <w:lang w:val="en-US" w:eastAsia="zh-CN"/>
              </w:rPr>
              <w:t>2</w:t>
            </w:r>
            <w:r>
              <w:rPr>
                <w:rFonts w:hint="default" w:ascii="Times New Roman" w:hAnsi="Times New Roman" w:cs="Times New Roman"/>
                <w:color w:val="auto"/>
                <w:sz w:val="24"/>
                <w:szCs w:val="24"/>
                <w:highlight w:val="none"/>
                <w:u w:val="single"/>
                <w:lang w:val="en-US" w:eastAsia="zh-CN"/>
              </w:rPr>
              <w:t>正</w:t>
            </w:r>
            <w:r>
              <w:rPr>
                <w:rFonts w:hint="eastAsia" w:cs="Times New Roman"/>
                <w:color w:val="auto"/>
                <w:sz w:val="24"/>
                <w:szCs w:val="24"/>
                <w:highlight w:val="none"/>
                <w:u w:val="single"/>
                <w:lang w:val="en-US" w:eastAsia="zh-CN"/>
              </w:rPr>
              <w:t>3</w:t>
            </w:r>
            <w:r>
              <w:rPr>
                <w:rFonts w:hint="default" w:ascii="Times New Roman" w:hAnsi="Times New Roman" w:cs="Times New Roman"/>
                <w:color w:val="auto"/>
                <w:sz w:val="24"/>
                <w:szCs w:val="24"/>
                <w:highlight w:val="none"/>
                <w:u w:val="single"/>
                <w:lang w:val="en-US" w:eastAsia="zh-CN"/>
              </w:rPr>
              <w:t>副）</w:t>
            </w:r>
            <w:r>
              <w:rPr>
                <w:rFonts w:hint="default" w:ascii="Times New Roman" w:hAnsi="Times New Roman" w:cs="Times New Roman"/>
                <w:color w:val="auto"/>
                <w:sz w:val="24"/>
                <w:szCs w:val="24"/>
                <w:highlight w:val="none"/>
              </w:rPr>
              <w:t>；</w:t>
            </w:r>
          </w:p>
          <w:p w14:paraId="04384546">
            <w:pPr>
              <w:pStyle w:val="15"/>
              <w:pageBreakBefore w:val="0"/>
              <w:kinsoku/>
              <w:wordWrap w:val="0"/>
              <w:topLine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Cs w:val="24"/>
                <w:highlight w:val="none"/>
              </w:rPr>
              <w:t xml:space="preserve"> 电子版投标文件，具体要求为：存储介质为 U盘（U盘中应包括第一信封与第二信封全部内容）；U盘中存放的投标文件电子文件需采用doc或xls文档格式及一份完整加盖公章的pdf格式文档。</w:t>
            </w:r>
          </w:p>
        </w:tc>
      </w:tr>
      <w:tr w14:paraId="63D87D07">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75DE9AA">
            <w:pPr>
              <w:pStyle w:val="93"/>
              <w:spacing w:before="238" w:line="268" w:lineRule="exact"/>
              <w:ind w:left="187" w:leftChars="0"/>
              <w:rPr>
                <w:rFonts w:hint="default" w:ascii="宋体" w:hAnsi="宋体" w:eastAsia="宋体" w:cs="宋体"/>
                <w:spacing w:val="3"/>
                <w:kern w:val="2"/>
                <w:position w:val="1"/>
                <w:sz w:val="24"/>
                <w:szCs w:val="24"/>
                <w:highlight w:val="none"/>
                <w:lang w:val="en-US" w:eastAsia="zh-CN" w:bidi="ar-SA"/>
              </w:rPr>
            </w:pPr>
            <w:r>
              <w:rPr>
                <w:rFonts w:hint="eastAsia"/>
                <w:spacing w:val="3"/>
                <w:position w:val="1"/>
                <w:highlight w:val="none"/>
                <w:lang w:val="en-US" w:eastAsia="zh-CN"/>
              </w:rPr>
              <w:t>4.2.1</w:t>
            </w:r>
          </w:p>
        </w:tc>
        <w:tc>
          <w:tcPr>
            <w:tcW w:w="3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74B2E0">
            <w:pPr>
              <w:pStyle w:val="93"/>
              <w:spacing w:before="34" w:line="359" w:lineRule="auto"/>
              <w:ind w:left="740" w:leftChars="0" w:right="213" w:rightChars="0" w:hanging="501" w:firstLineChars="0"/>
              <w:jc w:val="center"/>
              <w:rPr>
                <w:rFonts w:hint="default" w:ascii="宋体" w:hAnsi="宋体" w:eastAsia="宋体" w:cs="宋体"/>
                <w:spacing w:val="5"/>
                <w:kern w:val="2"/>
                <w:sz w:val="24"/>
                <w:szCs w:val="24"/>
                <w:highlight w:val="none"/>
                <w:lang w:val="en-US" w:eastAsia="en-US" w:bidi="ar-SA"/>
              </w:rPr>
            </w:pPr>
            <w:r>
              <w:rPr>
                <w:rFonts w:hint="eastAsia"/>
                <w:spacing w:val="5"/>
                <w:highlight w:val="none"/>
              </w:rPr>
              <w:t>银行保函的密封</w:t>
            </w:r>
          </w:p>
        </w:tc>
        <w:tc>
          <w:tcPr>
            <w:tcW w:w="486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33C9C2">
            <w:pPr>
              <w:pStyle w:val="93"/>
              <w:spacing w:before="34" w:line="359" w:lineRule="auto"/>
              <w:ind w:right="122" w:rightChars="0"/>
              <w:rPr>
                <w:rFonts w:hint="default" w:ascii="宋体" w:hAnsi="宋体" w:eastAsia="宋体" w:cs="宋体"/>
                <w:spacing w:val="5"/>
                <w:kern w:val="2"/>
                <w:sz w:val="24"/>
                <w:szCs w:val="24"/>
                <w:highlight w:val="none"/>
                <w:lang w:val="en-US" w:eastAsia="zh-CN" w:bidi="ar-SA"/>
              </w:rPr>
            </w:pPr>
            <w:r>
              <w:rPr>
                <w:rFonts w:hint="eastAsia"/>
                <w:spacing w:val="5"/>
                <w:highlight w:val="none"/>
              </w:rPr>
              <w:t>采</w:t>
            </w:r>
            <w:r>
              <w:rPr>
                <w:rFonts w:hint="eastAsia" w:ascii="Times New Roman" w:hAnsi="Times New Roman" w:eastAsia="宋体" w:cs="Times New Roman"/>
                <w:color w:val="auto"/>
                <w:kern w:val="2"/>
                <w:sz w:val="24"/>
                <w:szCs w:val="24"/>
                <w:highlight w:val="none"/>
                <w:lang w:val="en-US" w:eastAsia="zh-CN" w:bidi="ar-SA"/>
              </w:rPr>
              <w:t>用银行保函形式提交投标保证金的，银行保函彩色影印件及银行保函开具银行的官网网站保函验真查询截图彩色影印件应附在投标文件内，银行保函原件不需要单独密封递交。</w:t>
            </w:r>
          </w:p>
        </w:tc>
      </w:tr>
      <w:tr w14:paraId="5018E78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5B0872">
            <w:pPr>
              <w:spacing w:line="377" w:lineRule="auto"/>
              <w:jc w:val="left"/>
              <w:rPr>
                <w:rFonts w:ascii="Arial"/>
                <w:sz w:val="21"/>
                <w:highlight w:val="none"/>
              </w:rPr>
            </w:pPr>
          </w:p>
          <w:p w14:paraId="0CB2228B">
            <w:pPr>
              <w:pStyle w:val="93"/>
              <w:spacing w:before="65" w:line="268" w:lineRule="exact"/>
              <w:ind w:left="187" w:leftChars="0"/>
              <w:jc w:val="left"/>
              <w:rPr>
                <w:rFonts w:hint="eastAsia" w:ascii="宋体" w:hAnsi="宋体" w:eastAsia="宋体" w:cs="宋体"/>
                <w:snapToGrid w:val="0"/>
                <w:color w:val="000000"/>
                <w:kern w:val="0"/>
                <w:sz w:val="20"/>
                <w:szCs w:val="20"/>
                <w:highlight w:val="none"/>
                <w:lang w:val="en-US" w:eastAsia="zh-CN" w:bidi="ar-SA"/>
              </w:rPr>
            </w:pPr>
            <w:r>
              <w:rPr>
                <w:spacing w:val="3"/>
                <w:position w:val="1"/>
                <w:highlight w:val="none"/>
              </w:rPr>
              <w:t>4.2.2</w:t>
            </w:r>
          </w:p>
        </w:tc>
        <w:tc>
          <w:tcPr>
            <w:tcW w:w="3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057BF2">
            <w:pPr>
              <w:pStyle w:val="93"/>
              <w:spacing w:before="34" w:line="359" w:lineRule="auto"/>
              <w:ind w:right="213" w:rightChars="0"/>
              <w:jc w:val="center"/>
              <w:rPr>
                <w:rFonts w:hint="eastAsia"/>
                <w:spacing w:val="5"/>
                <w:highlight w:val="none"/>
                <w:lang w:val="en-US" w:eastAsia="en-US"/>
              </w:rPr>
            </w:pPr>
            <w:r>
              <w:rPr>
                <w:rFonts w:hint="eastAsia"/>
                <w:spacing w:val="5"/>
                <w:highlight w:val="none"/>
              </w:rPr>
              <w:t>电子投标文件上传</w:t>
            </w:r>
            <w:r>
              <w:rPr>
                <w:rFonts w:hint="eastAsia"/>
                <w:spacing w:val="5"/>
                <w:highlight w:val="none"/>
                <w:lang w:val="en-US" w:eastAsia="zh-CN"/>
              </w:rPr>
              <w:t>要</w:t>
            </w:r>
            <w:r>
              <w:rPr>
                <w:rFonts w:hint="eastAsia"/>
                <w:spacing w:val="5"/>
                <w:highlight w:val="none"/>
              </w:rPr>
              <w:t>求</w:t>
            </w:r>
          </w:p>
        </w:tc>
        <w:tc>
          <w:tcPr>
            <w:tcW w:w="486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222224">
            <w:pPr>
              <w:pStyle w:val="93"/>
              <w:spacing w:before="36" w:line="365" w:lineRule="auto"/>
              <w:ind w:left="113" w:leftChars="0" w:right="108" w:rightChars="0" w:firstLine="2" w:firstLineChars="0"/>
              <w:jc w:val="left"/>
              <w:rPr>
                <w:rFonts w:hint="eastAsia" w:ascii="宋体" w:hAnsi="宋体" w:eastAsia="宋体" w:cs="宋体"/>
                <w:snapToGrid w:val="0"/>
                <w:color w:val="000000"/>
                <w:kern w:val="0"/>
                <w:sz w:val="20"/>
                <w:szCs w:val="20"/>
                <w:highlight w:val="none"/>
                <w:lang w:val="en-US" w:eastAsia="en-US" w:bidi="ar-SA"/>
              </w:rPr>
            </w:pPr>
            <w:r>
              <w:rPr>
                <w:spacing w:val="10"/>
                <w:highlight w:val="none"/>
              </w:rPr>
              <w:t>投标人应在规定的投标截止时间前，通过互联网使用</w:t>
            </w:r>
            <w:r>
              <w:rPr>
                <w:highlight w:val="none"/>
              </w:rPr>
              <w:t>CA</w:t>
            </w:r>
            <w:r>
              <w:rPr>
                <w:spacing w:val="10"/>
                <w:highlight w:val="none"/>
              </w:rPr>
              <w:t xml:space="preserve">数字证书 </w:t>
            </w:r>
            <w:r>
              <w:rPr>
                <w:spacing w:val="8"/>
                <w:highlight w:val="none"/>
              </w:rPr>
              <w:t>登录“</w:t>
            </w:r>
            <w:r>
              <w:rPr>
                <w:spacing w:val="-65"/>
                <w:highlight w:val="none"/>
              </w:rPr>
              <w:t xml:space="preserve"> </w:t>
            </w:r>
            <w:r>
              <w:rPr>
                <w:spacing w:val="8"/>
                <w:highlight w:val="none"/>
              </w:rPr>
              <w:t>电子交易平台</w:t>
            </w:r>
            <w:r>
              <w:rPr>
                <w:spacing w:val="-73"/>
                <w:highlight w:val="none"/>
              </w:rPr>
              <w:t xml:space="preserve"> </w:t>
            </w:r>
            <w:r>
              <w:rPr>
                <w:spacing w:val="8"/>
                <w:highlight w:val="none"/>
              </w:rPr>
              <w:t>”，将加密的投标文件上传。投标</w:t>
            </w:r>
            <w:r>
              <w:rPr>
                <w:spacing w:val="7"/>
                <w:highlight w:val="none"/>
              </w:rPr>
              <w:t>人应充分</w:t>
            </w:r>
            <w:r>
              <w:rPr>
                <w:spacing w:val="10"/>
                <w:highlight w:val="none"/>
              </w:rPr>
              <w:t>考虑上传文件时的不可预见因素，未在投标截止时间前完成上传</w:t>
            </w:r>
            <w:r>
              <w:rPr>
                <w:spacing w:val="5"/>
                <w:highlight w:val="none"/>
              </w:rPr>
              <w:t>的，视为逾期送达，招标人（“电子交易平台”）将拒</w:t>
            </w:r>
            <w:r>
              <w:rPr>
                <w:spacing w:val="4"/>
                <w:highlight w:val="none"/>
              </w:rPr>
              <w:t>绝接收。</w:t>
            </w:r>
          </w:p>
        </w:tc>
      </w:tr>
      <w:tr w14:paraId="2876DDED">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3B1EBE7">
            <w:pPr>
              <w:pStyle w:val="93"/>
              <w:spacing w:before="234" w:line="267" w:lineRule="exact"/>
              <w:ind w:left="187" w:leftChars="0"/>
              <w:rPr>
                <w:rFonts w:hint="default" w:ascii="宋体" w:hAnsi="宋体" w:eastAsia="宋体" w:cs="宋体"/>
                <w:snapToGrid w:val="0"/>
                <w:color w:val="000000"/>
                <w:kern w:val="0"/>
                <w:sz w:val="20"/>
                <w:szCs w:val="20"/>
                <w:highlight w:val="none"/>
                <w:lang w:val="en-US" w:eastAsia="zh-CN" w:bidi="ar-SA"/>
              </w:rPr>
            </w:pPr>
            <w:r>
              <w:rPr>
                <w:spacing w:val="3"/>
                <w:position w:val="1"/>
                <w:highlight w:val="none"/>
              </w:rPr>
              <w:t>4.2.3</w:t>
            </w:r>
          </w:p>
        </w:tc>
        <w:tc>
          <w:tcPr>
            <w:tcW w:w="3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C193B7">
            <w:pPr>
              <w:pStyle w:val="93"/>
              <w:spacing w:before="34" w:line="359" w:lineRule="auto"/>
              <w:ind w:left="740" w:leftChars="0" w:right="213" w:rightChars="0" w:hanging="501" w:firstLineChars="0"/>
              <w:jc w:val="center"/>
              <w:rPr>
                <w:rFonts w:hint="default"/>
                <w:spacing w:val="5"/>
                <w:highlight w:val="none"/>
                <w:lang w:val="en-US" w:eastAsia="en-US"/>
              </w:rPr>
            </w:pPr>
            <w:r>
              <w:rPr>
                <w:rFonts w:hint="eastAsia"/>
                <w:spacing w:val="5"/>
                <w:highlight w:val="none"/>
              </w:rPr>
              <w:t>是否退还投标文件</w:t>
            </w:r>
          </w:p>
        </w:tc>
        <w:tc>
          <w:tcPr>
            <w:tcW w:w="4867"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47D8FFC">
            <w:pPr>
              <w:pStyle w:val="93"/>
              <w:keepNext w:val="0"/>
              <w:keepLines w:val="0"/>
              <w:pageBreakBefore w:val="0"/>
              <w:widowControl w:val="0"/>
              <w:kinsoku/>
              <w:wordWrap/>
              <w:overflowPunct/>
              <w:topLinePunct w:val="0"/>
              <w:autoSpaceDE/>
              <w:autoSpaceDN/>
              <w:bidi w:val="0"/>
              <w:adjustRightInd/>
              <w:snapToGrid/>
              <w:spacing w:line="360" w:lineRule="auto"/>
              <w:ind w:left="11" w:leftChars="0" w:right="0" w:rightChars="0" w:hanging="11" w:firstLineChars="0"/>
              <w:jc w:val="left"/>
              <w:textAlignment w:val="auto"/>
              <w:rPr>
                <w:spacing w:val="6"/>
                <w:highlight w:val="none"/>
              </w:rPr>
            </w:pPr>
            <w:r>
              <w:rPr>
                <w:rFonts w:ascii="MS Gothic" w:hAnsi="MS Gothic" w:eastAsia="MS Gothic" w:cs="MS Gothic"/>
                <w:spacing w:val="6"/>
                <w:highlight w:val="none"/>
              </w:rPr>
              <w:t>☑</w:t>
            </w:r>
            <w:r>
              <w:rPr>
                <w:spacing w:val="6"/>
                <w:highlight w:val="none"/>
              </w:rPr>
              <w:t>否：招标文件中有特殊说明的除外。</w:t>
            </w:r>
          </w:p>
          <w:p w14:paraId="63F923EC">
            <w:pPr>
              <w:pStyle w:val="93"/>
              <w:keepNext w:val="0"/>
              <w:keepLines w:val="0"/>
              <w:pageBreakBefore w:val="0"/>
              <w:widowControl w:val="0"/>
              <w:kinsoku/>
              <w:wordWrap/>
              <w:overflowPunct/>
              <w:topLinePunct w:val="0"/>
              <w:autoSpaceDE/>
              <w:autoSpaceDN/>
              <w:bidi w:val="0"/>
              <w:adjustRightInd/>
              <w:snapToGrid/>
              <w:spacing w:line="360" w:lineRule="auto"/>
              <w:ind w:left="11" w:leftChars="0" w:right="0" w:rightChars="0" w:hanging="11" w:firstLineChars="0"/>
              <w:jc w:val="left"/>
              <w:textAlignment w:val="auto"/>
              <w:rPr>
                <w:rFonts w:hint="default" w:ascii="宋体" w:hAnsi="宋体" w:eastAsia="宋体" w:cs="宋体"/>
                <w:snapToGrid w:val="0"/>
                <w:color w:val="000000"/>
                <w:kern w:val="0"/>
                <w:sz w:val="20"/>
                <w:szCs w:val="20"/>
                <w:highlight w:val="none"/>
                <w:lang w:val="en-US" w:eastAsia="zh-CN" w:bidi="ar-SA"/>
              </w:rPr>
            </w:pPr>
            <w:r>
              <w:rPr>
                <w:spacing w:val="12"/>
                <w:highlight w:val="none"/>
              </w:rPr>
              <w:t xml:space="preserve"> </w:t>
            </w:r>
            <w:r>
              <w:rPr>
                <w:rFonts w:hint="eastAsia"/>
                <w:spacing w:val="-6"/>
                <w:highlight w:val="none"/>
                <w:lang w:eastAsia="zh-CN"/>
              </w:rPr>
              <w:t>□</w:t>
            </w:r>
            <w:r>
              <w:rPr>
                <w:spacing w:val="-6"/>
                <w:highlight w:val="none"/>
              </w:rPr>
              <w:t>是</w:t>
            </w:r>
          </w:p>
        </w:tc>
      </w:tr>
      <w:tr w14:paraId="16810AF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47E8B8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06F8A40">
            <w:pPr>
              <w:shd w:val="clea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开标时间和地点</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49557ED4">
            <w:pPr>
              <w:shd w:val="clear"/>
              <w:spacing w:line="440" w:lineRule="exact"/>
              <w:rPr>
                <w:rFonts w:hint="default" w:ascii="Times New Roman" w:hAnsi="Times New Roman" w:cs="Times New Roman"/>
                <w:color w:val="auto"/>
                <w:kern w:val="2"/>
                <w:sz w:val="24"/>
                <w:szCs w:val="24"/>
                <w:highlight w:val="none"/>
                <w:u w:val="none"/>
                <w:lang w:val="en-US" w:eastAsia="zh-CN" w:bidi="ar-SA"/>
              </w:rPr>
            </w:pPr>
            <w:r>
              <w:rPr>
                <w:rFonts w:hint="default" w:ascii="Times New Roman" w:hAnsi="Times New Roman" w:cs="Times New Roman"/>
                <w:color w:val="auto"/>
                <w:kern w:val="2"/>
                <w:sz w:val="24"/>
                <w:szCs w:val="24"/>
                <w:highlight w:val="none"/>
                <w:u w:val="none"/>
                <w:lang w:val="en-US" w:eastAsia="zh-CN" w:bidi="ar-SA"/>
              </w:rPr>
              <w:t>投标文件第一个信封（商务及技术文件）开标时间： 同投标截止时间</w:t>
            </w:r>
          </w:p>
          <w:p w14:paraId="398D47DE">
            <w:pPr>
              <w:shd w:val="clear"/>
              <w:spacing w:line="440" w:lineRule="exact"/>
              <w:rPr>
                <w:rFonts w:hint="default" w:ascii="Times New Roman" w:hAnsi="Times New Roman" w:cs="Times New Roman"/>
                <w:color w:val="auto"/>
                <w:kern w:val="2"/>
                <w:sz w:val="24"/>
                <w:szCs w:val="24"/>
                <w:highlight w:val="none"/>
                <w:u w:val="none"/>
                <w:lang w:val="en-US" w:eastAsia="zh-CN" w:bidi="ar-SA"/>
              </w:rPr>
            </w:pPr>
            <w:r>
              <w:rPr>
                <w:rFonts w:hint="default" w:ascii="Times New Roman" w:hAnsi="Times New Roman" w:cs="Times New Roman"/>
                <w:color w:val="auto"/>
                <w:kern w:val="2"/>
                <w:sz w:val="24"/>
                <w:szCs w:val="24"/>
                <w:highlight w:val="none"/>
                <w:u w:val="none"/>
                <w:lang w:val="en-US" w:eastAsia="zh-CN" w:bidi="ar-SA"/>
              </w:rPr>
              <w:t>按照第一章“招标公告”需要随机确定投标人参与的具体标段号的时间：另行通知（如需）</w:t>
            </w:r>
          </w:p>
          <w:p w14:paraId="6AFBF208">
            <w:pPr>
              <w:shd w:val="clear"/>
              <w:spacing w:line="440" w:lineRule="exact"/>
              <w:rPr>
                <w:rFonts w:hint="default" w:ascii="Times New Roman" w:hAnsi="Times New Roman" w:cs="Times New Roman"/>
                <w:color w:val="auto"/>
                <w:kern w:val="2"/>
                <w:sz w:val="24"/>
                <w:szCs w:val="24"/>
                <w:highlight w:val="none"/>
                <w:u w:val="none"/>
                <w:lang w:val="en-US" w:eastAsia="zh-CN" w:bidi="ar-SA"/>
              </w:rPr>
            </w:pPr>
            <w:r>
              <w:rPr>
                <w:rFonts w:hint="default" w:ascii="Times New Roman" w:hAnsi="Times New Roman" w:cs="Times New Roman"/>
                <w:color w:val="auto"/>
                <w:kern w:val="2"/>
                <w:sz w:val="24"/>
                <w:szCs w:val="24"/>
                <w:highlight w:val="none"/>
                <w:u w:val="none"/>
                <w:lang w:val="en-US" w:eastAsia="zh-CN" w:bidi="ar-SA"/>
              </w:rPr>
              <w:t>投标文件第二个信封（报价文件）开标时间：另行通知</w:t>
            </w:r>
          </w:p>
          <w:p w14:paraId="50641453">
            <w:pPr>
              <w:shd w:val="clear"/>
              <w:spacing w:line="440" w:lineRule="exact"/>
              <w:rPr>
                <w:rFonts w:hint="default" w:ascii="Times New Roman" w:hAnsi="Times New Roman" w:cs="Times New Roman"/>
                <w:color w:val="auto"/>
                <w:kern w:val="2"/>
                <w:sz w:val="24"/>
                <w:szCs w:val="24"/>
                <w:highlight w:val="none"/>
                <w:u w:val="none"/>
                <w:lang w:val="en-US" w:eastAsia="zh-CN" w:bidi="ar-SA"/>
              </w:rPr>
            </w:pPr>
            <w:r>
              <w:rPr>
                <w:rFonts w:hint="default" w:ascii="Times New Roman" w:hAnsi="Times New Roman" w:cs="Times New Roman"/>
                <w:color w:val="auto"/>
                <w:kern w:val="2"/>
                <w:sz w:val="24"/>
                <w:szCs w:val="24"/>
                <w:highlight w:val="none"/>
                <w:u w:val="none"/>
                <w:lang w:val="en-US" w:eastAsia="zh-CN" w:bidi="ar-SA"/>
              </w:rPr>
              <w:t>地点：本项目采用不见面开标，投标人无需至开标现场。</w:t>
            </w:r>
          </w:p>
          <w:p w14:paraId="5AA5E48E">
            <w:pPr>
              <w:keepNext w:val="0"/>
              <w:keepLines w:val="0"/>
              <w:pageBreakBefore w:val="0"/>
              <w:widowControl w:val="0"/>
              <w:shd w:val="clear"/>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u w:val="none"/>
                <w:lang w:val="en-US" w:eastAsia="zh-CN" w:bidi="ar-SA"/>
              </w:rPr>
              <w:t>开标系统：</w:t>
            </w:r>
            <w:r>
              <w:rPr>
                <w:rFonts w:hint="eastAsia" w:cs="Times New Roman"/>
                <w:color w:val="auto"/>
                <w:kern w:val="2"/>
                <w:sz w:val="24"/>
                <w:szCs w:val="24"/>
                <w:highlight w:val="none"/>
                <w:u w:val="none"/>
                <w:lang w:val="en-US" w:eastAsia="zh-CN" w:bidi="ar-SA"/>
              </w:rPr>
              <w:t xml:space="preserve">辽宁省公共资源交易中心不见面开标大厅https://www.lnsggzy.com/BidOpeningHall/bidhall/dqliaoning/login  </w:t>
            </w:r>
          </w:p>
        </w:tc>
      </w:tr>
      <w:tr w14:paraId="2AE7EC5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36DED7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6674C8BF">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第一个信封（商务及技术文件）开标程序</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75E2C11">
            <w:pPr>
              <w:pageBreakBefore w:val="0"/>
              <w:numPr>
                <w:ilvl w:val="0"/>
                <w:numId w:val="0"/>
              </w:numPr>
              <w:kinsoku/>
              <w:wordWrap w:val="0"/>
              <w:bidi w:val="0"/>
              <w:spacing w:line="440" w:lineRule="exac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lang w:val="en-US" w:eastAsia="zh-CN"/>
              </w:rPr>
              <w:t>第一个信封</w:t>
            </w:r>
            <w:r>
              <w:rPr>
                <w:rFonts w:hint="default" w:ascii="Times New Roman" w:hAnsi="Times New Roman" w:cs="Times New Roman"/>
                <w:color w:val="auto"/>
                <w:sz w:val="24"/>
                <w:szCs w:val="24"/>
                <w:highlight w:val="none"/>
              </w:rPr>
              <w:t>（商务及技术文件）</w:t>
            </w:r>
            <w:r>
              <w:rPr>
                <w:rFonts w:hint="default" w:ascii="Times New Roman" w:hAnsi="Times New Roman" w:cs="Times New Roman"/>
                <w:color w:val="auto"/>
                <w:sz w:val="24"/>
                <w:szCs w:val="24"/>
                <w:highlight w:val="none"/>
                <w:lang w:eastAsia="zh-CN"/>
              </w:rPr>
              <w:t>解密</w:t>
            </w:r>
            <w:r>
              <w:rPr>
                <w:rFonts w:hint="eastAsia" w:cs="Times New Roman"/>
                <w:color w:val="auto"/>
                <w:sz w:val="24"/>
                <w:szCs w:val="24"/>
                <w:highlight w:val="none"/>
                <w:lang w:val="en-US" w:eastAsia="zh-CN"/>
              </w:rPr>
              <w:t>时长：</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30</w:t>
            </w:r>
            <w:r>
              <w:rPr>
                <w:rFonts w:hint="eastAsia" w:cs="Times New Roman"/>
                <w:color w:val="auto"/>
                <w:sz w:val="24"/>
                <w:szCs w:val="24"/>
                <w:highlight w:val="none"/>
                <w:u w:val="none"/>
                <w:lang w:val="en-US" w:eastAsia="zh-CN"/>
              </w:rPr>
              <w:t>分钟，当所有上传的电子投标文件均完成解密时，时长相应缩短。</w:t>
            </w:r>
          </w:p>
          <w:p w14:paraId="4D6945F7">
            <w:pPr>
              <w:pageBreakBefore w:val="0"/>
              <w:numPr>
                <w:ilvl w:val="0"/>
                <w:numId w:val="0"/>
              </w:numPr>
              <w:kinsoku/>
              <w:wordWrap w:val="0"/>
              <w:bidi w:val="0"/>
              <w:spacing w:line="440" w:lineRule="exact"/>
              <w:ind w:left="0" w:leftChars="0"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eastAsia="zh-CN"/>
              </w:rPr>
              <w:t>投标人必须在</w:t>
            </w:r>
            <w:r>
              <w:rPr>
                <w:rFonts w:hint="eastAsia" w:cs="Times New Roman"/>
                <w:color w:val="auto"/>
                <w:sz w:val="24"/>
                <w:szCs w:val="24"/>
                <w:highlight w:val="none"/>
                <w:lang w:val="en-US" w:eastAsia="zh-CN"/>
              </w:rPr>
              <w:t>规定</w:t>
            </w:r>
            <w:r>
              <w:rPr>
                <w:rFonts w:hint="default" w:ascii="Times New Roman" w:hAnsi="Times New Roman" w:cs="Times New Roman"/>
                <w:color w:val="auto"/>
                <w:sz w:val="24"/>
                <w:szCs w:val="24"/>
                <w:highlight w:val="none"/>
                <w:lang w:eastAsia="zh-CN"/>
              </w:rPr>
              <w:t>解密时间</w:t>
            </w:r>
            <w:r>
              <w:rPr>
                <w:rFonts w:hint="eastAsia" w:cs="Times New Roman"/>
                <w:color w:val="auto"/>
                <w:sz w:val="24"/>
                <w:szCs w:val="24"/>
                <w:highlight w:val="none"/>
                <w:lang w:val="en-US" w:eastAsia="zh-CN"/>
              </w:rPr>
              <w:t>内</w:t>
            </w:r>
            <w:r>
              <w:rPr>
                <w:rFonts w:hint="default" w:ascii="Times New Roman" w:hAnsi="Times New Roman" w:cs="Times New Roman"/>
                <w:color w:val="auto"/>
                <w:sz w:val="24"/>
                <w:szCs w:val="24"/>
                <w:highlight w:val="none"/>
                <w:lang w:eastAsia="zh-CN"/>
              </w:rPr>
              <w:t>完成投标文件的远程解密。</w:t>
            </w:r>
            <w:r>
              <w:rPr>
                <w:rFonts w:hint="eastAsia" w:cs="Times New Roman"/>
                <w:color w:val="auto"/>
                <w:sz w:val="24"/>
                <w:szCs w:val="24"/>
                <w:highlight w:val="none"/>
                <w:lang w:val="en-US" w:eastAsia="zh-CN"/>
              </w:rPr>
              <w:t>除特殊说明情况外，若出现在规定时间内未成功解密的情况，视为撤销投标文件</w:t>
            </w:r>
            <w:r>
              <w:rPr>
                <w:rFonts w:hint="default" w:ascii="Times New Roman" w:hAnsi="Times New Roman" w:cs="Times New Roman"/>
                <w:color w:val="auto"/>
                <w:sz w:val="24"/>
                <w:szCs w:val="24"/>
                <w:highlight w:val="none"/>
                <w:lang w:eastAsia="zh-CN"/>
              </w:rPr>
              <w:t>。</w:t>
            </w:r>
          </w:p>
        </w:tc>
      </w:tr>
      <w:tr w14:paraId="41F94AF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3DE2B33D">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5.2.</w:t>
            </w:r>
            <w:r>
              <w:rPr>
                <w:rFonts w:hint="eastAsia" w:cs="Times New Roman"/>
                <w:color w:val="auto"/>
                <w:sz w:val="24"/>
                <w:szCs w:val="24"/>
                <w:highlight w:val="none"/>
                <w:lang w:val="en-US" w:eastAsia="zh-CN"/>
              </w:rPr>
              <w:t>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66EAD249">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投标人参与详细评审的具体标段号的随机确定程序</w:t>
            </w:r>
            <w:r>
              <w:rPr>
                <w:rStyle w:val="47"/>
                <w:rFonts w:hint="default" w:ascii="Times New Roman" w:hAnsi="Times New Roman" w:cs="Times New Roman"/>
                <w:color w:val="auto"/>
                <w:sz w:val="24"/>
                <w:szCs w:val="24"/>
                <w:highlight w:val="none"/>
              </w:rPr>
              <w:footnoteReference w:id="5"/>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C44A162">
            <w:pPr>
              <w:pageBreakBefore w:val="0"/>
              <w:kinsoku/>
              <w:wordWrap w:val="0"/>
              <w:bidi w:val="0"/>
              <w:spacing w:line="440" w:lineRule="exact"/>
              <w:ind w:firstLine="0" w:firstLineChars="0"/>
              <w:rPr>
                <w:rFonts w:hint="default" w:ascii="Times New Roman" w:hAnsi="Times New Roman" w:cs="Times New Roman"/>
                <w:color w:val="auto"/>
                <w:sz w:val="24"/>
                <w:szCs w:val="24"/>
                <w:highlight w:val="non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适用，</w:t>
            </w:r>
            <w:r>
              <w:rPr>
                <w:rFonts w:hint="eastAsia" w:cs="Times New Roman"/>
                <w:color w:val="auto"/>
                <w:sz w:val="24"/>
                <w:szCs w:val="24"/>
                <w:highlight w:val="none"/>
                <w:lang w:val="en-US" w:eastAsia="zh-CN"/>
              </w:rPr>
              <w:t>随机确定投标标段</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u w:val="single"/>
                <w:lang w:val="en-US" w:eastAsia="zh-CN"/>
              </w:rPr>
              <w:t xml:space="preserve">        </w:t>
            </w:r>
          </w:p>
          <w:p w14:paraId="714BFA5E">
            <w:pPr>
              <w:pageBreakBefore w:val="0"/>
              <w:kinsoku/>
              <w:wordWrap w:val="0"/>
              <w:bidi w:val="0"/>
              <w:spacing w:line="440" w:lineRule="exact"/>
              <w:ind w:firstLine="0" w:firstLineChars="0"/>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不适用</w:t>
            </w:r>
          </w:p>
        </w:tc>
      </w:tr>
      <w:tr w14:paraId="722A423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A9954A3">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5.2.3</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6B56510">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第二个信封（报价文件）开标程序</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7AB375F3">
            <w:pPr>
              <w:wordWrap w:val="0"/>
              <w:spacing w:line="440" w:lineRule="exact"/>
              <w:rPr>
                <w:color w:val="auto"/>
                <w:sz w:val="24"/>
                <w:highlight w:val="none"/>
                <w:lang w:eastAsia="zh"/>
              </w:rPr>
            </w:pPr>
            <w:r>
              <w:rPr>
                <w:rFonts w:hint="default" w:ascii="Times New Roman" w:hAnsi="Times New Roman" w:cs="Times New Roman"/>
                <w:color w:val="auto"/>
                <w:sz w:val="24"/>
                <w:szCs w:val="24"/>
                <w:highlight w:val="none"/>
                <w:lang w:eastAsia="zh-CN"/>
              </w:rPr>
              <w:t>投标文件</w:t>
            </w:r>
            <w:r>
              <w:rPr>
                <w:rFonts w:hint="default" w:ascii="Times New Roman" w:hAnsi="Times New Roman" w:cs="Times New Roman"/>
                <w:color w:val="auto"/>
                <w:sz w:val="24"/>
                <w:szCs w:val="24"/>
                <w:highlight w:val="none"/>
              </w:rPr>
              <w:t>第二个信封（报价文件）</w:t>
            </w:r>
            <w:r>
              <w:rPr>
                <w:rFonts w:hint="default" w:ascii="Times New Roman" w:hAnsi="Times New Roman" w:cs="Times New Roman"/>
                <w:color w:val="auto"/>
                <w:sz w:val="24"/>
                <w:szCs w:val="24"/>
                <w:highlight w:val="none"/>
                <w:lang w:eastAsia="zh-CN"/>
              </w:rPr>
              <w:t>解密</w:t>
            </w:r>
            <w:r>
              <w:rPr>
                <w:rFonts w:hint="eastAsia" w:cs="Times New Roman"/>
                <w:color w:val="auto"/>
                <w:sz w:val="24"/>
                <w:szCs w:val="24"/>
                <w:highlight w:val="none"/>
                <w:lang w:val="en-US" w:eastAsia="zh-CN"/>
              </w:rPr>
              <w:t>时长：</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30</w:t>
            </w:r>
            <w:r>
              <w:rPr>
                <w:rFonts w:hint="eastAsia"/>
                <w:color w:val="auto"/>
                <w:sz w:val="24"/>
                <w:highlight w:val="none"/>
                <w:u w:val="single"/>
              </w:rPr>
              <w:t xml:space="preserve"> </w:t>
            </w:r>
            <w:r>
              <w:rPr>
                <w:rFonts w:hint="eastAsia"/>
                <w:color w:val="auto"/>
                <w:sz w:val="24"/>
                <w:highlight w:val="none"/>
                <w:u w:val="none"/>
                <w:lang w:eastAsia="zh"/>
              </w:rPr>
              <w:t>分钟，当所有参与第二个信封评审的电子投标文件均完成解密时，时长相应缩短。</w:t>
            </w:r>
          </w:p>
          <w:p w14:paraId="57D3A74E">
            <w:pPr>
              <w:pageBreakBefore w:val="0"/>
              <w:kinsoku/>
              <w:wordWrap w:val="0"/>
              <w:bidi w:val="0"/>
              <w:spacing w:line="44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eastAsia="zh-CN"/>
              </w:rPr>
              <w:t>投标人必须在</w:t>
            </w:r>
            <w:r>
              <w:rPr>
                <w:rFonts w:hint="eastAsia" w:cs="Times New Roman"/>
                <w:color w:val="auto"/>
                <w:sz w:val="24"/>
                <w:szCs w:val="24"/>
                <w:highlight w:val="none"/>
                <w:lang w:val="en-US" w:eastAsia="zh-CN"/>
              </w:rPr>
              <w:t>规定</w:t>
            </w:r>
            <w:r>
              <w:rPr>
                <w:rFonts w:hint="default" w:ascii="Times New Roman" w:hAnsi="Times New Roman" w:cs="Times New Roman"/>
                <w:color w:val="auto"/>
                <w:sz w:val="24"/>
                <w:szCs w:val="24"/>
                <w:highlight w:val="none"/>
                <w:lang w:eastAsia="zh-CN"/>
              </w:rPr>
              <w:t>解密时间</w:t>
            </w:r>
            <w:r>
              <w:rPr>
                <w:rFonts w:hint="eastAsia" w:cs="Times New Roman"/>
                <w:color w:val="auto"/>
                <w:sz w:val="24"/>
                <w:szCs w:val="24"/>
                <w:highlight w:val="none"/>
                <w:lang w:val="en-US" w:eastAsia="zh-CN"/>
              </w:rPr>
              <w:t>内</w:t>
            </w:r>
            <w:r>
              <w:rPr>
                <w:rFonts w:hint="default" w:ascii="Times New Roman" w:hAnsi="Times New Roman" w:cs="Times New Roman"/>
                <w:color w:val="auto"/>
                <w:sz w:val="24"/>
                <w:szCs w:val="24"/>
                <w:highlight w:val="none"/>
                <w:lang w:eastAsia="zh-CN"/>
              </w:rPr>
              <w:t>完成投标文件的远程解密。除特殊说明情况外，若出现在规定时</w:t>
            </w:r>
            <w:r>
              <w:rPr>
                <w:rFonts w:hint="eastAsia" w:cs="Times New Roman"/>
                <w:color w:val="auto"/>
                <w:sz w:val="24"/>
                <w:szCs w:val="24"/>
                <w:highlight w:val="none"/>
                <w:lang w:eastAsia="zh-CN"/>
              </w:rPr>
              <w:t>间内</w:t>
            </w:r>
            <w:r>
              <w:rPr>
                <w:rFonts w:hint="default" w:ascii="Times New Roman" w:hAnsi="Times New Roman" w:cs="Times New Roman"/>
                <w:color w:val="auto"/>
                <w:sz w:val="24"/>
                <w:szCs w:val="24"/>
                <w:highlight w:val="none"/>
                <w:lang w:eastAsia="zh-CN"/>
              </w:rPr>
              <w:t>未成功解密的情况，视为撤销投标文件。投标人应确保</w:t>
            </w:r>
            <w:r>
              <w:rPr>
                <w:rFonts w:hint="eastAsia" w:ascii="宋体" w:hAnsi="宋体" w:eastAsia="宋体" w:cs="宋体"/>
                <w:color w:val="auto"/>
                <w:sz w:val="24"/>
                <w:szCs w:val="24"/>
                <w:highlight w:val="none"/>
                <w:lang w:eastAsia="zh-CN"/>
              </w:rPr>
              <w:t>“不见面开标大厅”</w:t>
            </w:r>
            <w:r>
              <w:rPr>
                <w:rFonts w:hint="default" w:ascii="Times New Roman" w:hAnsi="Times New Roman" w:cs="Times New Roman"/>
                <w:color w:val="auto"/>
                <w:sz w:val="24"/>
                <w:szCs w:val="24"/>
                <w:highlight w:val="none"/>
                <w:lang w:eastAsia="zh-CN"/>
              </w:rPr>
              <w:t>所留项目联系方式正确且开评标期间全程畅通。如若投标人未解密文件或投标人电话未接通或投标人所留联系方式不正确，均视为自动放弃，按未递交处理。</w:t>
            </w:r>
          </w:p>
        </w:tc>
      </w:tr>
      <w:tr w14:paraId="73EF62E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31776CB">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5.3.1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653ADD01">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开标补救措施</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0FD0DBD">
            <w:pPr>
              <w:pageBreakBefore w:val="0"/>
              <w:kinsoku/>
              <w:wordWrap w:val="0"/>
              <w:bidi w:val="0"/>
              <w:spacing w:line="440" w:lineRule="exact"/>
              <w:rPr>
                <w:rFonts w:hint="default" w:ascii="Times New Roman" w:hAnsi="Times New Roman" w:cs="Times New Roman"/>
                <w:color w:val="auto"/>
                <w:sz w:val="24"/>
                <w:szCs w:val="24"/>
                <w:highlight w:val="none"/>
                <w:lang w:val="en-US"/>
              </w:rPr>
            </w:pPr>
            <w:r>
              <w:rPr>
                <w:rFonts w:hint="eastAsia" w:ascii="仿宋" w:hAnsi="仿宋" w:eastAsia="仿宋" w:cs="仿宋"/>
                <w:spacing w:val="-1"/>
                <w:highlight w:val="none"/>
                <w:u w:val="single" w:color="auto"/>
                <w:lang w:val="en-US" w:eastAsia="zh-CN"/>
              </w:rPr>
              <w:t xml:space="preserve"> </w:t>
            </w:r>
            <w:r>
              <w:rPr>
                <w:rFonts w:hint="eastAsia" w:ascii="Times New Roman" w:hAnsi="Times New Roman" w:eastAsia="宋体" w:cs="Times New Roman"/>
                <w:color w:val="auto"/>
                <w:sz w:val="24"/>
                <w:szCs w:val="24"/>
                <w:highlight w:val="none"/>
                <w:lang w:val="en-US" w:eastAsia="zh-CN"/>
              </w:rPr>
              <w:t>见总则5.3</w:t>
            </w:r>
          </w:p>
        </w:tc>
      </w:tr>
      <w:tr w14:paraId="697B124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622AED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6.1.1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34D6D58">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评标委员会的组建</w:t>
            </w:r>
            <w:r>
              <w:rPr>
                <w:rStyle w:val="47"/>
                <w:rFonts w:hint="default" w:ascii="Times New Roman" w:hAnsi="Times New Roman" w:cs="Times New Roman"/>
                <w:color w:val="auto"/>
                <w:sz w:val="24"/>
                <w:szCs w:val="24"/>
                <w:highlight w:val="none"/>
              </w:rPr>
              <w:footnoteReference w:id="6"/>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55252560">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评标委员会构成：</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5</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人，其中招标人代表</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0</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人，专家</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5</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人；</w:t>
            </w:r>
          </w:p>
          <w:p w14:paraId="0B9EE5EE">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评标专家确定方式：</w:t>
            </w:r>
            <w:r>
              <w:rPr>
                <w:rFonts w:hint="default" w:ascii="Times New Roman" w:hAnsi="Times New Roman" w:cs="Times New Roman"/>
                <w:color w:val="auto"/>
                <w:sz w:val="24"/>
                <w:szCs w:val="24"/>
                <w:highlight w:val="none"/>
                <w:u w:val="single"/>
              </w:rPr>
              <w:t xml:space="preserve"> 依法从辽宁省综合评标专家库中随机抽取 </w:t>
            </w:r>
          </w:p>
        </w:tc>
      </w:tr>
      <w:tr w14:paraId="782F7D7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A6184BD">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6.3.2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193528C6">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评标委员会推荐中标候选人的人数</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9F4F2D7">
            <w:pPr>
              <w:pageBreakBefore w:val="0"/>
              <w:kinsoku/>
              <w:wordWrap w:val="0"/>
              <w:bidi w:val="0"/>
              <w:spacing w:line="440" w:lineRule="exact"/>
              <w:rPr>
                <w:rFonts w:hint="default" w:ascii="Times New Roman" w:hAnsi="Times New Roman" w:cs="Times New Roman"/>
                <w:color w:val="auto"/>
                <w:spacing w:val="10"/>
                <w:sz w:val="24"/>
                <w:szCs w:val="24"/>
                <w:highlight w:val="none"/>
                <w:u w:val="single"/>
                <w:bdr w:val="single" w:color="auto" w:sz="4" w:space="0"/>
              </w:rPr>
            </w:pPr>
            <w:r>
              <w:rPr>
                <w:rFonts w:hint="eastAsia" w:ascii="Times New Roman" w:hAnsi="Times New Roman" w:eastAsia="宋体" w:cs="Times New Roman"/>
                <w:color w:val="auto"/>
                <w:sz w:val="24"/>
                <w:szCs w:val="24"/>
                <w:highlight w:val="none"/>
                <w:u w:val="single"/>
                <w:lang w:val="en-US" w:eastAsia="zh-CN"/>
              </w:rPr>
              <w:t>推荐的中标候选人数为3名</w:t>
            </w:r>
          </w:p>
        </w:tc>
      </w:tr>
      <w:tr w14:paraId="74DF369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2604917">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432251E9">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中标候选人公示媒介及期限</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FDE3060">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公示媒介：同发布招标公告媒介</w:t>
            </w:r>
          </w:p>
          <w:p w14:paraId="1C142625">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公示期限：</w:t>
            </w:r>
            <w:r>
              <w:rPr>
                <w:rFonts w:hint="default" w:ascii="Times New Roman" w:hAnsi="Times New Roman" w:cs="Times New Roman"/>
                <w:color w:val="auto"/>
                <w:sz w:val="24"/>
                <w:szCs w:val="24"/>
                <w:highlight w:val="none"/>
                <w:u w:val="single"/>
              </w:rPr>
              <w:t xml:space="preserve"> 不少于3  </w:t>
            </w:r>
            <w:r>
              <w:rPr>
                <w:rFonts w:hint="default" w:ascii="Times New Roman" w:hAnsi="Times New Roman" w:cs="Times New Roman"/>
                <w:color w:val="auto"/>
                <w:sz w:val="24"/>
                <w:szCs w:val="24"/>
                <w:highlight w:val="none"/>
              </w:rPr>
              <w:t>日</w:t>
            </w:r>
          </w:p>
          <w:p w14:paraId="0E3F2216">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公示的其他内容：</w:t>
            </w:r>
          </w:p>
          <w:p w14:paraId="0A721ED5">
            <w:pPr>
              <w:spacing w:line="400" w:lineRule="exact"/>
              <w:rPr>
                <w:rFonts w:hint="default" w:ascii="Times New Roman" w:hAnsi="Times New Roman" w:cs="Times New Roman"/>
                <w:color w:val="auto"/>
                <w:sz w:val="24"/>
                <w:szCs w:val="24"/>
                <w:highlight w:val="none"/>
              </w:rPr>
            </w:pPr>
            <w:r>
              <w:rPr>
                <w:rFonts w:hint="eastAsia"/>
                <w:sz w:val="24"/>
                <w:highlight w:val="none"/>
              </w:rPr>
              <w:t>☑</w:t>
            </w:r>
            <w:r>
              <w:rPr>
                <w:rFonts w:hint="eastAsia" w:cs="宋体" w:asciiTheme="minorEastAsia" w:hAnsiTheme="minorEastAsia" w:eastAsiaTheme="minorEastAsia"/>
                <w:sz w:val="24"/>
                <w:highlight w:val="none"/>
              </w:rPr>
              <w:t>第一个信封和第二个信封开标记录</w:t>
            </w:r>
          </w:p>
          <w:p w14:paraId="662FF46C">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u w:val="single"/>
              </w:rPr>
            </w:pPr>
            <w:r>
              <w:rPr>
                <w:rFonts w:hint="eastAsia"/>
                <w:color w:val="auto"/>
                <w:sz w:val="24"/>
                <w:highlight w:val="none"/>
                <w:lang w:eastAsia="zh-CN"/>
              </w:rPr>
              <w:t>☑</w:t>
            </w:r>
            <w:r>
              <w:rPr>
                <w:rFonts w:hint="default" w:ascii="Times New Roman" w:hAnsi="Times New Roman" w:cs="Times New Roman"/>
                <w:color w:val="auto"/>
                <w:sz w:val="24"/>
                <w:szCs w:val="24"/>
                <w:highlight w:val="none"/>
                <w:u w:val="single"/>
              </w:rPr>
              <w:t>详细评审的评标委员会成员打分</w:t>
            </w:r>
          </w:p>
          <w:p w14:paraId="594CDEB9">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u w:val="single"/>
              </w:rPr>
            </w:pPr>
            <w:r>
              <w:rPr>
                <w:rFonts w:hint="eastAsia"/>
                <w:color w:val="auto"/>
                <w:sz w:val="24"/>
                <w:highlight w:val="none"/>
                <w:lang w:eastAsia="zh-CN"/>
              </w:rPr>
              <w:t>☑</w:t>
            </w:r>
            <w:r>
              <w:rPr>
                <w:rFonts w:hint="default" w:ascii="Times New Roman" w:hAnsi="Times New Roman" w:cs="Times New Roman"/>
                <w:color w:val="auto"/>
                <w:sz w:val="24"/>
                <w:szCs w:val="24"/>
                <w:highlight w:val="none"/>
                <w:u w:val="single"/>
              </w:rPr>
              <w:t>受理异议和投诉的联系方式</w:t>
            </w:r>
          </w:p>
          <w:p w14:paraId="04420BE4">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u w:val="none"/>
              </w:rPr>
              <w:t>如发现投标人存在弄虚作假行为，招标人将取消其中标候选人资格，并上报省级交通主管部门，作为不良记录纳入</w:t>
            </w:r>
            <w:r>
              <w:rPr>
                <w:rFonts w:hint="eastAsia" w:cs="Times New Roman"/>
                <w:color w:val="auto"/>
                <w:sz w:val="24"/>
                <w:szCs w:val="24"/>
                <w:highlight w:val="none"/>
                <w:u w:val="none"/>
                <w:lang w:eastAsia="zh-CN"/>
              </w:rPr>
              <w:t>全国公路建设市场监督管理系统</w:t>
            </w:r>
            <w:r>
              <w:rPr>
                <w:rFonts w:hint="default" w:ascii="Times New Roman" w:hAnsi="Times New Roman" w:cs="Times New Roman"/>
                <w:color w:val="auto"/>
                <w:sz w:val="24"/>
                <w:szCs w:val="24"/>
                <w:highlight w:val="none"/>
                <w:u w:val="none"/>
              </w:rPr>
              <w:t>。</w:t>
            </w:r>
          </w:p>
        </w:tc>
      </w:tr>
      <w:tr w14:paraId="545A304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75C18EC">
            <w:pPr>
              <w:pageBreakBefore w:val="0"/>
              <w:kinsoku/>
              <w:wordWrap w:val="0"/>
              <w:bidi w:val="0"/>
              <w:spacing w:line="440" w:lineRule="exact"/>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7.4</w:t>
            </w:r>
            <w:r>
              <w:rPr>
                <w:rFonts w:hint="eastAsia" w:cs="Times New Roman"/>
                <w:color w:val="auto"/>
                <w:sz w:val="24"/>
                <w:szCs w:val="24"/>
                <w:highlight w:val="none"/>
                <w:lang w:val="en-US" w:eastAsia="zh-CN"/>
              </w:rPr>
              <w:t>.1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3A8A0C8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是否授权评标委员会确定中标人</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45CF3693">
            <w:pPr>
              <w:pageBreakBefore w:val="0"/>
              <w:kinsoku/>
              <w:wordWrap w:val="0"/>
              <w:bidi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是</w:t>
            </w:r>
          </w:p>
          <w:p w14:paraId="4E24C956">
            <w:pPr>
              <w:pageBreakBefore w:val="0"/>
              <w:kinsoku/>
              <w:wordWrap w:val="0"/>
              <w:bidi w:val="0"/>
              <w:snapToGrid w:val="0"/>
              <w:spacing w:line="440" w:lineRule="exact"/>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否</w:t>
            </w:r>
          </w:p>
        </w:tc>
      </w:tr>
      <w:tr w14:paraId="54F082B1">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E7D9D93">
            <w:pPr>
              <w:pageBreakBefore w:val="0"/>
              <w:kinsoku/>
              <w:wordWrap w:val="0"/>
              <w:bidi w:val="0"/>
              <w:spacing w:line="440" w:lineRule="exact"/>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7.4.2</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64F9C1D8">
            <w:pPr>
              <w:pageBreakBefore w:val="0"/>
              <w:kinsoku/>
              <w:wordWrap w:val="0"/>
              <w:bidi w:val="0"/>
              <w:spacing w:line="440" w:lineRule="exact"/>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定标规则</w:t>
            </w:r>
            <w:r>
              <w:rPr>
                <w:rStyle w:val="47"/>
                <w:rFonts w:hint="eastAsia" w:cs="Times New Roman"/>
                <w:color w:val="auto"/>
                <w:sz w:val="24"/>
                <w:szCs w:val="24"/>
                <w:highlight w:val="none"/>
                <w:lang w:val="en-US" w:eastAsia="zh-CN"/>
              </w:rPr>
              <w:footnoteReference w:id="7"/>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040C518">
            <w:pPr>
              <w:pageBreakBefore w:val="0"/>
              <w:kinsoku/>
              <w:wordWrap w:val="0"/>
              <w:bidi w:val="0"/>
              <w:snapToGrid w:val="0"/>
              <w:spacing w:line="440" w:lineRule="exact"/>
              <w:rPr>
                <w:rFonts w:hint="default"/>
                <w:color w:val="auto"/>
                <w:sz w:val="24"/>
                <w:highlight w:val="none"/>
                <w:lang w:val="en-US" w:eastAsia="zh-CN"/>
              </w:rPr>
            </w:pPr>
            <w:r>
              <w:rPr>
                <w:rFonts w:hint="default"/>
                <w:color w:val="auto"/>
                <w:sz w:val="24"/>
                <w:highlight w:val="none"/>
                <w:lang w:val="en-US" w:eastAsia="zh-CN"/>
              </w:rPr>
              <w:t>按招标人制订的定标规则执行</w:t>
            </w:r>
          </w:p>
        </w:tc>
      </w:tr>
      <w:tr w14:paraId="4F32909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CA03D3B">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7.5</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23179105">
            <w:pPr>
              <w:pageBreakBefore w:val="0"/>
              <w:kinsoku/>
              <w:wordWrap w:val="0"/>
              <w:overflowPunct/>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中标通知书的形式</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201D0F79">
            <w:pPr>
              <w:pageBreakBefore w:val="0"/>
              <w:kinsoku/>
              <w:wordWrap w:val="0"/>
              <w:bidi w:val="0"/>
              <w:spacing w:line="440" w:lineRule="exact"/>
              <w:rPr>
                <w:rFonts w:hint="default" w:ascii="Times New Roman" w:hAnsi="Times New Roman" w:eastAsia="宋体" w:cs="Times New Roman"/>
                <w:color w:val="auto"/>
                <w:sz w:val="24"/>
                <w:szCs w:val="24"/>
                <w:highlight w:val="none"/>
                <w:lang w:val="en-US" w:eastAsia="zh-CN"/>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书面形式</w:t>
            </w:r>
          </w:p>
          <w:p w14:paraId="4F063CFF">
            <w:pPr>
              <w:pageBreakBefore w:val="0"/>
              <w:kinsoku/>
              <w:wordWrap w:val="0"/>
              <w:overflowPunct/>
              <w:bidi w:val="0"/>
              <w:spacing w:line="440" w:lineRule="exact"/>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lang w:val="en-US" w:eastAsia="zh-CN"/>
              </w:rPr>
              <w:t>电子形式：</w:t>
            </w:r>
            <w:r>
              <w:rPr>
                <w:rFonts w:hint="eastAsia" w:cs="Times New Roman"/>
                <w:color w:val="auto"/>
                <w:sz w:val="24"/>
                <w:szCs w:val="24"/>
                <w:highlight w:val="none"/>
                <w:lang w:val="en-US" w:eastAsia="zh-CN"/>
              </w:rPr>
              <w:t xml:space="preserve">            </w:t>
            </w:r>
          </w:p>
        </w:tc>
      </w:tr>
      <w:tr w14:paraId="0530614D">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095D228F">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7.6</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322362AA">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中标结果公告媒介及期限</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617A591">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公告媒介：同发布招标公告媒介</w:t>
            </w:r>
          </w:p>
          <w:p w14:paraId="54006055">
            <w:pPr>
              <w:pageBreakBefore w:val="0"/>
              <w:kinsoku/>
              <w:wordWrap w:val="0"/>
              <w:bidi w:val="0"/>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公告期限：</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3</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日</w:t>
            </w:r>
          </w:p>
        </w:tc>
      </w:tr>
      <w:tr w14:paraId="01CCFED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AE9677D">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7.7.1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5D0929E0">
            <w:pPr>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履约保证金</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69B2B92C">
            <w:pPr>
              <w:pStyle w:val="15"/>
              <w:topLinePunct/>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是否要求中标人提交履约保证金：</w:t>
            </w:r>
          </w:p>
          <w:p w14:paraId="6E1B739A">
            <w:pPr>
              <w:pStyle w:val="15"/>
              <w:keepNext w:val="0"/>
              <w:keepLines w:val="0"/>
              <w:pageBreakBefore w:val="0"/>
              <w:widowControl w:val="0"/>
              <w:kinsoku/>
              <w:wordWrap w:val="0"/>
              <w:overflowPunct/>
              <w:topLinePunct/>
              <w:autoSpaceDE/>
              <w:autoSpaceDN/>
              <w:bidi w:val="0"/>
              <w:adjustRightInd/>
              <w:snapToGrid/>
              <w:spacing w:line="440" w:lineRule="exact"/>
              <w:textAlignment w:val="auto"/>
              <w:rPr>
                <w:rFonts w:hint="default" w:ascii="Times New Roman" w:hAnsi="Times New Roman" w:cs="Times New Roman"/>
                <w:color w:val="auto"/>
                <w:sz w:val="24"/>
                <w:szCs w:val="24"/>
                <w:highlight w:val="none"/>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要求，履约保证金的形式：由中标人自主选择电子保函或银行保函或现金（电汇或转账）、支票等招标人可接受的支付形式</w:t>
            </w:r>
            <w:r>
              <w:rPr>
                <w:rStyle w:val="47"/>
                <w:rFonts w:hint="default" w:ascii="Times New Roman" w:hAnsi="Times New Roman" w:cs="Times New Roman"/>
                <w:color w:val="auto"/>
                <w:sz w:val="24"/>
                <w:szCs w:val="24"/>
                <w:highlight w:val="none"/>
              </w:rPr>
              <w:footnoteReference w:id="8"/>
            </w:r>
          </w:p>
          <w:p w14:paraId="592DF386">
            <w:pPr>
              <w:pStyle w:val="15"/>
              <w:keepNext w:val="0"/>
              <w:keepLines w:val="0"/>
              <w:pageBreakBefore w:val="0"/>
              <w:widowControl w:val="0"/>
              <w:kinsoku/>
              <w:wordWrap w:val="0"/>
              <w:overflowPunct/>
              <w:topLinePunct/>
              <w:autoSpaceDE/>
              <w:autoSpaceDN/>
              <w:bidi w:val="0"/>
              <w:adjustRightInd/>
              <w:snapToGrid/>
              <w:spacing w:line="440" w:lineRule="exact"/>
              <w:textAlignment w:val="auto"/>
              <w:rPr>
                <w:color w:val="auto"/>
                <w:sz w:val="24"/>
                <w:highlight w:val="none"/>
              </w:rPr>
            </w:pPr>
            <w:r>
              <w:rPr>
                <w:color w:val="auto"/>
                <w:sz w:val="24"/>
                <w:highlight w:val="none"/>
              </w:rPr>
              <w:t>履约保证金的金额：</w:t>
            </w:r>
            <w:r>
              <w:rPr>
                <w:rFonts w:hint="eastAsia"/>
                <w:color w:val="auto"/>
                <w:sz w:val="24"/>
                <w:highlight w:val="none"/>
              </w:rPr>
              <w:t xml:space="preserve"> </w:t>
            </w:r>
            <w:r>
              <w:rPr>
                <w:rFonts w:hint="eastAsia"/>
                <w:color w:val="auto"/>
                <w:sz w:val="24"/>
                <w:highlight w:val="none"/>
                <w:lang w:val="en-US" w:eastAsia="zh-CN"/>
              </w:rPr>
              <w:t>5</w:t>
            </w:r>
            <w:r>
              <w:rPr>
                <w:rFonts w:hint="eastAsia"/>
                <w:color w:val="auto"/>
                <w:sz w:val="24"/>
                <w:highlight w:val="none"/>
              </w:rPr>
              <w:t>%签约合同价</w:t>
            </w:r>
            <w:r>
              <w:rPr>
                <w:rStyle w:val="47"/>
                <w:rFonts w:hint="default" w:ascii="Times New Roman" w:hAnsi="Times New Roman" w:cs="Times New Roman"/>
                <w:color w:val="auto"/>
                <w:sz w:val="24"/>
                <w:szCs w:val="24"/>
                <w:highlight w:val="none"/>
              </w:rPr>
              <w:footnoteReference w:id="9"/>
            </w:r>
          </w:p>
          <w:p w14:paraId="49697657">
            <w:pPr>
              <w:wordWrap w:val="0"/>
              <w:spacing w:line="440" w:lineRule="exact"/>
              <w:rPr>
                <w:color w:val="auto"/>
                <w:sz w:val="24"/>
                <w:highlight w:val="none"/>
                <w:u w:val="single"/>
              </w:rPr>
            </w:pPr>
            <w:r>
              <w:rPr>
                <w:color w:val="auto"/>
                <w:spacing w:val="-8"/>
                <w:sz w:val="24"/>
                <w:highlight w:val="none"/>
              </w:rPr>
              <w:t>采用银行保函时，出具保函的银行级别</w:t>
            </w:r>
            <w:r>
              <w:rPr>
                <w:color w:val="auto"/>
                <w:sz w:val="24"/>
                <w:highlight w:val="none"/>
              </w:rPr>
              <w:t>：</w:t>
            </w:r>
            <w:r>
              <w:rPr>
                <w:rFonts w:hint="eastAsia"/>
                <w:color w:val="auto"/>
                <w:sz w:val="24"/>
                <w:highlight w:val="none"/>
              </w:rPr>
              <w:t>国有商业银行或股份制商业银行的支行及其以上银行</w:t>
            </w:r>
          </w:p>
          <w:p w14:paraId="78DBF09B">
            <w:pPr>
              <w:wordWrap w:val="0"/>
              <w:spacing w:line="440" w:lineRule="exact"/>
              <w:rPr>
                <w:rFonts w:hint="eastAsia"/>
                <w:color w:val="auto"/>
                <w:sz w:val="24"/>
                <w:highlight w:val="none"/>
                <w:u w:val="single"/>
                <w:lang w:val="en-US" w:eastAsia="zh-CN"/>
              </w:rPr>
            </w:pPr>
            <w:r>
              <w:rPr>
                <w:rFonts w:hint="eastAsia"/>
                <w:color w:val="auto"/>
                <w:sz w:val="24"/>
                <w:highlight w:val="none"/>
                <w:u w:val="none"/>
                <w:lang w:val="en-US" w:eastAsia="zh-CN"/>
              </w:rPr>
              <w:t xml:space="preserve">采用电子保函： 具有金融服务担保能力的机构 </w:t>
            </w:r>
          </w:p>
          <w:p w14:paraId="61A26866">
            <w:pPr>
              <w:keepNext w:val="0"/>
              <w:keepLines w:val="0"/>
              <w:pageBreakBefore w:val="0"/>
              <w:widowControl w:val="0"/>
              <w:kinsoku/>
              <w:wordWrap w:val="0"/>
              <w:overflowPunct/>
              <w:autoSpaceDE/>
              <w:autoSpaceDN/>
              <w:bidi w:val="0"/>
              <w:adjustRightInd/>
              <w:snapToGrid/>
              <w:spacing w:line="440" w:lineRule="exact"/>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color w:val="auto"/>
                <w:sz w:val="24"/>
                <w:highlight w:val="none"/>
                <w:lang w:eastAsia="zh-CN"/>
              </w:rPr>
              <w:t>□</w:t>
            </w:r>
            <w:r>
              <w:rPr>
                <w:rFonts w:hint="default" w:ascii="Times New Roman" w:hAnsi="Times New Roman" w:cs="Times New Roman"/>
                <w:color w:val="auto"/>
                <w:sz w:val="24"/>
                <w:szCs w:val="24"/>
                <w:highlight w:val="none"/>
              </w:rPr>
              <w:t>不要求</w:t>
            </w:r>
          </w:p>
        </w:tc>
      </w:tr>
      <w:tr w14:paraId="3002D3A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7A2CA2E">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8.5.1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71620FF1">
            <w:pPr>
              <w:pageBreakBefore w:val="0"/>
              <w:kinsoku/>
              <w:wordWrap w:val="0"/>
              <w:bidi w:val="0"/>
              <w:spacing w:line="440" w:lineRule="exact"/>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监督部门</w:t>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3DB363DD">
            <w:pPr>
              <w:pageBreakBefore w:val="0"/>
              <w:kinsoku/>
              <w:wordWrap w:val="0"/>
              <w:bidi w:val="0"/>
              <w:spacing w:line="440" w:lineRule="exact"/>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监督部门： 详见第一章《招标公告》</w:t>
            </w:r>
            <w:r>
              <w:rPr>
                <w:rFonts w:hint="default" w:ascii="Times New Roman" w:hAnsi="Times New Roman" w:cs="Times New Roman"/>
                <w:color w:val="auto"/>
                <w:sz w:val="24"/>
                <w:szCs w:val="24"/>
                <w:highlight w:val="none"/>
                <w:lang w:val="en-US" w:eastAsia="zh-CN"/>
              </w:rPr>
              <w:t>信息</w:t>
            </w:r>
            <w:r>
              <w:rPr>
                <w:rFonts w:hint="default" w:ascii="Times New Roman" w:hAnsi="Times New Roman" w:cs="Times New Roman"/>
                <w:color w:val="auto"/>
                <w:sz w:val="24"/>
                <w:szCs w:val="24"/>
                <w:highlight w:val="none"/>
              </w:rPr>
              <w:t xml:space="preserve"> </w:t>
            </w:r>
          </w:p>
          <w:p w14:paraId="4DB3B77D">
            <w:pPr>
              <w:widowControl w:val="0"/>
              <w:spacing w:line="440" w:lineRule="exact"/>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补充：</w:t>
            </w:r>
          </w:p>
          <w:p w14:paraId="73A6AA1C">
            <w:pPr>
              <w:widowControl w:val="0"/>
              <w:spacing w:line="440" w:lineRule="exact"/>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行政监督部门按照《</w:t>
            </w:r>
            <w:r>
              <w:rPr>
                <w:rFonts w:hint="eastAsia" w:cs="Times New Roman"/>
                <w:color w:val="auto"/>
                <w:kern w:val="2"/>
                <w:sz w:val="24"/>
                <w:szCs w:val="24"/>
                <w:highlight w:val="none"/>
                <w:lang w:val="en-US" w:eastAsia="zh-CN" w:bidi="ar-SA"/>
              </w:rPr>
              <w:t>中华人民共和国招标投标法实施条例</w:t>
            </w:r>
            <w:r>
              <w:rPr>
                <w:rFonts w:hint="default" w:ascii="Times New Roman" w:hAnsi="Times New Roman" w:eastAsia="宋体" w:cs="Times New Roman"/>
                <w:color w:val="auto"/>
                <w:kern w:val="2"/>
                <w:sz w:val="24"/>
                <w:szCs w:val="24"/>
                <w:highlight w:val="none"/>
                <w:lang w:val="en-US" w:eastAsia="zh-CN" w:bidi="ar-SA"/>
              </w:rPr>
              <w:t>》《工程建设项目招标投标活动投诉处理办法》（2013年3月国家发展改革委第23号令修改）、《</w:t>
            </w: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"https://www.ndrc.gov.cn/xwdt/tzgg/202102/t20210225_1267906.html"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u w:val="none"/>
                <w:lang w:val="en-US" w:eastAsia="zh-CN" w:bidi="ar-SA"/>
              </w:rPr>
              <w:t>关于建立健全招标投标领域优化营商环境长效机制的通知</w:t>
            </w:r>
            <w:r>
              <w:rPr>
                <w:rFonts w:hint="default" w:ascii="Times New Roman" w:hAnsi="Times New Roman" w:eastAsia="宋体" w:cs="Times New Roman"/>
                <w:color w:val="auto"/>
                <w:kern w:val="2"/>
                <w:sz w:val="24"/>
                <w:szCs w:val="24"/>
                <w:highlight w:val="none"/>
                <w:u w:val="none"/>
                <w:lang w:val="en-US" w:eastAsia="zh-CN" w:bidi="ar-SA"/>
              </w:rPr>
              <w:fldChar w:fldCharType="end"/>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bCs/>
                <w:color w:val="auto"/>
                <w:kern w:val="2"/>
                <w:sz w:val="24"/>
                <w:szCs w:val="24"/>
                <w:highlight w:val="none"/>
                <w:lang w:val="en-US" w:eastAsia="zh-CN" w:bidi="ar-SA"/>
              </w:rPr>
              <w:t>发改法规〔2021〕240号）、交通运输部</w:t>
            </w:r>
            <w:r>
              <w:rPr>
                <w:rFonts w:hint="default" w:ascii="Times New Roman" w:hAnsi="Times New Roman" w:eastAsia="宋体" w:cs="Times New Roman"/>
                <w:color w:val="auto"/>
                <w:kern w:val="2"/>
                <w:sz w:val="24"/>
                <w:szCs w:val="24"/>
                <w:highlight w:val="none"/>
                <w:lang w:val="en-US" w:eastAsia="zh-CN" w:bidi="ar-SA"/>
              </w:rPr>
              <w:t>《公路工程建设项目招标投标管理办法》等相关规定，接受针对公示内容的投诉。投诉材料要求、投诉受理条件及查处按照上述规定执行。</w:t>
            </w:r>
          </w:p>
          <w:p w14:paraId="2A58B3CB">
            <w:pPr>
              <w:keepNext w:val="0"/>
              <w:keepLines w:val="0"/>
              <w:pageBreakBefore w:val="0"/>
              <w:widowControl w:val="0"/>
              <w:kinsoku/>
              <w:wordWrap/>
              <w:overflowPunct/>
              <w:topLinePunct w:val="0"/>
              <w:autoSpaceDE/>
              <w:autoSpaceDN/>
              <w:bidi w:val="0"/>
              <w:adjustRightInd/>
              <w:snapToGrid/>
              <w:spacing w:line="440" w:lineRule="exact"/>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（1）如果投标人或其他利害关系人就招标文件、开标及评标结果等事项投诉的，应当按</w:t>
            </w:r>
            <w:r>
              <w:rPr>
                <w:rFonts w:hint="eastAsia" w:cs="Times New Roman"/>
                <w:color w:val="auto"/>
                <w:sz w:val="24"/>
                <w:szCs w:val="24"/>
                <w:highlight w:val="none"/>
                <w:lang w:eastAsia="zh-CN"/>
              </w:rPr>
              <w:t>法律法规</w:t>
            </w:r>
            <w:r>
              <w:rPr>
                <w:rFonts w:hint="default" w:ascii="Times New Roman" w:hAnsi="Times New Roman" w:eastAsia="宋体" w:cs="Times New Roman"/>
                <w:color w:val="auto"/>
                <w:sz w:val="24"/>
                <w:szCs w:val="24"/>
                <w:highlight w:val="none"/>
              </w:rPr>
              <w:t>有关异议的规定先向招标人提出异议，对招标人的答复不满意或招标人未答复的，可向有关行政监督部门投诉。</w:t>
            </w:r>
          </w:p>
          <w:p w14:paraId="54916680">
            <w:pPr>
              <w:keepNext w:val="0"/>
              <w:keepLines w:val="0"/>
              <w:pageBreakBefore w:val="0"/>
              <w:widowControl w:val="0"/>
              <w:kinsoku/>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对于按法律法规规定需要先提出异议的投诉，行政监督部门在受理投诉时另要求投诉人递交提出异议的证明文件，已向其他有关行政监督部门投诉的，应当一并说明。未按规定提出异议或者未提交已提出异议的证明文件的投诉，不予受理。</w:t>
            </w:r>
          </w:p>
          <w:p w14:paraId="202741FC">
            <w:pPr>
              <w:keepNext w:val="0"/>
              <w:keepLines w:val="0"/>
              <w:pageBreakBefore w:val="0"/>
              <w:widowControl w:val="0"/>
              <w:kinsoku/>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投诉人缺乏事实根据或者法律依据进行投诉的，或者有证据表明投诉人捏造事实、伪造材料的，或者投诉人以非法手段取得证明材料进行投诉的，交通运输主管部门应当予以驳回，并对恶意投诉按照有关规定追究投诉人责任。</w:t>
            </w:r>
          </w:p>
          <w:p w14:paraId="06DCB46E">
            <w:pPr>
              <w:keepNext w:val="0"/>
              <w:keepLines w:val="0"/>
              <w:pageBreakBefore w:val="0"/>
              <w:widowControl w:val="0"/>
              <w:kinsoku/>
              <w:wordWrap w:val="0"/>
              <w:overflowPunct/>
              <w:topLinePunct w:val="0"/>
              <w:autoSpaceDE/>
              <w:autoSpaceDN/>
              <w:bidi w:val="0"/>
              <w:adjustRightInd/>
              <w:snapToGrid/>
              <w:spacing w:line="440" w:lineRule="exact"/>
              <w:textAlignment w:val="auto"/>
              <w:rPr>
                <w:rFonts w:hint="default" w:ascii="Times New Roman" w:hAnsi="Times New Roman" w:cs="Times New Roman"/>
                <w:color w:val="auto"/>
                <w:sz w:val="24"/>
                <w:szCs w:val="24"/>
                <w:highlight w:val="none"/>
                <w:u w:val="single"/>
              </w:rPr>
            </w:pPr>
            <w:r>
              <w:rPr>
                <w:rFonts w:hint="default" w:ascii="Times New Roman" w:hAnsi="Times New Roman" w:eastAsia="宋体" w:cs="Times New Roman"/>
                <w:color w:val="auto"/>
                <w:sz w:val="24"/>
                <w:szCs w:val="24"/>
                <w:highlight w:val="none"/>
              </w:rPr>
              <w:t>（4）行政监督部门对投诉事项作出的处理决定，在对该项目具有招标监督职责的部门网站上进行公告，包括投诉的事由、调查结果、处理决定、处罚依据以及处罚意见等内容。</w:t>
            </w:r>
          </w:p>
        </w:tc>
      </w:tr>
      <w:tr w14:paraId="3DCF8411">
        <w:tblPrEx>
          <w:tblCellMar>
            <w:top w:w="0" w:type="dxa"/>
            <w:left w:w="108" w:type="dxa"/>
            <w:bottom w:w="0" w:type="dxa"/>
            <w:right w:w="108" w:type="dxa"/>
          </w:tblCellMar>
        </w:tblPrEx>
        <w:trPr>
          <w:trHeight w:val="340" w:hRule="atLeast"/>
        </w:trPr>
        <w:tc>
          <w:tcPr>
            <w:tcW w:w="9004" w:type="dxa"/>
            <w:gridSpan w:val="3"/>
            <w:tcBorders>
              <w:top w:val="single" w:color="auto" w:sz="4" w:space="0"/>
              <w:left w:val="single" w:color="auto" w:sz="4" w:space="0"/>
              <w:bottom w:val="single" w:color="auto" w:sz="4" w:space="0"/>
              <w:right w:val="single" w:color="auto" w:sz="4" w:space="0"/>
            </w:tcBorders>
            <w:noWrap w:val="0"/>
            <w:vAlign w:val="center"/>
          </w:tcPr>
          <w:p w14:paraId="70921439">
            <w:pPr>
              <w:pageBreakBefore w:val="0"/>
              <w:kinsoku/>
              <w:wordWrap w:val="0"/>
              <w:bidi w:val="0"/>
              <w:spacing w:line="440" w:lineRule="exact"/>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需要补充的其他内容</w:t>
            </w:r>
          </w:p>
        </w:tc>
      </w:tr>
      <w:tr w14:paraId="62BAA82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549DCDED">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9.1</w:t>
            </w:r>
          </w:p>
        </w:tc>
        <w:tc>
          <w:tcPr>
            <w:tcW w:w="3101" w:type="dxa"/>
            <w:tcBorders>
              <w:top w:val="single" w:color="auto" w:sz="4" w:space="0"/>
              <w:left w:val="single" w:color="auto" w:sz="4" w:space="0"/>
              <w:bottom w:val="single" w:color="auto" w:sz="4" w:space="0"/>
              <w:right w:val="single" w:color="auto" w:sz="4" w:space="0"/>
            </w:tcBorders>
            <w:noWrap w:val="0"/>
            <w:vAlign w:val="center"/>
          </w:tcPr>
          <w:p w14:paraId="49C74215">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color w:val="auto"/>
                <w:sz w:val="24"/>
                <w:szCs w:val="24"/>
                <w:highlight w:val="none"/>
                <w:lang w:val="en-US" w:eastAsia="zh-CN"/>
              </w:rPr>
              <w:t>施工组织设计的编制要求</w:t>
            </w:r>
            <w:r>
              <w:rPr>
                <w:rStyle w:val="47"/>
                <w:rFonts w:hint="default" w:ascii="Times New Roman" w:hAnsi="Times New Roman" w:cs="Times New Roman"/>
                <w:color w:val="auto"/>
                <w:sz w:val="24"/>
                <w:szCs w:val="24"/>
                <w:highlight w:val="none"/>
                <w:lang w:val="en-US" w:eastAsia="zh-CN"/>
              </w:rPr>
              <w:footnoteReference w:id="10"/>
            </w:r>
          </w:p>
        </w:tc>
        <w:tc>
          <w:tcPr>
            <w:tcW w:w="4867" w:type="dxa"/>
            <w:tcBorders>
              <w:top w:val="single" w:color="auto" w:sz="4" w:space="0"/>
              <w:left w:val="single" w:color="auto" w:sz="4" w:space="0"/>
              <w:bottom w:val="single" w:color="auto" w:sz="4" w:space="0"/>
              <w:right w:val="single" w:color="auto" w:sz="4" w:space="0"/>
            </w:tcBorders>
            <w:noWrap w:val="0"/>
            <w:vAlign w:val="center"/>
          </w:tcPr>
          <w:p w14:paraId="0D4C9BFE">
            <w:pPr>
              <w:pageBreakBefore w:val="0"/>
              <w:kinsoku/>
              <w:wordWrap w:val="0"/>
              <w:bidi w:val="0"/>
              <w:spacing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投标文件</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lang w:val="en-US" w:eastAsia="zh-CN"/>
              </w:rPr>
              <w:t>施工组织设计</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编制要求：</w:t>
            </w:r>
          </w:p>
          <w:p w14:paraId="7F7C1D77">
            <w:pPr>
              <w:pageBreakBefore w:val="0"/>
              <w:kinsoku/>
              <w:wordWrap w:val="0"/>
              <w:bidi w:val="0"/>
              <w:spacing w:line="440" w:lineRule="exact"/>
              <w:jc w:val="left"/>
              <w:rPr>
                <w:rFonts w:hint="default" w:cs="Times New Roman"/>
                <w:color w:val="auto"/>
                <w:sz w:val="24"/>
                <w:szCs w:val="24"/>
                <w:highlight w:val="none"/>
                <w:lang w:val="en-US" w:eastAsia="zh-CN"/>
              </w:rPr>
            </w:pPr>
            <w:r>
              <w:rPr>
                <w:rFonts w:hint="eastAsia" w:cs="Times New Roman"/>
                <w:color w:val="auto"/>
                <w:sz w:val="24"/>
                <w:szCs w:val="24"/>
                <w:highlight w:val="none"/>
                <w:lang w:val="en-US" w:eastAsia="zh-CN"/>
              </w:rPr>
              <w:t>1.本项目不采用暗标形式</w:t>
            </w:r>
          </w:p>
          <w:p w14:paraId="7A577B1B">
            <w:pPr>
              <w:pageBreakBefore w:val="0"/>
              <w:kinsoku/>
              <w:wordWrap w:val="0"/>
              <w:bidi w:val="0"/>
              <w:spacing w:line="440" w:lineRule="exact"/>
              <w:jc w:val="left"/>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2.若</w:t>
            </w:r>
            <w:r>
              <w:rPr>
                <w:rFonts w:hint="default" w:ascii="Times New Roman" w:hAnsi="Times New Roman" w:cs="Times New Roman"/>
                <w:color w:val="auto"/>
                <w:sz w:val="24"/>
                <w:szCs w:val="24"/>
                <w:highlight w:val="none"/>
              </w:rPr>
              <w:t>采用</w:t>
            </w:r>
            <w:r>
              <w:rPr>
                <w:rFonts w:hint="eastAsia" w:cs="Times New Roman"/>
                <w:color w:val="auto"/>
                <w:sz w:val="24"/>
                <w:szCs w:val="24"/>
                <w:highlight w:val="none"/>
                <w:lang w:val="en-US" w:eastAsia="zh-CN"/>
              </w:rPr>
              <w:t>暗</w:t>
            </w:r>
            <w:r>
              <w:rPr>
                <w:rFonts w:hint="default" w:ascii="Times New Roman" w:hAnsi="Times New Roman" w:cs="Times New Roman"/>
                <w:color w:val="auto"/>
                <w:sz w:val="24"/>
                <w:szCs w:val="24"/>
                <w:highlight w:val="none"/>
              </w:rPr>
              <w:t>标形式，必须按下列格式编制，否则视为未对招标文件作出实质性响应，按否决投标处理。</w:t>
            </w:r>
          </w:p>
          <w:p w14:paraId="291D8D31">
            <w:pPr>
              <w:pageBreakBefore w:val="0"/>
              <w:kinsoku/>
              <w:wordWrap/>
              <w:bidi w:val="0"/>
              <w:spacing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（1）采用</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A4</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纸张。页边距：</w:t>
            </w:r>
            <w:r>
              <w:rPr>
                <w:rFonts w:hint="default" w:ascii="Times New Roman" w:hAnsi="Times New Roman" w:cs="Times New Roman"/>
                <w:color w:val="auto"/>
                <w:sz w:val="24"/>
                <w:szCs w:val="24"/>
                <w:highlight w:val="none"/>
                <w:u w:val="single"/>
                <w:lang w:val="en-US" w:eastAsia="zh-CN"/>
              </w:rPr>
              <w:t xml:space="preserve"> 左边距为3.17厘米、右边及上下边距为2.54厘米</w:t>
            </w:r>
            <w:r>
              <w:rPr>
                <w:rFonts w:hint="default" w:ascii="Times New Roman" w:hAnsi="Times New Roman" w:cs="Times New Roman"/>
                <w:color w:val="auto"/>
                <w:sz w:val="24"/>
                <w:szCs w:val="24"/>
                <w:highlight w:val="none"/>
              </w:rPr>
              <w:t>。</w:t>
            </w:r>
          </w:p>
          <w:p w14:paraId="4FE5AE13">
            <w:pPr>
              <w:pageBreakBefore w:val="0"/>
              <w:kinsoku/>
              <w:wordWrap w:val="0"/>
              <w:bidi w:val="0"/>
              <w:spacing w:line="440" w:lineRule="exact"/>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（2）除图纸、图表外所用文字采用</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黑色</w:t>
            </w:r>
            <w:r>
              <w:rPr>
                <w:rFonts w:hint="default" w:ascii="Times New Roman" w:hAnsi="Times New Roman" w:cs="Times New Roman"/>
                <w:color w:val="auto"/>
                <w:sz w:val="24"/>
                <w:szCs w:val="24"/>
                <w:highlight w:val="none"/>
                <w:u w:val="single"/>
                <w:lang w:val="en-US" w:eastAsia="zh-CN"/>
              </w:rPr>
              <w:t>宋体</w:t>
            </w:r>
            <w:r>
              <w:rPr>
                <w:rFonts w:hint="eastAsia" w:cs="Times New Roman"/>
                <w:color w:val="auto"/>
                <w:sz w:val="24"/>
                <w:szCs w:val="24"/>
                <w:highlight w:val="none"/>
                <w:u w:val="single"/>
                <w:lang w:val="en-US" w:eastAsia="zh-CN"/>
              </w:rPr>
              <w:t>四</w:t>
            </w:r>
            <w:r>
              <w:rPr>
                <w:rFonts w:hint="default" w:ascii="Times New Roman" w:hAnsi="Times New Roman" w:cs="Times New Roman"/>
                <w:color w:val="auto"/>
                <w:sz w:val="24"/>
                <w:szCs w:val="24"/>
                <w:highlight w:val="none"/>
                <w:u w:val="single"/>
                <w:lang w:val="en-US" w:eastAsia="zh-CN"/>
              </w:rPr>
              <w:t>号</w:t>
            </w:r>
            <w:r>
              <w:rPr>
                <w:rFonts w:hint="eastAsia" w:cs="Times New Roman"/>
                <w:color w:val="auto"/>
                <w:sz w:val="24"/>
                <w:szCs w:val="24"/>
                <w:highlight w:val="none"/>
                <w:u w:val="single"/>
                <w:lang w:val="en-US" w:eastAsia="zh-CN"/>
              </w:rPr>
              <w:t>（含标题及目录）</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rPr>
              <w:t>，图纸、图表中所有文字采用</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黑色</w:t>
            </w:r>
            <w:r>
              <w:rPr>
                <w:rFonts w:hint="default" w:ascii="Times New Roman" w:hAnsi="Times New Roman" w:cs="Times New Roman"/>
                <w:color w:val="auto"/>
                <w:sz w:val="24"/>
                <w:szCs w:val="24"/>
                <w:highlight w:val="none"/>
                <w:u w:val="single"/>
                <w:lang w:val="en-US" w:eastAsia="zh-CN"/>
              </w:rPr>
              <w:t>宋体</w:t>
            </w:r>
            <w:r>
              <w:rPr>
                <w:rFonts w:hint="eastAsia" w:cs="Times New Roman"/>
                <w:color w:val="auto"/>
                <w:sz w:val="24"/>
                <w:szCs w:val="24"/>
                <w:highlight w:val="none"/>
                <w:u w:val="single"/>
                <w:lang w:val="en-US" w:eastAsia="zh-CN"/>
              </w:rPr>
              <w:t>五</w:t>
            </w:r>
            <w:r>
              <w:rPr>
                <w:rFonts w:hint="default" w:ascii="Times New Roman" w:hAnsi="Times New Roman" w:cs="Times New Roman"/>
                <w:color w:val="auto"/>
                <w:sz w:val="24"/>
                <w:szCs w:val="24"/>
                <w:highlight w:val="none"/>
                <w:u w:val="single"/>
                <w:lang w:val="en-US" w:eastAsia="zh-CN"/>
              </w:rPr>
              <w:t xml:space="preserve">号 </w:t>
            </w:r>
            <w:r>
              <w:rPr>
                <w:rFonts w:hint="default" w:ascii="Times New Roman" w:hAnsi="Times New Roman" w:cs="Times New Roman"/>
                <w:color w:val="auto"/>
                <w:sz w:val="24"/>
                <w:szCs w:val="24"/>
                <w:highlight w:val="none"/>
              </w:rPr>
              <w:t>；不得有任何加粗、斜体、下划线、边框、底纹、阴影等标记。不得设置页码、页眉、页脚；段落设置：</w:t>
            </w:r>
            <w:r>
              <w:rPr>
                <w:rFonts w:hint="default" w:ascii="Times New Roman" w:hAnsi="Times New Roman" w:cs="Times New Roman"/>
                <w:color w:val="auto"/>
                <w:sz w:val="24"/>
                <w:szCs w:val="24"/>
                <w:highlight w:val="none"/>
                <w:u w:val="single"/>
                <w:lang w:val="en-US" w:eastAsia="zh-CN"/>
              </w:rPr>
              <w:t xml:space="preserve"> </w:t>
            </w:r>
            <w:r>
              <w:rPr>
                <w:rFonts w:hint="eastAsia" w:cs="Times New Roman"/>
                <w:color w:val="auto"/>
                <w:sz w:val="24"/>
                <w:szCs w:val="24"/>
                <w:highlight w:val="none"/>
                <w:u w:val="single"/>
                <w:lang w:val="en-US" w:eastAsia="zh-CN"/>
              </w:rPr>
              <w:t xml:space="preserve">行距为固定值18磅 </w:t>
            </w:r>
            <w:r>
              <w:rPr>
                <w:rFonts w:hint="default" w:ascii="Times New Roman" w:hAnsi="Times New Roman" w:cs="Times New Roman"/>
                <w:color w:val="auto"/>
                <w:sz w:val="24"/>
                <w:szCs w:val="24"/>
                <w:highlight w:val="none"/>
              </w:rPr>
              <w:t>，段落设置中</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如果定义了文档网格，则自动调整右缩进</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不打勾，</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如果定义了文档网格，则对齐到网格</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要打勾。</w:t>
            </w:r>
          </w:p>
          <w:p w14:paraId="75C694DB">
            <w:pPr>
              <w:pageBreakBefore w:val="0"/>
              <w:kinsoku/>
              <w:wordWrap w:val="0"/>
              <w:bidi w:val="0"/>
              <w:spacing w:line="440" w:lineRule="exact"/>
              <w:jc w:val="both"/>
              <w:rPr>
                <w:rFonts w:hint="default"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（3）内容、文字均不得出现彩色文字与彩色图形，不得出现投标单位名称、相关人员姓名等能体现有关投标单位信息的提示性标记、文字、语句等，不得出现</w:t>
            </w:r>
            <w:r>
              <w:rPr>
                <w:rFonts w:hint="default" w:ascii="Times New Roman" w:hAnsi="Times New Roman" w:cs="Times New Roman"/>
                <w:color w:val="auto"/>
                <w:sz w:val="24"/>
                <w:szCs w:val="24"/>
                <w:highlight w:val="none"/>
                <w:lang w:val="en-US" w:eastAsia="zh-CN"/>
              </w:rPr>
              <w:t>投标人</w:t>
            </w:r>
            <w:r>
              <w:rPr>
                <w:rFonts w:hint="default" w:ascii="Times New Roman" w:hAnsi="Times New Roman" w:cs="Times New Roman"/>
                <w:color w:val="auto"/>
                <w:sz w:val="24"/>
                <w:szCs w:val="24"/>
                <w:highlight w:val="none"/>
              </w:rPr>
              <w:t>或人员电子签章，不得出现其他不符合暗标要求的内容</w:t>
            </w:r>
            <w:r>
              <w:rPr>
                <w:rFonts w:hint="default" w:ascii="Times New Roman" w:hAnsi="Times New Roman" w:cs="Times New Roman"/>
                <w:color w:val="auto"/>
                <w:sz w:val="24"/>
                <w:szCs w:val="24"/>
                <w:highlight w:val="none"/>
                <w:lang w:eastAsia="zh-CN"/>
              </w:rPr>
              <w:t>。</w:t>
            </w:r>
          </w:p>
          <w:p w14:paraId="0B4D7F9C">
            <w:pPr>
              <w:pageBreakBefore w:val="0"/>
              <w:kinsoku/>
              <w:wordWrap w:val="0"/>
              <w:bidi w:val="0"/>
              <w:spacing w:line="440" w:lineRule="exact"/>
              <w:jc w:val="lef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eastAsia="zh-CN"/>
              </w:rPr>
              <w:t>）投标人应当</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且仅允许</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在电子投标文件第一个信封</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商务及技术文件</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lang w:eastAsia="zh-CN"/>
              </w:rPr>
              <w:t>“施工组织设计”节点处上传“施工组织设计”</w:t>
            </w:r>
            <w:r>
              <w:rPr>
                <w:rFonts w:hint="default" w:ascii="Times New Roman" w:hAnsi="Times New Roman" w:cs="Times New Roman"/>
                <w:color w:val="auto"/>
                <w:sz w:val="24"/>
                <w:szCs w:val="24"/>
                <w:highlight w:val="none"/>
              </w:rPr>
              <w:t>。</w:t>
            </w:r>
          </w:p>
        </w:tc>
      </w:tr>
      <w:tr w14:paraId="4FC6A51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171F63F">
            <w:pPr>
              <w:pageBreakBefore w:val="0"/>
              <w:kinsoku/>
              <w:wordWrap w:val="0"/>
              <w:bidi w:val="0"/>
              <w:spacing w:line="440" w:lineRule="exact"/>
              <w:jc w:val="center"/>
              <w:rPr>
                <w:rFonts w:hint="eastAsia" w:eastAsia="宋体" w:cs="Times New Roman"/>
                <w:color w:val="auto"/>
                <w:sz w:val="24"/>
                <w:szCs w:val="24"/>
                <w:highlight w:val="none"/>
                <w:lang w:val="en-US" w:eastAsia="zh-CN"/>
              </w:rPr>
            </w:pPr>
            <w:r>
              <w:rPr>
                <w:rFonts w:hint="eastAsia" w:cs="Times New Roman"/>
                <w:color w:val="auto"/>
                <w:szCs w:val="21"/>
                <w:highlight w:val="none"/>
                <w:lang w:val="en-US" w:eastAsia="zh-CN"/>
              </w:rPr>
              <w:t>9</w:t>
            </w: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2</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533D0564">
            <w:pPr>
              <w:spacing w:line="440" w:lineRule="exac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投标人须知正文补充第</w:t>
            </w:r>
            <w:r>
              <w:rPr>
                <w:rFonts w:hint="eastAsia" w:cs="Times New Roman"/>
                <w:color w:val="auto"/>
                <w:sz w:val="24"/>
                <w:szCs w:val="24"/>
                <w:highlight w:val="none"/>
                <w:lang w:eastAsia="zh-CN"/>
              </w:rPr>
              <w:t>9</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2款</w:t>
            </w:r>
            <w:r>
              <w:rPr>
                <w:rFonts w:hint="default" w:ascii="Times New Roman" w:hAnsi="Times New Roman" w:eastAsia="宋体" w:cs="Times New Roman"/>
                <w:color w:val="auto"/>
                <w:sz w:val="24"/>
                <w:szCs w:val="24"/>
                <w:highlight w:val="none"/>
                <w:vertAlign w:val="superscript"/>
              </w:rPr>
              <w:footnoteReference w:id="11"/>
            </w:r>
            <w:r>
              <w:rPr>
                <w:rFonts w:hint="default" w:ascii="Times New Roman" w:hAnsi="Times New Roman" w:eastAsia="宋体" w:cs="Times New Roman"/>
                <w:color w:val="auto"/>
                <w:sz w:val="24"/>
                <w:szCs w:val="24"/>
                <w:highlight w:val="none"/>
              </w:rPr>
              <w:t>：</w:t>
            </w:r>
          </w:p>
          <w:p w14:paraId="44CA5A90">
            <w:pPr>
              <w:pageBreakBefore w:val="0"/>
              <w:kinsoku/>
              <w:wordWrap w:val="0"/>
              <w:bidi w:val="0"/>
              <w:spacing w:line="440" w:lineRule="exact"/>
              <w:jc w:val="left"/>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本项目实施过程中推广以工代赈，在确保工程质量安全和符合进度要求等前提下，应充分挖掘主体工程建设及附属临建、工地服务保障、建后管护等方面用工潜力，平衡好建设和管护领域劳动合同制用工和以工代赈劳务用工之间关系，尽可能多地通过以工代赈方式吸纳当地群众参与工程建设。</w:t>
            </w:r>
          </w:p>
        </w:tc>
      </w:tr>
      <w:tr w14:paraId="72F6DB95">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626BCAE">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3.2</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679BF2C6">
            <w:pPr>
              <w:pageBreakBefore w:val="0"/>
              <w:kinsoku/>
              <w:wordWrap w:val="0"/>
              <w:bidi w:val="0"/>
              <w:spacing w:line="440" w:lineRule="exact"/>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投标人须知正文</w:t>
            </w:r>
            <w:r>
              <w:rPr>
                <w:rFonts w:hint="eastAsia" w:cs="Times New Roman"/>
                <w:color w:val="auto"/>
                <w:sz w:val="24"/>
                <w:szCs w:val="24"/>
                <w:highlight w:val="none"/>
                <w:lang w:val="en-US" w:eastAsia="zh-CN"/>
              </w:rPr>
              <w:t>修改</w:t>
            </w:r>
            <w:r>
              <w:rPr>
                <w:rFonts w:hint="default" w:ascii="Times New Roman" w:hAnsi="Times New Roman" w:eastAsia="宋体" w:cs="Times New Roman"/>
                <w:color w:val="auto"/>
                <w:sz w:val="24"/>
                <w:szCs w:val="24"/>
                <w:highlight w:val="none"/>
              </w:rPr>
              <w:t>第</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2款</w:t>
            </w:r>
          </w:p>
          <w:p w14:paraId="07E29DE5">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3.2 投标报价</w:t>
            </w:r>
          </w:p>
          <w:p w14:paraId="7646210B">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第3.2.5项补充：投标人应根据《公路水运工程安全生产监督管理办法》（交通运输部令2017年第25号）以及《关于印发</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企业安全生产费用提取和使用管理办法&gt;的通知》（财资〔2022〕136号）的规定，在投标总价中计入安全生产费用，安全生产费用以固定金额形式计入工程量清单第100章中，投标人在投标报价时不得对该固定金额进行调整。如投标人须在此基础上增加安全生产费用以满足项目施工需要，则投标人应在本项目工程量清单</w:t>
            </w:r>
            <w:r>
              <w:rPr>
                <w:rFonts w:hint="eastAsia" w:cs="Times New Roman"/>
                <w:color w:val="auto"/>
                <w:kern w:val="2"/>
                <w:sz w:val="24"/>
                <w:szCs w:val="24"/>
                <w:highlight w:val="none"/>
                <w:lang w:val="en-US" w:eastAsia="zh-CN" w:bidi="ar-SA"/>
              </w:rPr>
              <w:t>其他</w:t>
            </w:r>
            <w:r>
              <w:rPr>
                <w:rFonts w:hint="default" w:ascii="Times New Roman" w:hAnsi="Times New Roman" w:eastAsia="宋体" w:cs="Times New Roman"/>
                <w:color w:val="auto"/>
                <w:kern w:val="2"/>
                <w:sz w:val="24"/>
                <w:szCs w:val="24"/>
                <w:highlight w:val="none"/>
                <w:lang w:val="en-US" w:eastAsia="zh-CN" w:bidi="ar-SA"/>
              </w:rPr>
              <w:t>相关子目的单价或总额价中予以考虑，发包人不再单独支付。</w:t>
            </w:r>
          </w:p>
          <w:p w14:paraId="30FEB691">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承包人的施工安全生产费用，应当用于施工安全防护用具及设施的采购和更新、安全施工措施的落实、安全生产条件的改善，不得挪作他用。</w:t>
            </w:r>
          </w:p>
          <w:p w14:paraId="0EE227FC">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第3.2.9项投标报价的其他要求：</w:t>
            </w:r>
          </w:p>
          <w:p w14:paraId="6A7F71B8">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第3.2.9.1项投标人在填报投标总报价时，应充分考虑以下工作内容所产生的一切费用，招标人在支付合同价款时，将视为该部分费用已含入工程量清单各支付子目的单价或总额价中，不再另行支付：</w:t>
            </w:r>
          </w:p>
          <w:p w14:paraId="5D1B34CB">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（1）施工用电和水应由投标人自行调查解决，所需费用均应已含入工程量清单各支付子目的单价或总额价中，并计入签约合同价，招标人将不另行支付。</w:t>
            </w:r>
          </w:p>
          <w:p w14:paraId="04A44F13">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（2）投标人应根据工程实际情况确定临时占地最长使用期限，临时占地的租地费用由投标人在投标阶段综合考虑并计入相关清单子目报价中，招标人将不另行支付。</w:t>
            </w:r>
          </w:p>
          <w:p w14:paraId="2B5BDD63">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3）投标人的投标报价中应含各类保险费，投保的范围与条件和保险费率等规定详见第四章“项目专用合同条款数据表”第20.1款、第20.4款、第20.5款。各类保险费均应已含入工程量清单各支付子目的单价中，并计入签约合同价，招标人将不另行支付。 </w:t>
            </w:r>
          </w:p>
          <w:p w14:paraId="4CBD23CD">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（4）投标人的投标价应包括投标人完成本招标项目施工、缺陷修复工作的全部费用。投标人应依据相应的工程量计算规则和定额等计价依据计算报价。 </w:t>
            </w:r>
          </w:p>
          <w:p w14:paraId="4260984B">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（5）投标人应自行踏勘现场以充分了解工地位置、情况、道路、储存空间、装卸限制及任何其他足以影响投标报价的情况，任何因忽视或误解工地情况而导致的索赔或工期延长申请将不被批准。 </w:t>
            </w:r>
          </w:p>
          <w:p w14:paraId="2DBBF034">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（6）施工期间投标人必须严格执行国家、地方政府有关施工安全管理方面的</w:t>
            </w:r>
            <w:r>
              <w:rPr>
                <w:rFonts w:hint="eastAsia" w:cs="Times New Roman"/>
                <w:color w:val="auto"/>
                <w:kern w:val="2"/>
                <w:sz w:val="24"/>
                <w:szCs w:val="24"/>
                <w:highlight w:val="none"/>
                <w:lang w:val="en-US" w:eastAsia="zh-CN" w:bidi="ar-SA"/>
              </w:rPr>
              <w:t>法律法规</w:t>
            </w:r>
            <w:r>
              <w:rPr>
                <w:rFonts w:hint="default" w:ascii="Times New Roman" w:hAnsi="Times New Roman" w:eastAsia="宋体" w:cs="Times New Roman"/>
                <w:color w:val="auto"/>
                <w:kern w:val="2"/>
                <w:sz w:val="24"/>
                <w:szCs w:val="24"/>
                <w:highlight w:val="none"/>
                <w:lang w:val="en-US" w:eastAsia="zh-CN" w:bidi="ar-SA"/>
              </w:rPr>
              <w:t xml:space="preserve">及规章制度，同时严格执行发包人制订的本项目安全生产管理方面的规章制度、安全检查程序及施工安全管理要求，所需费用均已含入工程量清单各支付子目的单价或总额价中，并计入签约合同价，招标人将不另行支付。 </w:t>
            </w:r>
          </w:p>
          <w:p w14:paraId="69824C02">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（7）投标人应充分考虑采购满足招标人要求的材料所需的一切费用，所需费用均应已含入工程量清单各支付子目的单价或总额价中，并计入签约合同价，招标人将不另行支付。 </w:t>
            </w:r>
          </w:p>
          <w:p w14:paraId="5176B648">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8</w:t>
            </w:r>
            <w:r>
              <w:rPr>
                <w:rFonts w:hint="default" w:ascii="Times New Roman" w:hAnsi="Times New Roman" w:eastAsia="宋体" w:cs="Times New Roman"/>
                <w:color w:val="auto"/>
                <w:kern w:val="2"/>
                <w:sz w:val="24"/>
                <w:szCs w:val="24"/>
                <w:highlight w:val="none"/>
                <w:lang w:val="en-US" w:eastAsia="zh-CN" w:bidi="ar-SA"/>
              </w:rPr>
              <w:t xml:space="preserve">）投标人应充分考虑本项目施工过程中为保证道路通行所采取的各项必要措施，所需费用均已含入工程量清单各支付子目的单价或总额价中，并计入签约合同价，招标人将不另行支付。 </w:t>
            </w:r>
          </w:p>
          <w:p w14:paraId="65D750AF">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9</w:t>
            </w:r>
            <w:r>
              <w:rPr>
                <w:rFonts w:hint="default" w:ascii="Times New Roman" w:hAnsi="Times New Roman" w:eastAsia="宋体" w:cs="Times New Roman"/>
                <w:color w:val="auto"/>
                <w:kern w:val="2"/>
                <w:sz w:val="24"/>
                <w:szCs w:val="24"/>
                <w:highlight w:val="none"/>
                <w:lang w:val="en-US" w:eastAsia="zh-CN" w:bidi="ar-SA"/>
              </w:rPr>
              <w:t xml:space="preserve">）投标人应充分考虑不间断施工所需的生产生活相关费用，所需费用均已含入工程量清单各支付子目的单价或总额价中，并计入签约合同价，招标人将不另行支付。 </w:t>
            </w:r>
          </w:p>
          <w:p w14:paraId="77B2CB73">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w:t>
            </w:r>
            <w:r>
              <w:rPr>
                <w:rFonts w:hint="eastAsia" w:cs="Times New Roman"/>
                <w:color w:val="auto"/>
                <w:kern w:val="2"/>
                <w:sz w:val="24"/>
                <w:szCs w:val="24"/>
                <w:highlight w:val="none"/>
                <w:lang w:val="en-US" w:eastAsia="zh-CN" w:bidi="ar-SA"/>
              </w:rPr>
              <w:t>0</w:t>
            </w:r>
            <w:r>
              <w:rPr>
                <w:rFonts w:hint="default" w:ascii="Times New Roman" w:hAnsi="Times New Roman" w:eastAsia="宋体" w:cs="Times New Roman"/>
                <w:color w:val="auto"/>
                <w:kern w:val="2"/>
                <w:sz w:val="24"/>
                <w:szCs w:val="24"/>
                <w:highlight w:val="none"/>
                <w:lang w:val="en-US" w:eastAsia="zh-CN" w:bidi="ar-SA"/>
              </w:rPr>
              <w:t>）本项目投标人的临时用地选址应由投标人自行调查解决，各投标人应对临时用地位置和面积合理设置施工所需的生产生活设施，所需费用均已含入工程量清单各支付子目的单价或总额价中，并计入签约合同价，招标人将不另行支付。</w:t>
            </w:r>
          </w:p>
          <w:p w14:paraId="5D4BD806">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w:t>
            </w:r>
            <w:r>
              <w:rPr>
                <w:rFonts w:hint="eastAsia" w:cs="Times New Roman"/>
                <w:color w:val="auto"/>
                <w:kern w:val="2"/>
                <w:sz w:val="24"/>
                <w:szCs w:val="24"/>
                <w:highlight w:val="none"/>
                <w:lang w:val="en-US" w:eastAsia="zh-CN" w:bidi="ar-SA"/>
              </w:rPr>
              <w:t>1</w:t>
            </w:r>
            <w:r>
              <w:rPr>
                <w:rFonts w:hint="default" w:ascii="Times New Roman" w:hAnsi="Times New Roman" w:eastAsia="宋体" w:cs="Times New Roman"/>
                <w:color w:val="auto"/>
                <w:kern w:val="2"/>
                <w:sz w:val="24"/>
                <w:szCs w:val="24"/>
                <w:highlight w:val="none"/>
                <w:lang w:val="en-US" w:eastAsia="zh-CN" w:bidi="ar-SA"/>
              </w:rPr>
              <w:t>）投标人应充分考虑本项目施工可能与其他工程等发生的干扰与交叉，并将因此带来的费用含入工程量清单各支付子目的单价或总额价中，并计入签约合同价，招标人将不另行支付。</w:t>
            </w:r>
          </w:p>
          <w:p w14:paraId="5653C5DB">
            <w:pPr>
              <w:pageBreakBefore w:val="0"/>
              <w:kinsoku/>
              <w:wordWrap w:val="0"/>
              <w:bidi w:val="0"/>
              <w:spacing w:line="440" w:lineRule="exact"/>
              <w:jc w:val="left"/>
              <w:rPr>
                <w:rFonts w:hint="default" w:ascii="宋体" w:hAnsi="宋体" w:eastAsia="宋体" w:cs="宋体"/>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（12）</w:t>
            </w:r>
            <w:r>
              <w:rPr>
                <w:rFonts w:hint="default" w:ascii="Times New Roman" w:hAnsi="Times New Roman" w:eastAsia="宋体" w:cs="Times New Roman"/>
                <w:color w:val="auto"/>
                <w:kern w:val="2"/>
                <w:sz w:val="24"/>
                <w:szCs w:val="24"/>
                <w:highlight w:val="none"/>
                <w:lang w:val="en-US" w:eastAsia="zh-CN" w:bidi="ar-SA"/>
              </w:rPr>
              <w:t>除招标文件另有规定外，根据国家和辽宁省有关的法律、法规的规定，以投标人作为征收对象的所有税费，包括因国家实行营业税改增值税征收税费而引起的费用的变化，均包含在投标人的工程量清单各子目的综合单价中，并计入签约合同价，招标人不另行支付</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增加或扣减</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中标人按照国家相关税收法律、法规出具各支付款项的增值税专用</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或普通</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发票。</w:t>
            </w:r>
          </w:p>
        </w:tc>
      </w:tr>
      <w:tr w14:paraId="5137DEB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9BAA362">
            <w:pPr>
              <w:spacing w:line="449" w:lineRule="auto"/>
              <w:rPr>
                <w:rFonts w:ascii="Arial"/>
                <w:sz w:val="21"/>
                <w:highlight w:val="none"/>
              </w:rPr>
            </w:pPr>
          </w:p>
          <w:p w14:paraId="148A5987">
            <w:pPr>
              <w:pStyle w:val="93"/>
              <w:spacing w:before="68" w:line="239" w:lineRule="auto"/>
              <w:ind w:left="304" w:leftChars="0"/>
              <w:rPr>
                <w:rFonts w:hint="default" w:ascii="宋体" w:hAnsi="宋体" w:eastAsia="宋体" w:cs="宋体"/>
                <w:snapToGrid w:val="0"/>
                <w:color w:val="000000"/>
                <w:kern w:val="0"/>
                <w:sz w:val="20"/>
                <w:szCs w:val="20"/>
                <w:highlight w:val="none"/>
                <w:lang w:val="en-US" w:eastAsia="zh-CN" w:bidi="ar-SA"/>
              </w:rPr>
            </w:pPr>
            <w:r>
              <w:rPr>
                <w:spacing w:val="-3"/>
                <w:highlight w:val="none"/>
              </w:rPr>
              <w:t>3.7</w:t>
            </w:r>
          </w:p>
        </w:tc>
        <w:tc>
          <w:tcPr>
            <w:tcW w:w="7968"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064B8DF7">
            <w:pPr>
              <w:pStyle w:val="93"/>
              <w:autoSpaceDE/>
              <w:autoSpaceDN/>
              <w:spacing w:before="0" w:beforeLines="50" w:line="360" w:lineRule="auto"/>
              <w:ind w:right="105" w:rightChars="5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 xml:space="preserve">投标人须知正文补充3.7投标文件的编制  </w:t>
            </w:r>
          </w:p>
          <w:p w14:paraId="7872640D">
            <w:pPr>
              <w:rPr>
                <w:rFonts w:hint="default" w:ascii="Times New Roman" w:hAnsi="Times New Roman" w:eastAsia="宋体" w:cs="Times New Roman"/>
                <w:color w:val="auto"/>
                <w:kern w:val="2"/>
                <w:sz w:val="24"/>
                <w:szCs w:val="24"/>
                <w:highlight w:val="none"/>
                <w:lang w:val="en-US" w:eastAsia="en-US" w:bidi="ar-SA"/>
              </w:rPr>
            </w:pPr>
            <w:r>
              <w:rPr>
                <w:rFonts w:hint="default" w:ascii="Times New Roman" w:hAnsi="Times New Roman" w:eastAsia="宋体" w:cs="Times New Roman"/>
                <w:color w:val="auto"/>
                <w:kern w:val="2"/>
                <w:sz w:val="24"/>
                <w:szCs w:val="24"/>
                <w:highlight w:val="none"/>
                <w:lang w:val="en-US" w:eastAsia="en-US" w:bidi="ar-SA"/>
              </w:rPr>
              <w:t>本款增加以下内容：</w:t>
            </w:r>
          </w:p>
          <w:p w14:paraId="6BA6F5FD">
            <w:pPr>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en-US" w:bidi="ar-SA"/>
              </w:rPr>
              <w:t>3.7.6投标文件第一个信封</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en-US" w:bidi="ar-SA"/>
              </w:rPr>
              <w:t>商务及技术文件</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en-US" w:bidi="ar-SA"/>
              </w:rPr>
              <w:t>不得出现有关投标报价的内容</w:t>
            </w:r>
            <w:r>
              <w:rPr>
                <w:rFonts w:hint="eastAsia" w:ascii="Times New Roman" w:hAnsi="Times New Roman" w:eastAsia="宋体" w:cs="Times New Roman"/>
                <w:color w:val="auto"/>
                <w:kern w:val="2"/>
                <w:sz w:val="24"/>
                <w:szCs w:val="24"/>
                <w:highlight w:val="none"/>
                <w:lang w:val="en-US" w:eastAsia="zh-CN" w:bidi="ar-SA"/>
              </w:rPr>
              <w:t>。</w:t>
            </w:r>
          </w:p>
          <w:p w14:paraId="244A8E6C">
            <w:pPr>
              <w:rPr>
                <w:rFonts w:hint="default" w:ascii="宋体" w:hAnsi="宋体" w:eastAsia="宋体" w:cs="宋体"/>
                <w:b/>
                <w:bCs/>
                <w:snapToGrid w:val="0"/>
                <w:color w:val="000000"/>
                <w:spacing w:val="-5"/>
                <w:kern w:val="0"/>
                <w:sz w:val="20"/>
                <w:szCs w:val="20"/>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如遇投标工程量清单或平台操作等问题可与新点软件王工联系</w:t>
            </w:r>
            <w:r>
              <w:rPr>
                <w:rFonts w:hint="eastAsia" w:ascii="Times New Roman" w:hAnsi="Times New Roman" w:eastAsia="宋体" w:cs="Times New Roman"/>
                <w:color w:val="auto"/>
                <w:kern w:val="2"/>
                <w:sz w:val="24"/>
                <w:szCs w:val="24"/>
                <w:highlight w:val="none"/>
                <w:lang w:val="en-US" w:eastAsia="zh-CN" w:bidi="ar-SA"/>
              </w:rPr>
              <w:t>电话</w:t>
            </w:r>
            <w:r>
              <w:rPr>
                <w:rFonts w:hint="default" w:ascii="Times New Roman" w:hAnsi="Times New Roman" w:eastAsia="宋体" w:cs="Times New Roman"/>
                <w:color w:val="auto"/>
                <w:kern w:val="2"/>
                <w:sz w:val="24"/>
                <w:szCs w:val="24"/>
                <w:highlight w:val="none"/>
                <w:lang w:val="en-US" w:eastAsia="zh-CN" w:bidi="ar-SA"/>
              </w:rPr>
              <w:t>13019466009</w:t>
            </w:r>
          </w:p>
        </w:tc>
      </w:tr>
      <w:tr w14:paraId="21D46C6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9DA2CFA">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7.8</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3EB1AC7D">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7.8 签订合同</w:t>
            </w:r>
          </w:p>
          <w:p w14:paraId="4F291EBD">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补充第7.8.</w:t>
            </w:r>
            <w:r>
              <w:rPr>
                <w:rFonts w:hint="eastAsia" w:cs="Times New Roman"/>
                <w:color w:val="auto"/>
                <w:kern w:val="2"/>
                <w:sz w:val="24"/>
                <w:szCs w:val="24"/>
                <w:highlight w:val="none"/>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项：</w:t>
            </w:r>
          </w:p>
          <w:p w14:paraId="47FE0055">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7.8.</w:t>
            </w:r>
            <w:r>
              <w:rPr>
                <w:rFonts w:hint="eastAsia" w:cs="Times New Roman"/>
                <w:color w:val="auto"/>
                <w:kern w:val="2"/>
                <w:sz w:val="24"/>
                <w:szCs w:val="24"/>
                <w:highlight w:val="none"/>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人员、设备履约要求</w:t>
            </w:r>
          </w:p>
          <w:p w14:paraId="56A76AD6">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中标人在收到中标通知书后，应及时向招标人报送满足要求的其他管理人员、主要机械及试验测量设备的详细资料（详见合同附件格式《附件四 其他主要管理和技术人员最低要求》，《附件五 主要机械设备和试验检测设备最低要求》），如中标人报送的人员或机械设备不满足招标文件要求，招标人有权取消其中标资格。</w:t>
            </w:r>
          </w:p>
          <w:p w14:paraId="7CD6FBE2">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中标人进场时，如果所提供的人员、设备低于投标阶段以及中标后合同谈判阶段所承诺的人员或机械设备最低标准，即被认为未按合同文件规定履约，发包人将有权与中标人解除合同，另行安排其他单位进行施工。</w:t>
            </w:r>
          </w:p>
          <w:p w14:paraId="4EDA6AFA">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补充第7.8.7项：</w:t>
            </w:r>
          </w:p>
          <w:p w14:paraId="6C73F4BF">
            <w:pPr>
              <w:pageBreakBefore w:val="0"/>
              <w:kinsoku/>
              <w:wordWrap w:val="0"/>
              <w:bidi w:val="0"/>
              <w:spacing w:line="440" w:lineRule="exact"/>
              <w:jc w:val="left"/>
              <w:rPr>
                <w:rFonts w:hint="eastAsia"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7.8.</w:t>
            </w:r>
            <w:r>
              <w:rPr>
                <w:rFonts w:hint="eastAsia"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如果根据投标人须知第 3.5.3 项（适用于已进行资格预审的）、第3.5.11 项（适用于未进行资格预审的）规定，招标人取消了中标人的中标资格，招标人将以《中华人民共和国招标投标法》、《中华人民共和国招标投标法实施条例》为依据，参照《公路工程建设项目招标投标管理办法》重新组织招标；如果根据投标人须知第 7.7.2 项或第 7.8.1 项规定，招标人取消了中标人的中标资格，招标人可将合同授予下一个中标候选人，或者以《中华人民共和国招标投标法》、《中华人民共和国招标投标法实施条例》为依据，参照《公路工程建设项目招标投标管理办法》重新组织招标。</w:t>
            </w:r>
          </w:p>
          <w:p w14:paraId="76CEEB78">
            <w:pPr>
              <w:pageBreakBefore w:val="0"/>
              <w:kinsoku/>
              <w:wordWrap w:val="0"/>
              <w:bidi w:val="0"/>
              <w:spacing w:line="440" w:lineRule="exact"/>
              <w:jc w:val="left"/>
              <w:rPr>
                <w:rFonts w:hint="default" w:cs="Times New Roman"/>
                <w:color w:val="auto"/>
                <w:kern w:val="2"/>
                <w:sz w:val="24"/>
                <w:szCs w:val="24"/>
                <w:highlight w:val="none"/>
                <w:lang w:val="en-US" w:eastAsia="zh-CN" w:bidi="ar-SA"/>
              </w:rPr>
            </w:pPr>
            <w:r>
              <w:rPr>
                <w:rFonts w:hint="default" w:cs="Times New Roman"/>
                <w:color w:val="auto"/>
                <w:kern w:val="2"/>
                <w:sz w:val="24"/>
                <w:szCs w:val="24"/>
                <w:highlight w:val="none"/>
                <w:lang w:val="en-US" w:eastAsia="zh-CN" w:bidi="ar-SA"/>
              </w:rPr>
              <w:t>中标人应严格按照《辽宁省公路工程施工现场主要人员履约监督管理办法》</w:t>
            </w:r>
            <w:r>
              <w:rPr>
                <w:rFonts w:hint="eastAsia" w:cs="Times New Roman"/>
                <w:color w:val="auto"/>
                <w:kern w:val="2"/>
                <w:sz w:val="24"/>
                <w:szCs w:val="24"/>
                <w:highlight w:val="none"/>
                <w:lang w:val="en-US" w:eastAsia="zh-CN" w:bidi="ar-SA"/>
              </w:rPr>
              <w:t>（</w:t>
            </w:r>
            <w:r>
              <w:rPr>
                <w:rFonts w:hint="default" w:cs="Times New Roman"/>
                <w:color w:val="auto"/>
                <w:kern w:val="2"/>
                <w:sz w:val="24"/>
                <w:szCs w:val="24"/>
                <w:highlight w:val="none"/>
                <w:lang w:val="en-US" w:eastAsia="zh-CN" w:bidi="ar-SA"/>
              </w:rPr>
              <w:t>辽交公路规</w:t>
            </w:r>
            <w:r>
              <w:rPr>
                <w:rFonts w:hint="eastAsia" w:cs="Times New Roman"/>
                <w:color w:val="auto"/>
                <w:kern w:val="2"/>
                <w:sz w:val="24"/>
                <w:szCs w:val="24"/>
                <w:highlight w:val="none"/>
                <w:lang w:val="en-US" w:eastAsia="zh-CN" w:bidi="ar-SA"/>
              </w:rPr>
              <w:t>〔2025〕3号）</w:t>
            </w:r>
            <w:r>
              <w:rPr>
                <w:rFonts w:hint="default" w:cs="Times New Roman"/>
                <w:color w:val="auto"/>
                <w:kern w:val="2"/>
                <w:sz w:val="24"/>
                <w:szCs w:val="24"/>
                <w:highlight w:val="none"/>
                <w:lang w:val="en-US" w:eastAsia="zh-CN" w:bidi="ar-SA"/>
              </w:rPr>
              <w:t>的相关规定进行主要人员的现场履约，并</w:t>
            </w:r>
            <w:r>
              <w:rPr>
                <w:rFonts w:hint="eastAsia" w:cs="Times New Roman"/>
                <w:color w:val="auto"/>
                <w:kern w:val="2"/>
                <w:sz w:val="24"/>
                <w:szCs w:val="24"/>
                <w:highlight w:val="none"/>
                <w:lang w:val="en-US" w:eastAsia="zh-CN" w:bidi="ar-SA"/>
              </w:rPr>
              <w:t>接受</w:t>
            </w:r>
            <w:r>
              <w:rPr>
                <w:rFonts w:hint="default" w:cs="Times New Roman"/>
                <w:color w:val="auto"/>
                <w:kern w:val="2"/>
                <w:sz w:val="24"/>
                <w:szCs w:val="24"/>
                <w:highlight w:val="none"/>
                <w:lang w:val="en-US" w:eastAsia="zh-CN" w:bidi="ar-SA"/>
              </w:rPr>
              <w:t>发包人及交通运输主管部门的监督管理。</w:t>
            </w:r>
          </w:p>
        </w:tc>
      </w:tr>
      <w:tr w14:paraId="1BAA289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EFFA458">
            <w:pPr>
              <w:pageBreakBefore w:val="0"/>
              <w:kinsoku/>
              <w:wordWrap w:val="0"/>
              <w:bidi w:val="0"/>
              <w:spacing w:line="440" w:lineRule="exact"/>
              <w:jc w:val="center"/>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9</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573EC0AC">
            <w:pPr>
              <w:keepNext w:val="0"/>
              <w:keepLines w:val="0"/>
              <w:pageBreakBefore w:val="0"/>
              <w:widowControl/>
              <w:wordWrap/>
              <w:overflowPunct/>
              <w:topLinePunct w:val="0"/>
              <w:bidi w:val="0"/>
              <w:adjustRightInd w:val="0"/>
              <w:spacing w:line="400" w:lineRule="exact"/>
              <w:ind w:left="42" w:leftChars="20" w:firstLine="480" w:firstLineChars="200"/>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9.</w:t>
            </w:r>
            <w:r>
              <w:rPr>
                <w:rFonts w:hint="eastAsia" w:ascii="仿宋" w:hAnsi="仿宋" w:eastAsia="仿宋" w:cs="仿宋"/>
                <w:sz w:val="24"/>
                <w:szCs w:val="24"/>
                <w:highlight w:val="none"/>
                <w:lang w:val="en-US" w:eastAsia="zh-CN"/>
              </w:rPr>
              <w:t xml:space="preserve">1 </w:t>
            </w:r>
            <w:r>
              <w:rPr>
                <w:rFonts w:hint="eastAsia" w:ascii="仿宋" w:hAnsi="仿宋" w:eastAsia="仿宋" w:cs="仿宋"/>
                <w:sz w:val="24"/>
                <w:szCs w:val="24"/>
                <w:highlight w:val="none"/>
              </w:rPr>
              <w:t>本项目采用电子招标投标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明标形式</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w:t>
            </w:r>
          </w:p>
          <w:p w14:paraId="3A1F7673">
            <w:pPr>
              <w:keepNext w:val="0"/>
              <w:keepLines w:val="0"/>
              <w:pageBreakBefore w:val="0"/>
              <w:widowControl/>
              <w:wordWrap/>
              <w:overflowPunct/>
              <w:topLinePunct w:val="0"/>
              <w:bidi w:val="0"/>
              <w:adjustRightInd w:val="0"/>
              <w:spacing w:line="400" w:lineRule="exact"/>
              <w:ind w:left="42" w:leftChars="20" w:firstLine="480" w:firstLineChars="200"/>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9.</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电子投标文件中的“投标人基本情况表、近年完成的类似项目情况表、投标人的信誉情况表、拟委任的项目经理和项目总工资历表”等资格审查资料各项表格，均应通过电子投标文件制作系统生成。</w:t>
            </w:r>
          </w:p>
          <w:p w14:paraId="030DC0EE">
            <w:pPr>
              <w:keepNext w:val="0"/>
              <w:keepLines w:val="0"/>
              <w:pageBreakBefore w:val="0"/>
              <w:widowControl/>
              <w:wordWrap/>
              <w:overflowPunct/>
              <w:topLinePunct w:val="0"/>
              <w:bidi w:val="0"/>
              <w:adjustRightInd w:val="0"/>
              <w:spacing w:line="400" w:lineRule="exact"/>
              <w:ind w:left="42" w:leftChars="20" w:firstLine="480" w:firstLineChars="200"/>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9.</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由于通过辽宁省公共资源交易平台制作电子招标文件时，投标文件格式中的“投标函附录”为固定格式且无法修改，投标人在填写“投标函附录”的空格时，为避免填写错误而被否决投标，可在该页的所有必填空格中填写“按招标文件第四章中项目专用合同条款的相关规定执行”。</w:t>
            </w:r>
          </w:p>
          <w:p w14:paraId="11EC57BC">
            <w:pPr>
              <w:keepNext w:val="0"/>
              <w:keepLines w:val="0"/>
              <w:pageBreakBefore w:val="0"/>
              <w:widowControl/>
              <w:wordWrap/>
              <w:overflowPunct/>
              <w:topLinePunct w:val="0"/>
              <w:bidi w:val="0"/>
              <w:adjustRightInd w:val="0"/>
              <w:spacing w:line="400" w:lineRule="exact"/>
              <w:ind w:left="42" w:leftChars="20" w:firstLine="480" w:firstLineChars="200"/>
              <w:jc w:val="left"/>
              <w:textAlignment w:val="baseline"/>
              <w:rPr>
                <w:rFonts w:hint="eastAsia" w:ascii="仿宋" w:hAnsi="仿宋" w:eastAsia="仿宋" w:cs="仿宋"/>
                <w:sz w:val="24"/>
                <w:szCs w:val="24"/>
                <w:highlight w:val="none"/>
              </w:rPr>
            </w:pPr>
            <w:r>
              <w:rPr>
                <w:rFonts w:hint="eastAsia" w:ascii="仿宋" w:hAnsi="仿宋" w:eastAsia="仿宋" w:cs="仿宋"/>
                <w:sz w:val="24"/>
                <w:szCs w:val="24"/>
                <w:highlight w:val="none"/>
              </w:rPr>
              <w:t>9</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由于通过辽宁省公共资源交易平台制作电子招标文件时，投标文件格式中的“银行信贷证明”、“合同用款估算表”为必选项，本次招标无需投标人填报上述必选项资料，因此投标人无需制作上述材料或上传空白材料即可</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上述必选项资料不作为本次招标的评审依据。</w:t>
            </w:r>
          </w:p>
          <w:p w14:paraId="5016503D">
            <w:pPr>
              <w:pageBreakBefore w:val="0"/>
              <w:kinsoku/>
              <w:wordWrap w:val="0"/>
              <w:bidi w:val="0"/>
              <w:spacing w:line="440" w:lineRule="exact"/>
              <w:jc w:val="left"/>
              <w:rPr>
                <w:rFonts w:hint="default" w:ascii="Times New Roman" w:hAnsi="Times New Roman" w:eastAsia="宋体" w:cs="Times New Roman"/>
                <w:color w:val="auto"/>
                <w:kern w:val="2"/>
                <w:sz w:val="24"/>
                <w:szCs w:val="24"/>
                <w:highlight w:val="none"/>
                <w:lang w:val="en-US" w:eastAsia="zh-CN" w:bidi="ar-SA"/>
              </w:rPr>
            </w:pPr>
            <w:r>
              <w:rPr>
                <w:rFonts w:hint="eastAsia" w:ascii="仿宋" w:hAnsi="仿宋" w:eastAsia="仿宋" w:cs="仿宋"/>
                <w:sz w:val="24"/>
                <w:szCs w:val="24"/>
                <w:highlight w:val="none"/>
              </w:rPr>
              <w:t>9.</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本次招标不要求投标人填报“已标价工程量清单”，但由于在电子招标文件系统中，投标文件格式中的“已标价工程量清单”为必选项且为系统固定格式，如不填写系统中的“已标价工程量清单”，则无法在“投标函”中生成“投标总报价”，因此，投标人需根据系统要求自行填报“已标价工程量清单”以使得电子系统中的“投标函”显示数值为投标人对本项目的实际“投标总报价”，投标人根据系统要求自行填报的“已标价工程量清单”不作为本次招标的评审依据。</w:t>
            </w:r>
          </w:p>
        </w:tc>
      </w:tr>
      <w:tr w14:paraId="76C894BB">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2A668A41">
            <w:pPr>
              <w:pageBreakBefore w:val="0"/>
              <w:kinsoku/>
              <w:wordWrap w:val="0"/>
              <w:bidi w:val="0"/>
              <w:spacing w:line="440" w:lineRule="exact"/>
              <w:jc w:val="center"/>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10.1</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52E7CF95">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补充第10.</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款</w:t>
            </w:r>
          </w:p>
          <w:p w14:paraId="14092297">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存在下列情形之一的，招标人将对本项目相应标段重新招标：</w:t>
            </w:r>
          </w:p>
          <w:p w14:paraId="18F4219B">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获取招标文件的潜在投标人少于3个的；</w:t>
            </w:r>
          </w:p>
          <w:p w14:paraId="7D762E89">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（2）</w:t>
            </w:r>
            <w:r>
              <w:rPr>
                <w:rFonts w:hint="eastAsia" w:ascii="仿宋" w:hAnsi="仿宋" w:eastAsia="仿宋" w:cs="仿宋"/>
                <w:sz w:val="24"/>
                <w:szCs w:val="24"/>
                <w:highlight w:val="none"/>
              </w:rPr>
              <w:t>投标截止时间止，递交投标文件或投标保证金的投标人少于3个的；</w:t>
            </w:r>
          </w:p>
          <w:p w14:paraId="402A422E">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（3）</w:t>
            </w:r>
            <w:r>
              <w:rPr>
                <w:rFonts w:hint="eastAsia" w:ascii="仿宋" w:hAnsi="仿宋" w:eastAsia="仿宋" w:cs="仿宋"/>
                <w:sz w:val="24"/>
                <w:szCs w:val="24"/>
                <w:highlight w:val="none"/>
              </w:rPr>
              <w:t>经评标委员会评审后否决所有投标的；</w:t>
            </w:r>
          </w:p>
          <w:p w14:paraId="62624C71">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（4）</w:t>
            </w:r>
            <w:r>
              <w:rPr>
                <w:rFonts w:hint="eastAsia" w:ascii="仿宋" w:hAnsi="仿宋" w:eastAsia="仿宋" w:cs="仿宋"/>
                <w:sz w:val="24"/>
                <w:szCs w:val="24"/>
                <w:highlight w:val="none"/>
              </w:rPr>
              <w:t>经评标委员会评审后未推荐中标候选人的；</w:t>
            </w:r>
          </w:p>
          <w:p w14:paraId="21F6546C">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（5）</w:t>
            </w:r>
            <w:r>
              <w:rPr>
                <w:rFonts w:hint="eastAsia" w:ascii="仿宋" w:hAnsi="仿宋" w:eastAsia="仿宋" w:cs="仿宋"/>
                <w:sz w:val="24"/>
                <w:szCs w:val="24"/>
                <w:highlight w:val="none"/>
              </w:rPr>
              <w:t>中标候选人均未与招标人签订合同的；</w:t>
            </w:r>
          </w:p>
          <w:p w14:paraId="20EE5930">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（6）</w:t>
            </w:r>
            <w:r>
              <w:rPr>
                <w:rFonts w:hint="eastAsia" w:ascii="仿宋" w:hAnsi="仿宋" w:eastAsia="仿宋" w:cs="仿宋"/>
                <w:sz w:val="24"/>
                <w:szCs w:val="24"/>
                <w:highlight w:val="none"/>
              </w:rPr>
              <w:t>法律规定的其他情形。</w:t>
            </w:r>
          </w:p>
        </w:tc>
      </w:tr>
      <w:tr w14:paraId="20068FF4">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01E0CAD">
            <w:pPr>
              <w:pageBreakBefore w:val="0"/>
              <w:kinsoku/>
              <w:wordWrap w:val="0"/>
              <w:bidi w:val="0"/>
              <w:spacing w:line="440" w:lineRule="exact"/>
              <w:jc w:val="center"/>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10.2</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4030E3EC">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补充第10.</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款：</w:t>
            </w:r>
          </w:p>
          <w:p w14:paraId="61E5BD10">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构成本招标文件各个组成部分的文件，未经招标人书面同意，投标人不得擅自复印和用于非本招标项目所需的其他目的。</w:t>
            </w:r>
          </w:p>
        </w:tc>
      </w:tr>
      <w:tr w14:paraId="4E8529CF">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0B99A46">
            <w:pPr>
              <w:pageBreakBefore w:val="0"/>
              <w:kinsoku/>
              <w:wordWrap w:val="0"/>
              <w:bidi w:val="0"/>
              <w:spacing w:line="440" w:lineRule="exact"/>
              <w:jc w:val="center"/>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10.3</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7E222AC6">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补充第10.</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款：</w:t>
            </w:r>
          </w:p>
          <w:p w14:paraId="40321EF0">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构成招标文件组成部分的第二章、第四章～第八章中出现的措辞“发包人”和“承包人”，在招标投标阶段应当分别按“招标人”和“投标人（或中标人）”进行理解；构成招标文件组成部分的第二章中出现的措辞“招标人”和“投标人（或中标人）”，且与合同文件相关的条款，在合同履约阶段应当分别按“发包人”和“承包人”进行理解。</w:t>
            </w:r>
          </w:p>
        </w:tc>
      </w:tr>
      <w:tr w14:paraId="23A4F9D7">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445ABA50">
            <w:pPr>
              <w:pageBreakBefore w:val="0"/>
              <w:kinsoku/>
              <w:wordWrap w:val="0"/>
              <w:bidi w:val="0"/>
              <w:spacing w:line="440" w:lineRule="exact"/>
              <w:jc w:val="center"/>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10.4</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5AF98215">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补充第10.</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款：</w:t>
            </w:r>
          </w:p>
          <w:p w14:paraId="49B7F135">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构成本招标文件的各个组成文件应互为解释，互为说明；如有不明确或不一致，构成合同文件组成内容的，以合同文件约定内容为准，且以合同协议书约定的合同优先顺序解释；除招标文件中有特别规定外，仅适用于招标投标阶段的规定，按招标公告、投标人须知、评标办法、投标文件格式的先后顺序解释；同一组成文件中就同一事项的规定或约定不一致的，以编制顺序在后者为准；同一组成文件不同版本之间有不一致的，以形成时间在后者为准。按本款前述规定仍不能形成结论的，由招标人负责解释。</w:t>
            </w:r>
          </w:p>
        </w:tc>
      </w:tr>
      <w:tr w14:paraId="50AF7B7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72416C32">
            <w:pPr>
              <w:pageBreakBefore w:val="0"/>
              <w:kinsoku/>
              <w:wordWrap w:val="0"/>
              <w:bidi w:val="0"/>
              <w:spacing w:line="440" w:lineRule="exact"/>
              <w:jc w:val="center"/>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10.5</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1D0DF707">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补充第10.</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款：</w:t>
            </w:r>
          </w:p>
          <w:p w14:paraId="4D87A68C">
            <w:pPr>
              <w:pageBreakBefore w:val="0"/>
              <w:kinsoku/>
              <w:wordWrap w:val="0"/>
              <w:bidi w:val="0"/>
              <w:spacing w:line="440" w:lineRule="exact"/>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招标代理服务费：投标人在投标报价时需考虑该部分费用</w:t>
            </w:r>
            <w:r>
              <w:rPr>
                <w:rFonts w:hint="eastAsia" w:ascii="仿宋" w:hAnsi="仿宋" w:eastAsia="仿宋" w:cs="仿宋"/>
                <w:sz w:val="24"/>
                <w:szCs w:val="24"/>
                <w:highlight w:val="none"/>
                <w:lang w:eastAsia="zh-CN"/>
              </w:rPr>
              <w:t>；</w:t>
            </w:r>
          </w:p>
          <w:p w14:paraId="42D610CC">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本项目采购代理服务费由中标（成交）供应商向采购代理机构予以支付。</w:t>
            </w:r>
          </w:p>
          <w:p w14:paraId="62662182">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支付标准：参照《采购服务费管理暂行办法》（计价格</w:t>
            </w:r>
            <w:r>
              <w:rPr>
                <w:rFonts w:hint="eastAsia" w:ascii="仿宋" w:hAnsi="仿宋" w:eastAsia="仿宋" w:cs="仿宋"/>
                <w:sz w:val="24"/>
                <w:szCs w:val="24"/>
                <w:highlight w:val="none"/>
                <w:lang w:eastAsia="zh-CN"/>
              </w:rPr>
              <w:t>〔2002〕1980号</w:t>
            </w:r>
            <w:r>
              <w:rPr>
                <w:rFonts w:hint="eastAsia" w:ascii="仿宋" w:hAnsi="仿宋" w:eastAsia="仿宋" w:cs="仿宋"/>
                <w:sz w:val="24"/>
                <w:szCs w:val="24"/>
                <w:highlight w:val="none"/>
              </w:rPr>
              <w:t>及发改办价格</w:t>
            </w:r>
            <w:r>
              <w:rPr>
                <w:rFonts w:hint="eastAsia" w:ascii="仿宋" w:hAnsi="仿宋" w:eastAsia="仿宋" w:cs="仿宋"/>
                <w:sz w:val="24"/>
                <w:szCs w:val="24"/>
                <w:highlight w:val="none"/>
                <w:lang w:eastAsia="zh-CN"/>
              </w:rPr>
              <w:t>〔2003〕857号</w:t>
            </w:r>
            <w:r>
              <w:rPr>
                <w:rFonts w:hint="eastAsia" w:ascii="仿宋" w:hAnsi="仿宋" w:eastAsia="仿宋" w:cs="仿宋"/>
                <w:sz w:val="24"/>
                <w:szCs w:val="24"/>
                <w:highlight w:val="none"/>
              </w:rPr>
              <w:t>文件规定的收费标准收取。</w:t>
            </w:r>
          </w:p>
          <w:p w14:paraId="1C86447A">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支付形式： 电汇 </w:t>
            </w:r>
          </w:p>
          <w:p w14:paraId="0E47A866">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开户行：中国建设银行沈阳浑南支行</w:t>
            </w:r>
          </w:p>
          <w:p w14:paraId="53C2E2E0">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开户名：沈阳金诺工程招标代理有限公司</w:t>
            </w:r>
          </w:p>
          <w:p w14:paraId="0FDB630B">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账  号：21001430008052515863</w:t>
            </w:r>
          </w:p>
          <w:p w14:paraId="19507A5D">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注：汇款凭证扫描件须在汇款后一个工作日内发送至1053482638@qq.com邮箱，并致电024-31695917-8527进行确认。</w:t>
            </w:r>
          </w:p>
          <w:p w14:paraId="4BD8EB09">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支付时间：成交通知书下达前，成交供应商一次性缴纳。</w:t>
            </w:r>
          </w:p>
        </w:tc>
      </w:tr>
      <w:tr w14:paraId="5FD535E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6898D0C8">
            <w:pPr>
              <w:pageBreakBefore w:val="0"/>
              <w:kinsoku/>
              <w:wordWrap w:val="0"/>
              <w:bidi w:val="0"/>
              <w:spacing w:line="440" w:lineRule="exact"/>
              <w:jc w:val="center"/>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10.6</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52640338">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补充第10.</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款：</w:t>
            </w:r>
          </w:p>
          <w:p w14:paraId="29D8D139">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合同签订前，招标人将组织与中标人进行合同谈判，针对施工工期安排以及进场履约人员、设备、拌和站、沥青制品加工生产商等影响工程质量和施工进度的因素进行实质性落实。如中标人不能满足招标文件要求或中标人无法证实其履约能力，招标人有权取消其中标资格，招标人可以按照评标委员会提出的中标候选人名单排序依次确定其他中标候选人为中标人，也可以重新招标。</w:t>
            </w:r>
          </w:p>
        </w:tc>
      </w:tr>
      <w:tr w14:paraId="4D43864C">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noWrap w:val="0"/>
            <w:vAlign w:val="center"/>
          </w:tcPr>
          <w:p w14:paraId="151FB06F">
            <w:pPr>
              <w:pageBreakBefore w:val="0"/>
              <w:kinsoku/>
              <w:wordWrap w:val="0"/>
              <w:bidi w:val="0"/>
              <w:spacing w:line="440" w:lineRule="exact"/>
              <w:jc w:val="center"/>
              <w:rPr>
                <w:rFonts w:hint="default"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10.7</w:t>
            </w:r>
          </w:p>
        </w:tc>
        <w:tc>
          <w:tcPr>
            <w:tcW w:w="7968" w:type="dxa"/>
            <w:gridSpan w:val="2"/>
            <w:tcBorders>
              <w:top w:val="single" w:color="auto" w:sz="4" w:space="0"/>
              <w:left w:val="single" w:color="auto" w:sz="4" w:space="0"/>
              <w:bottom w:val="single" w:color="auto" w:sz="4" w:space="0"/>
              <w:right w:val="single" w:color="auto" w:sz="4" w:space="0"/>
            </w:tcBorders>
            <w:noWrap w:val="0"/>
            <w:vAlign w:val="center"/>
          </w:tcPr>
          <w:p w14:paraId="753462EC">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补充第10.</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款：</w:t>
            </w:r>
          </w:p>
          <w:p w14:paraId="197DC534">
            <w:pPr>
              <w:pageBreakBefore w:val="0"/>
              <w:kinsoku/>
              <w:wordWrap w:val="0"/>
              <w:bidi w:val="0"/>
              <w:spacing w:line="44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路域整治及垃圾清运费用由承包人自行考虑，已含入其他支付项中，发包人不另行计量支付。</w:t>
            </w:r>
          </w:p>
        </w:tc>
      </w:tr>
      <w:tr w14:paraId="6FF0EF32">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E467FB8">
            <w:pPr>
              <w:spacing w:line="246" w:lineRule="auto"/>
              <w:rPr>
                <w:rFonts w:ascii="Arial"/>
                <w:sz w:val="21"/>
                <w:highlight w:val="none"/>
              </w:rPr>
            </w:pPr>
          </w:p>
          <w:p w14:paraId="18D4037F">
            <w:pPr>
              <w:spacing w:line="246" w:lineRule="auto"/>
              <w:rPr>
                <w:rFonts w:ascii="Arial"/>
                <w:sz w:val="21"/>
                <w:highlight w:val="none"/>
              </w:rPr>
            </w:pPr>
          </w:p>
          <w:p w14:paraId="6193D85E">
            <w:pPr>
              <w:spacing w:line="246" w:lineRule="auto"/>
              <w:rPr>
                <w:rFonts w:ascii="Arial"/>
                <w:sz w:val="21"/>
                <w:highlight w:val="none"/>
              </w:rPr>
            </w:pPr>
          </w:p>
          <w:p w14:paraId="6C602638">
            <w:pPr>
              <w:spacing w:line="247" w:lineRule="auto"/>
              <w:rPr>
                <w:rFonts w:ascii="Arial"/>
                <w:sz w:val="21"/>
                <w:highlight w:val="none"/>
              </w:rPr>
            </w:pPr>
          </w:p>
          <w:p w14:paraId="053FADFC">
            <w:pPr>
              <w:pStyle w:val="93"/>
              <w:spacing w:before="65" w:line="268" w:lineRule="exact"/>
              <w:rPr>
                <w:rFonts w:hint="default" w:ascii="宋体" w:hAnsi="宋体" w:eastAsia="宋体" w:cs="宋体"/>
                <w:kern w:val="2"/>
                <w:sz w:val="24"/>
                <w:szCs w:val="24"/>
                <w:highlight w:val="none"/>
                <w:lang w:val="en-US" w:eastAsia="zh-CN" w:bidi="ar-SA"/>
              </w:rPr>
            </w:pPr>
            <w:r>
              <w:rPr>
                <w:spacing w:val="-1"/>
                <w:position w:val="1"/>
                <w:highlight w:val="none"/>
              </w:rPr>
              <w:t>10.</w:t>
            </w:r>
            <w:r>
              <w:rPr>
                <w:rFonts w:hint="eastAsia"/>
                <w:spacing w:val="-1"/>
                <w:position w:val="1"/>
                <w:highlight w:val="none"/>
                <w:lang w:val="en-US" w:eastAsia="zh-CN"/>
              </w:rPr>
              <w:t>8</w:t>
            </w:r>
          </w:p>
        </w:tc>
        <w:tc>
          <w:tcPr>
            <w:tcW w:w="7968"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0913E9B0">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补充10.8条款：</w:t>
            </w:r>
          </w:p>
          <w:p w14:paraId="0ECE90E1">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投标人是否在国家企业信用信息公示系统（http://www.gsxt.gov.cn/）中被列入严重违法失信企业名单、在“信用中国”网站（www.creditchina.gov.cn）或“中国执行信息公开网” ()中被列入失信被执行人名单情况查询：</w:t>
            </w:r>
          </w:p>
          <w:p w14:paraId="54D04130">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（1）投标人附在投标文件中信用信息查询时间：发布公告之日起至递交投标文件截止时间止；</w:t>
            </w:r>
          </w:p>
          <w:p w14:paraId="0D0A69FD">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2）信用信息复核查询时间：招标代理机构将在递交投标文件截止时间之后至评标委员会资格审查结束前，对投标人的信用信息进行网上查询，并将查询结果提供给评标委员会复核，与投标文件信息不一致时，以复核结果为准；</w:t>
            </w:r>
          </w:p>
          <w:p w14:paraId="4259C074">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（3）信用信息查询记录和证据留存的具体方式：信用信息查询记录将以网站截图打印稿形式与其他采购文件一并保存。</w:t>
            </w:r>
          </w:p>
          <w:p w14:paraId="0E9B2E8E">
            <w:pPr>
              <w:pStyle w:val="93"/>
              <w:spacing w:before="36" w:line="228" w:lineRule="auto"/>
              <w:ind w:left="112"/>
              <w:rPr>
                <w:rFonts w:hint="eastAsia" w:ascii="仿宋" w:hAnsi="仿宋" w:eastAsia="仿宋" w:cs="仿宋"/>
                <w:kern w:val="2"/>
                <w:sz w:val="24"/>
                <w:szCs w:val="24"/>
                <w:highlight w:val="none"/>
                <w:lang w:val="en-US" w:eastAsia="en-US" w:bidi="ar-SA"/>
              </w:rPr>
            </w:pPr>
            <w:r>
              <w:rPr>
                <w:rFonts w:hint="eastAsia" w:ascii="仿宋" w:hAnsi="仿宋" w:eastAsia="仿宋" w:cs="仿宋"/>
                <w:kern w:val="2"/>
                <w:sz w:val="24"/>
                <w:szCs w:val="24"/>
                <w:highlight w:val="none"/>
                <w:lang w:val="en-US" w:eastAsia="zh-CN" w:bidi="ar-SA"/>
              </w:rPr>
              <w:t>（4）在本招标文件规定的复核查询时间之后，网站信息发生的任何变更均不再作为评标依据，投标人自行提供的与网站信息不一致的其他证明材料亦不作为资格审查依据。</w:t>
            </w:r>
          </w:p>
        </w:tc>
      </w:tr>
      <w:tr w14:paraId="05F76200">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14A6828">
            <w:pPr>
              <w:pStyle w:val="93"/>
              <w:spacing w:before="65" w:line="268" w:lineRule="exact"/>
              <w:rPr>
                <w:rFonts w:hint="default" w:eastAsia="宋体"/>
                <w:spacing w:val="-1"/>
                <w:position w:val="1"/>
                <w:highlight w:val="none"/>
                <w:lang w:val="en-US" w:eastAsia="zh-CN"/>
              </w:rPr>
            </w:pPr>
            <w:r>
              <w:rPr>
                <w:rFonts w:hint="eastAsia"/>
                <w:spacing w:val="-1"/>
                <w:position w:val="1"/>
                <w:highlight w:val="none"/>
                <w:lang w:val="en-US" w:eastAsia="zh-CN"/>
              </w:rPr>
              <w:t>10.9</w:t>
            </w:r>
          </w:p>
        </w:tc>
        <w:tc>
          <w:tcPr>
            <w:tcW w:w="7968" w:type="dxa"/>
            <w:gridSpan w:val="2"/>
            <w:tcBorders>
              <w:top w:val="single" w:color="auto" w:sz="4" w:space="0"/>
              <w:left w:val="single" w:color="auto" w:sz="4" w:space="0"/>
              <w:bottom w:val="single" w:color="auto" w:sz="4" w:space="0"/>
              <w:right w:val="single" w:color="auto" w:sz="4" w:space="0"/>
            </w:tcBorders>
            <w:shd w:val="clear" w:color="auto" w:fill="auto"/>
            <w:noWrap w:val="0"/>
            <w:vAlign w:val="top"/>
          </w:tcPr>
          <w:p w14:paraId="5F6239E5">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补充10.9条款：</w:t>
            </w:r>
          </w:p>
          <w:p w14:paraId="4EF90549">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在签订施工合同前，中标人须将招标文件《专用合同条款》中要求的其他主要管理和技术人员和主要机械设备和试验检测设备相关证明材料（发票或租赁协议）的原件及彩色复印件一套上报招标人备案，备案后方可签订施工合同。若中标人未在规定时间内上报相关材料，或上报的相关材料不符合招标文件规定，或与投标承诺不一致，视为中标人放弃中标。招标人将按照评标委员会推荐的中标候选人名单排序依次确定其他中标候选人为中标人；若所有中标候选人均不符合要求，招标人将依法重新招标。</w:t>
            </w:r>
          </w:p>
          <w:p w14:paraId="7843E911">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中标人进场时，如果所提供的人员、设备低于投标阶段以及中标后合同谈判阶段所承诺的人员或机械设备最低标准，即被认为未按合同文件规定履约，发包人将有权与中标人解除合同，另行安排其他单位进行施工。</w:t>
            </w:r>
          </w:p>
          <w:p w14:paraId="7571EA7D">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中标人应提供现场履约人员面部识别打卡设备，打卡数据上传系统，以便用来考核，加强项目管理。面部识别设备费用应该考虑在投标报价中，不得单列。</w:t>
            </w:r>
          </w:p>
        </w:tc>
      </w:tr>
      <w:tr w14:paraId="13645696">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646D2B">
            <w:pPr>
              <w:wordWrap w:val="0"/>
              <w:spacing w:line="420" w:lineRule="exact"/>
              <w:jc w:val="center"/>
              <w:rPr>
                <w:rFonts w:hint="default" w:eastAsia="宋体"/>
                <w:spacing w:val="-1"/>
                <w:position w:val="1"/>
                <w:highlight w:val="none"/>
                <w:lang w:val="en-US" w:eastAsia="zh-CN"/>
              </w:rPr>
            </w:pPr>
            <w:r>
              <w:rPr>
                <w:rFonts w:hint="eastAsia"/>
                <w:sz w:val="24"/>
                <w:highlight w:val="none"/>
                <w:lang w:val="en-US" w:eastAsia="zh-CN"/>
              </w:rPr>
              <w:t>10.10</w:t>
            </w:r>
          </w:p>
        </w:tc>
        <w:tc>
          <w:tcPr>
            <w:tcW w:w="796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10FE5EE9">
            <w:pPr>
              <w:pageBreakBefore w:val="0"/>
              <w:kinsoku/>
              <w:wordWrap w:val="0"/>
              <w:bidi w:val="0"/>
              <w:spacing w:line="440" w:lineRule="exact"/>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开标过程中，投标人如有异议请在异议环节规定时间内提出，如无异议请回复无异议，如未提出则视为认同开标结果，后续不予受理对开标情况的投诉。</w:t>
            </w:r>
          </w:p>
        </w:tc>
      </w:tr>
      <w:tr w14:paraId="45085F6E">
        <w:tblPrEx>
          <w:tblCellMar>
            <w:top w:w="0" w:type="dxa"/>
            <w:left w:w="108" w:type="dxa"/>
            <w:bottom w:w="0" w:type="dxa"/>
            <w:right w:w="108" w:type="dxa"/>
          </w:tblCellMar>
        </w:tblPrEx>
        <w:trPr>
          <w:trHeight w:val="340" w:hRule="atLeast"/>
        </w:trPr>
        <w:tc>
          <w:tcPr>
            <w:tcW w:w="10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9C2335">
            <w:pPr>
              <w:wordWrap w:val="0"/>
              <w:spacing w:line="420" w:lineRule="exact"/>
              <w:jc w:val="center"/>
              <w:rPr>
                <w:rFonts w:hint="default" w:eastAsia="宋体"/>
                <w:spacing w:val="-1"/>
                <w:position w:val="1"/>
                <w:highlight w:val="none"/>
                <w:lang w:val="en-US" w:eastAsia="zh-CN"/>
              </w:rPr>
            </w:pPr>
            <w:r>
              <w:rPr>
                <w:rFonts w:hint="eastAsia"/>
                <w:sz w:val="24"/>
                <w:highlight w:val="none"/>
                <w:lang w:val="en-US" w:eastAsia="zh-CN"/>
              </w:rPr>
              <w:t>10.11</w:t>
            </w:r>
          </w:p>
        </w:tc>
        <w:tc>
          <w:tcPr>
            <w:tcW w:w="7968"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4E98B81E">
            <w:pPr>
              <w:wordWrap w:val="0"/>
              <w:spacing w:line="420" w:lineRule="exact"/>
              <w:jc w:val="left"/>
              <w:rPr>
                <w:rFonts w:hint="eastAsia" w:cs="宋体" w:asciiTheme="minorEastAsia" w:hAnsiTheme="minorEastAsia" w:eastAsiaTheme="minorEastAsia"/>
                <w:sz w:val="24"/>
                <w:highlight w:val="none"/>
              </w:rPr>
            </w:pPr>
            <w:r>
              <w:rPr>
                <w:rFonts w:hint="default" w:ascii="Times New Roman" w:hAnsi="Times New Roman" w:eastAsia="宋体" w:cs="Times New Roman"/>
                <w:color w:val="auto"/>
                <w:kern w:val="2"/>
                <w:sz w:val="24"/>
                <w:szCs w:val="24"/>
                <w:highlight w:val="none"/>
                <w:lang w:val="en-US" w:eastAsia="zh-CN" w:bidi="ar-SA"/>
              </w:rPr>
              <w:t>补充第</w:t>
            </w:r>
            <w:r>
              <w:rPr>
                <w:rFonts w:hint="default" w:ascii="Times New Roman" w:hAnsi="Times New Roman" w:cs="Times New Roman"/>
                <w:color w:val="auto"/>
                <w:sz w:val="24"/>
                <w:highlight w:val="none"/>
              </w:rPr>
              <w:t xml:space="preserve">17.3.1 </w:t>
            </w:r>
            <w:r>
              <w:rPr>
                <w:rFonts w:hint="default" w:ascii="Times New Roman" w:hAnsi="Times New Roman" w:eastAsia="宋体" w:cs="Times New Roman"/>
                <w:color w:val="auto"/>
                <w:kern w:val="2"/>
                <w:sz w:val="24"/>
                <w:szCs w:val="24"/>
                <w:highlight w:val="none"/>
                <w:lang w:val="en-US" w:eastAsia="zh-CN" w:bidi="ar-SA"/>
              </w:rPr>
              <w:t>项：</w:t>
            </w:r>
            <w:r>
              <w:rPr>
                <w:rFonts w:hint="eastAsia" w:ascii="仿宋" w:hAnsi="仿宋" w:eastAsia="仿宋" w:cs="仿宋"/>
                <w:b/>
                <w:bCs/>
                <w:kern w:val="2"/>
                <w:sz w:val="24"/>
                <w:szCs w:val="24"/>
                <w:highlight w:val="none"/>
                <w:lang w:val="en-US" w:eastAsia="zh-CN" w:bidi="ar-SA"/>
              </w:rPr>
              <w:t>付款周期及方式：根据盖州市财政拨款进度，按工程计量支付工程款。</w:t>
            </w:r>
          </w:p>
        </w:tc>
      </w:tr>
    </w:tbl>
    <w:p w14:paraId="1C56C2C9">
      <w:pPr>
        <w:rPr>
          <w:rFonts w:hint="default" w:ascii="Times New Roman" w:hAnsi="Times New Roman" w:eastAsia="黑体" w:cs="Times New Roman"/>
          <w:color w:val="auto"/>
          <w:sz w:val="28"/>
          <w:szCs w:val="28"/>
          <w:highlight w:val="none"/>
        </w:rPr>
      </w:pPr>
      <w:bookmarkStart w:id="65" w:name="_Toc19171"/>
      <w:bookmarkStart w:id="66" w:name="_Toc29783"/>
      <w:bookmarkStart w:id="67" w:name="_Toc234832863"/>
      <w:bookmarkStart w:id="68" w:name="_Toc12483"/>
      <w:r>
        <w:rPr>
          <w:rFonts w:hint="default" w:ascii="Times New Roman" w:hAnsi="Times New Roman" w:eastAsia="黑体" w:cs="Times New Roman"/>
          <w:color w:val="auto"/>
          <w:sz w:val="28"/>
          <w:szCs w:val="28"/>
          <w:highlight w:val="none"/>
        </w:rPr>
        <w:br w:type="page"/>
      </w:r>
    </w:p>
    <w:p w14:paraId="704A6D3F">
      <w:pPr>
        <w:pStyle w:val="2"/>
        <w:pageBreakBefore w:val="0"/>
        <w:kinsoku/>
        <w:wordWrap w:val="0"/>
        <w:bidi w:val="0"/>
        <w:spacing w:before="240" w:after="240" w:line="240" w:lineRule="atLeast"/>
        <w:jc w:val="center"/>
        <w:rPr>
          <w:rFonts w:hint="default" w:ascii="Times New Roman" w:hAnsi="Times New Roman" w:cs="Times New Roman"/>
          <w:color w:val="auto"/>
          <w:highlight w:val="none"/>
        </w:rPr>
      </w:pPr>
      <w:r>
        <w:rPr>
          <w:rFonts w:hint="default" w:ascii="Times New Roman" w:hAnsi="Times New Roman" w:eastAsia="黑体" w:cs="Times New Roman"/>
          <w:color w:val="auto"/>
          <w:sz w:val="28"/>
          <w:szCs w:val="28"/>
          <w:highlight w:val="none"/>
        </w:rPr>
        <w:t>附录1  资格审查条件（资质最低</w:t>
      </w:r>
      <w:r>
        <w:rPr>
          <w:rFonts w:hint="default" w:ascii="Times New Roman" w:hAnsi="Times New Roman" w:eastAsia="黑体" w:cs="Times New Roman"/>
          <w:color w:val="auto"/>
          <w:sz w:val="28"/>
          <w:szCs w:val="28"/>
          <w:highlight w:val="none"/>
          <w:lang w:eastAsia="zh-CN"/>
        </w:rPr>
        <w:t>要求</w:t>
      </w:r>
      <w:r>
        <w:rPr>
          <w:rFonts w:hint="default" w:ascii="Times New Roman" w:hAnsi="Times New Roman" w:eastAsia="黑体" w:cs="Times New Roman"/>
          <w:color w:val="auto"/>
          <w:sz w:val="28"/>
          <w:szCs w:val="28"/>
          <w:highlight w:val="none"/>
        </w:rPr>
        <w:t>）</w:t>
      </w:r>
      <w:r>
        <w:rPr>
          <w:rStyle w:val="47"/>
          <w:rFonts w:hint="default" w:ascii="Times New Roman" w:hAnsi="Times New Roman" w:eastAsia="黑体" w:cs="Times New Roman"/>
          <w:color w:val="auto"/>
          <w:sz w:val="28"/>
          <w:szCs w:val="28"/>
          <w:highlight w:val="none"/>
        </w:rPr>
        <w:footnoteReference w:id="12"/>
      </w:r>
      <w:bookmarkEnd w:id="65"/>
      <w:bookmarkEnd w:id="66"/>
      <w:bookmarkEnd w:id="67"/>
      <w:bookmarkEnd w:id="68"/>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326A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8819" w:type="dxa"/>
            <w:noWrap w:val="0"/>
            <w:vAlign w:val="center"/>
          </w:tcPr>
          <w:p w14:paraId="36552F67">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施工企业资质等级要求</w:t>
            </w:r>
            <w:r>
              <w:rPr>
                <w:rStyle w:val="47"/>
                <w:rFonts w:hint="default" w:ascii="Times New Roman" w:hAnsi="Times New Roman" w:cs="Times New Roman"/>
                <w:color w:val="auto"/>
                <w:szCs w:val="21"/>
                <w:highlight w:val="none"/>
              </w:rPr>
              <w:footnoteReference w:id="13"/>
            </w:r>
          </w:p>
        </w:tc>
      </w:tr>
      <w:tr w14:paraId="04F4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2" w:hRule="atLeast"/>
          <w:jc w:val="center"/>
        </w:trPr>
        <w:tc>
          <w:tcPr>
            <w:tcW w:w="8819" w:type="dxa"/>
            <w:noWrap w:val="0"/>
            <w:vAlign w:val="center"/>
          </w:tcPr>
          <w:p w14:paraId="09185066">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1.具有国内独立法人资格及有效的企业法人营业执照。</w:t>
            </w:r>
          </w:p>
          <w:p w14:paraId="17EC3B86">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2.具有公路工程施</w:t>
            </w:r>
            <w:r>
              <w:rPr>
                <w:rFonts w:hint="default" w:ascii="Times New Roman" w:hAnsi="Times New Roman" w:cs="Times New Roman"/>
                <w:color w:val="auto"/>
                <w:szCs w:val="21"/>
                <w:highlight w:val="yellow"/>
              </w:rPr>
              <w:t>工总承包三级及以上资</w:t>
            </w:r>
            <w:r>
              <w:rPr>
                <w:rFonts w:hint="default" w:ascii="Times New Roman" w:hAnsi="Times New Roman" w:cs="Times New Roman"/>
                <w:color w:val="auto"/>
                <w:szCs w:val="21"/>
                <w:highlight w:val="none"/>
              </w:rPr>
              <w:t>质</w:t>
            </w:r>
            <w:r>
              <w:rPr>
                <w:rFonts w:hint="eastAsia" w:cs="Times New Roman"/>
                <w:color w:val="auto"/>
                <w:szCs w:val="21"/>
                <w:highlight w:val="none"/>
                <w:lang w:val="en-US" w:eastAsia="zh-CN"/>
              </w:rPr>
              <w:t>或具有</w:t>
            </w:r>
            <w:r>
              <w:rPr>
                <w:rFonts w:hint="default" w:ascii="Times New Roman" w:hAnsi="Times New Roman" w:cs="Times New Roman"/>
                <w:color w:val="auto"/>
                <w:szCs w:val="21"/>
                <w:highlight w:val="none"/>
              </w:rPr>
              <w:t>省级交通运输主管部门颁发且有效的“路基路面养护</w:t>
            </w:r>
            <w:r>
              <w:rPr>
                <w:rFonts w:hint="eastAsia" w:cs="Times New Roman"/>
                <w:color w:val="auto"/>
                <w:szCs w:val="21"/>
                <w:highlight w:val="none"/>
                <w:lang w:val="en-US" w:eastAsia="zh-CN"/>
              </w:rPr>
              <w:t>乙</w:t>
            </w:r>
            <w:r>
              <w:rPr>
                <w:rFonts w:hint="default" w:ascii="Times New Roman" w:hAnsi="Times New Roman" w:cs="Times New Roman"/>
                <w:color w:val="auto"/>
                <w:szCs w:val="21"/>
                <w:highlight w:val="none"/>
              </w:rPr>
              <w:t>级”及以上资质</w:t>
            </w:r>
            <w:r>
              <w:rPr>
                <w:rFonts w:hint="default" w:ascii="Times New Roman" w:hAnsi="Times New Roman" w:cs="Times New Roman"/>
                <w:color w:val="auto"/>
                <w:szCs w:val="21"/>
                <w:highlight w:val="none"/>
                <w:lang w:val="en-US" w:eastAsia="zh-CN"/>
              </w:rPr>
              <w:t>和</w:t>
            </w:r>
            <w:r>
              <w:rPr>
                <w:rFonts w:hint="default" w:ascii="Times New Roman" w:hAnsi="Times New Roman" w:cs="Times New Roman"/>
                <w:color w:val="auto"/>
                <w:szCs w:val="21"/>
                <w:highlight w:val="none"/>
              </w:rPr>
              <w:t>“交通安全设施养护资质”和“桥梁养护乙级”及以上资质。</w:t>
            </w:r>
          </w:p>
          <w:p w14:paraId="292782F6">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3.具有建设行政主管部门颁发且有效的</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安全生产许可证</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w:t>
            </w:r>
          </w:p>
        </w:tc>
      </w:tr>
      <w:tr w14:paraId="229C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819" w:type="dxa"/>
            <w:noWrap w:val="0"/>
            <w:vAlign w:val="center"/>
          </w:tcPr>
          <w:p w14:paraId="4B6A47C4">
            <w:pPr>
              <w:pageBreakBefore w:val="0"/>
              <w:kinsoku/>
              <w:wordWrap w:val="0"/>
              <w:bidi w:val="0"/>
              <w:adjustRightInd w:val="0"/>
              <w:snapToGrid w:val="0"/>
              <w:spacing w:line="400" w:lineRule="atLeast"/>
              <w:jc w:val="left"/>
              <w:rPr>
                <w:rFonts w:hint="eastAsia" w:cs="Times New Roman"/>
                <w:color w:val="auto"/>
                <w:szCs w:val="21"/>
                <w:highlight w:val="none"/>
                <w:lang w:val="en-US" w:eastAsia="zh-CN"/>
              </w:rPr>
            </w:pPr>
            <w:bookmarkStart w:id="69" w:name="_Toc234832864"/>
            <w:bookmarkStart w:id="70" w:name="_Toc4197"/>
            <w:bookmarkStart w:id="71" w:name="_Toc3559"/>
          </w:p>
          <w:p w14:paraId="3F712884">
            <w:pPr>
              <w:keepNext w:val="0"/>
              <w:keepLines w:val="0"/>
              <w:pageBreakBefore w:val="0"/>
              <w:widowControl w:val="0"/>
              <w:kinsoku/>
              <w:wordWrap w:val="0"/>
              <w:overflowPunct/>
              <w:topLinePunct w:val="0"/>
              <w:autoSpaceDE/>
              <w:autoSpaceDN/>
              <w:bidi w:val="0"/>
              <w:adjustRightInd w:val="0"/>
              <w:snapToGrid w:val="0"/>
              <w:spacing w:line="400" w:lineRule="atLeast"/>
              <w:jc w:val="left"/>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注：“投标人基本情况表”后应附企业法人营业执照、施工资质证书、安全生产许可证、基本账户开户许可证或基本存款账户信息的“原件扫描件”，投标人在交通运输部“全国公路建设市场监督管理系统”公路工程施工资质企业名录中的网页截图，以及投标人在国家企业信用信息公示系统中基础信息（体现股东及出资详细信息）的网页截图或由法定的社会验资机构出具的验资报告或注册地工商部门出具的股东出资情况证明。</w:t>
            </w:r>
          </w:p>
        </w:tc>
      </w:tr>
    </w:tbl>
    <w:p w14:paraId="6657BE5E">
      <w:pPr>
        <w:pStyle w:val="2"/>
        <w:pageBreakBefore w:val="0"/>
        <w:kinsoku/>
        <w:wordWrap w:val="0"/>
        <w:bidi w:val="0"/>
        <w:spacing w:before="240" w:after="240" w:line="240" w:lineRule="atLeast"/>
        <w:jc w:val="center"/>
        <w:rPr>
          <w:rFonts w:hint="default" w:ascii="Times New Roman" w:hAnsi="Times New Roman" w:eastAsia="黑体" w:cs="Times New Roman"/>
          <w:color w:val="auto"/>
          <w:sz w:val="28"/>
          <w:szCs w:val="28"/>
          <w:highlight w:val="none"/>
        </w:rPr>
        <w:sectPr>
          <w:headerReference r:id="rId23" w:type="default"/>
          <w:footerReference r:id="rId25" w:type="default"/>
          <w:headerReference r:id="rId24" w:type="even"/>
          <w:footerReference r:id="rId26"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7F6B22D4">
      <w:pPr>
        <w:pStyle w:val="2"/>
        <w:pageBreakBefore w:val="0"/>
        <w:kinsoku/>
        <w:wordWrap w:val="0"/>
        <w:bidi w:val="0"/>
        <w:spacing w:before="240" w:after="240" w:line="240" w:lineRule="atLeast"/>
        <w:jc w:val="center"/>
        <w:rPr>
          <w:rFonts w:hint="default" w:ascii="Times New Roman" w:hAnsi="Times New Roman" w:eastAsia="黑体" w:cs="Times New Roman"/>
          <w:color w:val="auto"/>
          <w:sz w:val="28"/>
          <w:szCs w:val="28"/>
          <w:highlight w:val="none"/>
        </w:rPr>
      </w:pPr>
      <w:bookmarkStart w:id="72" w:name="_Toc29861"/>
      <w:r>
        <w:rPr>
          <w:rFonts w:hint="default" w:ascii="Times New Roman" w:hAnsi="Times New Roman" w:eastAsia="黑体" w:cs="Times New Roman"/>
          <w:color w:val="auto"/>
          <w:sz w:val="28"/>
          <w:szCs w:val="28"/>
          <w:highlight w:val="none"/>
        </w:rPr>
        <w:t>附录2  资格审查条件（财务最低要求）</w:t>
      </w:r>
      <w:r>
        <w:rPr>
          <w:rStyle w:val="47"/>
          <w:rFonts w:hint="default" w:ascii="Times New Roman" w:hAnsi="Times New Roman" w:eastAsia="黑体" w:cs="Times New Roman"/>
          <w:color w:val="auto"/>
          <w:sz w:val="28"/>
          <w:szCs w:val="28"/>
          <w:highlight w:val="none"/>
        </w:rPr>
        <w:footnoteReference w:id="14"/>
      </w:r>
      <w:bookmarkEnd w:id="69"/>
      <w:bookmarkEnd w:id="70"/>
      <w:bookmarkEnd w:id="71"/>
      <w:bookmarkEnd w:id="72"/>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166B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8819" w:type="dxa"/>
            <w:noWrap w:val="0"/>
            <w:vAlign w:val="center"/>
          </w:tcPr>
          <w:p w14:paraId="72A4C0EF">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财 务 要 求</w:t>
            </w:r>
          </w:p>
        </w:tc>
      </w:tr>
      <w:tr w14:paraId="2329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819" w:type="dxa"/>
            <w:noWrap w:val="0"/>
            <w:vAlign w:val="center"/>
          </w:tcPr>
          <w:p w14:paraId="0569B29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420" w:lineRule="exact"/>
              <w:textAlignment w:val="baseline"/>
              <w:rPr>
                <w:rFonts w:hint="eastAsia" w:ascii="宋体" w:hAnsi="宋体" w:eastAsia="宋体" w:cs="宋体"/>
                <w:sz w:val="20"/>
                <w:szCs w:val="20"/>
                <w:highlight w:val="none"/>
              </w:rPr>
            </w:pPr>
          </w:p>
          <w:p w14:paraId="718CAA4F">
            <w:pPr>
              <w:rPr>
                <w:rFonts w:hint="default" w:eastAsia="宋体"/>
                <w:color w:val="auto"/>
                <w:highlight w:val="none"/>
                <w:lang w:val="en-US" w:eastAsia="zh-CN"/>
              </w:rPr>
            </w:pPr>
            <w:r>
              <w:rPr>
                <w:rFonts w:hint="eastAsia"/>
                <w:color w:val="auto"/>
                <w:highlight w:val="none"/>
                <w:lang w:val="en-US" w:eastAsia="zh-CN"/>
              </w:rPr>
              <w:t>无要求</w:t>
            </w:r>
          </w:p>
          <w:p w14:paraId="0E00D673">
            <w:pPr>
              <w:rPr>
                <w:color w:val="auto"/>
                <w:highlight w:val="none"/>
              </w:rPr>
            </w:pPr>
          </w:p>
          <w:p w14:paraId="077CC8E3">
            <w:pPr>
              <w:rPr>
                <w:color w:val="auto"/>
                <w:highlight w:val="none"/>
              </w:rPr>
            </w:pPr>
          </w:p>
          <w:p w14:paraId="419B7114">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655A959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7766933E">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58BC2993">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78D142A0">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1084E26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671E812">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493A76B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7239CFFC">
            <w:pPr>
              <w:pageBreakBefore w:val="0"/>
              <w:kinsoku/>
              <w:wordWrap w:val="0"/>
              <w:bidi w:val="0"/>
              <w:adjustRightInd w:val="0"/>
              <w:snapToGrid w:val="0"/>
              <w:spacing w:line="400" w:lineRule="atLeast"/>
              <w:jc w:val="both"/>
              <w:rPr>
                <w:rFonts w:hint="default" w:ascii="Times New Roman" w:hAnsi="Times New Roman" w:cs="Times New Roman"/>
                <w:color w:val="auto"/>
                <w:szCs w:val="21"/>
                <w:highlight w:val="none"/>
              </w:rPr>
            </w:pPr>
          </w:p>
          <w:p w14:paraId="179D5D2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tc>
      </w:tr>
      <w:tr w14:paraId="70FC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jc w:val="center"/>
        </w:trPr>
        <w:tc>
          <w:tcPr>
            <w:tcW w:w="8819" w:type="dxa"/>
            <w:noWrap w:val="0"/>
            <w:vAlign w:val="center"/>
          </w:tcPr>
          <w:p w14:paraId="19FBF93D">
            <w:pPr>
              <w:pageBreakBefore w:val="0"/>
              <w:kinsoku/>
              <w:wordWrap w:val="0"/>
              <w:bidi w:val="0"/>
              <w:adjustRightInd w:val="0"/>
              <w:snapToGrid w:val="0"/>
              <w:spacing w:line="400" w:lineRule="atLeast"/>
              <w:jc w:val="left"/>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注：</w:t>
            </w:r>
          </w:p>
          <w:p w14:paraId="6630F9C1">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FCA756D">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69F169C6">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36D1D5BF">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p w14:paraId="1086623B">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p>
        </w:tc>
      </w:tr>
    </w:tbl>
    <w:p w14:paraId="1E71B9C5">
      <w:pPr>
        <w:pageBreakBefore w:val="0"/>
        <w:kinsoku/>
        <w:wordWrap w:val="0"/>
        <w:bidi w:val="0"/>
        <w:adjustRightInd w:val="0"/>
        <w:snapToGrid w:val="0"/>
        <w:spacing w:line="300" w:lineRule="exact"/>
        <w:rPr>
          <w:rFonts w:hint="default" w:ascii="Times New Roman" w:hAnsi="Times New Roman" w:eastAsia="黑体" w:cs="Times New Roman"/>
          <w:color w:val="auto"/>
          <w:sz w:val="24"/>
          <w:highlight w:val="none"/>
        </w:rPr>
      </w:pPr>
    </w:p>
    <w:p w14:paraId="397959B9">
      <w:pPr>
        <w:pStyle w:val="2"/>
        <w:pageBreakBefore w:val="0"/>
        <w:kinsoku/>
        <w:wordWrap w:val="0"/>
        <w:bidi w:val="0"/>
        <w:spacing w:before="240" w:after="240" w:line="24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4"/>
          <w:highlight w:val="none"/>
        </w:rPr>
        <w:br w:type="page"/>
      </w:r>
      <w:bookmarkStart w:id="73" w:name="_Toc6381"/>
      <w:bookmarkStart w:id="74" w:name="_Toc30953"/>
      <w:bookmarkStart w:id="75" w:name="_Toc234832865"/>
      <w:bookmarkStart w:id="76" w:name="_Toc10281"/>
      <w:r>
        <w:rPr>
          <w:rFonts w:hint="default" w:ascii="Times New Roman" w:hAnsi="Times New Roman" w:eastAsia="黑体" w:cs="Times New Roman"/>
          <w:color w:val="auto"/>
          <w:sz w:val="28"/>
          <w:szCs w:val="28"/>
          <w:highlight w:val="none"/>
        </w:rPr>
        <w:t xml:space="preserve">附录3 </w:t>
      </w:r>
      <w:r>
        <w:rPr>
          <w:rFonts w:hint="default" w:ascii="Times New Roman" w:hAnsi="Times New Roman" w:eastAsia="黑体" w:cs="Times New Roman"/>
          <w:color w:val="auto"/>
          <w:sz w:val="28"/>
          <w:szCs w:val="28"/>
          <w:highlight w:val="none"/>
          <w:lang w:eastAsia="zh-CN"/>
        </w:rPr>
        <w:t xml:space="preserve"> </w:t>
      </w:r>
      <w:r>
        <w:rPr>
          <w:rFonts w:hint="default" w:ascii="Times New Roman" w:hAnsi="Times New Roman" w:eastAsia="黑体" w:cs="Times New Roman"/>
          <w:color w:val="auto"/>
          <w:sz w:val="28"/>
          <w:szCs w:val="28"/>
          <w:highlight w:val="none"/>
        </w:rPr>
        <w:t>资格审查条件（业绩最低要求）</w:t>
      </w:r>
      <w:r>
        <w:rPr>
          <w:rStyle w:val="47"/>
          <w:rFonts w:hint="default" w:ascii="Times New Roman" w:hAnsi="Times New Roman" w:eastAsia="黑体" w:cs="Times New Roman"/>
          <w:color w:val="auto"/>
          <w:sz w:val="28"/>
          <w:szCs w:val="28"/>
          <w:highlight w:val="none"/>
        </w:rPr>
        <w:footnoteReference w:id="15"/>
      </w:r>
      <w:bookmarkEnd w:id="73"/>
      <w:bookmarkEnd w:id="74"/>
      <w:bookmarkEnd w:id="75"/>
      <w:bookmarkEnd w:id="76"/>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7113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8819" w:type="dxa"/>
            <w:noWrap w:val="0"/>
            <w:vAlign w:val="center"/>
          </w:tcPr>
          <w:p w14:paraId="4511E4EB">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业 绩 要 求</w:t>
            </w:r>
            <w:r>
              <w:rPr>
                <w:rStyle w:val="47"/>
                <w:rFonts w:hint="default" w:ascii="Times New Roman" w:hAnsi="Times New Roman" w:cs="Times New Roman"/>
                <w:color w:val="auto"/>
                <w:szCs w:val="21"/>
                <w:highlight w:val="none"/>
              </w:rPr>
              <w:footnoteReference w:id="16"/>
            </w:r>
          </w:p>
        </w:tc>
      </w:tr>
      <w:tr w14:paraId="1781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1" w:hRule="atLeast"/>
          <w:jc w:val="center"/>
        </w:trPr>
        <w:tc>
          <w:tcPr>
            <w:tcW w:w="8819" w:type="dxa"/>
            <w:noWrap w:val="0"/>
            <w:vAlign w:val="center"/>
          </w:tcPr>
          <w:p w14:paraId="388902C5">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eastAsia="宋体" w:cs="宋体"/>
                <w:sz w:val="20"/>
                <w:szCs w:val="20"/>
                <w:highlight w:val="none"/>
              </w:rPr>
            </w:pPr>
            <w:r>
              <w:rPr>
                <w:rFonts w:hint="eastAsia" w:ascii="宋体" w:hAnsi="宋体" w:eastAsia="宋体" w:cs="宋体"/>
                <w:sz w:val="20"/>
                <w:szCs w:val="20"/>
                <w:highlight w:val="none"/>
              </w:rPr>
              <w:t>近</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年（指交工验</w:t>
            </w:r>
            <w:r>
              <w:rPr>
                <w:rFonts w:hint="eastAsia" w:ascii="宋体" w:hAnsi="宋体" w:eastAsia="宋体" w:cs="宋体"/>
                <w:sz w:val="20"/>
                <w:szCs w:val="20"/>
                <w:highlight w:val="yellow"/>
              </w:rPr>
              <w:t>收时间为20</w:t>
            </w:r>
            <w:r>
              <w:rPr>
                <w:rFonts w:hint="eastAsia" w:ascii="宋体" w:hAnsi="宋体" w:eastAsia="宋体" w:cs="宋体"/>
                <w:sz w:val="20"/>
                <w:szCs w:val="20"/>
                <w:highlight w:val="yellow"/>
                <w:lang w:val="en-US" w:eastAsia="zh-CN"/>
              </w:rPr>
              <w:t>2</w:t>
            </w:r>
            <w:r>
              <w:rPr>
                <w:rFonts w:hint="eastAsia" w:ascii="宋体" w:hAnsi="宋体" w:cs="宋体"/>
                <w:sz w:val="20"/>
                <w:szCs w:val="20"/>
                <w:highlight w:val="yellow"/>
                <w:lang w:val="en-US" w:eastAsia="zh-CN"/>
              </w:rPr>
              <w:t>3</w:t>
            </w:r>
            <w:r>
              <w:rPr>
                <w:rFonts w:hint="eastAsia" w:ascii="宋体" w:hAnsi="宋体" w:eastAsia="宋体" w:cs="宋体"/>
                <w:sz w:val="20"/>
                <w:szCs w:val="20"/>
                <w:highlight w:val="yellow"/>
              </w:rPr>
              <w:t>年</w:t>
            </w:r>
            <w:r>
              <w:rPr>
                <w:rFonts w:hint="eastAsia" w:ascii="宋体" w:hAnsi="宋体" w:cs="宋体"/>
                <w:sz w:val="20"/>
                <w:szCs w:val="20"/>
                <w:highlight w:val="yellow"/>
                <w:lang w:val="en-US" w:eastAsia="zh-CN"/>
              </w:rPr>
              <w:t>7</w:t>
            </w:r>
            <w:r>
              <w:rPr>
                <w:rFonts w:hint="eastAsia" w:ascii="宋体" w:hAnsi="宋体" w:eastAsia="宋体" w:cs="宋体"/>
                <w:sz w:val="20"/>
                <w:szCs w:val="20"/>
                <w:highlight w:val="yellow"/>
              </w:rPr>
              <w:t>月</w:t>
            </w:r>
            <w:r>
              <w:rPr>
                <w:rFonts w:hint="eastAsia" w:ascii="宋体" w:hAnsi="宋体" w:eastAsia="宋体" w:cs="宋体"/>
                <w:sz w:val="20"/>
                <w:szCs w:val="20"/>
                <w:highlight w:val="yellow"/>
                <w:lang w:val="en-US" w:eastAsia="zh-CN"/>
              </w:rPr>
              <w:t>8</w:t>
            </w:r>
            <w:r>
              <w:rPr>
                <w:rFonts w:hint="eastAsia" w:ascii="宋体" w:hAnsi="宋体" w:eastAsia="宋体" w:cs="宋体"/>
                <w:sz w:val="20"/>
                <w:szCs w:val="20"/>
                <w:highlight w:val="yellow"/>
              </w:rPr>
              <w:t>日至投标文件递交截止日）内，至少独立</w:t>
            </w:r>
            <w:r>
              <w:rPr>
                <w:rFonts w:hint="eastAsia" w:ascii="宋体" w:hAnsi="宋体" w:eastAsia="宋体" w:cs="宋体"/>
                <w:color w:val="auto"/>
                <w:sz w:val="20"/>
                <w:szCs w:val="20"/>
                <w:highlight w:val="yellow"/>
              </w:rPr>
              <w:t>完成过1个类似公路工程施工项目</w:t>
            </w:r>
            <w:r>
              <w:rPr>
                <w:rFonts w:hint="eastAsia" w:ascii="宋体" w:hAnsi="宋体" w:eastAsia="宋体" w:cs="宋体"/>
                <w:sz w:val="20"/>
                <w:szCs w:val="20"/>
                <w:highlight w:val="none"/>
              </w:rPr>
              <w:t>，且工程验收</w:t>
            </w:r>
            <w:r>
              <w:rPr>
                <w:rFonts w:hint="eastAsia" w:ascii="宋体" w:hAnsi="宋体" w:eastAsia="宋体" w:cs="宋体"/>
                <w:sz w:val="20"/>
                <w:szCs w:val="20"/>
                <w:highlight w:val="none"/>
                <w:lang w:eastAsia="zh-CN"/>
              </w:rPr>
              <w:t>评定</w:t>
            </w:r>
            <w:r>
              <w:rPr>
                <w:rFonts w:hint="eastAsia" w:ascii="宋体" w:hAnsi="宋体" w:eastAsia="宋体" w:cs="宋体"/>
                <w:sz w:val="20"/>
                <w:szCs w:val="20"/>
                <w:highlight w:val="none"/>
              </w:rPr>
              <w:t>为合格</w:t>
            </w:r>
            <w:r>
              <w:rPr>
                <w:rFonts w:hint="eastAsia" w:ascii="宋体" w:hAnsi="宋体" w:eastAsia="宋体" w:cs="宋体"/>
                <w:sz w:val="20"/>
                <w:szCs w:val="20"/>
                <w:highlight w:val="none"/>
                <w:lang w:eastAsia="zh-CN"/>
              </w:rPr>
              <w:t>或</w:t>
            </w:r>
            <w:r>
              <w:rPr>
                <w:rFonts w:hint="eastAsia" w:ascii="宋体" w:hAnsi="宋体" w:eastAsia="宋体" w:cs="宋体"/>
                <w:sz w:val="20"/>
                <w:szCs w:val="20"/>
                <w:highlight w:val="none"/>
              </w:rPr>
              <w:t>以上等级。</w:t>
            </w:r>
          </w:p>
          <w:p w14:paraId="184DD7B1">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1</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已录入“辽宁省公共资源交易平台主体交易库”中的企业业绩，可以从主体库中选取后关联至投标文件中，作为企业业绩的证明材料；</w:t>
            </w:r>
          </w:p>
          <w:p w14:paraId="62BB37E6">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未录入“辽宁省公共资源交易平台主体交易库”中的企业业绩，在投标文件第一个信封的“其他材料”中提供以下材料作为企业业绩证明材料：中标通知书、施工合同、竣工</w:t>
            </w:r>
            <w:r>
              <w:rPr>
                <w:rFonts w:hint="default" w:ascii="Times New Roman" w:hAnsi="Times New Roman" w:cs="Times New Roman"/>
                <w:color w:val="auto"/>
                <w:szCs w:val="21"/>
                <w:highlight w:val="none"/>
                <w:lang w:val="en-US" w:eastAsia="zh-CN"/>
              </w:rPr>
              <w:t>验收报告</w:t>
            </w:r>
            <w:r>
              <w:rPr>
                <w:rFonts w:hint="default" w:ascii="Times New Roman" w:hAnsi="Times New Roman" w:cs="Times New Roman"/>
                <w:color w:val="auto"/>
                <w:szCs w:val="21"/>
                <w:highlight w:val="none"/>
              </w:rPr>
              <w:t>、中标结果公示网站截图；</w:t>
            </w:r>
          </w:p>
          <w:p w14:paraId="3476485A">
            <w:pPr>
              <w:keepNext w:val="0"/>
              <w:keepLines w:val="0"/>
              <w:pageBreakBefore w:val="0"/>
              <w:widowControl/>
              <w:kinsoku w:val="0"/>
              <w:wordWrap/>
              <w:overflowPunct/>
              <w:topLinePunct w:val="0"/>
              <w:autoSpaceDE w:val="0"/>
              <w:autoSpaceDN w:val="0"/>
              <w:bidi w:val="0"/>
              <w:adjustRightInd w:val="0"/>
              <w:snapToGrid w:val="0"/>
              <w:spacing w:line="420" w:lineRule="exact"/>
              <w:ind w:firstLine="420" w:firstLineChars="200"/>
              <w:textAlignment w:val="baseline"/>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如投标人法人机构发生变更或重组或法人名称变更时，应提供相关部门的合法批件。</w:t>
            </w:r>
          </w:p>
        </w:tc>
      </w:tr>
      <w:tr w14:paraId="1DA6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jc w:val="center"/>
        </w:trPr>
        <w:tc>
          <w:tcPr>
            <w:tcW w:w="8819" w:type="dxa"/>
            <w:noWrap w:val="0"/>
            <w:vAlign w:val="center"/>
          </w:tcPr>
          <w:p w14:paraId="6120244F">
            <w:pPr>
              <w:pageBreakBefore w:val="0"/>
              <w:kinsoku/>
              <w:wordWrap w:val="0"/>
              <w:bidi w:val="0"/>
              <w:adjustRightInd w:val="0"/>
              <w:snapToGrid w:val="0"/>
              <w:spacing w:line="40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注：投标人应提供中标通知书、施工合同及</w:t>
            </w:r>
            <w:r>
              <w:rPr>
                <w:rFonts w:hint="default" w:ascii="Times New Roman" w:hAnsi="Times New Roman" w:cs="Times New Roman"/>
                <w:color w:val="auto"/>
                <w:szCs w:val="21"/>
                <w:highlight w:val="yellow"/>
              </w:rPr>
              <w:t>竣工</w:t>
            </w:r>
            <w:r>
              <w:rPr>
                <w:rFonts w:hint="eastAsia" w:cs="Times New Roman"/>
                <w:color w:val="auto"/>
                <w:szCs w:val="21"/>
                <w:highlight w:val="yellow"/>
                <w:lang w:val="en-US" w:eastAsia="zh-CN"/>
              </w:rPr>
              <w:t>验收报告</w:t>
            </w:r>
            <w:r>
              <w:rPr>
                <w:rFonts w:hint="default" w:ascii="Times New Roman" w:hAnsi="Times New Roman" w:cs="Times New Roman"/>
                <w:color w:val="auto"/>
                <w:szCs w:val="21"/>
                <w:highlight w:val="none"/>
              </w:rPr>
              <w:t>，三者缺一不可，时间以竣工时间为准。</w:t>
            </w:r>
          </w:p>
          <w:p w14:paraId="39D19401">
            <w:pPr>
              <w:pageBreakBefore w:val="0"/>
              <w:kinsoku/>
              <w:wordWrap w:val="0"/>
              <w:bidi w:val="0"/>
              <w:adjustRightInd w:val="0"/>
              <w:snapToGrid w:val="0"/>
              <w:spacing w:line="400" w:lineRule="atLeast"/>
              <w:ind w:firstLine="210" w:firstLineChars="100"/>
              <w:jc w:val="left"/>
              <w:rPr>
                <w:rFonts w:hint="default" w:ascii="Times New Roman" w:hAnsi="Times New Roman" w:cs="Times New Roman"/>
                <w:color w:val="auto"/>
                <w:szCs w:val="21"/>
                <w:highlight w:val="none"/>
              </w:rPr>
            </w:pPr>
          </w:p>
        </w:tc>
      </w:tr>
    </w:tbl>
    <w:p w14:paraId="04846E3C">
      <w:pPr>
        <w:pageBreakBefore w:val="0"/>
        <w:kinsoku/>
        <w:wordWrap w:val="0"/>
        <w:bidi w:val="0"/>
        <w:adjustRightInd w:val="0"/>
        <w:snapToGrid w:val="0"/>
        <w:spacing w:line="300" w:lineRule="exact"/>
        <w:rPr>
          <w:rFonts w:hint="default" w:ascii="Times New Roman" w:hAnsi="Times New Roman" w:eastAsia="隶书" w:cs="Times New Roman"/>
          <w:b/>
          <w:color w:val="auto"/>
          <w:sz w:val="32"/>
          <w:highlight w:val="none"/>
        </w:rPr>
      </w:pPr>
    </w:p>
    <w:p w14:paraId="1500DEB6">
      <w:pPr>
        <w:rPr>
          <w:rFonts w:hint="default" w:ascii="Times New Roman" w:hAnsi="Times New Roman" w:eastAsia="黑体" w:cs="Times New Roman"/>
          <w:color w:val="auto"/>
          <w:sz w:val="28"/>
          <w:szCs w:val="28"/>
          <w:highlight w:val="none"/>
        </w:rPr>
      </w:pPr>
      <w:bookmarkStart w:id="77" w:name="_Toc24335"/>
      <w:bookmarkStart w:id="78" w:name="_Toc234832866"/>
      <w:bookmarkStart w:id="79" w:name="_Toc29363"/>
      <w:bookmarkStart w:id="80" w:name="_Toc17966"/>
      <w:r>
        <w:rPr>
          <w:rFonts w:hint="default" w:ascii="Times New Roman" w:hAnsi="Times New Roman" w:eastAsia="黑体" w:cs="Times New Roman"/>
          <w:color w:val="auto"/>
          <w:sz w:val="28"/>
          <w:szCs w:val="28"/>
          <w:highlight w:val="none"/>
        </w:rPr>
        <w:br w:type="page"/>
      </w:r>
    </w:p>
    <w:p w14:paraId="3303C3C7">
      <w:pPr>
        <w:pStyle w:val="2"/>
        <w:pageBreakBefore w:val="0"/>
        <w:kinsoku/>
        <w:wordWrap w:val="0"/>
        <w:bidi w:val="0"/>
        <w:spacing w:before="240" w:after="240" w:line="24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附录4  资格审查条件（信誉最低要求）</w:t>
      </w:r>
      <w:r>
        <w:rPr>
          <w:rStyle w:val="47"/>
          <w:rFonts w:hint="default" w:ascii="Times New Roman" w:hAnsi="Times New Roman" w:eastAsia="黑体" w:cs="Times New Roman"/>
          <w:color w:val="auto"/>
          <w:sz w:val="28"/>
          <w:szCs w:val="28"/>
          <w:highlight w:val="none"/>
        </w:rPr>
        <w:footnoteReference w:id="17"/>
      </w:r>
      <w:bookmarkEnd w:id="77"/>
      <w:bookmarkEnd w:id="78"/>
      <w:bookmarkEnd w:id="79"/>
      <w:bookmarkEnd w:id="80"/>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9"/>
      </w:tblGrid>
      <w:tr w14:paraId="1861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4" w:hRule="atLeast"/>
          <w:jc w:val="center"/>
        </w:trPr>
        <w:tc>
          <w:tcPr>
            <w:tcW w:w="8819" w:type="dxa"/>
            <w:noWrap w:val="0"/>
            <w:vAlign w:val="center"/>
          </w:tcPr>
          <w:p w14:paraId="33B04435">
            <w:pPr>
              <w:pageBreakBefore w:val="0"/>
              <w:kinsoku/>
              <w:wordWrap w:val="0"/>
              <w:bidi w:val="0"/>
              <w:adjustRightInd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信 誉 要 求</w:t>
            </w:r>
          </w:p>
        </w:tc>
      </w:tr>
      <w:tr w14:paraId="6C59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0" w:hRule="atLeast"/>
          <w:jc w:val="center"/>
        </w:trPr>
        <w:tc>
          <w:tcPr>
            <w:tcW w:w="8819" w:type="dxa"/>
            <w:noWrap w:val="0"/>
            <w:vAlign w:val="center"/>
          </w:tcPr>
          <w:p w14:paraId="27AAEADE">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default" w:ascii="宋体" w:hAnsi="宋体" w:eastAsia="宋体" w:cs="宋体"/>
                <w:sz w:val="20"/>
                <w:szCs w:val="20"/>
              </w:rPr>
            </w:pPr>
            <w:r>
              <w:rPr>
                <w:rFonts w:hint="default" w:ascii="宋体" w:hAnsi="宋体" w:eastAsia="宋体" w:cs="宋体"/>
                <w:sz w:val="20"/>
                <w:szCs w:val="20"/>
              </w:rPr>
              <w:t>投标人存在下列不良状况或不良信用记录的，不得参加投标：</w:t>
            </w:r>
          </w:p>
          <w:p w14:paraId="2705B63B">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eastAsia="宋体" w:cs="宋体"/>
                <w:sz w:val="20"/>
                <w:szCs w:val="20"/>
              </w:rPr>
            </w:pPr>
            <w:r>
              <w:rPr>
                <w:rFonts w:hint="eastAsia" w:ascii="宋体" w:hAnsi="宋体" w:eastAsia="宋体" w:cs="宋体"/>
                <w:sz w:val="20"/>
                <w:szCs w:val="20"/>
              </w:rPr>
              <w:t>（1）被省级及以上交通运输主管部门取消招标项目所在地的投标资格且处于有效期内；</w:t>
            </w:r>
          </w:p>
          <w:p w14:paraId="145CB987">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eastAsia="宋体" w:cs="宋体"/>
                <w:sz w:val="20"/>
                <w:szCs w:val="20"/>
              </w:rPr>
            </w:pPr>
            <w:r>
              <w:rPr>
                <w:rFonts w:hint="eastAsia" w:ascii="宋体" w:hAnsi="宋体" w:eastAsia="宋体" w:cs="宋体"/>
                <w:sz w:val="20"/>
                <w:szCs w:val="20"/>
              </w:rPr>
              <w:t>（2）被责令停业，暂扣或吊销执照，或吊销资质证书；</w:t>
            </w:r>
          </w:p>
          <w:p w14:paraId="505CC53A">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eastAsia="宋体" w:cs="宋体"/>
                <w:sz w:val="20"/>
                <w:szCs w:val="20"/>
              </w:rPr>
            </w:pPr>
            <w:r>
              <w:rPr>
                <w:rFonts w:hint="eastAsia" w:ascii="宋体" w:hAnsi="宋体" w:eastAsia="宋体" w:cs="宋体"/>
                <w:sz w:val="20"/>
                <w:szCs w:val="20"/>
              </w:rPr>
              <w:t>（3）进入清算程序，或被宣告破产，或其他丧失履约能力的情形；</w:t>
            </w:r>
          </w:p>
          <w:p w14:paraId="58869EF9">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eastAsia="宋体" w:cs="宋体"/>
                <w:sz w:val="20"/>
                <w:szCs w:val="20"/>
              </w:rPr>
            </w:pPr>
            <w:r>
              <w:rPr>
                <w:rFonts w:hint="eastAsia" w:ascii="宋体" w:hAnsi="宋体" w:eastAsia="宋体" w:cs="宋体"/>
                <w:sz w:val="20"/>
                <w:szCs w:val="20"/>
              </w:rPr>
              <w:t>（4）在国家企业信用信息公示系统（http://www.gsxt.gov.cn）中被列入严重违法失信企业名单；</w:t>
            </w:r>
          </w:p>
          <w:p w14:paraId="224B8F60">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eastAsia="宋体" w:cs="宋体"/>
                <w:sz w:val="20"/>
                <w:szCs w:val="20"/>
                <w:highlight w:val="none"/>
              </w:rPr>
            </w:pPr>
            <w:r>
              <w:rPr>
                <w:rFonts w:hint="eastAsia" w:ascii="宋体" w:hAnsi="宋体" w:eastAsia="宋体" w:cs="宋体"/>
                <w:sz w:val="20"/>
                <w:szCs w:val="20"/>
              </w:rPr>
              <w:t>（5）在“信用中国”网站</w:t>
            </w:r>
            <w:r>
              <w:rPr>
                <w:rFonts w:hint="eastAsia" w:ascii="宋体" w:hAnsi="宋体" w:eastAsia="宋体" w:cs="宋体"/>
                <w:sz w:val="20"/>
                <w:szCs w:val="20"/>
                <w:lang w:eastAsia="zh-CN"/>
              </w:rPr>
              <w:t>（</w:t>
            </w:r>
            <w:r>
              <w:rPr>
                <w:rFonts w:hint="eastAsia" w:ascii="宋体" w:hAnsi="宋体" w:eastAsia="宋体" w:cs="宋体"/>
                <w:sz w:val="20"/>
                <w:szCs w:val="20"/>
              </w:rPr>
              <w:t>http://www.creditchina.gov.cn）（或中国执行信息公开网 ht</w:t>
            </w:r>
            <w:r>
              <w:rPr>
                <w:rFonts w:hint="eastAsia" w:ascii="宋体" w:hAnsi="宋体" w:eastAsia="宋体" w:cs="宋体"/>
                <w:sz w:val="20"/>
                <w:szCs w:val="20"/>
                <w:highlight w:val="none"/>
              </w:rPr>
              <w:t>tp://zxgk.court.gov.cn/shixin/）中被列入失信被执行人名单；</w:t>
            </w:r>
          </w:p>
          <w:p w14:paraId="73222E5B">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default" w:ascii="宋体" w:hAnsi="宋体" w:eastAsia="宋体" w:cs="宋体"/>
                <w:sz w:val="20"/>
                <w:szCs w:val="20"/>
                <w:highlight w:val="yellow"/>
                <w:lang w:val="en-US" w:eastAsia="zh-CN"/>
              </w:rPr>
            </w:pPr>
            <w:r>
              <w:rPr>
                <w:rFonts w:hint="eastAsia" w:ascii="宋体" w:hAnsi="宋体" w:eastAsia="宋体" w:cs="宋体"/>
                <w:sz w:val="20"/>
                <w:szCs w:val="20"/>
                <w:highlight w:val="none"/>
              </w:rPr>
              <w:t>（6）投标人或其法定代表</w:t>
            </w:r>
            <w:r>
              <w:rPr>
                <w:rFonts w:hint="eastAsia" w:ascii="宋体" w:hAnsi="宋体" w:eastAsia="宋体" w:cs="宋体"/>
                <w:sz w:val="20"/>
                <w:szCs w:val="20"/>
              </w:rPr>
              <w:t>人、拟委任的项目</w:t>
            </w:r>
            <w:r>
              <w:rPr>
                <w:rFonts w:hint="eastAsia" w:ascii="宋体" w:hAnsi="宋体" w:eastAsia="宋体" w:cs="宋体"/>
                <w:sz w:val="20"/>
                <w:szCs w:val="20"/>
                <w:lang w:val="en-US" w:eastAsia="zh-CN"/>
              </w:rPr>
              <w:t>经理</w:t>
            </w:r>
            <w:r>
              <w:rPr>
                <w:rFonts w:hint="eastAsia" w:ascii="宋体" w:hAnsi="宋体" w:eastAsia="宋体" w:cs="宋体"/>
                <w:sz w:val="20"/>
                <w:szCs w:val="20"/>
              </w:rPr>
              <w:t>在近三年内有行贿犯罪行为的；</w:t>
            </w:r>
          </w:p>
          <w:p w14:paraId="2CEBB228">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cs="宋体"/>
                <w:sz w:val="20"/>
                <w:szCs w:val="20"/>
                <w:lang w:eastAsia="zh-CN"/>
              </w:rPr>
            </w:pPr>
            <w:r>
              <w:rPr>
                <w:rFonts w:hint="eastAsia" w:ascii="宋体" w:hAnsi="宋体" w:eastAsia="宋体" w:cs="宋体"/>
                <w:sz w:val="20"/>
                <w:szCs w:val="20"/>
              </w:rPr>
              <w:t>（7）投标人财产未被接管或冻结</w:t>
            </w:r>
            <w:r>
              <w:rPr>
                <w:rFonts w:hint="eastAsia" w:ascii="宋体" w:hAnsi="宋体" w:cs="宋体"/>
                <w:sz w:val="20"/>
                <w:szCs w:val="20"/>
                <w:lang w:eastAsia="zh-CN"/>
              </w:rPr>
              <w:t>；</w:t>
            </w:r>
          </w:p>
          <w:p w14:paraId="47C44EA7">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eastAsia" w:ascii="宋体" w:hAnsi="宋体" w:cs="宋体"/>
                <w:sz w:val="20"/>
                <w:szCs w:val="20"/>
                <w:lang w:eastAsia="zh-CN"/>
              </w:rPr>
            </w:pPr>
            <w:r>
              <w:rPr>
                <w:rFonts w:hint="eastAsia" w:ascii="宋体" w:hAnsi="宋体" w:cs="宋体"/>
                <w:sz w:val="20"/>
                <w:szCs w:val="20"/>
                <w:lang w:eastAsia="zh-CN"/>
              </w:rPr>
              <w:t>（</w:t>
            </w:r>
            <w:r>
              <w:rPr>
                <w:rFonts w:hint="eastAsia" w:ascii="宋体" w:hAnsi="宋体" w:cs="宋体"/>
                <w:sz w:val="20"/>
                <w:szCs w:val="20"/>
                <w:lang w:val="en-US" w:eastAsia="zh-CN"/>
              </w:rPr>
              <w:t>8</w:t>
            </w:r>
            <w:r>
              <w:rPr>
                <w:rFonts w:hint="eastAsia" w:ascii="宋体" w:hAnsi="宋体" w:cs="宋体"/>
                <w:sz w:val="20"/>
                <w:szCs w:val="20"/>
                <w:lang w:eastAsia="zh-CN"/>
              </w:rPr>
              <w:t>）</w:t>
            </w:r>
            <w:r>
              <w:rPr>
                <w:rFonts w:hint="eastAsia" w:ascii="宋体" w:hAnsi="宋体" w:cs="宋体"/>
                <w:sz w:val="20"/>
                <w:szCs w:val="20"/>
                <w:lang w:val="en-US" w:eastAsia="zh-CN"/>
              </w:rPr>
              <w:t>投标人在以往工程未因拖欠农民工工资、材料采购、工程分包款等，而受到省级有关部门的通报；</w:t>
            </w:r>
          </w:p>
          <w:p w14:paraId="6E535F23">
            <w:pPr>
              <w:keepNext w:val="0"/>
              <w:keepLines w:val="0"/>
              <w:pageBreakBefore w:val="0"/>
              <w:widowControl/>
              <w:kinsoku w:val="0"/>
              <w:wordWrap/>
              <w:overflowPunct/>
              <w:topLinePunct w:val="0"/>
              <w:autoSpaceDE w:val="0"/>
              <w:autoSpaceDN w:val="0"/>
              <w:bidi w:val="0"/>
              <w:adjustRightInd w:val="0"/>
              <w:snapToGrid w:val="0"/>
              <w:spacing w:line="420" w:lineRule="exact"/>
              <w:ind w:firstLine="400" w:firstLineChars="200"/>
              <w:textAlignment w:val="baseline"/>
              <w:rPr>
                <w:rFonts w:hint="default" w:ascii="Times New Roman" w:hAnsi="Times New Roman" w:cs="Times New Roman"/>
                <w:color w:val="auto"/>
                <w:szCs w:val="21"/>
                <w:highlight w:val="none"/>
              </w:rPr>
            </w:pPr>
            <w:r>
              <w:rPr>
                <w:rFonts w:hint="eastAsia" w:ascii="宋体" w:hAnsi="宋体" w:eastAsia="宋体" w:cs="宋体"/>
                <w:sz w:val="20"/>
                <w:szCs w:val="20"/>
              </w:rPr>
              <w:t>（</w:t>
            </w:r>
            <w:r>
              <w:rPr>
                <w:rFonts w:hint="eastAsia" w:ascii="宋体" w:hAnsi="宋体" w:cs="宋体"/>
                <w:sz w:val="20"/>
                <w:szCs w:val="20"/>
                <w:lang w:val="en-US" w:eastAsia="zh-CN"/>
              </w:rPr>
              <w:t>9</w:t>
            </w:r>
            <w:r>
              <w:rPr>
                <w:rFonts w:hint="eastAsia" w:ascii="宋体" w:hAnsi="宋体" w:eastAsia="宋体" w:cs="宋体"/>
                <w:sz w:val="20"/>
                <w:szCs w:val="20"/>
              </w:rPr>
              <w:t>）法律法规规定的其他情形</w:t>
            </w:r>
            <w:r>
              <w:rPr>
                <w:rFonts w:hint="eastAsia" w:ascii="宋体" w:hAnsi="宋体" w:eastAsia="宋体" w:cs="宋体"/>
                <w:sz w:val="20"/>
                <w:szCs w:val="20"/>
                <w:lang w:eastAsia="zh-CN"/>
              </w:rPr>
              <w:t>。</w:t>
            </w:r>
          </w:p>
        </w:tc>
      </w:tr>
      <w:tr w14:paraId="2CB19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0" w:hRule="atLeast"/>
          <w:jc w:val="center"/>
        </w:trPr>
        <w:tc>
          <w:tcPr>
            <w:tcW w:w="8819" w:type="dxa"/>
            <w:noWrap w:val="0"/>
            <w:vAlign w:val="center"/>
          </w:tcPr>
          <w:p w14:paraId="4743F4F8">
            <w:pPr>
              <w:pStyle w:val="93"/>
              <w:keepNext w:val="0"/>
              <w:keepLines w:val="0"/>
              <w:pageBreakBefore w:val="0"/>
              <w:widowControl/>
              <w:kinsoku w:val="0"/>
              <w:wordWrap/>
              <w:overflowPunct/>
              <w:topLinePunct w:val="0"/>
              <w:autoSpaceDE w:val="0"/>
              <w:autoSpaceDN w:val="0"/>
              <w:bidi w:val="0"/>
              <w:adjustRightInd w:val="0"/>
              <w:snapToGrid w:val="0"/>
              <w:spacing w:line="360" w:lineRule="auto"/>
              <w:ind w:right="105" w:rightChars="50"/>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注：投标人的信誉情况应提供：</w:t>
            </w:r>
          </w:p>
          <w:p w14:paraId="4447E95D">
            <w:pPr>
              <w:pStyle w:val="93"/>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105" w:rightChars="50" w:firstLine="400" w:firstLineChars="200"/>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①投标人在“国家企业信用信息公示系统”网站中未被列入严重违法失信企业名单的网页截图彩色影印件；</w:t>
            </w:r>
          </w:p>
          <w:p w14:paraId="6DFAFAA6">
            <w:pPr>
              <w:pStyle w:val="93"/>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105" w:rightChars="50" w:firstLine="400" w:firstLineChars="200"/>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② 投标人在 “信用中国”或“中国执行信息公开网” 网站中未被列入失信被执行人名单的网页截图彩色影印件；</w:t>
            </w:r>
          </w:p>
          <w:p w14:paraId="63E09E51">
            <w:pPr>
              <w:pStyle w:val="93"/>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105" w:rightChars="50" w:firstLine="400" w:firstLineChars="200"/>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 xml:space="preserve">③ 近三年内(以招标公告发布后的某日为截止日、往前推算3个年度)， 投标人及其法定代表人、 拟委任的项目经理均无行贿犯罪行为证明(行贿犯罪行为的认定以投标人出具的无行贿犯罪承诺书或“中国裁判文书网网站查询记录网页截图彩色影印件” ；         </w:t>
            </w:r>
          </w:p>
          <w:p w14:paraId="72457482">
            <w:pPr>
              <w:pStyle w:val="93"/>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105" w:rightChars="50" w:firstLine="400" w:firstLineChars="200"/>
              <w:jc w:val="both"/>
              <w:textAlignment w:val="baseline"/>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 xml:space="preserve"> ④投标人提供的上述证明材料可以从“辽宁省公共资源交易平台交通工程交易系统主体信息库”中选取并进行超链接，关联至投标文件中，也可以在投标文件“第一个信封其他材料”中提供</w:t>
            </w:r>
            <w:r>
              <w:rPr>
                <w:rFonts w:hint="eastAsia" w:cs="宋体"/>
                <w:kern w:val="2"/>
                <w:sz w:val="20"/>
                <w:szCs w:val="20"/>
                <w:lang w:val="en-US" w:eastAsia="zh-CN" w:bidi="ar-SA"/>
              </w:rPr>
              <w:t>；</w:t>
            </w:r>
          </w:p>
          <w:p w14:paraId="643EFF4D">
            <w:pPr>
              <w:pStyle w:val="93"/>
              <w:keepNext w:val="0"/>
              <w:keepLines w:val="0"/>
              <w:pageBreakBefore w:val="0"/>
              <w:widowControl/>
              <w:kinsoku w:val="0"/>
              <w:wordWrap/>
              <w:overflowPunct/>
              <w:topLinePunct w:val="0"/>
              <w:autoSpaceDE w:val="0"/>
              <w:autoSpaceDN w:val="0"/>
              <w:bidi w:val="0"/>
              <w:adjustRightInd w:val="0"/>
              <w:snapToGrid w:val="0"/>
              <w:spacing w:line="360" w:lineRule="auto"/>
              <w:ind w:left="105" w:leftChars="50" w:right="105" w:rightChars="50" w:firstLine="400" w:firstLineChars="200"/>
              <w:jc w:val="both"/>
              <w:textAlignment w:val="baseline"/>
              <w:rPr>
                <w:rFonts w:hint="default" w:ascii="Times New Roman" w:hAnsi="Times New Roman" w:cs="Times New Roman"/>
                <w:color w:val="auto"/>
                <w:szCs w:val="21"/>
                <w:highlight w:val="none"/>
              </w:rPr>
            </w:pPr>
            <w:r>
              <w:rPr>
                <w:rFonts w:hint="eastAsia" w:ascii="宋体" w:hAnsi="宋体" w:eastAsia="宋体" w:cs="宋体"/>
                <w:kern w:val="2"/>
                <w:sz w:val="20"/>
                <w:szCs w:val="20"/>
                <w:lang w:val="en-US" w:eastAsia="zh-CN" w:bidi="ar-SA"/>
              </w:rPr>
              <w:t>⑤</w:t>
            </w:r>
            <w:r>
              <w:rPr>
                <w:rFonts w:hint="default" w:ascii="宋体" w:hAnsi="宋体" w:eastAsia="宋体" w:cs="宋体"/>
                <w:kern w:val="2"/>
                <w:sz w:val="20"/>
                <w:szCs w:val="20"/>
                <w:lang w:val="en-US" w:eastAsia="zh-CN" w:bidi="ar-SA"/>
              </w:rPr>
              <w:t>财产未被接管或冻结承诺书原件并加盖单</w:t>
            </w:r>
            <w:r>
              <w:rPr>
                <w:rFonts w:hint="eastAsia" w:cs="宋体"/>
                <w:kern w:val="2"/>
                <w:sz w:val="20"/>
                <w:szCs w:val="20"/>
                <w:lang w:val="en-US" w:eastAsia="zh-CN" w:bidi="ar-SA"/>
              </w:rPr>
              <w:t>位公</w:t>
            </w:r>
            <w:r>
              <w:rPr>
                <w:rFonts w:hint="default" w:ascii="宋体" w:hAnsi="宋体" w:eastAsia="宋体" w:cs="宋体"/>
                <w:kern w:val="2"/>
                <w:sz w:val="20"/>
                <w:szCs w:val="20"/>
                <w:lang w:val="en-US" w:eastAsia="zh-CN" w:bidi="ar-SA"/>
              </w:rPr>
              <w:t>章（格式详见招标文件第九章）以及公告发出后至投标截止日前任意一天投标人基本账户银行支出流水信息截图</w:t>
            </w:r>
            <w:r>
              <w:rPr>
                <w:rFonts w:hint="eastAsia" w:cs="宋体"/>
                <w:kern w:val="2"/>
                <w:sz w:val="20"/>
                <w:szCs w:val="20"/>
                <w:lang w:val="en-US" w:eastAsia="zh-CN" w:bidi="ar-SA"/>
              </w:rPr>
              <w:t>。</w:t>
            </w:r>
          </w:p>
        </w:tc>
      </w:tr>
    </w:tbl>
    <w:p w14:paraId="5DF1618F">
      <w:pPr>
        <w:rPr>
          <w:rFonts w:hint="default" w:ascii="Times New Roman" w:hAnsi="Times New Roman" w:eastAsia="黑体" w:cs="Times New Roman"/>
          <w:color w:val="auto"/>
          <w:sz w:val="28"/>
          <w:szCs w:val="28"/>
          <w:highlight w:val="none"/>
        </w:rPr>
      </w:pPr>
      <w:bookmarkStart w:id="81" w:name="_Toc4102"/>
      <w:bookmarkStart w:id="82" w:name="_Toc27658"/>
      <w:bookmarkStart w:id="83" w:name="_Toc4881"/>
      <w:bookmarkStart w:id="84" w:name="_Toc234832867"/>
      <w:r>
        <w:rPr>
          <w:rFonts w:hint="default" w:ascii="Times New Roman" w:hAnsi="Times New Roman" w:eastAsia="黑体" w:cs="Times New Roman"/>
          <w:color w:val="auto"/>
          <w:sz w:val="28"/>
          <w:szCs w:val="28"/>
          <w:highlight w:val="none"/>
        </w:rPr>
        <w:br w:type="page"/>
      </w:r>
    </w:p>
    <w:p w14:paraId="558D717D">
      <w:pPr>
        <w:pStyle w:val="2"/>
        <w:pageBreakBefore w:val="0"/>
        <w:kinsoku/>
        <w:wordWrap w:val="0"/>
        <w:bidi w:val="0"/>
        <w:spacing w:before="240" w:after="240" w:line="24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附录5  资格审查条件（项目经理和项目总工最低要求）</w:t>
      </w:r>
      <w:r>
        <w:rPr>
          <w:rStyle w:val="47"/>
          <w:rFonts w:hint="default" w:ascii="Times New Roman" w:hAnsi="Times New Roman" w:eastAsia="黑体" w:cs="Times New Roman"/>
          <w:color w:val="auto"/>
          <w:sz w:val="28"/>
          <w:szCs w:val="28"/>
          <w:highlight w:val="none"/>
        </w:rPr>
        <w:footnoteReference w:id="18"/>
      </w:r>
      <w:bookmarkEnd w:id="81"/>
      <w:bookmarkEnd w:id="82"/>
      <w:bookmarkEnd w:id="83"/>
      <w:bookmarkEnd w:id="84"/>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574"/>
        <w:gridCol w:w="6866"/>
        <w:gridCol w:w="792"/>
      </w:tblGrid>
      <w:tr w14:paraId="2293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noWrap w:val="0"/>
            <w:vAlign w:val="center"/>
          </w:tcPr>
          <w:p w14:paraId="1A911421">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  员</w:t>
            </w:r>
          </w:p>
        </w:tc>
        <w:tc>
          <w:tcPr>
            <w:tcW w:w="574" w:type="dxa"/>
            <w:noWrap w:val="0"/>
            <w:vAlign w:val="center"/>
          </w:tcPr>
          <w:p w14:paraId="655FBC8F">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 量</w:t>
            </w:r>
          </w:p>
        </w:tc>
        <w:tc>
          <w:tcPr>
            <w:tcW w:w="6866" w:type="dxa"/>
            <w:noWrap w:val="0"/>
            <w:vAlign w:val="center"/>
          </w:tcPr>
          <w:p w14:paraId="21538CAC">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资 格 要 求</w:t>
            </w:r>
            <w:r>
              <w:rPr>
                <w:rStyle w:val="47"/>
                <w:rFonts w:hint="default" w:ascii="Times New Roman" w:hAnsi="Times New Roman" w:cs="Times New Roman"/>
                <w:color w:val="auto"/>
                <w:szCs w:val="21"/>
                <w:highlight w:val="none"/>
              </w:rPr>
              <w:footnoteReference w:id="19"/>
            </w:r>
          </w:p>
        </w:tc>
        <w:tc>
          <w:tcPr>
            <w:tcW w:w="792" w:type="dxa"/>
            <w:noWrap w:val="0"/>
            <w:vAlign w:val="center"/>
          </w:tcPr>
          <w:p w14:paraId="75804086">
            <w:pPr>
              <w:pageBreakBefore w:val="0"/>
              <w:kinsoku/>
              <w:wordWrap w:val="0"/>
              <w:bidi w:val="0"/>
              <w:adjustRightInd w:val="0"/>
              <w:snapToGrid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在岗要求</w:t>
            </w:r>
          </w:p>
        </w:tc>
      </w:tr>
      <w:tr w14:paraId="0269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42" w:hRule="atLeast"/>
          <w:jc w:val="center"/>
        </w:trPr>
        <w:tc>
          <w:tcPr>
            <w:tcW w:w="772" w:type="dxa"/>
            <w:noWrap w:val="0"/>
            <w:vAlign w:val="center"/>
          </w:tcPr>
          <w:p w14:paraId="764648D9">
            <w:pPr>
              <w:pageBreakBefore w:val="0"/>
              <w:kinsoku/>
              <w:wordWrap w:val="0"/>
              <w:bidi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项目经理</w:t>
            </w:r>
          </w:p>
        </w:tc>
        <w:tc>
          <w:tcPr>
            <w:tcW w:w="574" w:type="dxa"/>
            <w:noWrap w:val="0"/>
            <w:vAlign w:val="center"/>
          </w:tcPr>
          <w:p w14:paraId="2BE22129">
            <w:pPr>
              <w:pageBreakBefore w:val="0"/>
              <w:kinsoku/>
              <w:wordWrap w:val="0"/>
              <w:bidi w:val="0"/>
              <w:adjustRightInd w:val="0"/>
              <w:snapToGrid w:val="0"/>
              <w:spacing w:line="300" w:lineRule="auto"/>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c>
          <w:tcPr>
            <w:tcW w:w="6866" w:type="dxa"/>
            <w:noWrap w:val="0"/>
            <w:vAlign w:val="center"/>
          </w:tcPr>
          <w:p w14:paraId="36E62216">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color w:val="auto"/>
                <w:szCs w:val="21"/>
                <w:highlight w:val="none"/>
              </w:rPr>
            </w:pPr>
            <w:r>
              <w:rPr>
                <w:rFonts w:hint="eastAsia" w:ascii="宋体" w:hAnsi="宋体" w:eastAsia="宋体" w:cs="宋体"/>
                <w:sz w:val="20"/>
                <w:szCs w:val="20"/>
                <w:highlight w:val="none"/>
              </w:rPr>
              <w:t>具有公路工程专业二级及以上</w:t>
            </w:r>
            <w:r>
              <w:rPr>
                <w:rFonts w:hint="eastAsia" w:ascii="宋体" w:hAnsi="宋体" w:cs="宋体"/>
                <w:sz w:val="20"/>
                <w:szCs w:val="20"/>
                <w:highlight w:val="none"/>
                <w:lang w:val="en-US" w:eastAsia="zh-CN"/>
              </w:rPr>
              <w:t>注册</w:t>
            </w:r>
            <w:r>
              <w:rPr>
                <w:rFonts w:hint="eastAsia" w:ascii="宋体" w:hAnsi="宋体" w:eastAsia="宋体" w:cs="宋体"/>
                <w:sz w:val="20"/>
                <w:szCs w:val="20"/>
                <w:highlight w:val="none"/>
              </w:rPr>
              <w:t>建造师证书且证书目前必须注册在投标人单位，同时具有交通运输行业主管部门颁发的安全生产考核合格“B”类证书并在有效期内且证书目前必须注册在投标人单位。</w:t>
            </w:r>
            <w:r>
              <w:rPr>
                <w:rFonts w:hint="eastAsia" w:ascii="宋体" w:hAnsi="宋体" w:eastAsia="宋体" w:cs="宋体"/>
                <w:sz w:val="20"/>
                <w:szCs w:val="20"/>
                <w:highlight w:val="none"/>
                <w:lang w:val="en-US" w:eastAsia="zh-CN"/>
              </w:rPr>
              <w:t>且该项目经理应在</w:t>
            </w:r>
            <w:r>
              <w:rPr>
                <w:rFonts w:hint="eastAsia" w:ascii="宋体" w:hAnsi="宋体" w:eastAsia="宋体" w:cs="宋体"/>
                <w:sz w:val="20"/>
                <w:szCs w:val="20"/>
                <w:highlight w:val="none"/>
              </w:rPr>
              <w:t>近</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年（指交工验收时间为20</w:t>
            </w:r>
            <w:r>
              <w:rPr>
                <w:rFonts w:hint="eastAsia" w:ascii="宋体" w:hAnsi="宋体" w:eastAsia="宋体" w:cs="宋体"/>
                <w:sz w:val="20"/>
                <w:szCs w:val="20"/>
                <w:highlight w:val="none"/>
                <w:lang w:val="en-US" w:eastAsia="zh-CN"/>
              </w:rPr>
              <w:t>2</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年</w:t>
            </w:r>
            <w:r>
              <w:rPr>
                <w:rFonts w:hint="eastAsia" w:ascii="宋体" w:hAnsi="宋体" w:cs="宋体"/>
                <w:sz w:val="20"/>
                <w:szCs w:val="20"/>
                <w:highlight w:val="none"/>
                <w:lang w:val="en-US" w:eastAsia="zh-CN"/>
              </w:rPr>
              <w:t>7</w:t>
            </w:r>
            <w:r>
              <w:rPr>
                <w:rFonts w:hint="eastAsia" w:ascii="宋体" w:hAnsi="宋体" w:eastAsia="宋体" w:cs="宋体"/>
                <w:sz w:val="20"/>
                <w:szCs w:val="20"/>
                <w:highlight w:val="none"/>
              </w:rPr>
              <w:t>月</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日至投标文件递交截止日）内，至少独立独立</w:t>
            </w:r>
            <w:r>
              <w:rPr>
                <w:rFonts w:hint="eastAsia" w:ascii="宋体" w:hAnsi="宋体" w:eastAsia="宋体" w:cs="宋体"/>
                <w:color w:val="auto"/>
                <w:sz w:val="20"/>
                <w:szCs w:val="20"/>
                <w:highlight w:val="none"/>
              </w:rPr>
              <w:t>完成过1个类似公路工程施工项目</w:t>
            </w:r>
            <w:r>
              <w:rPr>
                <w:rFonts w:hint="eastAsia" w:ascii="宋体" w:hAnsi="宋体" w:eastAsia="宋体" w:cs="宋体"/>
                <w:sz w:val="20"/>
                <w:szCs w:val="20"/>
                <w:highlight w:val="none"/>
              </w:rPr>
              <w:t>，且工程验收</w:t>
            </w:r>
            <w:r>
              <w:rPr>
                <w:rFonts w:hint="eastAsia" w:ascii="宋体" w:hAnsi="宋体" w:eastAsia="宋体" w:cs="宋体"/>
                <w:sz w:val="20"/>
                <w:szCs w:val="20"/>
                <w:highlight w:val="none"/>
                <w:lang w:eastAsia="zh-CN"/>
              </w:rPr>
              <w:t>评定</w:t>
            </w:r>
            <w:r>
              <w:rPr>
                <w:rFonts w:hint="eastAsia" w:ascii="宋体" w:hAnsi="宋体" w:eastAsia="宋体" w:cs="宋体"/>
                <w:sz w:val="20"/>
                <w:szCs w:val="20"/>
                <w:highlight w:val="none"/>
              </w:rPr>
              <w:t>为合格</w:t>
            </w:r>
            <w:r>
              <w:rPr>
                <w:rFonts w:hint="eastAsia" w:ascii="宋体" w:hAnsi="宋体" w:eastAsia="宋体" w:cs="宋体"/>
                <w:sz w:val="20"/>
                <w:szCs w:val="20"/>
                <w:highlight w:val="none"/>
                <w:lang w:eastAsia="zh-CN"/>
              </w:rPr>
              <w:t>或</w:t>
            </w:r>
            <w:r>
              <w:rPr>
                <w:rFonts w:hint="eastAsia" w:ascii="宋体" w:hAnsi="宋体" w:eastAsia="宋体" w:cs="宋体"/>
                <w:sz w:val="20"/>
                <w:szCs w:val="20"/>
                <w:highlight w:val="none"/>
              </w:rPr>
              <w:t>以上等级。</w:t>
            </w:r>
          </w:p>
        </w:tc>
        <w:tc>
          <w:tcPr>
            <w:tcW w:w="792" w:type="dxa"/>
            <w:vMerge w:val="restart"/>
            <w:noWrap w:val="0"/>
            <w:vAlign w:val="center"/>
          </w:tcPr>
          <w:p w14:paraId="2D4B073A">
            <w:pPr>
              <w:pageBreakBefore w:val="0"/>
              <w:kinsoku/>
              <w:wordWrap w:val="0"/>
              <w:bidi w:val="0"/>
              <w:adjustRightInd w:val="0"/>
              <w:snapToGrid w:val="0"/>
              <w:spacing w:line="30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见下注</w:t>
            </w:r>
          </w:p>
        </w:tc>
      </w:tr>
      <w:tr w14:paraId="73A0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9" w:hRule="atLeast"/>
          <w:jc w:val="center"/>
        </w:trPr>
        <w:tc>
          <w:tcPr>
            <w:tcW w:w="772" w:type="dxa"/>
            <w:noWrap w:val="0"/>
            <w:vAlign w:val="center"/>
          </w:tcPr>
          <w:p w14:paraId="0DC270E1">
            <w:pPr>
              <w:pageBreakBefore w:val="0"/>
              <w:kinsoku/>
              <w:wordWrap w:val="0"/>
              <w:bidi w:val="0"/>
              <w:spacing w:line="300" w:lineRule="auto"/>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项目总工</w:t>
            </w:r>
          </w:p>
        </w:tc>
        <w:tc>
          <w:tcPr>
            <w:tcW w:w="574" w:type="dxa"/>
            <w:noWrap w:val="0"/>
            <w:vAlign w:val="center"/>
          </w:tcPr>
          <w:p w14:paraId="745E6FAF">
            <w:pPr>
              <w:pageBreakBefore w:val="0"/>
              <w:kinsoku/>
              <w:wordWrap w:val="0"/>
              <w:bidi w:val="0"/>
              <w:adjustRightInd w:val="0"/>
              <w:snapToGrid w:val="0"/>
              <w:spacing w:line="300" w:lineRule="auto"/>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c>
          <w:tcPr>
            <w:tcW w:w="6866" w:type="dxa"/>
            <w:noWrap w:val="0"/>
            <w:vAlign w:val="center"/>
          </w:tcPr>
          <w:p w14:paraId="52A0A8FD">
            <w:pPr>
              <w:pageBreakBefore w:val="0"/>
              <w:kinsoku/>
              <w:wordWrap w:val="0"/>
              <w:bidi w:val="0"/>
              <w:adjustRightInd w:val="0"/>
              <w:snapToGrid w:val="0"/>
              <w:spacing w:line="300" w:lineRule="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具有公路工程相关专业中级及以上技术职称</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lang w:val="en-US" w:eastAsia="zh-CN"/>
              </w:rPr>
              <w:t>具有公路工程类似工程管理业绩</w:t>
            </w:r>
            <w:r>
              <w:rPr>
                <w:rFonts w:hint="default" w:ascii="Times New Roman" w:hAnsi="Times New Roman" w:cs="Times New Roman"/>
                <w:color w:val="auto"/>
                <w:szCs w:val="21"/>
                <w:highlight w:val="none"/>
              </w:rPr>
              <w:t>。</w:t>
            </w:r>
          </w:p>
          <w:p w14:paraId="198C4282">
            <w:pPr>
              <w:keepNext w:val="0"/>
              <w:keepLines w:val="0"/>
              <w:pageBreakBefore w:val="0"/>
              <w:widowControl/>
              <w:kinsoku w:val="0"/>
              <w:wordWrap/>
              <w:overflowPunct/>
              <w:topLinePunct w:val="0"/>
              <w:autoSpaceDE w:val="0"/>
              <w:autoSpaceDN w:val="0"/>
              <w:bidi w:val="0"/>
              <w:adjustRightInd w:val="0"/>
              <w:snapToGrid w:val="0"/>
              <w:spacing w:line="420" w:lineRule="exact"/>
              <w:textAlignment w:val="baseline"/>
              <w:rPr>
                <w:rFonts w:hint="default" w:ascii="Times New Roman" w:hAnsi="Times New Roman" w:cs="Times New Roman"/>
                <w:color w:val="auto"/>
                <w:szCs w:val="21"/>
                <w:highlight w:val="none"/>
              </w:rPr>
            </w:pPr>
          </w:p>
        </w:tc>
        <w:tc>
          <w:tcPr>
            <w:tcW w:w="792" w:type="dxa"/>
            <w:vMerge w:val="continue"/>
            <w:noWrap w:val="0"/>
            <w:vAlign w:val="center"/>
          </w:tcPr>
          <w:p w14:paraId="6877C261">
            <w:pPr>
              <w:pageBreakBefore w:val="0"/>
              <w:kinsoku/>
              <w:wordWrap w:val="0"/>
              <w:bidi w:val="0"/>
              <w:adjustRightInd w:val="0"/>
              <w:snapToGrid w:val="0"/>
              <w:spacing w:line="300" w:lineRule="auto"/>
              <w:rPr>
                <w:rFonts w:hint="default" w:ascii="Times New Roman" w:hAnsi="Times New Roman" w:cs="Times New Roman"/>
                <w:color w:val="auto"/>
                <w:szCs w:val="21"/>
                <w:highlight w:val="none"/>
              </w:rPr>
            </w:pPr>
          </w:p>
        </w:tc>
      </w:tr>
      <w:tr w14:paraId="457FB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8" w:hRule="atLeast"/>
          <w:jc w:val="center"/>
        </w:trPr>
        <w:tc>
          <w:tcPr>
            <w:tcW w:w="9004" w:type="dxa"/>
            <w:gridSpan w:val="4"/>
            <w:noWrap w:val="0"/>
            <w:vAlign w:val="top"/>
          </w:tcPr>
          <w:p w14:paraId="59FCA636">
            <w:pPr>
              <w:pageBreakBefore w:val="0"/>
              <w:kinsoku/>
              <w:wordWrap w:val="0"/>
              <w:bidi w:val="0"/>
              <w:adjustRightInd w:val="0"/>
              <w:snapToGrid w:val="0"/>
              <w:spacing w:line="300" w:lineRule="auto"/>
              <w:rPr>
                <w:rFonts w:hint="eastAsia" w:cs="Times New Roman"/>
                <w:color w:val="auto"/>
                <w:szCs w:val="21"/>
                <w:highlight w:val="yellow"/>
                <w:lang w:val="en-US" w:eastAsia="zh-CN"/>
              </w:rPr>
            </w:pPr>
            <w:r>
              <w:rPr>
                <w:rFonts w:hint="eastAsia" w:cs="Times New Roman"/>
                <w:color w:val="auto"/>
                <w:szCs w:val="21"/>
                <w:highlight w:val="none"/>
                <w:lang w:val="en-US" w:eastAsia="zh-CN"/>
              </w:rPr>
              <w:t>注：项目经理和项目总工程师均不得同时在两个及以上项目任职。</w:t>
            </w:r>
            <w:r>
              <w:rPr>
                <w:rFonts w:hint="eastAsia" w:cs="Times New Roman"/>
                <w:color w:val="auto"/>
                <w:szCs w:val="21"/>
                <w:highlight w:val="yellow"/>
                <w:lang w:val="en-US" w:eastAsia="zh-CN"/>
              </w:rPr>
              <w:t>相关业绩证明材料须体现人员姓名及职务，业绩证明材料包括但不限于中标通知书、施工合同及竣工验收报告；若前述材料未体现项目经理、项目总工姓名及任职情况，投标人须另行提供业主单位出具的任职证明或项目任命文件或施工许可文件或交通建设市场信用信息平台公示截图等有效佐证材料，佐证材料须加盖公章，信息真实可查，否则该项业绩不予认可。</w:t>
            </w:r>
          </w:p>
          <w:p w14:paraId="736EA88C">
            <w:pPr>
              <w:pageBreakBefore w:val="0"/>
              <w:numPr>
                <w:ilvl w:val="0"/>
                <w:numId w:val="0"/>
              </w:numPr>
              <w:kinsoku/>
              <w:wordWrap w:val="0"/>
              <w:bidi w:val="0"/>
              <w:adjustRightInd w:val="0"/>
              <w:snapToGrid w:val="0"/>
              <w:spacing w:line="300" w:lineRule="auto"/>
              <w:rPr>
                <w:rFonts w:hint="eastAsia" w:ascii="Times New Roman" w:hAnsi="Times New Roman" w:eastAsia="宋体" w:cs="Times New Roman"/>
                <w:color w:val="auto"/>
                <w:szCs w:val="21"/>
                <w:highlight w:val="none"/>
                <w:lang w:val="en-US" w:eastAsia="zh-CN"/>
              </w:rPr>
            </w:pPr>
          </w:p>
        </w:tc>
      </w:tr>
    </w:tbl>
    <w:p w14:paraId="54168055">
      <w:pPr>
        <w:pStyle w:val="2"/>
        <w:pageBreakBefore w:val="0"/>
        <w:kinsoku/>
        <w:wordWrap w:val="0"/>
        <w:bidi w:val="0"/>
        <w:spacing w:before="240" w:after="240" w:line="240" w:lineRule="atLeast"/>
        <w:outlineLvl w:val="1"/>
        <w:rPr>
          <w:rFonts w:hint="default" w:ascii="Times New Roman" w:hAnsi="Times New Roman" w:eastAsia="黑体" w:cs="Times New Roman"/>
          <w:b w:val="0"/>
          <w:color w:val="auto"/>
          <w:sz w:val="28"/>
          <w:szCs w:val="28"/>
          <w:highlight w:val="none"/>
        </w:rPr>
      </w:pPr>
      <w:bookmarkStart w:id="85" w:name="_Toc234832868"/>
      <w:r>
        <w:rPr>
          <w:rFonts w:hint="default" w:ascii="Times New Roman" w:hAnsi="Times New Roman" w:eastAsia="黑体" w:cs="Times New Roman"/>
          <w:color w:val="auto"/>
          <w:sz w:val="28"/>
          <w:szCs w:val="28"/>
          <w:highlight w:val="none"/>
        </w:rPr>
        <w:br w:type="page"/>
      </w:r>
      <w:bookmarkEnd w:id="85"/>
      <w:bookmarkStart w:id="86" w:name="_Toc19462"/>
      <w:bookmarkStart w:id="87" w:name="_Toc234832870"/>
      <w:bookmarkStart w:id="88" w:name="_Toc32159"/>
      <w:bookmarkStart w:id="89" w:name="_Toc15905"/>
      <w:r>
        <w:rPr>
          <w:rFonts w:hint="default" w:ascii="Times New Roman" w:hAnsi="Times New Roman" w:eastAsia="黑体" w:cs="Times New Roman"/>
          <w:b w:val="0"/>
          <w:color w:val="auto"/>
          <w:sz w:val="28"/>
          <w:szCs w:val="28"/>
          <w:highlight w:val="none"/>
        </w:rPr>
        <w:t>1. 总则</w:t>
      </w:r>
      <w:bookmarkEnd w:id="86"/>
      <w:bookmarkEnd w:id="87"/>
      <w:bookmarkEnd w:id="88"/>
      <w:bookmarkEnd w:id="89"/>
    </w:p>
    <w:p w14:paraId="46260FC5">
      <w:pPr>
        <w:pStyle w:val="2"/>
        <w:pageBreakBefore w:val="0"/>
        <w:kinsoku/>
        <w:wordWrap w:val="0"/>
        <w:bidi w:val="0"/>
        <w:spacing w:before="240" w:after="240" w:line="240" w:lineRule="atLeast"/>
        <w:outlineLvl w:val="2"/>
        <w:rPr>
          <w:rFonts w:hint="default" w:ascii="Times New Roman" w:hAnsi="Times New Roman" w:eastAsia="宋体" w:cs="Times New Roman"/>
          <w:b w:val="0"/>
          <w:color w:val="auto"/>
          <w:sz w:val="24"/>
          <w:szCs w:val="24"/>
          <w:highlight w:val="none"/>
        </w:rPr>
      </w:pPr>
      <w:bookmarkStart w:id="90" w:name="_Toc23601"/>
      <w:bookmarkStart w:id="91" w:name="_Toc234832871"/>
      <w:bookmarkStart w:id="92" w:name="_Toc17948"/>
      <w:bookmarkStart w:id="93" w:name="_Toc13586"/>
      <w:r>
        <w:rPr>
          <w:rFonts w:hint="default" w:ascii="Times New Roman" w:hAnsi="Times New Roman" w:eastAsia="黑体" w:cs="Times New Roman"/>
          <w:b w:val="0"/>
          <w:color w:val="auto"/>
          <w:sz w:val="24"/>
          <w:szCs w:val="24"/>
          <w:highlight w:val="none"/>
        </w:rPr>
        <w:t>1.1 项目概况</w:t>
      </w:r>
      <w:bookmarkEnd w:id="90"/>
      <w:bookmarkEnd w:id="91"/>
      <w:bookmarkEnd w:id="92"/>
      <w:bookmarkEnd w:id="93"/>
    </w:p>
    <w:p w14:paraId="4F7AFF1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1.1.1 根据《中华人民共和国招标投标法》《中华人民共和国招标投标法实施条例》《公路工程建设项目招标投标管理办法》等有关法律、法规和规章的规定，本招标项目已具备招标条件，现对本标段施工进行招标。</w:t>
      </w:r>
    </w:p>
    <w:p w14:paraId="187BAC9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1.1.2 本招标项目招标人：见投标人须知前附表。</w:t>
      </w:r>
    </w:p>
    <w:p w14:paraId="69A4171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1.1.3 本标段招标代理机构：见投标人须知前附表。</w:t>
      </w:r>
    </w:p>
    <w:p w14:paraId="1AEB652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1.1.4 本招标项目名称：见投标人须知前附表。</w:t>
      </w:r>
    </w:p>
    <w:p w14:paraId="706F8B5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1.1.5 本标段建设地点：见投标人须知前附表。</w:t>
      </w:r>
    </w:p>
    <w:p w14:paraId="3C659566">
      <w:pPr>
        <w:pStyle w:val="2"/>
        <w:pageBreakBefore w:val="0"/>
        <w:kinsoku/>
        <w:wordWrap w:val="0"/>
        <w:bidi w:val="0"/>
        <w:outlineLvl w:val="2"/>
        <w:rPr>
          <w:rFonts w:hint="default" w:ascii="Times New Roman" w:hAnsi="Times New Roman" w:cs="Times New Roman"/>
          <w:color w:val="auto"/>
          <w:highlight w:val="none"/>
        </w:rPr>
      </w:pPr>
      <w:bookmarkStart w:id="94" w:name="_Toc11370"/>
      <w:bookmarkStart w:id="95" w:name="_Toc22508"/>
      <w:bookmarkStart w:id="96" w:name="_Toc234832872"/>
      <w:bookmarkStart w:id="97" w:name="_Toc9736"/>
      <w:r>
        <w:rPr>
          <w:rFonts w:hint="default" w:ascii="Times New Roman" w:hAnsi="Times New Roman" w:cs="Times New Roman"/>
          <w:color w:val="auto"/>
          <w:highlight w:val="none"/>
        </w:rPr>
        <w:t>1.2 招标项目的资金来源和落实情况</w:t>
      </w:r>
      <w:bookmarkEnd w:id="94"/>
      <w:bookmarkEnd w:id="95"/>
      <w:bookmarkEnd w:id="96"/>
      <w:bookmarkEnd w:id="97"/>
      <w:r>
        <w:rPr>
          <w:rFonts w:hint="default" w:ascii="Times New Roman" w:hAnsi="Times New Roman" w:cs="Times New Roman"/>
          <w:color w:val="auto"/>
          <w:highlight w:val="none"/>
        </w:rPr>
        <w:t xml:space="preserve"> </w:t>
      </w:r>
    </w:p>
    <w:p w14:paraId="317E772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1.2.1 资金来源及比例：见投标人须知前附表。</w:t>
      </w:r>
    </w:p>
    <w:p w14:paraId="507BE31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1.2.2 资金落实情况：见投标人须知前附表。</w:t>
      </w:r>
    </w:p>
    <w:p w14:paraId="6D2E0FE9">
      <w:pPr>
        <w:pStyle w:val="2"/>
        <w:pageBreakBefore w:val="0"/>
        <w:kinsoku/>
        <w:wordWrap w:val="0"/>
        <w:bidi w:val="0"/>
        <w:outlineLvl w:val="2"/>
        <w:rPr>
          <w:rFonts w:hint="default" w:ascii="Times New Roman" w:hAnsi="Times New Roman" w:cs="Times New Roman"/>
          <w:color w:val="auto"/>
          <w:highlight w:val="none"/>
        </w:rPr>
      </w:pPr>
      <w:bookmarkStart w:id="98" w:name="_Toc234832873"/>
      <w:bookmarkStart w:id="99" w:name="_Toc14618"/>
      <w:bookmarkStart w:id="100" w:name="_Toc2400"/>
      <w:bookmarkStart w:id="101" w:name="_Toc10840"/>
      <w:r>
        <w:rPr>
          <w:rFonts w:hint="default" w:ascii="Times New Roman" w:hAnsi="Times New Roman" w:cs="Times New Roman"/>
          <w:color w:val="auto"/>
          <w:highlight w:val="none"/>
        </w:rPr>
        <w:t>1.3 招标范围、计划工期、质量要求</w:t>
      </w:r>
      <w:bookmarkEnd w:id="98"/>
      <w:r>
        <w:rPr>
          <w:rFonts w:hint="default" w:ascii="Times New Roman" w:hAnsi="Times New Roman" w:cs="Times New Roman"/>
          <w:color w:val="auto"/>
          <w:highlight w:val="none"/>
        </w:rPr>
        <w:t>和安全目标</w:t>
      </w:r>
      <w:bookmarkEnd w:id="99"/>
      <w:bookmarkEnd w:id="100"/>
      <w:bookmarkEnd w:id="101"/>
    </w:p>
    <w:p w14:paraId="09EEEC3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1.3.1 招标范围：见投标人须知前附表。</w:t>
      </w:r>
    </w:p>
    <w:p w14:paraId="4E78107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1.3.2 本标段的计划工期：见投标人须知前附表。</w:t>
      </w:r>
    </w:p>
    <w:p w14:paraId="411A6DE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1.3.3 本标段的质量要求：见投标人须知前附表。</w:t>
      </w:r>
    </w:p>
    <w:p w14:paraId="654A5D0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1.3.4 本标段的安全目标：见投标人须知前附表。</w:t>
      </w:r>
    </w:p>
    <w:p w14:paraId="4D0916C8">
      <w:pPr>
        <w:pStyle w:val="2"/>
        <w:pageBreakBefore w:val="0"/>
        <w:kinsoku/>
        <w:wordWrap w:val="0"/>
        <w:bidi w:val="0"/>
        <w:outlineLvl w:val="2"/>
        <w:rPr>
          <w:rFonts w:hint="default" w:ascii="Times New Roman" w:hAnsi="Times New Roman" w:cs="Times New Roman"/>
          <w:color w:val="auto"/>
          <w:highlight w:val="none"/>
        </w:rPr>
      </w:pPr>
      <w:bookmarkStart w:id="102" w:name="_Toc32367"/>
      <w:bookmarkStart w:id="103" w:name="_Toc234832875"/>
      <w:bookmarkStart w:id="104" w:name="_Toc22000"/>
      <w:bookmarkStart w:id="105" w:name="_Toc23631"/>
      <w:r>
        <w:rPr>
          <w:rFonts w:hint="default" w:ascii="Times New Roman" w:hAnsi="Times New Roman" w:cs="Times New Roman"/>
          <w:color w:val="auto"/>
          <w:highlight w:val="none"/>
        </w:rPr>
        <w:t>1.4 投标人资格要求</w:t>
      </w:r>
      <w:bookmarkEnd w:id="102"/>
      <w:bookmarkEnd w:id="103"/>
      <w:bookmarkEnd w:id="104"/>
      <w:bookmarkEnd w:id="105"/>
    </w:p>
    <w:p w14:paraId="1A0808F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1.4.1 投标人应具备承担本标段施工的资质条件、能力和信誉。</w:t>
      </w:r>
    </w:p>
    <w:p w14:paraId="69E7596B">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（1）资质要求：见投标人须知前附表；</w:t>
      </w:r>
    </w:p>
    <w:p w14:paraId="01AAC2F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（2）财务要求：见投标人须知前附表；</w:t>
      </w:r>
    </w:p>
    <w:p w14:paraId="783D681B">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（3）业绩要求：见投标人须知前附表；</w:t>
      </w:r>
    </w:p>
    <w:p w14:paraId="3E4036B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（4）信誉要求：见投标人须知前附表；</w:t>
      </w:r>
    </w:p>
    <w:p w14:paraId="31F2A30A">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（5）项目经理和项目总工资格：见投标人须知前附表；</w:t>
      </w:r>
    </w:p>
    <w:p w14:paraId="50EFBFFC">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（6）其他要求：见投标人须知前附表。</w:t>
      </w:r>
    </w:p>
    <w:p w14:paraId="48D0996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需要提交的相关证明材料见本章第3.5款的规定。</w:t>
      </w:r>
    </w:p>
    <w:p w14:paraId="57736D9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1.4.2 投标人须知前附表规定接受联合体投标的，联合体除应符合本章第1.4.1项和投标人须知前附表的要求外，还应遵守以下规定：</w:t>
      </w:r>
    </w:p>
    <w:p w14:paraId="0BED4BA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（1）联合体各方应按招标文件提供的格式签订联合体协议书，明确联合体牵头人和各方权利义务，并承诺就中标项目向招标人承担连带责任；</w:t>
      </w:r>
    </w:p>
    <w:p w14:paraId="444E5F7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（2）由同一专业的单位组成的联合体，按照资质等级较低的单位确定资质等级；</w:t>
      </w:r>
    </w:p>
    <w:p w14:paraId="4079172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（3）联合体各方不得再以自己名义单独或参加其他联合体在同一标段中投标；</w:t>
      </w:r>
    </w:p>
    <w:p w14:paraId="5C3A3B8E">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Cs w:val="24"/>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5BF6540B">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Cs w:val="24"/>
          <w:highlight w:val="none"/>
        </w:rPr>
        <w:t>5）尽管委任了联合体牵头人，但联合体各成员在投标、签订合同与履行合同过程中，仍负有连带的和各自的法律责任。</w:t>
      </w:r>
    </w:p>
    <w:p w14:paraId="182CF69B">
      <w:pPr>
        <w:pageBreakBefore w:val="0"/>
        <w:tabs>
          <w:tab w:val="left" w:pos="360"/>
          <w:tab w:val="left" w:pos="540"/>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1.4.3 投标人（包括联合体各成员）不得与本标段相关单位存在下列关联关系：</w:t>
      </w:r>
    </w:p>
    <w:p w14:paraId="065D4E45">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（1）为招标人不具有独立法人资格的附属机构（单位）；</w:t>
      </w:r>
    </w:p>
    <w:p w14:paraId="299FC1C8">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（2）与招标人存在利害关系且可能影响招标公正性；</w:t>
      </w:r>
    </w:p>
    <w:p w14:paraId="591D02D4">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（3）与本标段的其他投标人同为一个单位负责人；</w:t>
      </w:r>
    </w:p>
    <w:p w14:paraId="5BBB8181">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（4）与本标段的其他投标人存在控股、管理关系；</w:t>
      </w:r>
    </w:p>
    <w:p w14:paraId="19620CDD">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（5）为本标段前期准备提供设计或咨询服务的法人或其任何附属机构（单位）；</w:t>
      </w:r>
    </w:p>
    <w:p w14:paraId="15139F8D">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（6）为本标段的监理人；</w:t>
      </w:r>
    </w:p>
    <w:p w14:paraId="788698D9">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（7）为本标段的代建人；</w:t>
      </w:r>
    </w:p>
    <w:p w14:paraId="72DEFEB5">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（8）为本标段的招标代理机构；</w:t>
      </w:r>
    </w:p>
    <w:p w14:paraId="0375165E">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（9）与本标段的监理人或代建人或招标代理机构同为一个法定代表人；</w:t>
      </w:r>
    </w:p>
    <w:p w14:paraId="31993C03">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（10）与本标段的监理人或代建人或招标代理机构存在控股或参股关系；</w:t>
      </w:r>
    </w:p>
    <w:p w14:paraId="4F194822">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（11）法律法规或投标人须知前附表规定的其他情形。</w:t>
      </w:r>
    </w:p>
    <w:p w14:paraId="23CF4AF9">
      <w:pPr>
        <w:pageBreakBefore w:val="0"/>
        <w:tabs>
          <w:tab w:val="left" w:pos="360"/>
          <w:tab w:val="left" w:pos="540"/>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1.4.4 投标人（包括联合体各成员）不得存在下列不良状况或不良信用记录：</w:t>
      </w:r>
    </w:p>
    <w:p w14:paraId="43DF0E2A">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（1）被省级及以上交通运输主管部门取消招标项目所在地的投标资格且处于有效期内；</w:t>
      </w:r>
    </w:p>
    <w:p w14:paraId="71FE67F6">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（2）被责令停业，暂扣或吊销执照，或吊销资质证书；</w:t>
      </w:r>
    </w:p>
    <w:p w14:paraId="6A93CAC3">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（3）进入清算程序，或被宣告破产，或其他丧失履约能力的情形；</w:t>
      </w:r>
    </w:p>
    <w:p w14:paraId="310B92DC">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（4）在国家企业信用信息公示系统（http://www.gsxt.gov.cn/）中被列入严重违法失信企业名单；</w:t>
      </w:r>
    </w:p>
    <w:p w14:paraId="1FB720BD">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（5）在</w:t>
      </w:r>
      <w:r>
        <w:rPr>
          <w:rFonts w:hint="eastAsia" w:ascii="宋体" w:hAnsi="宋体" w:eastAsia="宋体" w:cs="宋体"/>
          <w:color w:val="auto"/>
          <w:highlight w:val="none"/>
        </w:rPr>
        <w:t>“</w:t>
      </w:r>
      <w:r>
        <w:rPr>
          <w:rFonts w:hint="default" w:ascii="Times New Roman" w:hAnsi="Times New Roman" w:eastAsia="宋体" w:cs="Times New Roman"/>
          <w:color w:val="auto"/>
          <w:highlight w:val="none"/>
        </w:rPr>
        <w:t>信用中国</w:t>
      </w:r>
      <w:r>
        <w:rPr>
          <w:rFonts w:hint="eastAsia" w:ascii="宋体" w:hAnsi="宋体" w:eastAsia="宋体" w:cs="宋体"/>
          <w:color w:val="auto"/>
          <w:highlight w:val="none"/>
        </w:rPr>
        <w:t>”</w:t>
      </w:r>
      <w:r>
        <w:rPr>
          <w:rFonts w:hint="default" w:ascii="Times New Roman" w:hAnsi="Times New Roman" w:eastAsia="宋体" w:cs="Times New Roman"/>
          <w:color w:val="auto"/>
          <w:highlight w:val="none"/>
        </w:rPr>
        <w:t>网站（http://www.creditchina.gov.cn/）（或中国执行信息公开网 http://zxgk.court.gov.cn/shixin/）中被列入失信被执行人名单；</w:t>
      </w:r>
    </w:p>
    <w:p w14:paraId="5C66E0CF">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（6）投标人或其法定代表人、拟委任的项目经理在近三年内有行贿犯罪行为的；</w:t>
      </w:r>
    </w:p>
    <w:p w14:paraId="223D15A4">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（7）法律法规或投标人须知前附表规定的其他情形。</w:t>
      </w:r>
    </w:p>
    <w:p w14:paraId="06383A76">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highlight w:val="none"/>
        </w:rPr>
        <w:t>1.4.5 根据《关于发布公路工程从业企业资质名录的通知》（厅公路字〔2011〕114号）要求，投标人如为名录范围的施工企业，则应进入交通运输部</w:t>
      </w:r>
      <w:r>
        <w:rPr>
          <w:rFonts w:hint="eastAsia" w:ascii="宋体" w:hAnsi="宋体" w:eastAsia="宋体" w:cs="宋体"/>
          <w:color w:val="auto"/>
          <w:kern w:val="0"/>
          <w:highlight w:val="none"/>
        </w:rPr>
        <w:t>“</w:t>
      </w:r>
      <w:r>
        <w:rPr>
          <w:rFonts w:hint="default" w:ascii="Times New Roman" w:hAnsi="Times New Roman" w:eastAsia="宋体" w:cs="Times New Roman"/>
          <w:color w:val="auto"/>
          <w:kern w:val="0"/>
          <w:highlight w:val="none"/>
        </w:rPr>
        <w:t>全国公路建设市场监督管理系统（https://hwdms.mot.gov.cn/BMWebSite/）</w:t>
      </w:r>
      <w:r>
        <w:rPr>
          <w:rFonts w:hint="eastAsia" w:ascii="宋体" w:hAnsi="宋体" w:eastAsia="宋体" w:cs="宋体"/>
          <w:color w:val="auto"/>
          <w:kern w:val="0"/>
          <w:highlight w:val="none"/>
        </w:rPr>
        <w:t>”</w:t>
      </w:r>
      <w:r>
        <w:rPr>
          <w:rFonts w:hint="default" w:ascii="Times New Roman" w:hAnsi="Times New Roman" w:eastAsia="宋体" w:cs="Times New Roman"/>
          <w:color w:val="auto"/>
          <w:kern w:val="0"/>
          <w:highlight w:val="none"/>
        </w:rPr>
        <w:t>中的公路工程施工资质企业名录，且投标人名称和资质与该名录中的相应企业名称和资质完全一致。</w:t>
      </w:r>
      <w:r>
        <w:rPr>
          <w:rStyle w:val="47"/>
          <w:rFonts w:ascii="Times New Roman" w:hAnsi="Times New Roman" w:eastAsia="宋体" w:cs="Times New Roman"/>
          <w:color w:val="auto"/>
          <w:highlight w:val="none"/>
        </w:rPr>
        <w:footnoteReference w:id="20"/>
      </w:r>
    </w:p>
    <w:p w14:paraId="439C8FF6">
      <w:pPr>
        <w:pStyle w:val="2"/>
        <w:pageBreakBefore w:val="0"/>
        <w:kinsoku/>
        <w:wordWrap w:val="0"/>
        <w:bidi w:val="0"/>
        <w:outlineLvl w:val="2"/>
        <w:rPr>
          <w:rFonts w:hint="default" w:ascii="Times New Roman" w:hAnsi="Times New Roman" w:cs="Times New Roman"/>
          <w:color w:val="auto"/>
          <w:highlight w:val="none"/>
        </w:rPr>
      </w:pPr>
      <w:bookmarkStart w:id="106" w:name="_Toc234832876"/>
      <w:bookmarkStart w:id="107" w:name="_Toc8417"/>
      <w:bookmarkStart w:id="108" w:name="_Toc14149"/>
      <w:bookmarkStart w:id="109" w:name="_Toc29333"/>
      <w:r>
        <w:rPr>
          <w:rFonts w:hint="default" w:ascii="Times New Roman" w:hAnsi="Times New Roman" w:cs="Times New Roman"/>
          <w:color w:val="auto"/>
          <w:highlight w:val="none"/>
        </w:rPr>
        <w:t>1.5 费用承担</w:t>
      </w:r>
      <w:bookmarkEnd w:id="106"/>
      <w:bookmarkEnd w:id="107"/>
      <w:bookmarkEnd w:id="108"/>
      <w:bookmarkEnd w:id="109"/>
    </w:p>
    <w:p w14:paraId="44D985E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投标人准备和参加投标活动发生的费用自理。</w:t>
      </w:r>
    </w:p>
    <w:p w14:paraId="436B7784">
      <w:pPr>
        <w:pStyle w:val="2"/>
        <w:pageBreakBefore w:val="0"/>
        <w:kinsoku/>
        <w:wordWrap w:val="0"/>
        <w:bidi w:val="0"/>
        <w:outlineLvl w:val="2"/>
        <w:rPr>
          <w:rFonts w:hint="default" w:ascii="Times New Roman" w:hAnsi="Times New Roman" w:cs="Times New Roman"/>
          <w:color w:val="auto"/>
          <w:highlight w:val="none"/>
        </w:rPr>
      </w:pPr>
      <w:bookmarkStart w:id="110" w:name="_Toc23807"/>
      <w:bookmarkStart w:id="111" w:name="_Toc12508"/>
      <w:bookmarkStart w:id="112" w:name="_Toc26593"/>
      <w:bookmarkStart w:id="113" w:name="_Toc234832877"/>
      <w:r>
        <w:rPr>
          <w:rFonts w:hint="default" w:ascii="Times New Roman" w:hAnsi="Times New Roman" w:cs="Times New Roman"/>
          <w:color w:val="auto"/>
          <w:highlight w:val="none"/>
        </w:rPr>
        <w:t>1.6 保密</w:t>
      </w:r>
      <w:bookmarkEnd w:id="110"/>
      <w:bookmarkEnd w:id="111"/>
      <w:bookmarkEnd w:id="112"/>
      <w:bookmarkEnd w:id="113"/>
    </w:p>
    <w:p w14:paraId="2C56D69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参与招标投标活动的各方应对招标文件和投标文件中的商业和技术等秘密保密，</w:t>
      </w:r>
      <w:r>
        <w:rPr>
          <w:rFonts w:hint="default" w:ascii="Times New Roman" w:hAnsi="Times New Roman" w:eastAsia="宋体" w:cs="Times New Roman"/>
          <w:color w:val="auto"/>
          <w:kern w:val="0"/>
          <w:sz w:val="24"/>
          <w:szCs w:val="20"/>
          <w:highlight w:val="none"/>
        </w:rPr>
        <w:t>否则应承担相应的法律责任。</w:t>
      </w:r>
    </w:p>
    <w:p w14:paraId="7C3BC74D">
      <w:pPr>
        <w:pStyle w:val="2"/>
        <w:pageBreakBefore w:val="0"/>
        <w:kinsoku/>
        <w:wordWrap w:val="0"/>
        <w:bidi w:val="0"/>
        <w:outlineLvl w:val="2"/>
        <w:rPr>
          <w:rFonts w:hint="default" w:ascii="Times New Roman" w:hAnsi="Times New Roman" w:cs="Times New Roman"/>
          <w:color w:val="auto"/>
          <w:highlight w:val="none"/>
        </w:rPr>
      </w:pPr>
      <w:bookmarkStart w:id="114" w:name="_Toc5479"/>
      <w:bookmarkStart w:id="115" w:name="_Toc234832878"/>
      <w:bookmarkStart w:id="116" w:name="_Toc26229"/>
      <w:bookmarkStart w:id="117" w:name="_Toc20284"/>
      <w:r>
        <w:rPr>
          <w:rFonts w:hint="default" w:ascii="Times New Roman" w:hAnsi="Times New Roman" w:cs="Times New Roman"/>
          <w:color w:val="auto"/>
          <w:highlight w:val="none"/>
        </w:rPr>
        <w:t>1.7 语言文字</w:t>
      </w:r>
      <w:bookmarkEnd w:id="114"/>
      <w:bookmarkEnd w:id="115"/>
      <w:bookmarkEnd w:id="116"/>
      <w:bookmarkEnd w:id="117"/>
    </w:p>
    <w:p w14:paraId="5E87E11A">
      <w:pPr>
        <w:pageBreakBefore w:val="0"/>
        <w:kinsoku/>
        <w:wordWrap w:val="0"/>
        <w:bidi w:val="0"/>
        <w:spacing w:line="400" w:lineRule="atLeast"/>
        <w:ind w:firstLine="480" w:firstLineChars="200"/>
        <w:rPr>
          <w:rFonts w:hint="default" w:ascii="Times New Roman" w:hAnsi="Times New Roman" w:eastAsia="宋体" w:cs="Times New Roman"/>
          <w:color w:val="auto"/>
          <w:kern w:val="0"/>
          <w:sz w:val="24"/>
          <w:szCs w:val="20"/>
          <w:highlight w:val="none"/>
        </w:rPr>
      </w:pPr>
      <w:r>
        <w:rPr>
          <w:rFonts w:hint="default" w:ascii="Times New Roman" w:hAnsi="Times New Roman" w:eastAsia="宋体" w:cs="Times New Roman"/>
          <w:color w:val="auto"/>
          <w:kern w:val="0"/>
          <w:sz w:val="24"/>
          <w:szCs w:val="20"/>
          <w:highlight w:val="none"/>
        </w:rPr>
        <w:t>招标投标文件使用的语言文字为中文。专用术语使用外文的，应附有中文注释。</w:t>
      </w:r>
    </w:p>
    <w:p w14:paraId="55833985">
      <w:pPr>
        <w:pStyle w:val="2"/>
        <w:pageBreakBefore w:val="0"/>
        <w:kinsoku/>
        <w:wordWrap w:val="0"/>
        <w:bidi w:val="0"/>
        <w:outlineLvl w:val="2"/>
        <w:rPr>
          <w:rFonts w:hint="default" w:ascii="Times New Roman" w:hAnsi="Times New Roman" w:cs="Times New Roman"/>
          <w:color w:val="auto"/>
          <w:highlight w:val="none"/>
        </w:rPr>
      </w:pPr>
      <w:bookmarkStart w:id="118" w:name="_Toc11584"/>
      <w:bookmarkStart w:id="119" w:name="_Toc234832879"/>
      <w:bookmarkStart w:id="120" w:name="_Toc30856"/>
      <w:bookmarkStart w:id="121" w:name="_Toc7349"/>
      <w:r>
        <w:rPr>
          <w:rFonts w:hint="default" w:ascii="Times New Roman" w:hAnsi="Times New Roman" w:cs="Times New Roman"/>
          <w:color w:val="auto"/>
          <w:highlight w:val="none"/>
        </w:rPr>
        <w:t>1.8 计量单位</w:t>
      </w:r>
      <w:bookmarkEnd w:id="118"/>
      <w:bookmarkEnd w:id="119"/>
      <w:bookmarkEnd w:id="120"/>
      <w:bookmarkEnd w:id="121"/>
    </w:p>
    <w:p w14:paraId="645451A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所有计量均采用中华人民共和国法定计量单位。</w:t>
      </w:r>
    </w:p>
    <w:p w14:paraId="746BC7DC">
      <w:pPr>
        <w:pStyle w:val="2"/>
        <w:pageBreakBefore w:val="0"/>
        <w:kinsoku/>
        <w:wordWrap w:val="0"/>
        <w:bidi w:val="0"/>
        <w:outlineLvl w:val="2"/>
        <w:rPr>
          <w:rFonts w:hint="default" w:ascii="Times New Roman" w:hAnsi="Times New Roman" w:cs="Times New Roman"/>
          <w:color w:val="auto"/>
          <w:highlight w:val="none"/>
        </w:rPr>
      </w:pPr>
      <w:bookmarkStart w:id="122" w:name="_Toc6538"/>
      <w:bookmarkStart w:id="123" w:name="_Toc234832880"/>
      <w:bookmarkStart w:id="124" w:name="_Toc11612"/>
      <w:bookmarkStart w:id="125" w:name="_Toc32593"/>
      <w:r>
        <w:rPr>
          <w:rFonts w:hint="default" w:ascii="Times New Roman" w:hAnsi="Times New Roman" w:cs="Times New Roman"/>
          <w:color w:val="auto"/>
          <w:highlight w:val="none"/>
        </w:rPr>
        <w:t>1.9 踏勘现场</w:t>
      </w:r>
      <w:bookmarkEnd w:id="122"/>
      <w:bookmarkEnd w:id="123"/>
      <w:bookmarkEnd w:id="124"/>
      <w:bookmarkEnd w:id="125"/>
    </w:p>
    <w:p w14:paraId="2C6E73C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1.9.1 第一章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招标公告</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规定组织踏勘现场的，招标人按规定的时间、地点组织投标人踏勘项目现场。部分投标人未按时参加踏勘现场的，不影响踏勘现场的正常进行。招标人不得组织单个或部分投标人踏勘项目现场。</w:t>
      </w:r>
    </w:p>
    <w:p w14:paraId="3D0354B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1.9.2 投标人踏勘现场发生的费用自理。</w:t>
      </w:r>
    </w:p>
    <w:p w14:paraId="4CA65FD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1.9.3 除招标人的原因外，投标人自行负责在踏勘现场中所发生的人员伤亡和财产损失。</w:t>
      </w:r>
    </w:p>
    <w:p w14:paraId="778335B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1.9.4 招标人在踏勘现场中介绍的工程场地和相关的周边环境情况，供投标人在编制投标文件时参考，招标人不对投标人据此作出的判断和决策负责。</w:t>
      </w:r>
    </w:p>
    <w:p w14:paraId="10888B69">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1.9.5 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w:t>
      </w:r>
    </w:p>
    <w:p w14:paraId="4F86E042">
      <w:pPr>
        <w:pStyle w:val="2"/>
        <w:pageBreakBefore w:val="0"/>
        <w:kinsoku/>
        <w:wordWrap w:val="0"/>
        <w:bidi w:val="0"/>
        <w:outlineLvl w:val="2"/>
        <w:rPr>
          <w:rFonts w:hint="default" w:ascii="Times New Roman" w:hAnsi="Times New Roman" w:cs="Times New Roman"/>
          <w:color w:val="auto"/>
          <w:highlight w:val="none"/>
        </w:rPr>
      </w:pPr>
      <w:bookmarkStart w:id="126" w:name="_Toc17701"/>
      <w:bookmarkStart w:id="127" w:name="_Toc27740"/>
      <w:bookmarkStart w:id="128" w:name="_Toc234832881"/>
      <w:bookmarkStart w:id="129" w:name="_Toc6877"/>
      <w:r>
        <w:rPr>
          <w:rFonts w:hint="default" w:ascii="Times New Roman" w:hAnsi="Times New Roman" w:cs="Times New Roman"/>
          <w:color w:val="auto"/>
          <w:highlight w:val="none"/>
        </w:rPr>
        <w:t>1.10 投标预备会</w:t>
      </w:r>
      <w:bookmarkEnd w:id="126"/>
      <w:bookmarkEnd w:id="127"/>
      <w:bookmarkEnd w:id="128"/>
      <w:bookmarkEnd w:id="129"/>
    </w:p>
    <w:p w14:paraId="6B64963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1.10.1 第一章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招标公告</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规定召开投标预备会的，招标人按规定的时间和地点召开投标预备会，澄清投标人提出的问题。</w:t>
      </w:r>
    </w:p>
    <w:p w14:paraId="044895E0">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1.10.2 投标人应按投标人须知前附表规定的时间和形式将提出的问题送达招标人，以便招标人在会议期间澄清。</w:t>
      </w:r>
    </w:p>
    <w:p w14:paraId="76E62899">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1.10.3 投标预备会后，招标人将对投标人所提问题的澄清，以本章第2.2款规定的形式通知所有</w:t>
      </w:r>
      <w:r>
        <w:rPr>
          <w:rFonts w:hint="default" w:ascii="Times New Roman" w:hAnsi="Times New Roman" w:cs="Times New Roman"/>
          <w:color w:val="auto"/>
          <w:szCs w:val="24"/>
          <w:highlight w:val="none"/>
          <w:lang w:eastAsia="zh-CN"/>
        </w:rPr>
        <w:t>获取招标文件</w:t>
      </w:r>
      <w:r>
        <w:rPr>
          <w:rFonts w:hint="default" w:ascii="Times New Roman" w:hAnsi="Times New Roman" w:eastAsia="宋体" w:cs="Times New Roman"/>
          <w:color w:val="auto"/>
          <w:szCs w:val="24"/>
          <w:highlight w:val="none"/>
        </w:rPr>
        <w:t>的投标人。该澄清内容为招标文件的组成部分。</w:t>
      </w:r>
    </w:p>
    <w:p w14:paraId="331B44A4">
      <w:pPr>
        <w:pStyle w:val="2"/>
        <w:pageBreakBefore w:val="0"/>
        <w:kinsoku/>
        <w:wordWrap w:val="0"/>
        <w:bidi w:val="0"/>
        <w:outlineLvl w:val="2"/>
        <w:rPr>
          <w:rFonts w:hint="default" w:ascii="Times New Roman" w:hAnsi="Times New Roman" w:cs="Times New Roman"/>
          <w:color w:val="auto"/>
          <w:highlight w:val="none"/>
        </w:rPr>
      </w:pPr>
      <w:bookmarkStart w:id="130" w:name="_Toc234832882"/>
      <w:bookmarkStart w:id="131" w:name="_Toc20656"/>
      <w:bookmarkStart w:id="132" w:name="_Toc24517"/>
      <w:bookmarkStart w:id="133" w:name="_Toc10304"/>
      <w:r>
        <w:rPr>
          <w:rFonts w:hint="default" w:ascii="Times New Roman" w:hAnsi="Times New Roman" w:cs="Times New Roman"/>
          <w:color w:val="auto"/>
          <w:highlight w:val="none"/>
        </w:rPr>
        <w:t>1.11 分包</w:t>
      </w:r>
      <w:bookmarkEnd w:id="130"/>
      <w:bookmarkEnd w:id="131"/>
      <w:bookmarkEnd w:id="132"/>
      <w:bookmarkEnd w:id="133"/>
    </w:p>
    <w:p w14:paraId="79225127">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highlight w:val="none"/>
        </w:rPr>
        <w:t xml:space="preserve">1.11.1 </w:t>
      </w:r>
      <w:r>
        <w:rPr>
          <w:rFonts w:hint="default" w:ascii="Times New Roman" w:hAnsi="Times New Roman" w:eastAsia="宋体" w:cs="Times New Roman"/>
          <w:color w:val="auto"/>
          <w:szCs w:val="24"/>
          <w:highlight w:val="none"/>
        </w:rPr>
        <w:t>投标人拟在中标后将中标项目的部分工作进行分包的，应</w:t>
      </w:r>
      <w:r>
        <w:rPr>
          <w:rFonts w:hint="eastAsia" w:ascii="Times New Roman" w:cs="Times New Roman"/>
          <w:color w:val="auto"/>
          <w:szCs w:val="24"/>
          <w:highlight w:val="none"/>
          <w:lang w:val="en-US" w:eastAsia="zh-CN"/>
        </w:rPr>
        <w:t>按辽宁省交通运输厅关于印发《辽宁省公路工程施工分包管理实施细则》的通知（辽交公路规〔2025〕1号）要求执行。</w:t>
      </w:r>
    </w:p>
    <w:p w14:paraId="451FA2C8">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1.11.2 中标人不得向他人转让中标项目，接受分包的人不得再次分包。中标人应就分包项目向招标人负责，接受分包的人就分包项目承担连带责任。</w:t>
      </w:r>
    </w:p>
    <w:p w14:paraId="777FC8ED">
      <w:pPr>
        <w:pStyle w:val="2"/>
        <w:pageBreakBefore w:val="0"/>
        <w:kinsoku/>
        <w:wordWrap w:val="0"/>
        <w:bidi w:val="0"/>
        <w:outlineLvl w:val="2"/>
        <w:rPr>
          <w:rFonts w:hint="default" w:ascii="Times New Roman" w:hAnsi="Times New Roman" w:cs="Times New Roman"/>
          <w:color w:val="auto"/>
          <w:highlight w:val="none"/>
        </w:rPr>
      </w:pPr>
      <w:bookmarkStart w:id="134" w:name="_Toc234832883"/>
      <w:bookmarkStart w:id="135" w:name="_Toc10366"/>
      <w:bookmarkStart w:id="136" w:name="_Toc26907"/>
      <w:bookmarkStart w:id="137" w:name="_Toc3394"/>
      <w:r>
        <w:rPr>
          <w:rFonts w:hint="default" w:ascii="Times New Roman" w:hAnsi="Times New Roman" w:cs="Times New Roman"/>
          <w:color w:val="auto"/>
          <w:highlight w:val="none"/>
        </w:rPr>
        <w:t xml:space="preserve">1.12 </w:t>
      </w:r>
      <w:bookmarkEnd w:id="134"/>
      <w:r>
        <w:rPr>
          <w:rFonts w:hint="default" w:ascii="Times New Roman" w:hAnsi="Times New Roman" w:cs="Times New Roman"/>
          <w:color w:val="auto"/>
          <w:highlight w:val="none"/>
        </w:rPr>
        <w:t>响应和偏差</w:t>
      </w:r>
      <w:bookmarkEnd w:id="135"/>
      <w:bookmarkEnd w:id="136"/>
      <w:bookmarkEnd w:id="137"/>
    </w:p>
    <w:p w14:paraId="3015B80A">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1.12.1 投标文件偏离招标文件某些要求，视为投标文件存在偏差。偏差包括重大偏差和细微偏差。</w:t>
      </w:r>
    </w:p>
    <w:p w14:paraId="486CAEB8">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1.12.2 投标文件应对招标文件的实质性要求和条件作出满足性或更有利于招标人的响应，否则，视为投标文件存在重大偏差，投标人的投标将被否决。</w:t>
      </w:r>
    </w:p>
    <w:p w14:paraId="5EFFBF12">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投标文件存在第三章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中所列任一否决投标情形的，均属于存在重大偏差。</w:t>
      </w:r>
    </w:p>
    <w:p w14:paraId="6311CA72">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1.12.3 投标文件中的下列偏差为细微偏差：</w:t>
      </w:r>
    </w:p>
    <w:p w14:paraId="534F8DB7">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w:t>
      </w:r>
      <w:r>
        <w:rPr>
          <w:rFonts w:hint="default" w:ascii="Times New Roman" w:hAnsi="Times New Roman" w:eastAsia="宋体" w:cs="Times New Roman"/>
          <w:color w:val="auto"/>
          <w:highlight w:val="none"/>
        </w:rPr>
        <w:t>在按照</w:t>
      </w:r>
      <w:r>
        <w:rPr>
          <w:rFonts w:hint="default" w:ascii="Times New Roman" w:hAnsi="Times New Roman" w:eastAsia="宋体" w:cs="Times New Roman"/>
          <w:color w:val="auto"/>
          <w:szCs w:val="24"/>
          <w:highlight w:val="none"/>
        </w:rPr>
        <w:t>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的规定对投标价进行其他错误</w:t>
      </w:r>
      <w:r>
        <w:rPr>
          <w:rFonts w:hint="default" w:ascii="Times New Roman" w:hAnsi="Times New Roman" w:eastAsia="宋体" w:cs="Times New Roman"/>
          <w:color w:val="auto"/>
          <w:highlight w:val="none"/>
        </w:rPr>
        <w:t>修正后，最终投标报价未超过最高投标限价（如有）的情况下，出现</w:t>
      </w:r>
      <w:r>
        <w:rPr>
          <w:rFonts w:hint="default" w:ascii="Times New Roman" w:hAnsi="Times New Roman" w:eastAsia="宋体" w:cs="Times New Roman"/>
          <w:color w:val="auto"/>
          <w:szCs w:val="24"/>
          <w:highlight w:val="none"/>
        </w:rPr>
        <w:t>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规定的投标报价其他错误；</w:t>
      </w:r>
    </w:p>
    <w:p w14:paraId="2D1D9275">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（2）施工组织设计（含关键工程技术方案）和项目管理机构不够完善；</w:t>
      </w:r>
    </w:p>
    <w:p w14:paraId="6C075ECE">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（3）投标文件个别文字有遗漏错误等不影响投标文件实质性内容的偏差。</w:t>
      </w:r>
    </w:p>
    <w:p w14:paraId="09ABFFD9">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1.12.4 评标委员会对投标文件中的细微偏差按如下规定处理：</w:t>
      </w:r>
    </w:p>
    <w:p w14:paraId="0BE7B65F">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（1）对于本章第1.12.3项（1）目所述的细微偏差，按照第三章</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评标办法</w:t>
      </w:r>
      <w:r>
        <w:rPr>
          <w:rFonts w:hint="eastAsia" w:ascii="宋体" w:hAnsi="宋体" w:eastAsia="宋体" w:cs="宋体"/>
          <w:color w:val="auto"/>
          <w:szCs w:val="24"/>
          <w:highlight w:val="none"/>
        </w:rPr>
        <w:t>”</w:t>
      </w:r>
      <w:r>
        <w:rPr>
          <w:rFonts w:hint="default" w:ascii="Times New Roman" w:hAnsi="Times New Roman" w:eastAsia="宋体" w:cs="Times New Roman"/>
          <w:color w:val="auto"/>
          <w:szCs w:val="24"/>
          <w:highlight w:val="none"/>
        </w:rPr>
        <w:t>的规定予以修正并要求投标人进行澄清；</w:t>
      </w:r>
    </w:p>
    <w:p w14:paraId="34DE7F47">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2）对于本章第1.12.3项（2）目所述的细微偏差，如果采用合理低价法或经评审的最低投标价法评标，应要求投标人对细微偏差进行澄清，只有投标人的澄清文件被评标委员会接受，投标人才能参加评标价的最终评比。如果采用技术评分最低标价法或综合评分法评标，可在相关评分因素的评分中酌情扣分；</w:t>
      </w:r>
    </w:p>
    <w:p w14:paraId="0B918557">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（3）对于本章第1.12.3项（3）目所述的细微偏差，可要求投标人对细微偏差进行澄清。</w:t>
      </w:r>
    </w:p>
    <w:p w14:paraId="004A74EF">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1.12.5 投标人应根据招标文件的要求提供施工组织设计等内容以对招标文件作出响应。</w:t>
      </w:r>
    </w:p>
    <w:p w14:paraId="2A9F5981">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138" w:name="_Toc27865"/>
      <w:bookmarkStart w:id="139" w:name="_Toc234832884"/>
      <w:bookmarkStart w:id="140" w:name="_Toc5915"/>
      <w:bookmarkStart w:id="141" w:name="_Toc28741"/>
      <w:r>
        <w:rPr>
          <w:rFonts w:hint="default" w:ascii="Times New Roman" w:hAnsi="Times New Roman" w:eastAsia="黑体" w:cs="Times New Roman"/>
          <w:b w:val="0"/>
          <w:color w:val="auto"/>
          <w:sz w:val="28"/>
          <w:szCs w:val="28"/>
          <w:highlight w:val="none"/>
        </w:rPr>
        <w:t>2. 招标文件</w:t>
      </w:r>
      <w:bookmarkEnd w:id="138"/>
      <w:bookmarkEnd w:id="139"/>
      <w:bookmarkEnd w:id="140"/>
      <w:bookmarkEnd w:id="141"/>
    </w:p>
    <w:p w14:paraId="6865664E">
      <w:pPr>
        <w:pStyle w:val="2"/>
        <w:pageBreakBefore w:val="0"/>
        <w:kinsoku/>
        <w:wordWrap w:val="0"/>
        <w:bidi w:val="0"/>
        <w:outlineLvl w:val="2"/>
        <w:rPr>
          <w:rFonts w:hint="default" w:ascii="Times New Roman" w:hAnsi="Times New Roman" w:eastAsia="黑体" w:cs="Times New Roman"/>
          <w:color w:val="auto"/>
          <w:highlight w:val="none"/>
        </w:rPr>
      </w:pPr>
      <w:bookmarkStart w:id="142" w:name="_Toc12252"/>
      <w:bookmarkStart w:id="143" w:name="_Toc28112"/>
      <w:bookmarkStart w:id="144" w:name="_Toc25358"/>
      <w:bookmarkStart w:id="145" w:name="_Toc234832885"/>
      <w:r>
        <w:rPr>
          <w:rFonts w:hint="default" w:ascii="Times New Roman" w:hAnsi="Times New Roman" w:eastAsia="黑体" w:cs="Times New Roman"/>
          <w:color w:val="auto"/>
          <w:highlight w:val="none"/>
        </w:rPr>
        <w:t>2.1 招标文件的组成</w:t>
      </w:r>
      <w:bookmarkEnd w:id="142"/>
      <w:bookmarkEnd w:id="143"/>
      <w:bookmarkEnd w:id="144"/>
      <w:bookmarkEnd w:id="145"/>
    </w:p>
    <w:p w14:paraId="5898E27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本招标文件包括：</w:t>
      </w:r>
    </w:p>
    <w:p w14:paraId="689461D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（1）招标公告；</w:t>
      </w:r>
    </w:p>
    <w:p w14:paraId="53CF2DE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（2）投标人须知；</w:t>
      </w:r>
    </w:p>
    <w:p w14:paraId="0AB9C7F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（3）评标办法；</w:t>
      </w:r>
    </w:p>
    <w:p w14:paraId="00AFBDF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（4）合同条款及格式；</w:t>
      </w:r>
    </w:p>
    <w:p w14:paraId="40D6579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（5）工程量清单；</w:t>
      </w:r>
    </w:p>
    <w:p w14:paraId="174881C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（6）图纸；</w:t>
      </w:r>
    </w:p>
    <w:p w14:paraId="6388280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（7）技术规范；</w:t>
      </w:r>
    </w:p>
    <w:p w14:paraId="7E5284D4">
      <w:pPr>
        <w:pageBreakBefore w:val="0"/>
        <w:tabs>
          <w:tab w:val="center" w:pos="4634"/>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（8）工程量清单计量规则；</w:t>
      </w:r>
    </w:p>
    <w:p w14:paraId="5398F5F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（9）投标文件格式；</w:t>
      </w:r>
    </w:p>
    <w:p w14:paraId="537721C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（10）投标人须知前附表规定的其他资料。</w:t>
      </w:r>
    </w:p>
    <w:p w14:paraId="7BDC426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根据本章第1.10款、第2.2款和第2.3款对招标文件所作的澄清、修改，构成招标文件的组成部分。</w:t>
      </w:r>
    </w:p>
    <w:p w14:paraId="3A7F1BB2">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eastAsia="宋体" w:cs="Times New Roman"/>
          <w:color w:val="auto"/>
          <w:szCs w:val="24"/>
          <w:highlight w:val="none"/>
        </w:rPr>
        <w:t>当招标文件、招标文件的澄清或修改等在同一内容的表述上不一致时，以最后发出的书面文件为准。</w:t>
      </w:r>
    </w:p>
    <w:p w14:paraId="3CB89B4D">
      <w:pPr>
        <w:pStyle w:val="2"/>
        <w:pageBreakBefore w:val="0"/>
        <w:kinsoku/>
        <w:wordWrap w:val="0"/>
        <w:bidi w:val="0"/>
        <w:outlineLvl w:val="2"/>
        <w:rPr>
          <w:rFonts w:hint="default" w:ascii="Times New Roman" w:hAnsi="Times New Roman" w:cs="Times New Roman"/>
          <w:color w:val="auto"/>
          <w:highlight w:val="none"/>
        </w:rPr>
      </w:pPr>
      <w:bookmarkStart w:id="146" w:name="_Toc13346"/>
      <w:bookmarkStart w:id="147" w:name="_Toc234832886"/>
      <w:bookmarkStart w:id="148" w:name="_Toc6673"/>
      <w:bookmarkStart w:id="149" w:name="_Toc6916"/>
      <w:r>
        <w:rPr>
          <w:rFonts w:hint="default" w:ascii="Times New Roman" w:hAnsi="Times New Roman" w:cs="Times New Roman"/>
          <w:color w:val="auto"/>
          <w:highlight w:val="none"/>
        </w:rPr>
        <w:t>2.2 招标文件的澄清</w:t>
      </w:r>
      <w:bookmarkEnd w:id="146"/>
      <w:bookmarkEnd w:id="147"/>
      <w:bookmarkEnd w:id="148"/>
      <w:bookmarkEnd w:id="149"/>
    </w:p>
    <w:p w14:paraId="37EA2E8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726B138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2.2.2 招标文件的澄清以投标人须知前附表规定的形式发给所有</w:t>
      </w:r>
      <w:r>
        <w:rPr>
          <w:rFonts w:hint="default" w:ascii="Times New Roman" w:hAnsi="Times New Roman" w:cs="Times New Roman"/>
          <w:color w:val="auto"/>
          <w:sz w:val="24"/>
          <w:highlight w:val="none"/>
          <w:lang w:eastAsia="zh-CN"/>
        </w:rPr>
        <w:t>获取招标文件</w:t>
      </w:r>
      <w:r>
        <w:rPr>
          <w:rFonts w:hint="default" w:ascii="Times New Roman" w:hAnsi="Times New Roman" w:eastAsia="宋体" w:cs="Times New Roman"/>
          <w:color w:val="auto"/>
          <w:sz w:val="24"/>
          <w:highlight w:val="none"/>
        </w:rPr>
        <w:t>的投标人，但不指明澄清问题的来源。澄清发出的时间距本章第4.2.1项规定的投标截止时间不足15日，且澄清内容可能影响投标文件编制的，将相应延长投标截止时间。</w:t>
      </w:r>
    </w:p>
    <w:p w14:paraId="548D85A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2.2.3 </w:t>
      </w:r>
      <w:r>
        <w:rPr>
          <w:rFonts w:hint="default" w:ascii="Times New Roman" w:hAnsi="Times New Roman" w:cs="Times New Roman"/>
          <w:color w:val="auto"/>
          <w:sz w:val="24"/>
          <w:szCs w:val="24"/>
          <w:highlight w:val="none"/>
        </w:rPr>
        <w:t>投标人</w:t>
      </w:r>
      <w:r>
        <w:rPr>
          <w:rFonts w:hint="default" w:ascii="Times New Roman" w:hAnsi="Times New Roman" w:cs="Times New Roman"/>
          <w:color w:val="auto"/>
          <w:sz w:val="24"/>
          <w:szCs w:val="24"/>
          <w:highlight w:val="none"/>
          <w:lang w:val="en-US" w:eastAsia="zh-CN"/>
        </w:rPr>
        <w:t>应</w:t>
      </w:r>
      <w:r>
        <w:rPr>
          <w:rFonts w:hint="default" w:ascii="Times New Roman" w:hAnsi="Times New Roman" w:cs="Times New Roman"/>
          <w:color w:val="auto"/>
          <w:sz w:val="24"/>
          <w:szCs w:val="24"/>
          <w:highlight w:val="none"/>
        </w:rPr>
        <w:t>按照投标人须知前附表要求及时收悉澄清内容。</w:t>
      </w:r>
      <w:r>
        <w:rPr>
          <w:rFonts w:hint="default" w:ascii="Times New Roman" w:hAnsi="Times New Roman" w:cs="Times New Roman"/>
          <w:color w:val="auto"/>
          <w:sz w:val="24"/>
          <w:highlight w:val="none"/>
        </w:rPr>
        <w:t>投标人应注意及时浏览网上发出的澄清，因投标人自身原因未及时获知澄清内容而导致的任何后果将由投标人自行承担</w:t>
      </w:r>
      <w:r>
        <w:rPr>
          <w:rFonts w:hint="default" w:ascii="Times New Roman" w:hAnsi="Times New Roman" w:eastAsia="宋体" w:cs="Times New Roman"/>
          <w:color w:val="auto"/>
          <w:sz w:val="24"/>
          <w:highlight w:val="none"/>
        </w:rPr>
        <w:t>。</w:t>
      </w:r>
    </w:p>
    <w:p w14:paraId="16AB056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2.2.4 除非招标人认为确有必要答复，否则，招标人有权拒绝回复投标人在本章第2.2.1项规定的时间后提出的任何澄清要求。</w:t>
      </w:r>
    </w:p>
    <w:p w14:paraId="2C506908">
      <w:pPr>
        <w:pStyle w:val="2"/>
        <w:pageBreakBefore w:val="0"/>
        <w:kinsoku/>
        <w:wordWrap w:val="0"/>
        <w:bidi w:val="0"/>
        <w:outlineLvl w:val="2"/>
        <w:rPr>
          <w:rFonts w:hint="default" w:ascii="Times New Roman" w:hAnsi="Times New Roman" w:cs="Times New Roman"/>
          <w:color w:val="auto"/>
          <w:highlight w:val="none"/>
        </w:rPr>
      </w:pPr>
      <w:bookmarkStart w:id="150" w:name="_Toc19533"/>
      <w:bookmarkStart w:id="151" w:name="_Toc3661"/>
      <w:bookmarkStart w:id="152" w:name="_Toc234832887"/>
      <w:bookmarkStart w:id="153" w:name="_Toc20407"/>
      <w:r>
        <w:rPr>
          <w:rFonts w:hint="default" w:ascii="Times New Roman" w:hAnsi="Times New Roman" w:cs="Times New Roman"/>
          <w:color w:val="auto"/>
          <w:highlight w:val="none"/>
        </w:rPr>
        <w:t>2.3 招标文件的修改</w:t>
      </w:r>
      <w:bookmarkEnd w:id="150"/>
      <w:bookmarkEnd w:id="151"/>
      <w:bookmarkEnd w:id="152"/>
      <w:bookmarkEnd w:id="153"/>
    </w:p>
    <w:p w14:paraId="04AC20C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2.3.1 招标人以投标人须知前附表规定的形式修改招标文件。修改招标文件的时间距本章第4.2.1项规定的投标截止时间不足15日，且修改内容可能影响投标文件编制的，将相应延长投标截止时间。</w:t>
      </w:r>
    </w:p>
    <w:p w14:paraId="5857ADC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2.3.2 </w:t>
      </w:r>
      <w:r>
        <w:rPr>
          <w:rFonts w:hint="default" w:ascii="Times New Roman" w:hAnsi="Times New Roman" w:cs="Times New Roman"/>
          <w:color w:val="auto"/>
          <w:sz w:val="24"/>
          <w:szCs w:val="24"/>
          <w:highlight w:val="none"/>
        </w:rPr>
        <w:t>投标人</w:t>
      </w:r>
      <w:r>
        <w:rPr>
          <w:rFonts w:hint="default" w:ascii="Times New Roman" w:hAnsi="Times New Roman" w:cs="Times New Roman"/>
          <w:color w:val="auto"/>
          <w:sz w:val="24"/>
          <w:szCs w:val="24"/>
          <w:highlight w:val="none"/>
          <w:lang w:val="en-US" w:eastAsia="zh-CN"/>
        </w:rPr>
        <w:t>应</w:t>
      </w:r>
      <w:r>
        <w:rPr>
          <w:rFonts w:hint="default" w:ascii="Times New Roman" w:hAnsi="Times New Roman" w:cs="Times New Roman"/>
          <w:color w:val="auto"/>
          <w:sz w:val="24"/>
          <w:szCs w:val="24"/>
          <w:highlight w:val="none"/>
        </w:rPr>
        <w:t>按照投标人须知前附表要求及时收悉</w:t>
      </w:r>
      <w:r>
        <w:rPr>
          <w:rFonts w:hint="default" w:ascii="Times New Roman" w:hAnsi="Times New Roman" w:cs="Times New Roman"/>
          <w:color w:val="auto"/>
          <w:sz w:val="24"/>
          <w:szCs w:val="24"/>
          <w:highlight w:val="none"/>
          <w:lang w:val="en-US" w:eastAsia="zh-CN"/>
        </w:rPr>
        <w:t>修改</w:t>
      </w:r>
      <w:r>
        <w:rPr>
          <w:rFonts w:hint="default" w:ascii="Times New Roman" w:hAnsi="Times New Roman" w:cs="Times New Roman"/>
          <w:color w:val="auto"/>
          <w:sz w:val="24"/>
          <w:szCs w:val="24"/>
          <w:highlight w:val="none"/>
        </w:rPr>
        <w:t>内容</w:t>
      </w:r>
      <w:r>
        <w:rPr>
          <w:rFonts w:hint="default" w:ascii="Times New Roman" w:hAnsi="Times New Roman" w:cs="Times New Roman"/>
          <w:color w:val="auto"/>
          <w:sz w:val="24"/>
          <w:highlight w:val="none"/>
        </w:rPr>
        <w:t>。投标人应注意及时浏览网上发出的修改，因投标人自身原因未及时获知修改内容而导致的任何后果将由投标人自行承担</w:t>
      </w:r>
      <w:r>
        <w:rPr>
          <w:rFonts w:hint="default" w:ascii="Times New Roman" w:hAnsi="Times New Roman" w:eastAsia="宋体" w:cs="Times New Roman"/>
          <w:color w:val="auto"/>
          <w:sz w:val="24"/>
          <w:highlight w:val="none"/>
        </w:rPr>
        <w:t>。</w:t>
      </w:r>
    </w:p>
    <w:p w14:paraId="72682BE3">
      <w:pPr>
        <w:pStyle w:val="2"/>
        <w:pageBreakBefore w:val="0"/>
        <w:kinsoku/>
        <w:wordWrap w:val="0"/>
        <w:bidi w:val="0"/>
        <w:outlineLvl w:val="2"/>
        <w:rPr>
          <w:rFonts w:hint="default" w:ascii="Times New Roman" w:hAnsi="Times New Roman" w:cs="Times New Roman"/>
          <w:color w:val="auto"/>
          <w:highlight w:val="none"/>
        </w:rPr>
      </w:pPr>
      <w:bookmarkStart w:id="154" w:name="_Toc8985"/>
      <w:bookmarkStart w:id="155" w:name="_Toc13132"/>
      <w:bookmarkStart w:id="156" w:name="_Toc29500"/>
      <w:r>
        <w:rPr>
          <w:rFonts w:hint="default" w:ascii="Times New Roman" w:hAnsi="Times New Roman" w:cs="Times New Roman"/>
          <w:color w:val="auto"/>
          <w:highlight w:val="none"/>
        </w:rPr>
        <w:t>2.4</w:t>
      </w:r>
      <w:r>
        <w:rPr>
          <w:rFonts w:hint="default" w:ascii="Times New Roman" w:hAnsi="Times New Roman" w:cs="Times New Roman"/>
          <w:color w:val="auto"/>
          <w:highlight w:val="none"/>
          <w:lang w:eastAsia="zh-CN"/>
        </w:rPr>
        <w:t xml:space="preserve"> </w:t>
      </w:r>
      <w:r>
        <w:rPr>
          <w:rFonts w:hint="default" w:ascii="Times New Roman" w:hAnsi="Times New Roman" w:cs="Times New Roman"/>
          <w:color w:val="auto"/>
          <w:highlight w:val="none"/>
        </w:rPr>
        <w:t>招标文件的异议</w:t>
      </w:r>
      <w:bookmarkEnd w:id="154"/>
      <w:bookmarkEnd w:id="155"/>
      <w:bookmarkEnd w:id="156"/>
    </w:p>
    <w:p w14:paraId="0649C2A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rPr>
        <w:t>投标人或其他利害关系人对招标文件有异议的，应在投标截止时间10日前以书面形式提出。招标人将在收到异议之日起3日内作出答复；作出答复前，将暂停招标投标活动。</w:t>
      </w:r>
    </w:p>
    <w:p w14:paraId="50139E6A">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157" w:name="_Toc234832888"/>
      <w:bookmarkStart w:id="158" w:name="_Toc5874"/>
      <w:bookmarkStart w:id="159" w:name="_Toc5945"/>
      <w:bookmarkStart w:id="160" w:name="_Toc24250"/>
      <w:r>
        <w:rPr>
          <w:rFonts w:hint="default" w:ascii="Times New Roman" w:hAnsi="Times New Roman" w:eastAsia="黑体" w:cs="Times New Roman"/>
          <w:b w:val="0"/>
          <w:color w:val="auto"/>
          <w:sz w:val="28"/>
          <w:szCs w:val="28"/>
          <w:highlight w:val="none"/>
        </w:rPr>
        <w:t>3. 投标文件</w:t>
      </w:r>
      <w:bookmarkEnd w:id="157"/>
      <w:bookmarkEnd w:id="158"/>
      <w:bookmarkEnd w:id="159"/>
      <w:bookmarkEnd w:id="160"/>
    </w:p>
    <w:p w14:paraId="6DA115E2">
      <w:pPr>
        <w:pStyle w:val="2"/>
        <w:keepNext/>
        <w:keepLines/>
        <w:pageBreakBefore w:val="0"/>
        <w:widowControl w:val="0"/>
        <w:kinsoku/>
        <w:wordWrap w:val="0"/>
        <w:overflowPunct/>
        <w:topLinePunct w:val="0"/>
        <w:autoSpaceDE/>
        <w:autoSpaceDN/>
        <w:bidi w:val="0"/>
        <w:adjustRightInd/>
        <w:snapToGrid/>
        <w:textAlignment w:val="auto"/>
        <w:outlineLvl w:val="2"/>
        <w:rPr>
          <w:rFonts w:hint="default" w:ascii="Times New Roman" w:hAnsi="Times New Roman" w:cs="Times New Roman"/>
          <w:color w:val="auto"/>
          <w:highlight w:val="none"/>
        </w:rPr>
      </w:pPr>
      <w:bookmarkStart w:id="161" w:name="_Toc16758"/>
      <w:bookmarkStart w:id="162" w:name="_Toc234832889"/>
      <w:bookmarkStart w:id="163" w:name="_Toc18046"/>
      <w:bookmarkStart w:id="164" w:name="_Toc20988"/>
      <w:r>
        <w:rPr>
          <w:rFonts w:hint="default" w:ascii="Times New Roman" w:hAnsi="Times New Roman" w:cs="Times New Roman"/>
          <w:color w:val="auto"/>
          <w:highlight w:val="none"/>
        </w:rPr>
        <w:t>3.1投标文件的组成</w:t>
      </w:r>
      <w:bookmarkEnd w:id="161"/>
      <w:bookmarkEnd w:id="162"/>
      <w:bookmarkEnd w:id="163"/>
      <w:bookmarkEnd w:id="164"/>
    </w:p>
    <w:p w14:paraId="63B10CF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3.1.1 投标文件应采用双信封形式，包括下列内容：</w:t>
      </w:r>
    </w:p>
    <w:p w14:paraId="40D31ED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第一个信封（商务及技术文件）：</w:t>
      </w:r>
    </w:p>
    <w:p w14:paraId="463FCA2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（1）投标函及投标函附录；</w:t>
      </w:r>
    </w:p>
    <w:p w14:paraId="44ED26B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（2）授权委托书或法定代表人身份证明；</w:t>
      </w:r>
    </w:p>
    <w:p w14:paraId="1B62145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（3）联合体协议书（如有）；</w:t>
      </w:r>
    </w:p>
    <w:p w14:paraId="3511B0F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（4）投标保证金（如有）；</w:t>
      </w:r>
    </w:p>
    <w:p w14:paraId="3F867E6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（5）施工组织设计；</w:t>
      </w:r>
    </w:p>
    <w:p w14:paraId="56BA5C4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（6）项目管理机构；</w:t>
      </w:r>
    </w:p>
    <w:p w14:paraId="18D66DD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（7）拟分包项目情况表（</w:t>
      </w:r>
      <w:r>
        <w:rPr>
          <w:rFonts w:hint="eastAsia" w:cs="Times New Roman"/>
          <w:color w:val="auto"/>
          <w:sz w:val="24"/>
          <w:highlight w:val="none"/>
          <w:lang w:val="en-US" w:eastAsia="zh-CN"/>
        </w:rPr>
        <w:t>如有</w:t>
      </w:r>
      <w:r>
        <w:rPr>
          <w:rFonts w:hint="default" w:ascii="Times New Roman" w:hAnsi="Times New Roman" w:eastAsia="宋体" w:cs="Times New Roman"/>
          <w:color w:val="auto"/>
          <w:sz w:val="24"/>
          <w:highlight w:val="none"/>
        </w:rPr>
        <w:t>）</w:t>
      </w:r>
    </w:p>
    <w:p w14:paraId="07F2556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rPr>
        <w:t xml:space="preserve">）资格审查资料； </w:t>
      </w:r>
    </w:p>
    <w:p w14:paraId="64C6128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9</w:t>
      </w:r>
      <w:r>
        <w:rPr>
          <w:rFonts w:hint="default" w:ascii="Times New Roman" w:hAnsi="Times New Roman" w:eastAsia="宋体" w:cs="Times New Roman"/>
          <w:color w:val="auto"/>
          <w:sz w:val="24"/>
          <w:highlight w:val="none"/>
        </w:rPr>
        <w:t>）投标人须知前附表规定的其他资料。</w:t>
      </w:r>
    </w:p>
    <w:p w14:paraId="2847C40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第二个信封（报价文件）：</w:t>
      </w:r>
    </w:p>
    <w:p w14:paraId="3BDCA41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（1）投标函；</w:t>
      </w:r>
    </w:p>
    <w:p w14:paraId="08A40CE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2</w:t>
      </w:r>
      <w:r>
        <w:rPr>
          <w:rFonts w:hint="default" w:ascii="Times New Roman" w:hAnsi="Times New Roman" w:eastAsia="宋体" w:cs="Times New Roman"/>
          <w:color w:val="auto"/>
          <w:sz w:val="24"/>
          <w:highlight w:val="none"/>
        </w:rPr>
        <w:t>）已标价工程量清单；</w:t>
      </w:r>
    </w:p>
    <w:p w14:paraId="6B8B0BD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rPr>
        <w:t>）合同用款估算表。</w:t>
      </w:r>
    </w:p>
    <w:p w14:paraId="17210E3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投标人在评标过程中作出的符合法律法规和招标文件规定的澄清确认，构成投标文件的组成部分。</w:t>
      </w:r>
    </w:p>
    <w:p w14:paraId="0251102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3.1.2 投标人须知前附表规定不接受联合体投标的，或投标人没有组成联合体的，投标文件不包括本章第3.1.1（3）目所指的联合体协议书。</w:t>
      </w:r>
    </w:p>
    <w:p w14:paraId="3B337193">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3.1.3 投标人须知前附表未要求提交投标保证金的，投标文件不包括本章第3.1.1（4）目所指的投标保证金。</w:t>
      </w:r>
    </w:p>
    <w:p w14:paraId="1B606E1E">
      <w:pPr>
        <w:pStyle w:val="2"/>
        <w:pageBreakBefore w:val="0"/>
        <w:kinsoku/>
        <w:wordWrap w:val="0"/>
        <w:bidi w:val="0"/>
        <w:outlineLvl w:val="2"/>
        <w:rPr>
          <w:rFonts w:hint="default" w:ascii="Times New Roman" w:hAnsi="Times New Roman" w:cs="Times New Roman"/>
          <w:color w:val="auto"/>
          <w:highlight w:val="none"/>
        </w:rPr>
      </w:pPr>
      <w:bookmarkStart w:id="165" w:name="_Toc234832890"/>
      <w:bookmarkStart w:id="166" w:name="_Toc25498"/>
      <w:bookmarkStart w:id="167" w:name="_Toc22349"/>
      <w:bookmarkStart w:id="168" w:name="_Toc4919"/>
      <w:r>
        <w:rPr>
          <w:rFonts w:hint="default" w:ascii="Times New Roman" w:hAnsi="Times New Roman" w:cs="Times New Roman"/>
          <w:color w:val="auto"/>
          <w:highlight w:val="none"/>
        </w:rPr>
        <w:t>3.2 投标报价</w:t>
      </w:r>
      <w:bookmarkEnd w:id="165"/>
      <w:bookmarkEnd w:id="166"/>
      <w:bookmarkEnd w:id="167"/>
      <w:bookmarkEnd w:id="168"/>
      <w:r>
        <w:rPr>
          <w:rFonts w:hint="default" w:ascii="Times New Roman" w:hAnsi="Times New Roman" w:cs="Times New Roman"/>
          <w:color w:val="auto"/>
          <w:highlight w:val="none"/>
        </w:rPr>
        <w:t xml:space="preserve"> </w:t>
      </w:r>
    </w:p>
    <w:p w14:paraId="75CA93D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3.2.1 投标报价应包括国家规定的增值税税金，除投标人须知前附表另有规定外，增值税税金按一般计税方法计算。投标人应按第九章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投标文件格式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的要求在投标函中进行报价并填写工程量清单相应表格。</w:t>
      </w:r>
    </w:p>
    <w:p w14:paraId="4995479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本项目招标采用工程量固化清单，招标人在</w:t>
      </w:r>
      <w:r>
        <w:rPr>
          <w:rFonts w:hint="default" w:ascii="Times New Roman" w:hAnsi="Times New Roman" w:cs="Times New Roman"/>
          <w:color w:val="auto"/>
          <w:sz w:val="24"/>
          <w:highlight w:val="none"/>
          <w:lang w:val="en-US" w:eastAsia="zh-CN"/>
        </w:rPr>
        <w:t>发布</w:t>
      </w:r>
      <w:r>
        <w:rPr>
          <w:rFonts w:hint="default" w:ascii="Times New Roman" w:hAnsi="Times New Roman" w:eastAsia="宋体" w:cs="Times New Roman"/>
          <w:color w:val="auto"/>
          <w:sz w:val="24"/>
          <w:highlight w:val="none"/>
        </w:rPr>
        <w:t>招标文件的同时将工程量固化清单电子文件上传至投标人须知前附表载明的网站供投标人自行下载。投标人填写工程量清单中各子目的单价</w:t>
      </w:r>
      <w:r>
        <w:rPr>
          <w:rFonts w:hint="eastAsia" w:cs="Times New Roman"/>
          <w:color w:val="auto"/>
          <w:sz w:val="24"/>
          <w:highlight w:val="none"/>
          <w:lang w:val="en-US" w:eastAsia="zh-CN"/>
        </w:rPr>
        <w:t>或</w:t>
      </w:r>
      <w:r>
        <w:rPr>
          <w:rFonts w:hint="default" w:ascii="Times New Roman" w:hAnsi="Times New Roman" w:eastAsia="宋体" w:cs="Times New Roman"/>
          <w:color w:val="auto"/>
          <w:sz w:val="24"/>
          <w:highlight w:val="none"/>
        </w:rPr>
        <w:t>总额价，即可完成投标工程量清单的编制，确定投标报价，并</w:t>
      </w:r>
      <w:r>
        <w:rPr>
          <w:rFonts w:hint="eastAsia" w:cs="Times New Roman"/>
          <w:color w:val="auto"/>
          <w:sz w:val="24"/>
          <w:highlight w:val="none"/>
          <w:lang w:val="en-US" w:eastAsia="zh-CN"/>
        </w:rPr>
        <w:t>生成电子版</w:t>
      </w:r>
      <w:r>
        <w:rPr>
          <w:rFonts w:hint="default" w:ascii="Times New Roman" w:hAnsi="Times New Roman" w:eastAsia="宋体" w:cs="Times New Roman"/>
          <w:color w:val="auto"/>
          <w:sz w:val="24"/>
          <w:highlight w:val="none"/>
        </w:rPr>
        <w:t>工程量清单，编入投标文件。投标人未在工程量清单中填入单价或总额价的工程子目，将被认为其已包含在工程量清单其他子目的单价和总额价中，招标人将不予支付。</w:t>
      </w:r>
    </w:p>
    <w:p w14:paraId="2CFFA6A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严禁投标人修改工程量固化清单电子文件中的数据、格式及运算定义。</w:t>
      </w:r>
    </w:p>
    <w:p w14:paraId="4535C4B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投标人根据招标人提供的工程量固化清单电子文件填报完成并</w:t>
      </w:r>
      <w:r>
        <w:rPr>
          <w:rFonts w:hint="eastAsia" w:cs="Times New Roman"/>
          <w:color w:val="auto"/>
          <w:sz w:val="24"/>
          <w:highlight w:val="none"/>
          <w:lang w:val="en-US" w:eastAsia="zh-CN"/>
        </w:rPr>
        <w:t>生成</w:t>
      </w:r>
      <w:r>
        <w:rPr>
          <w:rFonts w:hint="default" w:ascii="Times New Roman" w:hAnsi="Times New Roman" w:eastAsia="宋体" w:cs="Times New Roman"/>
          <w:color w:val="auto"/>
          <w:sz w:val="24"/>
          <w:highlight w:val="none"/>
        </w:rPr>
        <w:t>的投标工程量清单中的投标报价和投标函大写金额报价应一致，如果报价金额出现差异，其投标将被否决。</w:t>
      </w:r>
    </w:p>
    <w:p w14:paraId="4BC1882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3.2.2 投标人应充分了解本项目的总体情况以及影响投标报价的其他要素。</w:t>
      </w:r>
    </w:p>
    <w:p w14:paraId="07BEE25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3.2.3 本项目的报价方式见投标人须知前附表。投标人在投标截止时间前修改投标函中的投标总报价，应同时修改投标文件</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已标价工程量清单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中的相应报价。此修改须符合本章第4.3款的有关要求。</w:t>
      </w:r>
    </w:p>
    <w:p w14:paraId="4636A65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3.2.4 投标人如果发现工程量清单中的数量与图纸中数量不一致时，应立即通知招标人核查，除非招标人</w:t>
      </w:r>
      <w:r>
        <w:rPr>
          <w:rFonts w:hint="eastAsia" w:cs="Times New Roman"/>
          <w:color w:val="auto"/>
          <w:sz w:val="24"/>
          <w:highlight w:val="none"/>
          <w:lang w:val="en-US" w:eastAsia="zh-CN"/>
        </w:rPr>
        <w:t>在指定媒介上</w:t>
      </w:r>
      <w:r>
        <w:rPr>
          <w:rFonts w:hint="default" w:ascii="Times New Roman" w:hAnsi="Times New Roman" w:eastAsia="宋体" w:cs="Times New Roman"/>
          <w:color w:val="auto"/>
          <w:sz w:val="24"/>
          <w:highlight w:val="none"/>
        </w:rPr>
        <w:t>以书面方式予以更正，否则，应以工程量清单中列出的数量为准。</w:t>
      </w:r>
    </w:p>
    <w:p w14:paraId="179F2BE8">
      <w:pPr>
        <w:keepNext w:val="0"/>
        <w:keepLines w:val="0"/>
        <w:pageBreakBefore w:val="0"/>
        <w:widowControl w:val="0"/>
        <w:kinsoku/>
        <w:wordWrap/>
        <w:overflowPunct/>
        <w:topLinePunct w:val="0"/>
        <w:autoSpaceDE/>
        <w:autoSpaceDN/>
        <w:bidi w:val="0"/>
        <w:adjustRightInd/>
        <w:snapToGrid/>
        <w:spacing w:line="40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3.2.5 投标人应根据《公路水运工程安全生产监督管理办法》，在投标总价中计入安全生产费用，安全生产费用应符合合同条款第9.2.5项的规定。工程量清单第100章内列有上述安全生产费的支付子目，由投标人按招标文件的规定填写总额价。</w:t>
      </w:r>
    </w:p>
    <w:p w14:paraId="54683DC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rPr>
        <w:t xml:space="preserve"> 在合同实施期间，投标人填写的单价、合价和总额价是否由于物价波动进行价格调整按照合同条款第16.1款的规定处理。如果按照合同条款第16.1.1项的规定采用价格调整公式进行价格调整，由招标人根据项目实际情况测算确定价格调整公式中的变值权重范围，并在投标函附录价格指数和权重表中约定范围；投标人在此范围内填写各可调因子的权重，合同实施期间将按此权重进行调价。</w:t>
      </w:r>
    </w:p>
    <w:p w14:paraId="5889019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w:t>
      </w:r>
      <w:r>
        <w:rPr>
          <w:rFonts w:hint="eastAsia" w:cs="Times New Roman"/>
          <w:color w:val="auto"/>
          <w:sz w:val="24"/>
          <w:highlight w:val="none"/>
          <w:lang w:val="en-US" w:eastAsia="zh-CN"/>
        </w:rPr>
        <w:t>7</w:t>
      </w:r>
      <w:r>
        <w:rPr>
          <w:rFonts w:hint="default" w:ascii="Times New Roman" w:hAnsi="Times New Roman" w:eastAsia="宋体" w:cs="Times New Roman"/>
          <w:color w:val="auto"/>
          <w:sz w:val="24"/>
          <w:highlight w:val="none"/>
        </w:rPr>
        <w:t xml:space="preserve"> 招标人设有最高投标限价的，投标人的投标报价不得超过最高投标限价，最高投标限价在投标</w:t>
      </w:r>
      <w:bookmarkStart w:id="169" w:name="_Toc384308225"/>
      <w:bookmarkStart w:id="170" w:name="_Toc369531531"/>
      <w:bookmarkStart w:id="171" w:name="_Toc144974512"/>
      <w:bookmarkStart w:id="172" w:name="_Toc10429"/>
      <w:bookmarkStart w:id="173" w:name="_Toc361508600"/>
      <w:bookmarkStart w:id="174" w:name="_Toc247513968"/>
      <w:bookmarkStart w:id="175" w:name="_Toc300834965"/>
      <w:bookmarkStart w:id="176" w:name="_Toc152045544"/>
      <w:bookmarkStart w:id="177" w:name="_Toc352691488"/>
      <w:bookmarkStart w:id="178" w:name="_Toc152042320"/>
      <w:bookmarkStart w:id="179" w:name="_Toc247527569"/>
      <w:r>
        <w:rPr>
          <w:rFonts w:hint="default" w:ascii="Times New Roman" w:hAnsi="Times New Roman" w:eastAsia="宋体" w:cs="Times New Roman"/>
          <w:color w:val="auto"/>
          <w:sz w:val="24"/>
          <w:highlight w:val="none"/>
        </w:rPr>
        <w:t>人须知前附表中载明。</w:t>
      </w:r>
      <w:bookmarkEnd w:id="169"/>
      <w:bookmarkEnd w:id="170"/>
      <w:bookmarkEnd w:id="171"/>
      <w:bookmarkEnd w:id="172"/>
      <w:bookmarkEnd w:id="173"/>
      <w:bookmarkEnd w:id="174"/>
      <w:bookmarkEnd w:id="175"/>
      <w:bookmarkEnd w:id="176"/>
      <w:bookmarkEnd w:id="177"/>
      <w:bookmarkEnd w:id="178"/>
      <w:bookmarkEnd w:id="179"/>
    </w:p>
    <w:p w14:paraId="17091B3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3.2.</w:t>
      </w:r>
      <w:r>
        <w:rPr>
          <w:rFonts w:hint="eastAsia" w:cs="Times New Roman"/>
          <w:color w:val="auto"/>
          <w:sz w:val="24"/>
          <w:highlight w:val="none"/>
          <w:lang w:val="en-US" w:eastAsia="zh-CN"/>
        </w:rPr>
        <w:t>8</w:t>
      </w:r>
      <w:r>
        <w:rPr>
          <w:rFonts w:hint="default" w:ascii="Times New Roman" w:hAnsi="Times New Roman" w:eastAsia="宋体" w:cs="Times New Roman"/>
          <w:color w:val="auto"/>
          <w:sz w:val="24"/>
          <w:highlight w:val="none"/>
        </w:rPr>
        <w:t xml:space="preserve"> 投标报价的其他要求见投标人须知前附表。</w:t>
      </w:r>
    </w:p>
    <w:p w14:paraId="2E43A2D0">
      <w:pPr>
        <w:pStyle w:val="2"/>
        <w:pageBreakBefore w:val="0"/>
        <w:kinsoku/>
        <w:wordWrap w:val="0"/>
        <w:bidi w:val="0"/>
        <w:outlineLvl w:val="2"/>
        <w:rPr>
          <w:rFonts w:hint="default" w:ascii="Times New Roman" w:hAnsi="Times New Roman" w:cs="Times New Roman"/>
          <w:color w:val="auto"/>
          <w:highlight w:val="none"/>
        </w:rPr>
      </w:pPr>
      <w:bookmarkStart w:id="180" w:name="_Toc19241"/>
      <w:bookmarkStart w:id="181" w:name="_Toc234832891"/>
      <w:bookmarkStart w:id="182" w:name="_Toc5681"/>
      <w:bookmarkStart w:id="183" w:name="_Toc31161"/>
      <w:r>
        <w:rPr>
          <w:rFonts w:hint="default" w:ascii="Times New Roman" w:hAnsi="Times New Roman" w:cs="Times New Roman"/>
          <w:color w:val="auto"/>
          <w:highlight w:val="none"/>
        </w:rPr>
        <w:t>3.3投标有效期</w:t>
      </w:r>
      <w:bookmarkEnd w:id="180"/>
      <w:bookmarkEnd w:id="181"/>
      <w:bookmarkEnd w:id="182"/>
      <w:bookmarkEnd w:id="183"/>
    </w:p>
    <w:p w14:paraId="7FBA192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3.3.1 除投标人须知前附表另有规定外，投标有效期为90日。</w:t>
      </w:r>
    </w:p>
    <w:p w14:paraId="1FB73D6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3.3.2 在投标有效期内，投标人撤销投标文件的，应承担招标文件和法律规定的责任。</w:t>
      </w:r>
    </w:p>
    <w:p w14:paraId="1B61481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3.3.3 出现特殊情况需要延长投标有效期的，招标人</w:t>
      </w:r>
      <w:r>
        <w:rPr>
          <w:rFonts w:hint="eastAsia" w:cs="Times New Roman"/>
          <w:color w:val="auto"/>
          <w:sz w:val="24"/>
          <w:highlight w:val="none"/>
          <w:lang w:val="en-US" w:eastAsia="zh-CN"/>
        </w:rPr>
        <w:t>通过电子交易平台</w:t>
      </w:r>
      <w:r>
        <w:rPr>
          <w:rFonts w:hint="default" w:ascii="Times New Roman" w:hAnsi="Times New Roman" w:eastAsia="宋体" w:cs="Times New Roman"/>
          <w:color w:val="auto"/>
          <w:sz w:val="24"/>
          <w:highlight w:val="none"/>
        </w:rPr>
        <w:t>通知所有投标人延长投标有效期。投标人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6C5AF123">
      <w:pPr>
        <w:pStyle w:val="2"/>
        <w:pageBreakBefore w:val="0"/>
        <w:kinsoku/>
        <w:wordWrap w:val="0"/>
        <w:bidi w:val="0"/>
        <w:outlineLvl w:val="2"/>
        <w:rPr>
          <w:rFonts w:hint="default" w:ascii="Times New Roman" w:hAnsi="Times New Roman" w:cs="Times New Roman"/>
          <w:color w:val="auto"/>
          <w:highlight w:val="none"/>
        </w:rPr>
      </w:pPr>
      <w:bookmarkStart w:id="184" w:name="_Toc234832892"/>
      <w:bookmarkStart w:id="185" w:name="_Toc19805"/>
      <w:bookmarkStart w:id="186" w:name="_Toc14943"/>
      <w:bookmarkStart w:id="187" w:name="_Toc17536"/>
      <w:r>
        <w:rPr>
          <w:rFonts w:hint="default" w:ascii="Times New Roman" w:hAnsi="Times New Roman" w:cs="Times New Roman"/>
          <w:color w:val="auto"/>
          <w:highlight w:val="none"/>
        </w:rPr>
        <w:t>3.4投标保证金</w:t>
      </w:r>
      <w:bookmarkEnd w:id="184"/>
      <w:bookmarkEnd w:id="185"/>
      <w:bookmarkEnd w:id="186"/>
      <w:bookmarkEnd w:id="187"/>
    </w:p>
    <w:p w14:paraId="574901E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3.4.1 投标人在递交投标文件的同时，应按投标人须知前附表规定的金额和第九章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投标文件格式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规定的投标保证金格式递交投标保证金，并作为其投标文件的组成部分。联合体投标的，其投标保证金由牵头人递交，并应符合投标人须知前附表的规定。</w:t>
      </w:r>
    </w:p>
    <w:p w14:paraId="0975C19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投标保证金应采用现金、支票、银行保函或招标人在投标人须知前附表规定的其他形式。</w:t>
      </w:r>
    </w:p>
    <w:p w14:paraId="63E16D1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（1）若采用现金或支票，投标人应在递交投标文件截止时间之前，将投标保证金由投标人的基本账户转入招标人指定账户，否则视为投标保证金无效。招标人指定的开户银行及账号见投标人须知前附表。</w:t>
      </w:r>
    </w:p>
    <w:p w14:paraId="2622E03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（2）若采用银行保函，则应由符合投标人须知前附表规定级别的银行开具，并采用招标文件提供的格式。银行保函</w:t>
      </w:r>
      <w:r>
        <w:rPr>
          <w:rFonts w:hint="eastAsia" w:cs="Times New Roman"/>
          <w:color w:val="auto"/>
          <w:sz w:val="24"/>
          <w:highlight w:val="none"/>
          <w:lang w:eastAsia="zh-CN"/>
        </w:rPr>
        <w:t>原件扫描件</w:t>
      </w:r>
      <w:r>
        <w:rPr>
          <w:rFonts w:hint="eastAsia" w:cs="Times New Roman"/>
          <w:color w:val="auto"/>
          <w:sz w:val="24"/>
          <w:highlight w:val="none"/>
          <w:lang w:val="en-US" w:eastAsia="zh-CN"/>
        </w:rPr>
        <w:t>编辑</w:t>
      </w:r>
      <w:r>
        <w:rPr>
          <w:rFonts w:hint="default" w:ascii="Times New Roman" w:hAnsi="Times New Roman" w:eastAsia="宋体" w:cs="Times New Roman"/>
          <w:color w:val="auto"/>
          <w:sz w:val="24"/>
          <w:highlight w:val="none"/>
        </w:rPr>
        <w:t>在投标文件内。</w:t>
      </w:r>
    </w:p>
    <w:p w14:paraId="0ACC7184">
      <w:pPr>
        <w:pageBreakBefore w:val="0"/>
        <w:kinsoku/>
        <w:wordWrap w:val="0"/>
        <w:bidi w:val="0"/>
        <w:spacing w:line="400" w:lineRule="atLeast"/>
        <w:ind w:firstLine="480" w:firstLineChars="200"/>
        <w:rPr>
          <w:rFonts w:hint="eastAsia" w:ascii="Times New Roman" w:hAnsi="Times New Roman" w:eastAsia="宋体" w:cs="Times New Roman"/>
          <w:color w:val="auto"/>
          <w:sz w:val="24"/>
          <w:highlight w:val="none"/>
          <w:lang w:eastAsia="zh-CN"/>
        </w:rPr>
      </w:pPr>
      <w:r>
        <w:rPr>
          <w:rFonts w:hint="eastAsia" w:cs="Times New Roman"/>
          <w:color w:val="auto"/>
          <w:sz w:val="24"/>
          <w:highlight w:val="none"/>
          <w:lang w:eastAsia="zh-CN"/>
        </w:rPr>
        <w:t>（</w:t>
      </w:r>
      <w:r>
        <w:rPr>
          <w:rFonts w:hint="eastAsia" w:cs="Times New Roman"/>
          <w:color w:val="auto"/>
          <w:sz w:val="24"/>
          <w:highlight w:val="none"/>
          <w:lang w:val="en-US" w:eastAsia="zh-CN"/>
        </w:rPr>
        <w:t>3</w:t>
      </w:r>
      <w:r>
        <w:rPr>
          <w:rFonts w:hint="eastAsia" w:cs="Times New Roman"/>
          <w:color w:val="auto"/>
          <w:sz w:val="24"/>
          <w:highlight w:val="none"/>
          <w:lang w:eastAsia="zh-CN"/>
        </w:rPr>
        <w:t>）若采用电子保函形式提交，投标人应在投标文件中提供电子保函的扫描件和电子化保函验真渠道。</w:t>
      </w:r>
    </w:p>
    <w:p w14:paraId="6308E19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无论采取何种形式的投标保证金，投标保证金有效期均应与投标有效期一致。招标人如果按本章第3.3.3项的规定延长了投标有效期，则投标保证金的有效期也相应延长。</w:t>
      </w:r>
    </w:p>
    <w:p w14:paraId="54FD290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3.4.2 投标人不按本章第3.4.1项要求提交投标保证金的，评标委员会将否决其投标。</w:t>
      </w:r>
    </w:p>
    <w:p w14:paraId="0E35A9F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3.4.3 招标人最迟将在中标通知书发出后5日内向中标候选人以外的其他投标人退还投标保证金</w:t>
      </w:r>
      <w:r>
        <w:rPr>
          <w:rFonts w:hint="eastAsia" w:cs="Times New Roman"/>
          <w:color w:val="auto"/>
          <w:sz w:val="24"/>
          <w:highlight w:val="none"/>
          <w:lang w:eastAsia="zh-CN"/>
        </w:rPr>
        <w:t>，在</w:t>
      </w:r>
      <w:r>
        <w:rPr>
          <w:rFonts w:hint="default" w:ascii="Times New Roman" w:hAnsi="Times New Roman" w:eastAsia="宋体" w:cs="Times New Roman"/>
          <w:color w:val="auto"/>
          <w:sz w:val="24"/>
          <w:highlight w:val="none"/>
        </w:rPr>
        <w:t>与中标人签订合同后5日内向中标人和其他中标候选人退还投标保证金。投标保证金以现金或支票形式递交的，招标人应同时退还投标保证金的银行同期活期存款利息，且退还至投标人的基本账户。</w:t>
      </w:r>
    </w:p>
    <w:p w14:paraId="34AC7AD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u w:val="single"/>
        </w:rPr>
      </w:pPr>
      <w:r>
        <w:rPr>
          <w:rFonts w:hint="default" w:ascii="Times New Roman" w:hAnsi="Times New Roman" w:eastAsia="宋体" w:cs="Times New Roman"/>
          <w:color w:val="auto"/>
          <w:sz w:val="24"/>
          <w:highlight w:val="none"/>
        </w:rPr>
        <w:t>利息计算原则见投标人须知前附表。</w:t>
      </w:r>
    </w:p>
    <w:p w14:paraId="450D3D8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3.4.4 有下列情形之一的，投标保证金将不予退还：</w:t>
      </w:r>
    </w:p>
    <w:p w14:paraId="40CF44D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（1）投标人在投标有效期内撤销投标文件；</w:t>
      </w:r>
    </w:p>
    <w:p w14:paraId="72600D0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（2）中标人在收到中标通知书后，无正当理由不与招标人订立合同，在签订合同时向招标人提出附加条件，或不按照招标文件要求提交履约保证金；</w:t>
      </w:r>
    </w:p>
    <w:p w14:paraId="515AA88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（3）发生投标人须知前附表规定的其他可以不予退还投标保证金的情形。</w:t>
      </w:r>
    </w:p>
    <w:p w14:paraId="37D7EC72">
      <w:pPr>
        <w:pStyle w:val="2"/>
        <w:pageBreakBefore w:val="0"/>
        <w:kinsoku/>
        <w:wordWrap w:val="0"/>
        <w:bidi w:val="0"/>
        <w:outlineLvl w:val="2"/>
        <w:rPr>
          <w:rFonts w:hint="default" w:ascii="Times New Roman" w:hAnsi="Times New Roman" w:cs="Times New Roman"/>
          <w:color w:val="auto"/>
          <w:highlight w:val="none"/>
        </w:rPr>
      </w:pPr>
      <w:bookmarkStart w:id="188" w:name="_Toc19802"/>
      <w:bookmarkStart w:id="189" w:name="_Toc6927"/>
      <w:bookmarkStart w:id="190" w:name="_Toc234832894"/>
      <w:bookmarkStart w:id="191" w:name="_Toc32650"/>
      <w:r>
        <w:rPr>
          <w:rFonts w:hint="default" w:ascii="Times New Roman" w:hAnsi="Times New Roman" w:cs="Times New Roman"/>
          <w:color w:val="auto"/>
          <w:highlight w:val="none"/>
        </w:rPr>
        <w:t>3.5资格审查资料</w:t>
      </w:r>
      <w:bookmarkEnd w:id="188"/>
      <w:bookmarkEnd w:id="189"/>
      <w:bookmarkEnd w:id="190"/>
      <w:bookmarkEnd w:id="191"/>
    </w:p>
    <w:p w14:paraId="5656090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除投标人须知前附表另有规定外，投标人应按下列规定提供资格审查资料，以证明其满足本章第1.4款规定的资质、财务、业绩、信誉等要求。</w:t>
      </w:r>
    </w:p>
    <w:p w14:paraId="3E0CE328">
      <w:pPr>
        <w:pageBreakBefore w:val="0"/>
        <w:kinsoku/>
        <w:wordWrap w:val="0"/>
        <w:bidi w:val="0"/>
        <w:spacing w:line="400" w:lineRule="atLeas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投标人应在</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中建立信用信息档案，并对在系统中所填报内容的真实性、准确性和完整性负责。投标人需要在</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中备案或更新的内容，</w:t>
      </w:r>
      <w:r>
        <w:rPr>
          <w:rFonts w:hint="default" w:ascii="Times New Roman" w:hAnsi="Times New Roman" w:cs="Times New Roman"/>
          <w:color w:val="auto"/>
          <w:sz w:val="24"/>
          <w:szCs w:val="24"/>
          <w:highlight w:val="none"/>
          <w:lang w:val="en-US" w:eastAsia="zh-CN"/>
        </w:rPr>
        <w:t>应</w:t>
      </w:r>
      <w:r>
        <w:rPr>
          <w:rFonts w:hint="default" w:ascii="Times New Roman" w:hAnsi="Times New Roman" w:eastAsia="宋体" w:cs="Times New Roman"/>
          <w:color w:val="auto"/>
          <w:sz w:val="24"/>
          <w:szCs w:val="24"/>
          <w:highlight w:val="none"/>
        </w:rPr>
        <w:t>在投标文件递交截止时间之前完成备案或更新，未录入、更新至</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的信息数据或已录入、更新至</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辽宁省公共资源交易</w:t>
      </w:r>
      <w:r>
        <w:rPr>
          <w:rFonts w:hint="default" w:ascii="Times New Roman" w:hAnsi="Times New Roman" w:cs="Times New Roman"/>
          <w:color w:val="auto"/>
          <w:sz w:val="24"/>
          <w:szCs w:val="24"/>
          <w:highlight w:val="none"/>
          <w:lang w:val="en-US" w:eastAsia="zh-CN"/>
        </w:rPr>
        <w:t>一</w:t>
      </w:r>
      <w:r>
        <w:rPr>
          <w:rFonts w:hint="default" w:ascii="Times New Roman" w:hAnsi="Times New Roman" w:eastAsia="宋体" w:cs="Times New Roman"/>
          <w:color w:val="auto"/>
          <w:sz w:val="24"/>
          <w:szCs w:val="24"/>
          <w:highlight w:val="none"/>
        </w:rPr>
        <w:t>张网电子化平台</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中但</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投标文件</w:t>
      </w:r>
      <w:r>
        <w:rPr>
          <w:rFonts w:hint="eastAsia" w:ascii="宋体" w:hAnsi="宋体" w:eastAsia="宋体" w:cs="宋体"/>
          <w:color w:val="auto"/>
          <w:sz w:val="24"/>
          <w:szCs w:val="24"/>
          <w:highlight w:val="none"/>
          <w:lang w:eastAsia="zh-CN"/>
        </w:rPr>
        <w:t>”</w:t>
      </w:r>
      <w:r>
        <w:rPr>
          <w:rFonts w:hint="default" w:ascii="Times New Roman" w:hAnsi="Times New Roman" w:eastAsia="宋体" w:cs="Times New Roman"/>
          <w:color w:val="auto"/>
          <w:sz w:val="24"/>
          <w:szCs w:val="24"/>
          <w:highlight w:val="none"/>
        </w:rPr>
        <w:t>中未填报的内容，均不予认可，投标文件中证明资料的</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原件扫描件</w:t>
      </w:r>
      <w:r>
        <w:rPr>
          <w:rFonts w:hint="eastAsia" w:ascii="宋体" w:hAnsi="宋体" w:eastAsia="宋体" w:cs="宋体"/>
          <w:color w:val="auto"/>
          <w:sz w:val="24"/>
          <w:szCs w:val="24"/>
          <w:highlight w:val="none"/>
        </w:rPr>
        <w:t>”</w:t>
      </w:r>
      <w:r>
        <w:rPr>
          <w:rFonts w:hint="default" w:ascii="Times New Roman" w:hAnsi="Times New Roman" w:eastAsia="宋体" w:cs="Times New Roman"/>
          <w:color w:val="auto"/>
          <w:sz w:val="24"/>
          <w:szCs w:val="24"/>
          <w:highlight w:val="none"/>
        </w:rPr>
        <w:t>应从</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eastAsia" w:cs="Times New Roman"/>
          <w:color w:val="auto"/>
          <w:sz w:val="24"/>
          <w:szCs w:val="24"/>
          <w:highlight w:val="none"/>
          <w:lang w:val="en-US" w:eastAsia="zh-CN"/>
        </w:rPr>
        <w:t>主体信息库</w:t>
      </w:r>
      <w:r>
        <w:rPr>
          <w:rFonts w:hint="default" w:ascii="Times New Roman" w:hAnsi="Times New Roman" w:eastAsia="宋体" w:cs="Times New Roman"/>
          <w:color w:val="auto"/>
          <w:sz w:val="24"/>
          <w:szCs w:val="24"/>
          <w:highlight w:val="none"/>
        </w:rPr>
        <w:t>中选择并进行超链接</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除投标人须知前附表另有规定外</w:t>
      </w:r>
      <w:r>
        <w:rPr>
          <w:rFonts w:hint="default" w:ascii="Times New Roman" w:hAnsi="Times New Roman" w:eastAsia="宋体" w:cs="Times New Roman"/>
          <w:color w:val="auto"/>
          <w:sz w:val="24"/>
          <w:szCs w:val="24"/>
          <w:highlight w:val="none"/>
        </w:rPr>
        <w:t>招标人不再接受投标人提交相关证明原件作为替代或补充。</w:t>
      </w:r>
    </w:p>
    <w:p w14:paraId="36433C7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3.5.1 </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投标人基本情况表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应附企业法人营业执照、施工资质证书、安全生产许可证、基本账户开户许可证</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基本存款账户信息</w:t>
      </w:r>
      <w:r>
        <w:rPr>
          <w:rFonts w:hint="default" w:ascii="Times New Roman" w:hAnsi="Times New Roman" w:eastAsia="宋体" w:cs="Times New Roman"/>
          <w:color w:val="auto"/>
          <w:sz w:val="24"/>
          <w:highlight w:val="none"/>
        </w:rPr>
        <w:t>的</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原件扫描件</w:t>
      </w:r>
      <w:r>
        <w:rPr>
          <w:rFonts w:hint="eastAsia" w:ascii="宋体" w:hAnsi="宋体" w:eastAsia="宋体" w:cs="宋体"/>
          <w:color w:val="auto"/>
          <w:sz w:val="24"/>
          <w:highlight w:val="none"/>
          <w:lang w:eastAsia="zh-CN"/>
        </w:rPr>
        <w:t>”</w:t>
      </w:r>
      <w:r>
        <w:rPr>
          <w:rFonts w:hint="default" w:ascii="Times New Roman" w:hAnsi="Times New Roman" w:eastAsia="宋体" w:cs="Times New Roman"/>
          <w:color w:val="auto"/>
          <w:sz w:val="24"/>
          <w:highlight w:val="none"/>
        </w:rPr>
        <w:t>，投标人在交通运输部</w:t>
      </w:r>
      <w:r>
        <w:rPr>
          <w:rFonts w:hint="eastAsia" w:ascii="宋体" w:hAnsi="宋体" w:eastAsia="宋体" w:cs="宋体"/>
          <w:color w:val="auto"/>
          <w:sz w:val="24"/>
          <w:highlight w:val="none"/>
        </w:rPr>
        <w:t>“</w:t>
      </w:r>
      <w:r>
        <w:rPr>
          <w:rFonts w:hint="eastAsia" w:cs="Times New Roman"/>
          <w:color w:val="auto"/>
          <w:sz w:val="24"/>
          <w:highlight w:val="none"/>
          <w:lang w:eastAsia="zh-CN"/>
        </w:rPr>
        <w:t>全国公路建设市场监督管理系统</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公路工程施工资质企业名录中的网页截图</w:t>
      </w:r>
      <w:r>
        <w:rPr>
          <w:rStyle w:val="47"/>
          <w:rFonts w:ascii="Times New Roman" w:hAnsi="Times New Roman" w:eastAsia="宋体" w:cs="Times New Roman"/>
          <w:color w:val="auto"/>
          <w:highlight w:val="none"/>
        </w:rPr>
        <w:footnoteReference w:id="21"/>
      </w:r>
      <w:r>
        <w:rPr>
          <w:rFonts w:hint="default" w:ascii="Times New Roman" w:hAnsi="Times New Roman" w:eastAsia="宋体" w:cs="Times New Roman"/>
          <w:color w:val="auto"/>
          <w:sz w:val="24"/>
          <w:highlight w:val="none"/>
        </w:rPr>
        <w:t>，以及投标人在国家企业信用信息公示系统中基础信息（体现股东及出资详细信息）的网页截图。</w:t>
      </w:r>
    </w:p>
    <w:p w14:paraId="13221C9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企业法人营业执照、施工资质证书、安全生产许可证、基本账户开户许可证</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基本存款账户信息</w:t>
      </w:r>
      <w:r>
        <w:rPr>
          <w:rFonts w:hint="default" w:ascii="Times New Roman" w:hAnsi="Times New Roman" w:eastAsia="宋体" w:cs="Times New Roman"/>
          <w:color w:val="auto"/>
          <w:sz w:val="24"/>
          <w:highlight w:val="none"/>
        </w:rPr>
        <w:t>的</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原件扫描件</w:t>
      </w:r>
      <w:r>
        <w:rPr>
          <w:rFonts w:hint="eastAsia" w:ascii="宋体" w:hAnsi="宋体" w:eastAsia="宋体" w:cs="宋体"/>
          <w:color w:val="auto"/>
          <w:sz w:val="24"/>
          <w:highlight w:val="none"/>
          <w:lang w:eastAsia="zh-CN"/>
        </w:rPr>
        <w:t>”</w:t>
      </w:r>
      <w:r>
        <w:rPr>
          <w:rFonts w:hint="default" w:ascii="Times New Roman" w:hAnsi="Times New Roman" w:eastAsia="宋体" w:cs="Times New Roman"/>
          <w:color w:val="auto"/>
          <w:sz w:val="24"/>
          <w:highlight w:val="none"/>
        </w:rPr>
        <w:t>应提供全本（证书封面、封底、空白页除外），应包括投标人名称、投标人其他相关信息、颁发机构名称、投标人信息变更情况等关键页在内。</w:t>
      </w:r>
    </w:p>
    <w:p w14:paraId="52B44C1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3.5.2 </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财务状况表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应附经会计师事务所或审计机构审计的财务会计报表，包括资产负债表、现金流量表、利润表和财务情况说明书的</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原件扫描件</w:t>
      </w:r>
      <w:r>
        <w:rPr>
          <w:rFonts w:hint="eastAsia" w:ascii="宋体" w:hAnsi="宋体" w:eastAsia="宋体" w:cs="宋体"/>
          <w:color w:val="auto"/>
          <w:sz w:val="24"/>
          <w:highlight w:val="none"/>
          <w:lang w:eastAsia="zh-CN"/>
        </w:rPr>
        <w:t>”</w:t>
      </w:r>
      <w:r>
        <w:rPr>
          <w:rFonts w:hint="default" w:ascii="Times New Roman" w:hAnsi="Times New Roman" w:eastAsia="宋体" w:cs="Times New Roman"/>
          <w:color w:val="auto"/>
          <w:sz w:val="24"/>
          <w:highlight w:val="none"/>
        </w:rPr>
        <w:t>，具体年份要求见投标人须知前附表。投标人的成立时间少于投标人须知前附表规定年份的，应提供成立以来的财务状况表。</w:t>
      </w:r>
    </w:p>
    <w:p w14:paraId="70631A90">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3.5.3 </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近年完成的类似项目</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具体时间要求见投标人须知前附表。</w:t>
      </w:r>
    </w:p>
    <w:p w14:paraId="23692583">
      <w:pPr>
        <w:pageBreakBefore w:val="0"/>
        <w:kinsoku/>
        <w:wordWrap w:val="0"/>
        <w:topLinePunct/>
        <w:bidi w:val="0"/>
        <w:spacing w:line="400" w:lineRule="atLeast"/>
        <w:ind w:firstLine="480" w:firstLineChars="200"/>
        <w:rPr>
          <w:rFonts w:hint="default" w:ascii="宋体" w:hAnsi="宋体" w:eastAsia="宋体" w:cs="宋体"/>
          <w:color w:val="auto"/>
          <w:sz w:val="24"/>
          <w:highlight w:val="none"/>
          <w:lang w:val="en-US" w:eastAsia="zh-CN"/>
        </w:rPr>
      </w:pPr>
      <w:r>
        <w:rPr>
          <w:rFonts w:hint="eastAsia" w:cs="Times New Roman"/>
          <w:color w:val="auto"/>
          <w:sz w:val="24"/>
          <w:highlight w:val="none"/>
          <w:lang w:val="en-US" w:eastAsia="zh-CN"/>
        </w:rPr>
        <w:t>投标人应在</w:t>
      </w:r>
      <w:r>
        <w:rPr>
          <w:rFonts w:hint="eastAsia" w:ascii="宋体" w:hAnsi="宋体" w:eastAsia="宋体" w:cs="宋体"/>
          <w:color w:val="auto"/>
          <w:sz w:val="24"/>
          <w:highlight w:val="none"/>
        </w:rPr>
        <w:t>“辽宁省公共资源交易一张网电子化平台”</w:t>
      </w:r>
      <w:r>
        <w:rPr>
          <w:rFonts w:hint="eastAsia" w:ascii="宋体" w:hAnsi="宋体" w:cs="宋体"/>
          <w:color w:val="auto"/>
          <w:sz w:val="24"/>
          <w:highlight w:val="none"/>
          <w:lang w:eastAsia="zh-CN"/>
        </w:rPr>
        <w:t>主体信息库</w:t>
      </w:r>
      <w:r>
        <w:rPr>
          <w:rFonts w:hint="eastAsia" w:ascii="宋体" w:hAnsi="宋体" w:eastAsia="宋体" w:cs="宋体"/>
          <w:color w:val="auto"/>
          <w:sz w:val="24"/>
          <w:highlight w:val="none"/>
        </w:rPr>
        <w:t>中选择并进行超链接</w:t>
      </w:r>
      <w:r>
        <w:rPr>
          <w:rFonts w:hint="eastAsia" w:ascii="宋体" w:hAnsi="宋体" w:cs="宋体"/>
          <w:color w:val="auto"/>
          <w:sz w:val="24"/>
          <w:highlight w:val="none"/>
          <w:lang w:val="en-US" w:eastAsia="zh-CN"/>
        </w:rPr>
        <w:t>或提供佐证材料查询截图。</w:t>
      </w:r>
    </w:p>
    <w:p w14:paraId="02579337">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rPr>
        <w:t xml:space="preserve"> 投标人的信誉情况表应附投标人在国家企业信用信息公示系统中未被列入严重违法失信企业名单、在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信用中国</w:t>
      </w:r>
      <w:r>
        <w:rPr>
          <w:rFonts w:hint="eastAsia" w:ascii="宋体" w:hAnsi="宋体" w:eastAsia="宋体" w:cs="宋体"/>
          <w:color w:val="auto"/>
          <w:sz w:val="24"/>
          <w:highlight w:val="none"/>
        </w:rPr>
        <w:t>”（或中国执行信息公开网）</w:t>
      </w:r>
      <w:r>
        <w:rPr>
          <w:rFonts w:hint="default" w:ascii="Times New Roman" w:hAnsi="Times New Roman" w:eastAsia="宋体" w:cs="Times New Roman"/>
          <w:color w:val="auto"/>
          <w:sz w:val="24"/>
          <w:highlight w:val="none"/>
        </w:rPr>
        <w:t>网站中未被列入失信被执行人名单的网页截图，以及</w:t>
      </w:r>
      <w:r>
        <w:rPr>
          <w:rFonts w:hint="default" w:ascii="Times New Roman" w:hAnsi="Times New Roman" w:cs="Times New Roman"/>
          <w:color w:val="auto"/>
          <w:sz w:val="24"/>
          <w:szCs w:val="24"/>
          <w:highlight w:val="none"/>
          <w:lang w:val="en-US" w:eastAsia="zh-CN"/>
        </w:rPr>
        <w:t>近三年内（以投标截止日期为截止日、往前推算3个年度）投标人单位、个人（指法定代表人、拟投入的项目经理）均无行贿犯罪行为的书面承诺</w:t>
      </w:r>
      <w:r>
        <w:rPr>
          <w:rFonts w:hint="eastAsia" w:cs="Times New Roman"/>
          <w:color w:val="auto"/>
          <w:sz w:val="24"/>
          <w:szCs w:val="24"/>
          <w:highlight w:val="none"/>
          <w:lang w:val="en-US" w:eastAsia="zh-CN"/>
        </w:rPr>
        <w:t>“原件扫描件”</w:t>
      </w:r>
      <w:r>
        <w:rPr>
          <w:rFonts w:hint="default" w:ascii="Times New Roman" w:hAnsi="Times New Roman" w:cs="Times New Roman"/>
          <w:color w:val="auto"/>
          <w:sz w:val="24"/>
          <w:szCs w:val="24"/>
          <w:highlight w:val="none"/>
          <w:lang w:val="en-US" w:eastAsia="zh-CN"/>
        </w:rPr>
        <w:t>（格式详见招标文件第九章）</w:t>
      </w:r>
      <w:r>
        <w:rPr>
          <w:rFonts w:hint="default" w:ascii="Times New Roman" w:hAnsi="Times New Roman" w:eastAsia="宋体" w:cs="Times New Roman"/>
          <w:color w:val="auto"/>
          <w:sz w:val="24"/>
          <w:highlight w:val="none"/>
        </w:rPr>
        <w:t>。</w:t>
      </w:r>
    </w:p>
    <w:p w14:paraId="6A23B367">
      <w:pPr>
        <w:pageBreakBefore w:val="0"/>
        <w:kinsoku/>
        <w:wordWrap w:val="0"/>
        <w:bidi w:val="0"/>
        <w:spacing w:line="400" w:lineRule="atLeast"/>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3.5.5</w:t>
      </w:r>
      <w:r>
        <w:rPr>
          <w:rFonts w:hint="eastAsia" w:ascii="宋体" w:hAnsi="宋体" w:eastAsia="宋体" w:cs="宋体"/>
          <w:b/>
          <w:bCs/>
          <w:color w:val="auto"/>
          <w:sz w:val="24"/>
          <w:highlight w:val="none"/>
        </w:rPr>
        <w:t>“</w:t>
      </w:r>
      <w:r>
        <w:rPr>
          <w:rFonts w:hint="default" w:ascii="Times New Roman" w:hAnsi="Times New Roman" w:eastAsia="宋体" w:cs="Times New Roman"/>
          <w:b/>
          <w:bCs/>
          <w:color w:val="auto"/>
          <w:sz w:val="24"/>
          <w:highlight w:val="none"/>
        </w:rPr>
        <w:t>拟委任的项目经理和项目总工资历表</w:t>
      </w:r>
      <w:r>
        <w:rPr>
          <w:rFonts w:hint="eastAsia" w:ascii="宋体" w:hAnsi="宋体" w:eastAsia="宋体" w:cs="宋体"/>
          <w:b/>
          <w:bCs/>
          <w:color w:val="auto"/>
          <w:sz w:val="24"/>
          <w:highlight w:val="none"/>
        </w:rPr>
        <w:t>”</w:t>
      </w:r>
      <w:r>
        <w:rPr>
          <w:rFonts w:hint="default" w:ascii="Times New Roman" w:hAnsi="Times New Roman" w:eastAsia="宋体" w:cs="Times New Roman"/>
          <w:b/>
          <w:bCs/>
          <w:color w:val="auto"/>
          <w:sz w:val="24"/>
          <w:highlight w:val="none"/>
        </w:rPr>
        <w:t>应附项目经理和项目总工的身份证、职称资格证书</w:t>
      </w:r>
      <w:r>
        <w:rPr>
          <w:rFonts w:hint="eastAsia" w:cs="Times New Roman"/>
          <w:b/>
          <w:bCs/>
          <w:color w:val="auto"/>
          <w:sz w:val="24"/>
          <w:highlight w:val="yellow"/>
          <w:lang w:eastAsia="zh-CN"/>
        </w:rPr>
        <w:t>、</w:t>
      </w:r>
      <w:r>
        <w:rPr>
          <w:rFonts w:hint="eastAsia" w:cs="Times New Roman"/>
          <w:b/>
          <w:bCs/>
          <w:color w:val="auto"/>
          <w:sz w:val="24"/>
          <w:highlight w:val="yellow"/>
          <w:lang w:val="en-US" w:eastAsia="zh-CN"/>
        </w:rPr>
        <w:t>业绩证明材料</w:t>
      </w:r>
      <w:r>
        <w:rPr>
          <w:rFonts w:hint="default" w:ascii="Times New Roman" w:hAnsi="Times New Roman" w:eastAsia="宋体" w:cs="Times New Roman"/>
          <w:b/>
          <w:bCs/>
          <w:color w:val="auto"/>
          <w:sz w:val="24"/>
          <w:highlight w:val="none"/>
        </w:rPr>
        <w:t>以及资格审查条件所要求的其他相关证书（如建造师注册证书、安全生产考核合格证书等）的</w:t>
      </w:r>
      <w:r>
        <w:rPr>
          <w:rFonts w:hint="eastAsia" w:cs="Times New Roman"/>
          <w:b/>
          <w:bCs/>
          <w:color w:val="auto"/>
          <w:sz w:val="24"/>
          <w:highlight w:val="none"/>
          <w:lang w:eastAsia="zh-CN"/>
        </w:rPr>
        <w:t>原件扫描件</w:t>
      </w:r>
      <w:r>
        <w:rPr>
          <w:rFonts w:hint="default" w:ascii="Times New Roman" w:hAnsi="Times New Roman" w:eastAsia="宋体" w:cs="Times New Roman"/>
          <w:b/>
          <w:bCs/>
          <w:color w:val="auto"/>
          <w:sz w:val="24"/>
          <w:highlight w:val="none"/>
        </w:rPr>
        <w:t>，建造师注册证书、安全生产考核合格证书在政府相关部门网站上公开信息的网页截图，以及投标人所属社保机构出具的拟委任的项目经理和项目总工的社保缴费证明或其他能够证明拟委任的项目经理和项目总工参加社保的有效证明材料</w:t>
      </w:r>
      <w:r>
        <w:rPr>
          <w:rFonts w:hint="eastAsia" w:cs="Times New Roman"/>
          <w:b/>
          <w:bCs/>
          <w:color w:val="auto"/>
          <w:sz w:val="24"/>
          <w:highlight w:val="none"/>
          <w:lang w:eastAsia="zh-CN"/>
        </w:rPr>
        <w:t>原件扫描件</w:t>
      </w:r>
      <w:r>
        <w:rPr>
          <w:rFonts w:hint="default" w:ascii="Times New Roman" w:hAnsi="Times New Roman" w:eastAsia="宋体" w:cs="Times New Roman"/>
          <w:b/>
          <w:bCs/>
          <w:color w:val="auto"/>
          <w:sz w:val="24"/>
          <w:highlight w:val="none"/>
        </w:rPr>
        <w:t>。</w:t>
      </w:r>
    </w:p>
    <w:p w14:paraId="7C9346FB">
      <w:pPr>
        <w:pageBreakBefore w:val="0"/>
        <w:kinsoku/>
        <w:wordWrap w:val="0"/>
        <w:topLinePunct/>
        <w:bidi w:val="0"/>
        <w:spacing w:line="400" w:lineRule="atLeast"/>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如项目经理或项目总工目前仍在其他项目上任职，则投标人应提供承诺上述人员能够从该项目撤离的书面</w:t>
      </w:r>
      <w:r>
        <w:rPr>
          <w:rFonts w:hint="eastAsia" w:cs="Times New Roman"/>
          <w:b/>
          <w:bCs/>
          <w:color w:val="auto"/>
          <w:sz w:val="24"/>
          <w:highlight w:val="none"/>
          <w:lang w:val="en-US" w:eastAsia="zh-CN"/>
        </w:rPr>
        <w:t>承诺</w:t>
      </w:r>
      <w:r>
        <w:rPr>
          <w:rFonts w:hint="default" w:ascii="Times New Roman" w:hAnsi="Times New Roman" w:eastAsia="宋体" w:cs="Times New Roman"/>
          <w:b/>
          <w:bCs/>
          <w:color w:val="auto"/>
          <w:sz w:val="24"/>
          <w:highlight w:val="none"/>
        </w:rPr>
        <w:t>。</w:t>
      </w:r>
    </w:p>
    <w:p w14:paraId="2944DC49">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3.5.6 </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拟委任的其他管理和技术人员汇总表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（如有）应填报满足投标人须知前附表附录6规定的其他人员的相关信息。</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拟委任的其他管理和技术人员资历表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（如有）中相关人员应附身份证、职称资格证书以及资格审查条件所要求的其他相关证书的</w:t>
      </w:r>
      <w:r>
        <w:rPr>
          <w:rFonts w:hint="eastAsia" w:cs="Times New Roman"/>
          <w:color w:val="auto"/>
          <w:sz w:val="24"/>
          <w:highlight w:val="none"/>
          <w:lang w:eastAsia="zh-CN"/>
        </w:rPr>
        <w:t>原件扫描件</w:t>
      </w:r>
      <w:r>
        <w:rPr>
          <w:rFonts w:hint="default" w:ascii="Times New Roman" w:hAnsi="Times New Roman" w:eastAsia="宋体" w:cs="Times New Roman"/>
          <w:color w:val="auto"/>
          <w:sz w:val="24"/>
          <w:highlight w:val="none"/>
        </w:rPr>
        <w:t>，相关业绩证明材料</w:t>
      </w:r>
      <w:r>
        <w:rPr>
          <w:rFonts w:hint="eastAsia" w:cs="Times New Roman"/>
          <w:color w:val="auto"/>
          <w:sz w:val="24"/>
          <w:highlight w:val="none"/>
          <w:lang w:eastAsia="zh-CN"/>
        </w:rPr>
        <w:t>原件扫描件</w:t>
      </w:r>
      <w:r>
        <w:rPr>
          <w:rFonts w:hint="default" w:ascii="Times New Roman" w:hAnsi="Times New Roman" w:eastAsia="宋体" w:cs="Times New Roman"/>
          <w:color w:val="auto"/>
          <w:sz w:val="24"/>
          <w:highlight w:val="none"/>
        </w:rPr>
        <w:t>，以及投标人所属社保机构出具的社保缴费证明或其他能够证明其参加社保的有效证明材料</w:t>
      </w:r>
      <w:r>
        <w:rPr>
          <w:rFonts w:hint="eastAsia" w:cs="Times New Roman"/>
          <w:color w:val="auto"/>
          <w:sz w:val="24"/>
          <w:highlight w:val="none"/>
          <w:lang w:eastAsia="zh-CN"/>
        </w:rPr>
        <w:t>原件扫描件</w:t>
      </w:r>
      <w:r>
        <w:rPr>
          <w:rFonts w:hint="default" w:ascii="Times New Roman" w:hAnsi="Times New Roman" w:eastAsia="宋体" w:cs="Times New Roman"/>
          <w:color w:val="auto"/>
          <w:sz w:val="24"/>
          <w:highlight w:val="none"/>
        </w:rPr>
        <w:t>。</w:t>
      </w:r>
    </w:p>
    <w:p w14:paraId="009E9BFC">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3.5.7 </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拟投入本标段的主要施工机械表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拟配备本标段的主要材料试验、测量、质检仪器设备表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（如有）应填报满足投标人须知前附表附录7规定的机械设备和试验检测设备。</w:t>
      </w:r>
    </w:p>
    <w:p w14:paraId="730FA795">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3.5.8 投标人须知前附表规定接受联合体投标的，本章第3.5.1项至第3.5.7项规定的表格和资料应包括联合体各方相关情况。</w:t>
      </w:r>
    </w:p>
    <w:p w14:paraId="6533DE31">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3.5.9 除合同条款约定的特殊情形外，投标人在投标文件中填报的项目经理和项目总工不允许更换。</w:t>
      </w:r>
    </w:p>
    <w:p w14:paraId="64C5A0C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3.5.10 投标人应根据本单位实际情况及时完成相关信息的申报、录入和动态更新，并对相关信息的真实性、完整性和准确性负责。</w:t>
      </w:r>
    </w:p>
    <w:p w14:paraId="74D03924">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3.5.11 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w:t>
      </w:r>
      <w:r>
        <w:rPr>
          <w:rFonts w:hint="default" w:ascii="Times New Roman" w:hAnsi="Times New Roman" w:eastAsia="宋体" w:cs="Times New Roman"/>
          <w:color w:val="auto"/>
          <w:sz w:val="24"/>
          <w:highlight w:val="none"/>
          <w:lang w:val="en-US"/>
        </w:rPr>
        <w:t>10</w:t>
      </w:r>
      <w:r>
        <w:rPr>
          <w:rFonts w:hint="default" w:ascii="Times New Roman" w:hAnsi="Times New Roman" w:eastAsia="宋体" w:cs="Times New Roman"/>
          <w:color w:val="auto"/>
          <w:sz w:val="24"/>
          <w:highlight w:val="none"/>
        </w:rPr>
        <w:t>％签约合同价的金额作为违约金。同时招标人将投标人上述弄虚作假行为上报省级交通运输主管部门，作为不良记录纳入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eastAsia="宋体" w:cs="Times New Roman"/>
          <w:color w:val="auto"/>
          <w:sz w:val="24"/>
          <w:highlight w:val="none"/>
        </w:rPr>
        <w:t>。</w:t>
      </w:r>
    </w:p>
    <w:p w14:paraId="6D9EB33B">
      <w:pPr>
        <w:pStyle w:val="2"/>
        <w:pageBreakBefore w:val="0"/>
        <w:kinsoku/>
        <w:wordWrap w:val="0"/>
        <w:bidi w:val="0"/>
        <w:outlineLvl w:val="2"/>
        <w:rPr>
          <w:rFonts w:hint="default" w:ascii="Times New Roman" w:hAnsi="Times New Roman" w:cs="Times New Roman"/>
          <w:color w:val="auto"/>
          <w:highlight w:val="none"/>
        </w:rPr>
      </w:pPr>
      <w:bookmarkStart w:id="192" w:name="_Toc234832895"/>
      <w:bookmarkStart w:id="193" w:name="_Toc21591"/>
      <w:bookmarkStart w:id="194" w:name="_Toc28562"/>
      <w:bookmarkStart w:id="195" w:name="_Toc28097"/>
      <w:r>
        <w:rPr>
          <w:rFonts w:hint="default" w:ascii="Times New Roman" w:hAnsi="Times New Roman" w:cs="Times New Roman"/>
          <w:color w:val="auto"/>
          <w:highlight w:val="none"/>
        </w:rPr>
        <w:t>3.6 备选投标方案</w:t>
      </w:r>
      <w:bookmarkEnd w:id="192"/>
      <w:bookmarkEnd w:id="193"/>
      <w:bookmarkEnd w:id="194"/>
      <w:bookmarkEnd w:id="195"/>
    </w:p>
    <w:p w14:paraId="67D6508A">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3.6.1 除投标人须知前附表规定允许外，投标人不得递交备选投标方案，否则其投标将被否决。</w:t>
      </w:r>
    </w:p>
    <w:p w14:paraId="35AF26CB">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5109B8A3">
      <w:pPr>
        <w:pageBreakBefore w:val="0"/>
        <w:kinsoku/>
        <w:wordWrap w:val="0"/>
        <w:topLinePunct/>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3.6.3 投标人提供两个或两个以上投标报价，或在投标文件中提供一个报价，但同时提供两个或两个以上</w:t>
      </w:r>
      <w:bookmarkStart w:id="196" w:name="_Toc300834971"/>
      <w:bookmarkStart w:id="197" w:name="_Toc384308232"/>
      <w:bookmarkStart w:id="198" w:name="_Toc247513974"/>
      <w:bookmarkStart w:id="199" w:name="_Toc29902"/>
      <w:bookmarkStart w:id="200" w:name="_Toc352691495"/>
      <w:bookmarkStart w:id="201" w:name="_Toc361508607"/>
      <w:bookmarkStart w:id="202" w:name="_Toc152045550"/>
      <w:bookmarkStart w:id="203" w:name="_Toc247527575"/>
      <w:bookmarkStart w:id="204" w:name="_Toc152042326"/>
      <w:bookmarkStart w:id="205" w:name="_Toc144974518"/>
      <w:bookmarkStart w:id="206" w:name="_Toc369531538"/>
      <w:r>
        <w:rPr>
          <w:rFonts w:hint="default" w:ascii="Times New Roman" w:hAnsi="Times New Roman" w:eastAsia="宋体" w:cs="Times New Roman"/>
          <w:color w:val="auto"/>
          <w:sz w:val="24"/>
          <w:highlight w:val="none"/>
        </w:rPr>
        <w:t>施工组织设计的</w:t>
      </w:r>
      <w:bookmarkEnd w:id="196"/>
      <w:bookmarkEnd w:id="197"/>
      <w:bookmarkEnd w:id="198"/>
      <w:bookmarkEnd w:id="199"/>
      <w:bookmarkEnd w:id="200"/>
      <w:bookmarkEnd w:id="201"/>
      <w:bookmarkEnd w:id="202"/>
      <w:bookmarkEnd w:id="203"/>
      <w:bookmarkEnd w:id="204"/>
      <w:bookmarkEnd w:id="205"/>
      <w:bookmarkEnd w:id="206"/>
      <w:r>
        <w:rPr>
          <w:rFonts w:hint="default" w:ascii="Times New Roman" w:hAnsi="Times New Roman" w:eastAsia="宋体" w:cs="Times New Roman"/>
          <w:color w:val="auto"/>
          <w:sz w:val="24"/>
          <w:highlight w:val="none"/>
        </w:rPr>
        <w:t>，视为提供备选方案。</w:t>
      </w:r>
    </w:p>
    <w:p w14:paraId="0051AD68">
      <w:pPr>
        <w:pStyle w:val="2"/>
        <w:pageBreakBefore w:val="0"/>
        <w:kinsoku/>
        <w:wordWrap w:val="0"/>
        <w:bidi w:val="0"/>
        <w:outlineLvl w:val="2"/>
        <w:rPr>
          <w:rFonts w:hint="default" w:ascii="Times New Roman" w:hAnsi="Times New Roman" w:cs="Times New Roman"/>
          <w:color w:val="auto"/>
          <w:highlight w:val="none"/>
        </w:rPr>
      </w:pPr>
      <w:bookmarkStart w:id="207" w:name="_Toc10660"/>
      <w:bookmarkStart w:id="208" w:name="_Toc4837"/>
      <w:bookmarkStart w:id="209" w:name="_Toc13945"/>
      <w:bookmarkStart w:id="210" w:name="_Toc234832896"/>
      <w:r>
        <w:rPr>
          <w:rFonts w:hint="default" w:ascii="Times New Roman" w:hAnsi="Times New Roman" w:cs="Times New Roman"/>
          <w:color w:val="auto"/>
          <w:highlight w:val="none"/>
        </w:rPr>
        <w:t>3.7 投标文件的编制</w:t>
      </w:r>
      <w:bookmarkEnd w:id="207"/>
      <w:bookmarkEnd w:id="208"/>
      <w:bookmarkEnd w:id="209"/>
      <w:bookmarkEnd w:id="210"/>
    </w:p>
    <w:p w14:paraId="4AE8155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3.7.1 投标文件应按第九章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投标文件格式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进行编写，如有必要，可以增加附页，作为投标文件的组成部分。其中，投标函附录在满足招标文件实质性要求的基础上，可以提出比招标文件要求更有利于招标人的承诺。</w:t>
      </w:r>
    </w:p>
    <w:p w14:paraId="10C5121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3.7.2 投标文件应对招标文件有关工期、投标有效期、质量要求、安全目标、技术标准和要求、招标范围等实质性内容作出响应。</w:t>
      </w:r>
    </w:p>
    <w:p w14:paraId="4B28E563">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3.7.3 投标文件的制作应满足以下规定：</w:t>
      </w:r>
    </w:p>
    <w:p w14:paraId="13D7BDD2">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（1）投标文件由投标人使用</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自带的</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投标文件制作工具</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制作生成。</w:t>
      </w:r>
    </w:p>
    <w:p w14:paraId="636EDACE">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（2）投标人在编制投标文件时应建立分级目录，并按照标签提示导入相关内容。</w:t>
      </w:r>
    </w:p>
    <w:p w14:paraId="55B3B1BC">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（3）投标文件中证明资料的</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原件扫描件</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，应从</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主体信息库</w:t>
      </w:r>
      <w:r>
        <w:rPr>
          <w:rFonts w:hint="default" w:ascii="Times New Roman" w:hAnsi="Times New Roman" w:cs="Times New Roman"/>
          <w:color w:val="auto"/>
          <w:sz w:val="24"/>
          <w:szCs w:val="24"/>
          <w:highlight w:val="none"/>
        </w:rPr>
        <w:t>中选择并进行超链接，未标示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原件扫描件</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的证明资料均应直接制作生成。</w:t>
      </w:r>
    </w:p>
    <w:p w14:paraId="2CFC63FE">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（4）投标文件中的已标价报价清单数据文件应与招标人提供的报价清单数据文件格式一致。</w:t>
      </w:r>
    </w:p>
    <w:p w14:paraId="228DF0F1">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（5）第</w:t>
      </w:r>
      <w:r>
        <w:rPr>
          <w:rFonts w:hint="default" w:ascii="Times New Roman" w:hAnsi="Times New Roman" w:cs="Times New Roman"/>
          <w:color w:val="auto"/>
          <w:sz w:val="24"/>
          <w:szCs w:val="24"/>
          <w:highlight w:val="none"/>
          <w:lang w:val="en-US" w:eastAsia="zh-CN"/>
        </w:rPr>
        <w:t>九</w:t>
      </w:r>
      <w:r>
        <w:rPr>
          <w:rFonts w:hint="default" w:ascii="Times New Roman" w:hAnsi="Times New Roman" w:cs="Times New Roman"/>
          <w:color w:val="auto"/>
          <w:sz w:val="24"/>
          <w:szCs w:val="24"/>
          <w:highlight w:val="none"/>
        </w:rPr>
        <w:t>章</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投标文件格式</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中要求盖单位章和（或）签字的地方，投标人均应使用CA 数字证书加盖投标人的单位电子印章和（或）法定代表人</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其</w:t>
      </w:r>
      <w:r>
        <w:rPr>
          <w:rFonts w:hint="default" w:ascii="Times New Roman" w:hAnsi="Times New Roman" w:cs="Times New Roman"/>
          <w:color w:val="auto"/>
          <w:sz w:val="24"/>
          <w:szCs w:val="24"/>
          <w:highlight w:val="none"/>
          <w:lang w:val="en-US" w:eastAsia="zh-CN"/>
        </w:rPr>
        <w:t>委托代理人</w:t>
      </w:r>
      <w:r>
        <w:rPr>
          <w:rFonts w:hint="default" w:ascii="Times New Roman" w:hAnsi="Times New Roman" w:cs="Times New Roman"/>
          <w:color w:val="auto"/>
          <w:sz w:val="24"/>
          <w:szCs w:val="24"/>
          <w:highlight w:val="none"/>
        </w:rPr>
        <w:t>的个人电子印章或</w:t>
      </w:r>
      <w:r>
        <w:rPr>
          <w:rFonts w:hint="eastAsia" w:cs="Times New Roman"/>
          <w:color w:val="auto"/>
          <w:sz w:val="24"/>
          <w:szCs w:val="24"/>
          <w:highlight w:val="none"/>
          <w:lang w:eastAsia="zh-CN"/>
        </w:rPr>
        <w:t>电子签名</w:t>
      </w:r>
      <w:r>
        <w:rPr>
          <w:rFonts w:hint="default" w:ascii="Times New Roman" w:hAnsi="Times New Roman" w:cs="Times New Roman"/>
          <w:color w:val="auto"/>
          <w:sz w:val="24"/>
          <w:szCs w:val="24"/>
          <w:highlight w:val="none"/>
        </w:rPr>
        <w:t>。联合体投标的，投标文件由联合体牵头人按上述规定加盖联合体牵头人单位电子印章和（或）法定代表人</w:t>
      </w:r>
      <w:r>
        <w:rPr>
          <w:rFonts w:hint="default" w:ascii="Times New Roman" w:hAnsi="Times New Roman" w:cs="Times New Roman"/>
          <w:color w:val="auto"/>
          <w:sz w:val="24"/>
          <w:szCs w:val="24"/>
          <w:highlight w:val="none"/>
          <w:lang w:val="en-US" w:eastAsia="zh-CN"/>
        </w:rPr>
        <w:t>或</w:t>
      </w:r>
      <w:r>
        <w:rPr>
          <w:rFonts w:hint="eastAsia" w:cs="Times New Roman"/>
          <w:color w:val="auto"/>
          <w:sz w:val="24"/>
          <w:szCs w:val="24"/>
          <w:highlight w:val="none"/>
          <w:lang w:val="en-US" w:eastAsia="zh-CN"/>
        </w:rPr>
        <w:t>其</w:t>
      </w:r>
      <w:r>
        <w:rPr>
          <w:rFonts w:hint="default" w:ascii="Times New Roman" w:hAnsi="Times New Roman" w:cs="Times New Roman"/>
          <w:color w:val="auto"/>
          <w:sz w:val="24"/>
          <w:szCs w:val="24"/>
          <w:highlight w:val="none"/>
          <w:lang w:val="en-US" w:eastAsia="zh-CN"/>
        </w:rPr>
        <w:t>委托代理人</w:t>
      </w:r>
      <w:r>
        <w:rPr>
          <w:rFonts w:hint="default" w:ascii="Times New Roman" w:hAnsi="Times New Roman" w:cs="Times New Roman"/>
          <w:color w:val="auto"/>
          <w:sz w:val="24"/>
          <w:szCs w:val="24"/>
          <w:highlight w:val="none"/>
        </w:rPr>
        <w:t>的个人电子印章或</w:t>
      </w:r>
      <w:r>
        <w:rPr>
          <w:rFonts w:hint="eastAsia" w:cs="Times New Roman"/>
          <w:color w:val="auto"/>
          <w:sz w:val="24"/>
          <w:szCs w:val="24"/>
          <w:highlight w:val="none"/>
          <w:lang w:eastAsia="zh-CN"/>
        </w:rPr>
        <w:t>电子签名</w:t>
      </w:r>
      <w:r>
        <w:rPr>
          <w:rFonts w:hint="default" w:ascii="Times New Roman" w:hAnsi="Times New Roman" w:cs="Times New Roman"/>
          <w:color w:val="auto"/>
          <w:sz w:val="24"/>
          <w:szCs w:val="24"/>
          <w:highlight w:val="none"/>
        </w:rPr>
        <w:t>。</w:t>
      </w:r>
    </w:p>
    <w:p w14:paraId="692DADD9">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（6）投标文件制作完成后，投标人应使用CA 数字证书对投标文件进行文件加密，形成加密的投标文件。</w:t>
      </w:r>
    </w:p>
    <w:p w14:paraId="1006429A">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（7）投标文件制作的具体方法详见</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投标文件制作工具</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中的</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lang w:eastAsia="zh-CN"/>
        </w:rPr>
        <w:t>操作指南</w:t>
      </w:r>
      <w:r>
        <w:rPr>
          <w:rFonts w:hint="eastAsia" w:ascii="宋体" w:hAnsi="宋体" w:eastAsia="宋体" w:cs="宋体"/>
          <w:color w:val="auto"/>
          <w:sz w:val="24"/>
          <w:szCs w:val="24"/>
          <w:highlight w:val="none"/>
          <w:lang w:eastAsia="zh-CN"/>
        </w:rPr>
        <w:t>”</w:t>
      </w:r>
      <w:r>
        <w:rPr>
          <w:rFonts w:hint="default" w:ascii="Times New Roman" w:hAnsi="Times New Roman" w:cs="Times New Roman"/>
          <w:color w:val="auto"/>
          <w:sz w:val="24"/>
          <w:szCs w:val="24"/>
          <w:highlight w:val="none"/>
        </w:rPr>
        <w:t>。</w:t>
      </w:r>
    </w:p>
    <w:p w14:paraId="4B065315">
      <w:pPr>
        <w:pageBreakBefore w:val="0"/>
        <w:kinsoku/>
        <w:wordWrap w:val="0"/>
        <w:bidi w:val="0"/>
        <w:spacing w:line="400" w:lineRule="exact"/>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3.7.4 因投标人自身原因而导致投标文件无法导入</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电子开标、评标系统，该投标视为无效投标，投标人自行承担由此导致的全部责任</w:t>
      </w:r>
      <w:r>
        <w:rPr>
          <w:rFonts w:hint="default" w:ascii="Times New Roman" w:hAnsi="Times New Roman" w:cs="Times New Roman"/>
          <w:color w:val="auto"/>
          <w:sz w:val="24"/>
          <w:szCs w:val="24"/>
          <w:highlight w:val="none"/>
          <w:lang w:eastAsia="zh-CN"/>
        </w:rPr>
        <w:t>。</w:t>
      </w:r>
    </w:p>
    <w:p w14:paraId="38A052AA">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 xml:space="preserve">3.7.5 </w:t>
      </w:r>
      <w:r>
        <w:rPr>
          <w:rFonts w:hint="default" w:ascii="Times New Roman" w:hAnsi="Times New Roman" w:cs="Times New Roman"/>
          <w:color w:val="auto"/>
          <w:sz w:val="24"/>
          <w:szCs w:val="24"/>
          <w:highlight w:val="none"/>
        </w:rPr>
        <w:t>投标文件上传的要求</w:t>
      </w:r>
      <w:r>
        <w:rPr>
          <w:rFonts w:hint="default" w:ascii="Times New Roman" w:hAnsi="Times New Roman" w:cs="Times New Roman"/>
          <w:color w:val="auto"/>
          <w:sz w:val="24"/>
          <w:szCs w:val="24"/>
          <w:highlight w:val="none"/>
          <w:lang w:val="en-US" w:eastAsia="zh-CN"/>
        </w:rPr>
        <w:t>：见投标人须知前附表。</w:t>
      </w:r>
    </w:p>
    <w:p w14:paraId="3D56ED48">
      <w:pPr>
        <w:pStyle w:val="15"/>
        <w:pageBreakBefore w:val="0"/>
        <w:kinsoku/>
        <w:wordWrap w:val="0"/>
        <w:topLinePunct/>
        <w:bidi w:val="0"/>
        <w:spacing w:line="400" w:lineRule="atLeast"/>
        <w:ind w:firstLine="480" w:firstLineChars="200"/>
        <w:rPr>
          <w:rFonts w:hint="default" w:ascii="Times New Roman" w:hAnsi="Times New Roman" w:eastAsia="宋体" w:cs="Times New Roman"/>
          <w:color w:val="auto"/>
          <w:szCs w:val="24"/>
          <w:highlight w:val="none"/>
        </w:rPr>
      </w:pPr>
      <w:r>
        <w:rPr>
          <w:rFonts w:hint="default" w:ascii="Times New Roman" w:hAnsi="Times New Roman" w:cs="Times New Roman"/>
          <w:color w:val="auto"/>
          <w:sz w:val="24"/>
          <w:szCs w:val="24"/>
          <w:highlight w:val="none"/>
        </w:rPr>
        <w:t>3.7.</w:t>
      </w:r>
      <w:r>
        <w:rPr>
          <w:rFonts w:hint="default" w:ascii="Times New Roman" w:hAnsi="Times New Roman" w:cs="Times New Roman"/>
          <w:color w:val="auto"/>
          <w:sz w:val="24"/>
          <w:szCs w:val="24"/>
          <w:highlight w:val="none"/>
          <w:lang w:val="en-US" w:eastAsia="zh-CN"/>
        </w:rPr>
        <w:t>6 投标文件其他要求</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见投标人须知前附表。</w:t>
      </w:r>
    </w:p>
    <w:p w14:paraId="097ADD9C">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211" w:name="_Toc25479"/>
      <w:bookmarkStart w:id="212" w:name="_Toc17066"/>
      <w:bookmarkStart w:id="213" w:name="_Toc234832897"/>
      <w:bookmarkStart w:id="214" w:name="_Toc3604"/>
      <w:r>
        <w:rPr>
          <w:rFonts w:hint="default" w:ascii="Times New Roman" w:hAnsi="Times New Roman" w:eastAsia="黑体" w:cs="Times New Roman"/>
          <w:b w:val="0"/>
          <w:color w:val="auto"/>
          <w:sz w:val="28"/>
          <w:szCs w:val="28"/>
          <w:highlight w:val="none"/>
        </w:rPr>
        <w:t>4. 投标</w:t>
      </w:r>
      <w:bookmarkEnd w:id="211"/>
      <w:bookmarkEnd w:id="212"/>
      <w:bookmarkEnd w:id="213"/>
      <w:bookmarkEnd w:id="214"/>
      <w:r>
        <w:rPr>
          <w:rFonts w:hint="default" w:ascii="Times New Roman" w:hAnsi="Times New Roman" w:eastAsia="黑体" w:cs="Times New Roman"/>
          <w:b w:val="0"/>
          <w:color w:val="auto"/>
          <w:sz w:val="28"/>
          <w:szCs w:val="28"/>
          <w:highlight w:val="none"/>
        </w:rPr>
        <w:tab/>
      </w:r>
    </w:p>
    <w:p w14:paraId="44EF4257">
      <w:pPr>
        <w:pStyle w:val="2"/>
        <w:pageBreakBefore w:val="0"/>
        <w:kinsoku/>
        <w:wordWrap w:val="0"/>
        <w:bidi w:val="0"/>
        <w:outlineLvl w:val="2"/>
        <w:rPr>
          <w:rFonts w:hint="default" w:ascii="Times New Roman" w:hAnsi="Times New Roman" w:cs="Times New Roman"/>
          <w:color w:val="auto"/>
          <w:highlight w:val="none"/>
        </w:rPr>
      </w:pPr>
      <w:bookmarkStart w:id="215" w:name="_Toc2664"/>
      <w:bookmarkStart w:id="216" w:name="_Toc17200"/>
      <w:bookmarkStart w:id="217" w:name="_Toc21870"/>
      <w:bookmarkStart w:id="218" w:name="_Toc26001"/>
      <w:r>
        <w:rPr>
          <w:rFonts w:hint="default" w:ascii="Times New Roman" w:hAnsi="Times New Roman" w:cs="Times New Roman"/>
          <w:color w:val="auto"/>
          <w:highlight w:val="none"/>
        </w:rPr>
        <w:t>4.1 投标文件的密封和标记</w:t>
      </w:r>
      <w:bookmarkEnd w:id="215"/>
      <w:bookmarkEnd w:id="216"/>
      <w:bookmarkEnd w:id="217"/>
      <w:bookmarkEnd w:id="218"/>
    </w:p>
    <w:p w14:paraId="4482885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投标文件应按照本章第3.7.3项要求制作并加密，未按要求加密的投标文件，招标人（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）将拒绝接收并提示。</w:t>
      </w:r>
    </w:p>
    <w:p w14:paraId="16AD3B24">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p>
    <w:p w14:paraId="3FD6C694">
      <w:pPr>
        <w:pStyle w:val="2"/>
        <w:pageBreakBefore w:val="0"/>
        <w:kinsoku/>
        <w:wordWrap w:val="0"/>
        <w:bidi w:val="0"/>
        <w:outlineLvl w:val="2"/>
        <w:rPr>
          <w:rFonts w:hint="default" w:ascii="Times New Roman" w:hAnsi="Times New Roman" w:cs="Times New Roman"/>
          <w:color w:val="auto"/>
          <w:highlight w:val="none"/>
        </w:rPr>
      </w:pPr>
      <w:bookmarkStart w:id="219" w:name="_Toc8968"/>
      <w:bookmarkStart w:id="220" w:name="_Toc10897"/>
      <w:bookmarkStart w:id="221" w:name="_Toc10211"/>
      <w:bookmarkStart w:id="222" w:name="_Toc26071"/>
      <w:r>
        <w:rPr>
          <w:rFonts w:hint="default" w:ascii="Times New Roman" w:hAnsi="Times New Roman" w:cs="Times New Roman"/>
          <w:color w:val="auto"/>
          <w:highlight w:val="none"/>
        </w:rPr>
        <w:t>4.2 投标文件的递交</w:t>
      </w:r>
      <w:bookmarkEnd w:id="219"/>
      <w:bookmarkEnd w:id="220"/>
      <w:bookmarkEnd w:id="221"/>
      <w:bookmarkEnd w:id="222"/>
    </w:p>
    <w:p w14:paraId="653AC8ED">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4.2.1 投标人应在第一章</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招标公告</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规定的投标截止时间前，通过互联网使用CA数字证书登录</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，将加密的投标文件上传。投标人应充分考虑上传文件时的不可预见因素，未在投标截止时间前完成上传的，视为逾期送达，招标人（</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）将拒绝接收。</w:t>
      </w:r>
    </w:p>
    <w:p w14:paraId="4DBC5F79">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4.2.2 根据本章第4.1款的规定，投标人递交的投标文件，只要出现应当拒收的情形，其投标文件予以拒收。</w:t>
      </w:r>
    </w:p>
    <w:p w14:paraId="7A6ED276">
      <w:pPr>
        <w:pStyle w:val="2"/>
        <w:pageBreakBefore w:val="0"/>
        <w:kinsoku/>
        <w:wordWrap w:val="0"/>
        <w:bidi w:val="0"/>
        <w:outlineLvl w:val="2"/>
        <w:rPr>
          <w:rFonts w:hint="default" w:ascii="Times New Roman" w:hAnsi="Times New Roman" w:cs="Times New Roman"/>
          <w:color w:val="auto"/>
          <w:highlight w:val="none"/>
        </w:rPr>
      </w:pPr>
      <w:bookmarkStart w:id="223" w:name="_Toc16651"/>
      <w:bookmarkStart w:id="224" w:name="_Toc31061"/>
      <w:bookmarkStart w:id="225" w:name="_Toc10369"/>
      <w:bookmarkStart w:id="226" w:name="_Toc19209"/>
      <w:r>
        <w:rPr>
          <w:rFonts w:hint="default" w:ascii="Times New Roman" w:hAnsi="Times New Roman" w:cs="Times New Roman"/>
          <w:color w:val="auto"/>
          <w:highlight w:val="none"/>
        </w:rPr>
        <w:t>4.3 投标文件的修改与撤回</w:t>
      </w:r>
      <w:bookmarkEnd w:id="223"/>
      <w:bookmarkEnd w:id="224"/>
      <w:bookmarkEnd w:id="225"/>
      <w:bookmarkEnd w:id="226"/>
    </w:p>
    <w:p w14:paraId="106DF24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4.3.1 在本章第4.2.1项规定的投标截止时间前，投标人可以修改或撤回已递交的投标文件。投标人对加密的投标文件进行撤回的，应在</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直接进行撤回操作；投标人对加密的投标文件进行修改的，应在投标截止时间前完成上传。</w:t>
      </w:r>
    </w:p>
    <w:p w14:paraId="4E848C94">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4.3.2 投标人修改投标文件的，应使用</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投标文件制作工具</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制作成完整的投标文件，并按照本章第3条、第4条规定进行编制、加密和递交。对采用网上递交的加密的投标文件，以投标截止时间前最后完成上传的文件为准。</w:t>
      </w:r>
    </w:p>
    <w:p w14:paraId="54FAD73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4.3.3 投标人撤回投标文件的，招标人自收到投标人书面撤回通知之日起5日内退还已收取的投标保证金。</w:t>
      </w:r>
    </w:p>
    <w:p w14:paraId="246D63C7">
      <w:pPr>
        <w:pStyle w:val="2"/>
        <w:pageBreakBefore w:val="0"/>
        <w:kinsoku/>
        <w:wordWrap w:val="0"/>
        <w:bidi w:val="0"/>
        <w:outlineLvl w:val="1"/>
        <w:rPr>
          <w:rFonts w:hint="default" w:ascii="Times New Roman" w:hAnsi="Times New Roman" w:cs="Times New Roman"/>
          <w:color w:val="auto"/>
          <w:highlight w:val="none"/>
        </w:rPr>
      </w:pPr>
      <w:bookmarkStart w:id="227" w:name="_Toc234832901"/>
      <w:bookmarkStart w:id="228" w:name="_Toc1833"/>
      <w:bookmarkStart w:id="229" w:name="_Toc31196"/>
      <w:bookmarkStart w:id="230" w:name="_Toc29100"/>
      <w:r>
        <w:rPr>
          <w:rFonts w:hint="default" w:ascii="Times New Roman" w:hAnsi="Times New Roman" w:cs="Times New Roman"/>
          <w:color w:val="auto"/>
          <w:highlight w:val="none"/>
        </w:rPr>
        <w:t>5. 开标</w:t>
      </w:r>
      <w:bookmarkEnd w:id="227"/>
      <w:bookmarkEnd w:id="228"/>
      <w:bookmarkEnd w:id="229"/>
      <w:bookmarkEnd w:id="230"/>
    </w:p>
    <w:p w14:paraId="6B35FD15">
      <w:pPr>
        <w:pStyle w:val="2"/>
        <w:pageBreakBefore w:val="0"/>
        <w:kinsoku/>
        <w:wordWrap w:val="0"/>
        <w:bidi w:val="0"/>
        <w:outlineLvl w:val="2"/>
        <w:rPr>
          <w:rFonts w:hint="default" w:ascii="Times New Roman" w:hAnsi="Times New Roman" w:cs="Times New Roman"/>
          <w:color w:val="auto"/>
          <w:highlight w:val="none"/>
        </w:rPr>
      </w:pPr>
      <w:bookmarkStart w:id="231" w:name="_Toc6841"/>
      <w:bookmarkStart w:id="232" w:name="_Toc2581"/>
      <w:bookmarkStart w:id="233" w:name="_Toc22056"/>
      <w:bookmarkStart w:id="234" w:name="_Toc234832902"/>
      <w:r>
        <w:rPr>
          <w:rFonts w:hint="default" w:ascii="Times New Roman" w:hAnsi="Times New Roman" w:cs="Times New Roman"/>
          <w:color w:val="auto"/>
          <w:highlight w:val="none"/>
        </w:rPr>
        <w:t>5.1 开标时间和地点</w:t>
      </w:r>
      <w:bookmarkEnd w:id="231"/>
      <w:bookmarkEnd w:id="232"/>
      <w:bookmarkEnd w:id="233"/>
    </w:p>
    <w:p w14:paraId="74EC065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5.1.1 招标人在投标人须知前附表规定的投标截止时间</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开标时间</w:t>
      </w:r>
      <w:r>
        <w:rPr>
          <w:rFonts w:hint="eastAsia" w:cs="Times New Roman"/>
          <w:color w:val="auto"/>
          <w:sz w:val="24"/>
          <w:highlight w:val="none"/>
          <w:lang w:eastAsia="zh-CN"/>
        </w:rPr>
        <w:t>）</w:t>
      </w:r>
      <w:r>
        <w:rPr>
          <w:rFonts w:hint="default" w:ascii="Times New Roman" w:hAnsi="Times New Roman" w:eastAsia="宋体" w:cs="Times New Roman"/>
          <w:color w:val="auto"/>
          <w:sz w:val="24"/>
          <w:highlight w:val="none"/>
        </w:rPr>
        <w:t>和地点在</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辽宁省公共资源交易中心不见面开标大厅</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不见面开标大厅</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）上公开进行第一个信封（商务及技术文件）开标，所有投标人均应当准时在线参加开标。</w:t>
      </w:r>
    </w:p>
    <w:p w14:paraId="7E56763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招标人还将在投标人须知前附表规定的时间和地点对投标文件第二个信封（报价文件）在</w:t>
      </w:r>
      <w:r>
        <w:rPr>
          <w:rFonts w:hint="eastAsia" w:ascii="宋体" w:hAnsi="宋体" w:eastAsia="宋体" w:cs="宋体"/>
          <w:color w:val="auto"/>
          <w:sz w:val="24"/>
          <w:highlight w:val="none"/>
        </w:rPr>
        <w:t>“不见面开标大厅”</w:t>
      </w:r>
      <w:r>
        <w:rPr>
          <w:rFonts w:hint="default" w:ascii="Times New Roman" w:hAnsi="Times New Roman" w:eastAsia="宋体" w:cs="Times New Roman"/>
          <w:color w:val="auto"/>
          <w:sz w:val="24"/>
          <w:highlight w:val="none"/>
        </w:rPr>
        <w:t>进行公开开标，并邀请所有投标人代表准时参加。</w:t>
      </w:r>
    </w:p>
    <w:p w14:paraId="7A7B1A8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投标人代表应按时参加第一个信封（商务及技术文件）及第二个信封（报价文件）</w:t>
      </w:r>
      <w:r>
        <w:rPr>
          <w:rFonts w:hint="eastAsia" w:cs="Times New Roman"/>
          <w:color w:val="auto"/>
          <w:sz w:val="24"/>
          <w:highlight w:val="none"/>
          <w:lang w:val="en-US" w:eastAsia="zh-CN"/>
        </w:rPr>
        <w:t>线上</w:t>
      </w:r>
      <w:r>
        <w:rPr>
          <w:rFonts w:hint="default" w:ascii="Times New Roman" w:hAnsi="Times New Roman" w:eastAsia="宋体" w:cs="Times New Roman"/>
          <w:color w:val="auto"/>
          <w:sz w:val="24"/>
          <w:highlight w:val="none"/>
        </w:rPr>
        <w:t>开标会。</w:t>
      </w:r>
    </w:p>
    <w:p w14:paraId="2BCDC2A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5.1.2 投标人应当在能够保证设施设备可靠、互联网畅通的任意地点，通过互联网在线参加开标，并实时在线关注招标人的操作情况。</w:t>
      </w:r>
    </w:p>
    <w:p w14:paraId="0C81253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p>
    <w:bookmarkEnd w:id="234"/>
    <w:p w14:paraId="2B559823">
      <w:pPr>
        <w:pStyle w:val="2"/>
        <w:pageBreakBefore w:val="0"/>
        <w:kinsoku/>
        <w:wordWrap w:val="0"/>
        <w:bidi w:val="0"/>
        <w:outlineLvl w:val="2"/>
        <w:rPr>
          <w:rFonts w:hint="default" w:ascii="Times New Roman" w:hAnsi="Times New Roman" w:cs="Times New Roman"/>
          <w:color w:val="auto"/>
          <w:highlight w:val="none"/>
        </w:rPr>
      </w:pPr>
      <w:bookmarkStart w:id="235" w:name="_Toc29801"/>
      <w:bookmarkStart w:id="236" w:name="_Toc8283"/>
      <w:bookmarkStart w:id="237" w:name="_Toc17800"/>
      <w:r>
        <w:rPr>
          <w:rFonts w:hint="default" w:ascii="Times New Roman" w:hAnsi="Times New Roman" w:cs="Times New Roman"/>
          <w:color w:val="auto"/>
          <w:highlight w:val="none"/>
        </w:rPr>
        <w:t>5.2开标程序</w:t>
      </w:r>
      <w:bookmarkEnd w:id="235"/>
      <w:bookmarkEnd w:id="236"/>
      <w:bookmarkEnd w:id="237"/>
    </w:p>
    <w:p w14:paraId="1B8E311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5.2.1 主持人按下列程序对投标文件第一个信封（商务及技术文件）进行开标：</w:t>
      </w:r>
    </w:p>
    <w:p w14:paraId="0B4DEAED">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（1）宣布开标纪律；</w:t>
      </w:r>
    </w:p>
    <w:p w14:paraId="2FE1F03F">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（2）公布在投标截止时间前递交</w:t>
      </w:r>
      <w:r>
        <w:rPr>
          <w:rFonts w:hint="default" w:ascii="Times New Roman" w:hAnsi="Times New Roman" w:cs="Times New Roman"/>
          <w:color w:val="auto"/>
          <w:sz w:val="24"/>
          <w:szCs w:val="24"/>
          <w:highlight w:val="none"/>
          <w:lang w:val="en-US" w:eastAsia="zh-CN"/>
        </w:rPr>
        <w:t>至</w:t>
      </w:r>
      <w:r>
        <w:rPr>
          <w:rFonts w:hint="eastAsia" w:ascii="宋体" w:hAnsi="宋体" w:eastAsia="宋体" w:cs="宋体"/>
          <w:color w:val="auto"/>
          <w:sz w:val="24"/>
          <w:szCs w:val="24"/>
          <w:highlight w:val="none"/>
          <w:lang w:val="en-US" w:eastAsia="zh-CN"/>
        </w:rPr>
        <w:t>“</w:t>
      </w:r>
      <w:r>
        <w:rPr>
          <w:rFonts w:hint="eastAsia" w:cs="Times New Roman"/>
          <w:color w:val="auto"/>
          <w:sz w:val="24"/>
          <w:szCs w:val="24"/>
          <w:highlight w:val="none"/>
          <w:lang w:val="en-US" w:eastAsia="zh-CN"/>
        </w:rPr>
        <w:t>电子交易平台</w:t>
      </w:r>
      <w:r>
        <w:rPr>
          <w:rFonts w:hint="eastAsia" w:ascii="宋体" w:hAnsi="宋体" w:eastAsia="宋体" w:cs="宋体"/>
          <w:color w:val="auto"/>
          <w:sz w:val="24"/>
          <w:szCs w:val="24"/>
          <w:highlight w:val="none"/>
          <w:lang w:val="en-US" w:eastAsia="zh-CN"/>
        </w:rPr>
        <w:t>”</w:t>
      </w:r>
      <w:r>
        <w:rPr>
          <w:rFonts w:hint="default" w:ascii="Times New Roman" w:hAnsi="Times New Roman" w:cs="Times New Roman"/>
          <w:color w:val="auto"/>
          <w:sz w:val="24"/>
          <w:szCs w:val="24"/>
          <w:highlight w:val="none"/>
        </w:rPr>
        <w:t>投标文件的投标人数量；</w:t>
      </w:r>
    </w:p>
    <w:p w14:paraId="004954AE">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（3）投标人代表</w:t>
      </w:r>
      <w:r>
        <w:rPr>
          <w:rFonts w:hint="default" w:ascii="Times New Roman" w:hAnsi="Times New Roman" w:cs="Times New Roman"/>
          <w:color w:val="auto"/>
          <w:sz w:val="24"/>
          <w:highlight w:val="none"/>
        </w:rPr>
        <w:t>通过互联网使用CA数字证书登录</w:t>
      </w:r>
      <w:r>
        <w:rPr>
          <w:rFonts w:hint="eastAsia" w:ascii="宋体" w:hAnsi="宋体" w:eastAsia="宋体" w:cs="宋体"/>
          <w:color w:val="auto"/>
          <w:sz w:val="24"/>
          <w:highlight w:val="none"/>
        </w:rPr>
        <w:t>“不见面开标大厅”</w:t>
      </w:r>
      <w:r>
        <w:rPr>
          <w:rFonts w:hint="default" w:ascii="Times New Roman" w:hAnsi="Times New Roman" w:cs="Times New Roman"/>
          <w:color w:val="auto"/>
          <w:sz w:val="24"/>
          <w:highlight w:val="none"/>
          <w:lang w:val="en-US" w:eastAsia="zh-CN"/>
        </w:rPr>
        <w:t>在投标人须知前附表规定的时间内</w:t>
      </w:r>
      <w:r>
        <w:rPr>
          <w:rFonts w:hint="default" w:ascii="Times New Roman" w:hAnsi="Times New Roman" w:cs="Times New Roman"/>
          <w:color w:val="auto"/>
          <w:sz w:val="24"/>
          <w:szCs w:val="24"/>
          <w:highlight w:val="none"/>
        </w:rPr>
        <w:t>解密加密的投标文件</w:t>
      </w:r>
      <w:r>
        <w:rPr>
          <w:rFonts w:hint="default" w:ascii="Times New Roman" w:hAnsi="Times New Roman" w:cs="Times New Roman"/>
          <w:color w:val="auto"/>
          <w:sz w:val="24"/>
          <w:szCs w:val="24"/>
          <w:highlight w:val="none"/>
          <w:lang w:val="en-US" w:eastAsia="zh-CN"/>
        </w:rPr>
        <w:t>第一个信封</w:t>
      </w:r>
      <w:r>
        <w:rPr>
          <w:rFonts w:hint="default" w:ascii="Times New Roman" w:hAnsi="Times New Roman" w:cs="Times New Roman"/>
          <w:color w:val="auto"/>
          <w:sz w:val="24"/>
          <w:szCs w:val="24"/>
          <w:highlight w:val="none"/>
        </w:rPr>
        <w:t>（商务及技术文件）；</w:t>
      </w:r>
    </w:p>
    <w:p w14:paraId="2D1849F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）招标人对未成功解密的投标文件进行退回并按本章第5.3款进行补救处理；</w:t>
      </w:r>
    </w:p>
    <w:p w14:paraId="700AC192">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）导入并读取所有解密成功的投标文件第一个信封（商务及技术文件）的内容；</w:t>
      </w:r>
    </w:p>
    <w:p w14:paraId="594444A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）公布标段名称、投标人名称的递交情况、</w:t>
      </w:r>
      <w:r>
        <w:rPr>
          <w:rFonts w:hint="eastAsia" w:cs="Times New Roman"/>
          <w:color w:val="auto"/>
          <w:sz w:val="24"/>
          <w:szCs w:val="24"/>
          <w:highlight w:val="none"/>
          <w:lang w:val="en-US" w:eastAsia="zh-CN"/>
        </w:rPr>
        <w:t>工期</w:t>
      </w:r>
      <w:r>
        <w:rPr>
          <w:rFonts w:hint="default" w:ascii="Times New Roman" w:hAnsi="Times New Roman" w:cs="Times New Roman"/>
          <w:color w:val="auto"/>
          <w:sz w:val="24"/>
          <w:szCs w:val="24"/>
          <w:highlight w:val="none"/>
        </w:rPr>
        <w:t>及其他内容，并记录在案；</w:t>
      </w:r>
    </w:p>
    <w:p w14:paraId="2B33ABE7">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）投标人代表对开标记录进行确认。投标人代表对开标结果有异议的应在</w:t>
      </w:r>
      <w:r>
        <w:rPr>
          <w:rFonts w:hint="default" w:ascii="Times New Roman" w:hAnsi="Times New Roman" w:cs="Times New Roman"/>
          <w:color w:val="auto"/>
          <w:sz w:val="24"/>
          <w:szCs w:val="24"/>
          <w:highlight w:val="none"/>
          <w:lang w:val="en-US" w:eastAsia="zh-CN"/>
        </w:rPr>
        <w:t>规定时间内通过</w:t>
      </w:r>
      <w:r>
        <w:rPr>
          <w:rFonts w:hint="eastAsia" w:ascii="宋体" w:hAnsi="宋体" w:eastAsia="宋体" w:cs="宋体"/>
          <w:color w:val="auto"/>
          <w:sz w:val="24"/>
          <w:szCs w:val="24"/>
          <w:highlight w:val="none"/>
          <w:lang w:val="en-US" w:eastAsia="zh-CN"/>
        </w:rPr>
        <w:t>“</w:t>
      </w:r>
      <w:r>
        <w:rPr>
          <w:rFonts w:hint="eastAsia" w:cs="Times New Roman"/>
          <w:color w:val="auto"/>
          <w:sz w:val="24"/>
          <w:szCs w:val="24"/>
          <w:highlight w:val="none"/>
          <w:lang w:val="en-US" w:eastAsia="zh-CN"/>
        </w:rPr>
        <w:t>不见面开标大厅</w:t>
      </w:r>
      <w:r>
        <w:rPr>
          <w:rFonts w:hint="eastAsia" w:ascii="宋体" w:hAnsi="宋体" w:eastAsia="宋体" w:cs="宋体"/>
          <w:color w:val="auto"/>
          <w:sz w:val="24"/>
          <w:szCs w:val="24"/>
          <w:highlight w:val="none"/>
          <w:lang w:val="en-US" w:eastAsia="zh-CN"/>
        </w:rPr>
        <w:t>”</w:t>
      </w:r>
      <w:r>
        <w:rPr>
          <w:rFonts w:hint="default" w:ascii="Times New Roman" w:hAnsi="Times New Roman" w:cs="Times New Roman"/>
          <w:color w:val="auto"/>
          <w:sz w:val="24"/>
          <w:szCs w:val="24"/>
          <w:highlight w:val="none"/>
        </w:rPr>
        <w:t>提出，否则视为无异议；</w:t>
      </w:r>
    </w:p>
    <w:p w14:paraId="14A4B0B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rPr>
        <w:t>）开标结束</w:t>
      </w:r>
      <w:r>
        <w:rPr>
          <w:rFonts w:hint="default" w:ascii="Times New Roman" w:hAnsi="Times New Roman" w:eastAsia="宋体" w:cs="Times New Roman"/>
          <w:color w:val="auto"/>
          <w:sz w:val="24"/>
          <w:highlight w:val="none"/>
        </w:rPr>
        <w:t>。</w:t>
      </w:r>
    </w:p>
    <w:p w14:paraId="4B889834">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5.2.2 投标文件第二个信封（报价文件）在投标文件第一个信封（商务及技术文件）完成评审前，</w:t>
      </w:r>
      <w:r>
        <w:rPr>
          <w:rFonts w:hint="eastAsia" w:ascii="宋体" w:hAnsi="宋体" w:eastAsia="宋体" w:cs="宋体"/>
          <w:color w:val="auto"/>
          <w:sz w:val="24"/>
          <w:szCs w:val="24"/>
          <w:highlight w:val="none"/>
        </w:rPr>
        <w:t>“</w:t>
      </w:r>
      <w:r>
        <w:rPr>
          <w:rFonts w:hint="eastAsia" w:cs="Times New Roman"/>
          <w:color w:val="auto"/>
          <w:sz w:val="24"/>
          <w:szCs w:val="24"/>
          <w:highlight w:val="none"/>
          <w:lang w:eastAsia="zh-CN"/>
        </w:rPr>
        <w:t>电子交易平台</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的开标评标系统将不进行读取。</w:t>
      </w:r>
    </w:p>
    <w:p w14:paraId="670816D2">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5.2.3 招标人将按照本章第5.1款规定的时间和地点对投标文件第二个信封（报价文件）进行开标。主持人按下列程序进行开标：</w:t>
      </w:r>
    </w:p>
    <w:p w14:paraId="4E74D910">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（1）宣布开标纪律；</w:t>
      </w:r>
    </w:p>
    <w:p w14:paraId="0FEF6E81">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（2）当众宣布通过投标文件第一个信封（商务及技术文件）评审的投标人名单；</w:t>
      </w:r>
    </w:p>
    <w:p w14:paraId="66E1ED35">
      <w:pPr>
        <w:pageBreakBefore w:val="0"/>
        <w:kinsoku/>
        <w:wordWrap w:val="0"/>
        <w:bidi w:val="0"/>
        <w:spacing w:line="400" w:lineRule="exact"/>
        <w:ind w:firstLine="480" w:firstLineChars="200"/>
        <w:rPr>
          <w:rFonts w:hint="eastAsia"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3</w:t>
      </w:r>
      <w:r>
        <w:rPr>
          <w:rFonts w:hint="eastAsia" w:cs="Times New Roman"/>
          <w:color w:val="auto"/>
          <w:sz w:val="24"/>
          <w:szCs w:val="24"/>
          <w:highlight w:val="none"/>
          <w:lang w:eastAsia="zh-CN"/>
        </w:rPr>
        <w:t>）</w:t>
      </w:r>
      <w:r>
        <w:rPr>
          <w:rFonts w:hint="eastAsia" w:ascii="宋体" w:hAnsi="宋体" w:cs="宋体"/>
          <w:color w:val="auto"/>
          <w:sz w:val="24"/>
          <w:szCs w:val="24"/>
          <w:highlight w:val="none"/>
          <w:lang w:val="en-US" w:eastAsia="zh-CN"/>
        </w:rPr>
        <w:t>对</w:t>
      </w:r>
      <w:r>
        <w:rPr>
          <w:rFonts w:hint="default" w:ascii="Times New Roman" w:hAnsi="Times New Roman" w:cs="Times New Roman"/>
          <w:color w:val="auto"/>
          <w:sz w:val="24"/>
          <w:szCs w:val="24"/>
          <w:highlight w:val="none"/>
        </w:rPr>
        <w:t>通过投标文件第一个信封（商务及技术文件）评审的投标人</w:t>
      </w:r>
      <w:r>
        <w:rPr>
          <w:rFonts w:hint="eastAsia" w:cs="Times New Roman"/>
          <w:color w:val="auto"/>
          <w:sz w:val="24"/>
          <w:szCs w:val="24"/>
          <w:highlight w:val="none"/>
          <w:lang w:val="en-US" w:eastAsia="zh-CN"/>
        </w:rPr>
        <w:t>进行随机分配投标标段</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（如有）</w:t>
      </w:r>
    </w:p>
    <w:p w14:paraId="4D61DD87">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）通过投标文件第一个信封（商务及技术文件）评审的投标人代表</w:t>
      </w:r>
      <w:r>
        <w:rPr>
          <w:rFonts w:hint="default" w:ascii="Times New Roman" w:hAnsi="Times New Roman" w:cs="Times New Roman"/>
          <w:color w:val="auto"/>
          <w:sz w:val="24"/>
          <w:highlight w:val="none"/>
        </w:rPr>
        <w:t>通过互联网使用CA数字证书登录</w:t>
      </w:r>
      <w:r>
        <w:rPr>
          <w:rFonts w:hint="eastAsia" w:ascii="宋体" w:hAnsi="宋体" w:eastAsia="宋体" w:cs="宋体"/>
          <w:color w:val="auto"/>
          <w:sz w:val="24"/>
          <w:highlight w:val="none"/>
        </w:rPr>
        <w:t>“不见面开标大厅”</w:t>
      </w:r>
      <w:r>
        <w:rPr>
          <w:rFonts w:hint="default" w:ascii="Times New Roman" w:hAnsi="Times New Roman" w:cs="Times New Roman"/>
          <w:color w:val="auto"/>
          <w:sz w:val="24"/>
          <w:highlight w:val="none"/>
          <w:lang w:val="en-US" w:eastAsia="zh-CN"/>
        </w:rPr>
        <w:t>在投标人须知前附表规定的时间内</w:t>
      </w:r>
      <w:r>
        <w:rPr>
          <w:rFonts w:hint="default" w:ascii="Times New Roman" w:hAnsi="Times New Roman" w:cs="Times New Roman"/>
          <w:color w:val="auto"/>
          <w:sz w:val="24"/>
          <w:szCs w:val="24"/>
          <w:highlight w:val="none"/>
        </w:rPr>
        <w:t>解密加密的投标文件第二个信封（报价文件）；</w:t>
      </w:r>
    </w:p>
    <w:p w14:paraId="01E6F866">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）招标人对未成功解密的投标文件进行退回并按本章第5.3款进行补救处理；</w:t>
      </w:r>
    </w:p>
    <w:p w14:paraId="2ED1DAE6">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）导入并读取所有通过投标文件第一个信封（商务及技术文件）评审的解密成功的投标文件第二个信封（报价文件）的内容；</w:t>
      </w:r>
    </w:p>
    <w:p w14:paraId="6B44566B">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 xml:space="preserve">）公布标段名称、投标人名称、投标报价及其他内容，并记录在案； </w:t>
      </w:r>
    </w:p>
    <w:p w14:paraId="3CA827AE">
      <w:pPr>
        <w:pageBreakBefore w:val="0"/>
        <w:kinsoku/>
        <w:wordWrap w:val="0"/>
        <w:bidi w:val="0"/>
        <w:spacing w:line="400" w:lineRule="exact"/>
        <w:ind w:firstLine="480" w:firstLineChars="200"/>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lang w:eastAsia="zh-CN"/>
        </w:rPr>
        <w:t>（</w:t>
      </w:r>
      <w:r>
        <w:rPr>
          <w:rFonts w:hint="eastAsia" w:cs="Times New Roman"/>
          <w:color w:val="auto"/>
          <w:sz w:val="24"/>
          <w:szCs w:val="24"/>
          <w:highlight w:val="none"/>
          <w:lang w:val="en-US" w:eastAsia="zh-CN"/>
        </w:rPr>
        <w:t>8</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随机抽取评标基准价计算方法、评标基准价系数</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（如有）</w:t>
      </w:r>
    </w:p>
    <w:p w14:paraId="6F2B7362">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9</w:t>
      </w:r>
      <w:r>
        <w:rPr>
          <w:rFonts w:hint="default" w:ascii="Times New Roman" w:hAnsi="Times New Roman" w:cs="Times New Roman"/>
          <w:color w:val="auto"/>
          <w:sz w:val="24"/>
          <w:szCs w:val="24"/>
          <w:highlight w:val="none"/>
        </w:rPr>
        <w:t>）投标人代表对开标记录进行确认。投标人代表对开标结果有异议的应在</w:t>
      </w:r>
      <w:r>
        <w:rPr>
          <w:rFonts w:hint="default" w:ascii="Times New Roman" w:hAnsi="Times New Roman" w:cs="Times New Roman"/>
          <w:color w:val="auto"/>
          <w:sz w:val="24"/>
          <w:szCs w:val="24"/>
          <w:highlight w:val="none"/>
          <w:lang w:val="en-US" w:eastAsia="zh-CN"/>
        </w:rPr>
        <w:t>规定时间内通过</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不见面开标大厅</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提出，否则视为无异议；</w:t>
      </w:r>
    </w:p>
    <w:p w14:paraId="7D2ED37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）开标结束。</w:t>
      </w:r>
    </w:p>
    <w:p w14:paraId="2C7786D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5.2.4 若采用合理低价法或综合评分法，在投标文件第二个信封（报价文件）开标现场，招标人将按第三章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规定的原则计算并宣布评标基准价。若招标人发现投标文件出现以下任一情况，其投标报价将不再参加评标基准价的计算：</w:t>
      </w:r>
    </w:p>
    <w:p w14:paraId="7561564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（1）未按要求在投标函上填写投标总价；</w:t>
      </w:r>
    </w:p>
    <w:p w14:paraId="576A369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（2）投标报价超出招标人公布的最高投标限价（如有）</w:t>
      </w:r>
      <w:r>
        <w:rPr>
          <w:rFonts w:hint="eastAsia" w:cs="Times New Roman"/>
          <w:color w:val="auto"/>
          <w:sz w:val="24"/>
          <w:highlight w:val="none"/>
          <w:lang w:eastAsia="zh-CN"/>
        </w:rPr>
        <w:t>，或低于招标人公布的最高投标限价（如有）的 G</w:t>
      </w:r>
      <w:r>
        <w:rPr>
          <w:rStyle w:val="47"/>
          <w:rFonts w:hint="eastAsia" w:cs="Times New Roman"/>
          <w:color w:val="auto"/>
          <w:sz w:val="24"/>
          <w:highlight w:val="none"/>
          <w:lang w:eastAsia="zh-CN"/>
        </w:rPr>
        <w:footnoteReference w:id="22"/>
      </w:r>
      <w:r>
        <w:rPr>
          <w:rFonts w:hint="eastAsia" w:cs="Times New Roman"/>
          <w:color w:val="auto"/>
          <w:sz w:val="24"/>
          <w:highlight w:val="none"/>
          <w:lang w:eastAsia="zh-CN"/>
        </w:rPr>
        <w:t xml:space="preserve"> %</w:t>
      </w:r>
      <w:r>
        <w:rPr>
          <w:rFonts w:hint="default" w:ascii="Times New Roman" w:hAnsi="Times New Roman" w:eastAsia="宋体" w:cs="Times New Roman"/>
          <w:color w:val="auto"/>
          <w:sz w:val="24"/>
          <w:highlight w:val="none"/>
        </w:rPr>
        <w:t>；</w:t>
      </w:r>
    </w:p>
    <w:p w14:paraId="68ADDEF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（3）无法确定投标报价具体数值；</w:t>
      </w:r>
    </w:p>
    <w:p w14:paraId="547B1C2F">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（4）投标函上填写的标段号与上传的对应项目标段号不一致（如分标段）。</w:t>
      </w:r>
    </w:p>
    <w:p w14:paraId="5EDA0529">
      <w:pPr>
        <w:pageBreakBefore w:val="0"/>
        <w:kinsoku/>
        <w:wordWrap w:val="0"/>
        <w:bidi w:val="0"/>
        <w:spacing w:line="400" w:lineRule="exact"/>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5CCA9DA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5.2.5 在投标文件第一个信封（商务及技术文件）或第二个信封（报价文件）开标过程中，若</w:t>
      </w:r>
      <w:r>
        <w:rPr>
          <w:rFonts w:hint="default" w:ascii="Times New Roman" w:hAnsi="Times New Roman" w:cs="Times New Roman"/>
          <w:color w:val="auto"/>
          <w:sz w:val="24"/>
          <w:szCs w:val="24"/>
          <w:highlight w:val="none"/>
          <w:lang w:val="en-US" w:eastAsia="zh-CN"/>
        </w:rPr>
        <w:t>开标现场</w:t>
      </w:r>
      <w:r>
        <w:rPr>
          <w:rFonts w:hint="eastAsia" w:cs="Times New Roman"/>
          <w:color w:val="auto"/>
          <w:sz w:val="24"/>
          <w:szCs w:val="24"/>
          <w:highlight w:val="none"/>
          <w:lang w:val="en-US" w:eastAsia="zh-CN"/>
        </w:rPr>
        <w:t>公布</w:t>
      </w:r>
      <w:r>
        <w:rPr>
          <w:rFonts w:hint="default" w:ascii="Times New Roman" w:hAnsi="Times New Roman" w:cs="Times New Roman"/>
          <w:color w:val="auto"/>
          <w:sz w:val="24"/>
          <w:szCs w:val="24"/>
          <w:highlight w:val="none"/>
        </w:rPr>
        <w:t>的内容与投标文件不符，投标人有权在开标现场提出疑问，经招标人当场核查确认之后，可重新</w:t>
      </w:r>
      <w:r>
        <w:rPr>
          <w:rFonts w:hint="eastAsia" w:cs="Times New Roman"/>
          <w:color w:val="auto"/>
          <w:sz w:val="24"/>
          <w:szCs w:val="24"/>
          <w:highlight w:val="none"/>
          <w:lang w:val="en-US" w:eastAsia="zh-CN"/>
        </w:rPr>
        <w:t>公布</w:t>
      </w:r>
      <w:r>
        <w:rPr>
          <w:rFonts w:hint="default" w:ascii="Times New Roman" w:hAnsi="Times New Roman" w:cs="Times New Roman"/>
          <w:color w:val="auto"/>
          <w:sz w:val="24"/>
          <w:szCs w:val="24"/>
          <w:highlight w:val="none"/>
        </w:rPr>
        <w:t>其</w:t>
      </w:r>
      <w:r>
        <w:rPr>
          <w:rFonts w:hint="eastAsia" w:cs="Times New Roman"/>
          <w:color w:val="auto"/>
          <w:sz w:val="24"/>
          <w:szCs w:val="24"/>
          <w:highlight w:val="none"/>
          <w:lang w:val="en-US" w:eastAsia="zh-CN"/>
        </w:rPr>
        <w:t>内容</w:t>
      </w:r>
      <w:r>
        <w:rPr>
          <w:rFonts w:hint="default" w:ascii="Times New Roman" w:hAnsi="Times New Roman" w:cs="Times New Roman"/>
          <w:color w:val="auto"/>
          <w:sz w:val="24"/>
          <w:szCs w:val="24"/>
          <w:highlight w:val="none"/>
        </w:rPr>
        <w:t>。若投标人现场未提出疑问，则认为投标人已确认</w:t>
      </w:r>
      <w:r>
        <w:rPr>
          <w:rFonts w:hint="default" w:ascii="Times New Roman" w:hAnsi="Times New Roman" w:cs="Times New Roman"/>
          <w:color w:val="auto"/>
          <w:sz w:val="24"/>
          <w:szCs w:val="24"/>
          <w:highlight w:val="none"/>
          <w:lang w:val="en-US" w:eastAsia="zh-CN"/>
        </w:rPr>
        <w:t>开标现场</w:t>
      </w:r>
      <w:r>
        <w:rPr>
          <w:rFonts w:hint="eastAsia" w:cs="Times New Roman"/>
          <w:color w:val="auto"/>
          <w:sz w:val="24"/>
          <w:szCs w:val="24"/>
          <w:highlight w:val="none"/>
          <w:lang w:val="en-US" w:eastAsia="zh-CN"/>
        </w:rPr>
        <w:t>公布</w:t>
      </w:r>
      <w:r>
        <w:rPr>
          <w:rFonts w:hint="default" w:ascii="Times New Roman" w:hAnsi="Times New Roman" w:cs="Times New Roman"/>
          <w:color w:val="auto"/>
          <w:sz w:val="24"/>
          <w:szCs w:val="24"/>
          <w:highlight w:val="none"/>
        </w:rPr>
        <w:t>的内容。</w:t>
      </w:r>
    </w:p>
    <w:p w14:paraId="6DBAECC5">
      <w:pPr>
        <w:pStyle w:val="2"/>
        <w:pageBreakBefore w:val="0"/>
        <w:kinsoku/>
        <w:wordWrap w:val="0"/>
        <w:bidi w:val="0"/>
        <w:outlineLvl w:val="2"/>
        <w:rPr>
          <w:rFonts w:hint="default" w:ascii="Times New Roman" w:hAnsi="Times New Roman" w:cs="Times New Roman"/>
          <w:color w:val="auto"/>
          <w:highlight w:val="none"/>
        </w:rPr>
      </w:pPr>
      <w:bookmarkStart w:id="238" w:name="_Toc27278"/>
      <w:bookmarkStart w:id="239" w:name="_Toc24866"/>
      <w:bookmarkStart w:id="240" w:name="_Toc29082"/>
      <w:r>
        <w:rPr>
          <w:rFonts w:hint="default" w:ascii="Times New Roman" w:hAnsi="Times New Roman" w:cs="Times New Roman"/>
          <w:color w:val="auto"/>
          <w:highlight w:val="none"/>
        </w:rPr>
        <w:t>5.3 开标补救措施</w:t>
      </w:r>
      <w:bookmarkEnd w:id="238"/>
      <w:bookmarkEnd w:id="239"/>
      <w:bookmarkEnd w:id="240"/>
    </w:p>
    <w:p w14:paraId="74B8B4A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5.3.1 开标过程中因本章第5.3.2项、第5.3.3项所列原因，导致系统无法正常运行，将按投标人须知前附表的规定采取补救措施。</w:t>
      </w:r>
    </w:p>
    <w:p w14:paraId="41B2E57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5.3.2 因</w:t>
      </w:r>
      <w:r>
        <w:rPr>
          <w:rFonts w:hint="eastAsia" w:ascii="宋体" w:hAnsi="宋体" w:eastAsia="宋体" w:cs="宋体"/>
          <w:color w:val="auto"/>
          <w:sz w:val="24"/>
          <w:highlight w:val="none"/>
        </w:rPr>
        <w:t>“</w:t>
      </w:r>
      <w:r>
        <w:rPr>
          <w:rFonts w:hint="eastAsia" w:cs="Times New Roman"/>
          <w:color w:val="auto"/>
          <w:sz w:val="24"/>
          <w:highlight w:val="none"/>
          <w:lang w:eastAsia="zh-CN"/>
        </w:rPr>
        <w:t>电子交易平台</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系统故障导致投标人无法正常上传加密的投标文件，投标人应打印并递交</w:t>
      </w:r>
      <w:r>
        <w:rPr>
          <w:rFonts w:hint="eastAsia" w:cs="Times New Roman"/>
          <w:color w:val="auto"/>
          <w:sz w:val="24"/>
          <w:highlight w:val="none"/>
          <w:lang w:eastAsia="zh-CN"/>
        </w:rPr>
        <w:t>电子交易平台</w:t>
      </w:r>
      <w:r>
        <w:rPr>
          <w:rFonts w:hint="default" w:ascii="Times New Roman" w:hAnsi="Times New Roman" w:eastAsia="宋体" w:cs="Times New Roman"/>
          <w:color w:val="auto"/>
          <w:sz w:val="24"/>
          <w:highlight w:val="none"/>
        </w:rPr>
        <w:t>自动生成的上传失败的异常记录单。</w:t>
      </w:r>
    </w:p>
    <w:p w14:paraId="2F7BE0A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5.3.3 当出现以下情况时，应对未开标的中止电子开标，并在恢复正常后及时安排时间开标：</w:t>
      </w:r>
    </w:p>
    <w:p w14:paraId="15A9143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（1）系统服务器发生故障，无法访问或无法使用系统；</w:t>
      </w:r>
    </w:p>
    <w:p w14:paraId="7D19E29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（2）系统的软件或数据库出现错误，不能进行正常操作；</w:t>
      </w:r>
    </w:p>
    <w:p w14:paraId="3FFA826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（3）系统发现有安全漏洞，有潜在的泄密危险；</w:t>
      </w:r>
    </w:p>
    <w:p w14:paraId="2CF40DC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（4）出现断电事故且短时间内无法恢复供电；</w:t>
      </w:r>
    </w:p>
    <w:p w14:paraId="4E311DD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（5）其他无法保证招投标过程正常进行的情形。</w:t>
      </w:r>
    </w:p>
    <w:p w14:paraId="61E8413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5.3.4 采取补救措施时，必须对原有资料及信息作出妥善保密处理。</w:t>
      </w:r>
    </w:p>
    <w:p w14:paraId="18E2B0E0">
      <w:pPr>
        <w:pStyle w:val="2"/>
        <w:pageBreakBefore w:val="0"/>
        <w:kinsoku/>
        <w:wordWrap w:val="0"/>
        <w:bidi w:val="0"/>
        <w:outlineLvl w:val="2"/>
        <w:rPr>
          <w:rFonts w:hint="default" w:ascii="Times New Roman" w:hAnsi="Times New Roman" w:cs="Times New Roman"/>
          <w:color w:val="auto"/>
          <w:highlight w:val="none"/>
        </w:rPr>
      </w:pPr>
      <w:bookmarkStart w:id="241" w:name="_Toc11803"/>
      <w:bookmarkStart w:id="242" w:name="_Toc20631"/>
      <w:bookmarkStart w:id="243" w:name="_Toc3488"/>
      <w:r>
        <w:rPr>
          <w:rFonts w:hint="default" w:ascii="Times New Roman" w:hAnsi="Times New Roman" w:cs="Times New Roman"/>
          <w:color w:val="auto"/>
          <w:highlight w:val="none"/>
        </w:rPr>
        <w:t>5.4开标异议</w:t>
      </w:r>
      <w:bookmarkEnd w:id="241"/>
      <w:bookmarkEnd w:id="242"/>
      <w:bookmarkEnd w:id="243"/>
    </w:p>
    <w:p w14:paraId="1B76890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u w:val="single"/>
        </w:rPr>
      </w:pPr>
      <w:r>
        <w:rPr>
          <w:rFonts w:hint="default" w:ascii="Times New Roman" w:hAnsi="Times New Roman" w:cs="Times New Roman"/>
          <w:color w:val="auto"/>
          <w:sz w:val="24"/>
          <w:szCs w:val="24"/>
          <w:highlight w:val="none"/>
        </w:rPr>
        <w:t>投标人对开标有异议的，应在开标现场</w:t>
      </w:r>
      <w:r>
        <w:rPr>
          <w:rFonts w:hint="default" w:ascii="Times New Roman" w:hAnsi="Times New Roman" w:cs="Times New Roman"/>
          <w:color w:val="auto"/>
          <w:sz w:val="24"/>
          <w:szCs w:val="24"/>
          <w:highlight w:val="none"/>
          <w:lang w:val="en-US" w:eastAsia="zh-CN"/>
        </w:rPr>
        <w:t>通过</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不见面开标大厅</w:t>
      </w:r>
      <w:r>
        <w:rPr>
          <w:rFonts w:hint="eastAsia" w:ascii="宋体" w:hAnsi="宋体" w:eastAsia="宋体" w:cs="宋体"/>
          <w:color w:val="auto"/>
          <w:sz w:val="24"/>
          <w:szCs w:val="24"/>
          <w:highlight w:val="none"/>
        </w:rPr>
        <w:t>”</w:t>
      </w:r>
      <w:r>
        <w:rPr>
          <w:rFonts w:hint="default" w:ascii="Times New Roman" w:hAnsi="Times New Roman" w:cs="Times New Roman"/>
          <w:color w:val="auto"/>
          <w:sz w:val="24"/>
          <w:szCs w:val="24"/>
          <w:highlight w:val="none"/>
        </w:rPr>
        <w:t>提出，招标人当场作出答复，并制作记录</w:t>
      </w:r>
      <w:r>
        <w:rPr>
          <w:rFonts w:hint="default" w:ascii="Times New Roman" w:hAnsi="Times New Roman" w:eastAsia="宋体" w:cs="Times New Roman"/>
          <w:color w:val="auto"/>
          <w:sz w:val="24"/>
          <w:highlight w:val="none"/>
        </w:rPr>
        <w:t>。</w:t>
      </w:r>
    </w:p>
    <w:p w14:paraId="3ACBE922">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244" w:name="_Toc32026"/>
      <w:bookmarkStart w:id="245" w:name="_Toc25227"/>
      <w:bookmarkStart w:id="246" w:name="_Toc26520"/>
      <w:bookmarkStart w:id="247" w:name="_Toc234832906"/>
      <w:r>
        <w:rPr>
          <w:rFonts w:hint="default" w:ascii="Times New Roman" w:hAnsi="Times New Roman" w:eastAsia="黑体" w:cs="Times New Roman"/>
          <w:b w:val="0"/>
          <w:color w:val="auto"/>
          <w:sz w:val="28"/>
          <w:szCs w:val="28"/>
          <w:highlight w:val="none"/>
        </w:rPr>
        <w:t>6. 评标</w:t>
      </w:r>
      <w:bookmarkEnd w:id="244"/>
      <w:bookmarkEnd w:id="245"/>
      <w:bookmarkEnd w:id="246"/>
      <w:bookmarkEnd w:id="247"/>
    </w:p>
    <w:p w14:paraId="5CEAC5DF">
      <w:pPr>
        <w:pStyle w:val="2"/>
        <w:pageBreakBefore w:val="0"/>
        <w:kinsoku/>
        <w:wordWrap w:val="0"/>
        <w:bidi w:val="0"/>
        <w:outlineLvl w:val="2"/>
        <w:rPr>
          <w:rFonts w:hint="default" w:ascii="Times New Roman" w:hAnsi="Times New Roman" w:cs="Times New Roman"/>
          <w:color w:val="auto"/>
          <w:highlight w:val="none"/>
        </w:rPr>
      </w:pPr>
      <w:bookmarkStart w:id="248" w:name="_Toc22353"/>
      <w:bookmarkStart w:id="249" w:name="_Toc234832907"/>
      <w:bookmarkStart w:id="250" w:name="_Toc21787"/>
      <w:bookmarkStart w:id="251" w:name="_Toc475"/>
      <w:r>
        <w:rPr>
          <w:rFonts w:hint="default" w:ascii="Times New Roman" w:hAnsi="Times New Roman" w:cs="Times New Roman"/>
          <w:color w:val="auto"/>
          <w:highlight w:val="none"/>
        </w:rPr>
        <w:t>6.1评标委员会</w:t>
      </w:r>
      <w:bookmarkEnd w:id="248"/>
      <w:bookmarkEnd w:id="249"/>
      <w:bookmarkEnd w:id="250"/>
      <w:bookmarkEnd w:id="251"/>
    </w:p>
    <w:p w14:paraId="6953A64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6.1.1 评标由招标人依法组建的评标委员会负责。评标委员会由招标人或其委托熟悉相关业务的代表，以及有关技术、经济等方面的专家组成。评标委员会成员人数以及技术、经济等方面专家的确定方式见投标人须知前附表。</w:t>
      </w:r>
    </w:p>
    <w:p w14:paraId="025B511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6.1.2 评标委员会成员有下列情形之一的，应主动提出回避：</w:t>
      </w:r>
    </w:p>
    <w:p w14:paraId="5E0D6E4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（1）为负责招标项目监督管理的交通运输主管部门的工作人员；</w:t>
      </w:r>
    </w:p>
    <w:p w14:paraId="09DE396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（2）与投标人法定代表人或其委托代理人有近亲属关系；</w:t>
      </w:r>
    </w:p>
    <w:p w14:paraId="45B8801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（3）为投标人的工作人员或退休人员；</w:t>
      </w:r>
    </w:p>
    <w:p w14:paraId="49A86CD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（4）与投标人有其他利害关系，可能影响评标活动公正性；</w:t>
      </w:r>
    </w:p>
    <w:p w14:paraId="688805B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（5）在与招标投标有关的活动中有过违法违规行为、曾受过行政处罚或刑事处罚。</w:t>
      </w:r>
    </w:p>
    <w:p w14:paraId="7B1CC0C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招标人及其子公司、招标人下属单位、招标人的上级主管部门或者控股公司、招标代理机构的工作人员或者退休人员不得以专家身份参与本单位招标或者招标代理项目的评标。</w:t>
      </w:r>
    </w:p>
    <w:p w14:paraId="0B8CE4F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6.1.3 评标过程中，评标委员会成员有回避事由、擅离职守或因健康等原因不能继续评标的，招标人有权更换。被更换的评标委员会成员作出的评审结论无效，由更换后的评标委员会成员重新进行评审。</w:t>
      </w:r>
    </w:p>
    <w:p w14:paraId="463F4E76">
      <w:pPr>
        <w:pStyle w:val="2"/>
        <w:pageBreakBefore w:val="0"/>
        <w:kinsoku/>
        <w:wordWrap w:val="0"/>
        <w:bidi w:val="0"/>
        <w:outlineLvl w:val="2"/>
        <w:rPr>
          <w:rFonts w:hint="default" w:ascii="Times New Roman" w:hAnsi="Times New Roman" w:cs="Times New Roman"/>
          <w:color w:val="auto"/>
          <w:highlight w:val="none"/>
        </w:rPr>
      </w:pPr>
      <w:bookmarkStart w:id="252" w:name="_Toc234832908"/>
      <w:bookmarkStart w:id="253" w:name="_Toc9194"/>
      <w:bookmarkStart w:id="254" w:name="_Toc4844"/>
      <w:bookmarkStart w:id="255" w:name="_Toc2946"/>
      <w:r>
        <w:rPr>
          <w:rFonts w:hint="default" w:ascii="Times New Roman" w:hAnsi="Times New Roman" w:cs="Times New Roman"/>
          <w:color w:val="auto"/>
          <w:highlight w:val="none"/>
        </w:rPr>
        <w:t>6.2 评标原则</w:t>
      </w:r>
      <w:bookmarkEnd w:id="252"/>
      <w:bookmarkEnd w:id="253"/>
      <w:bookmarkEnd w:id="254"/>
      <w:bookmarkEnd w:id="255"/>
    </w:p>
    <w:p w14:paraId="397C2B9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评标活动遵循公平、公正、科学和择优的原则。</w:t>
      </w:r>
    </w:p>
    <w:p w14:paraId="7F590E44">
      <w:pPr>
        <w:pStyle w:val="2"/>
        <w:pageBreakBefore w:val="0"/>
        <w:kinsoku/>
        <w:wordWrap w:val="0"/>
        <w:bidi w:val="0"/>
        <w:outlineLvl w:val="2"/>
        <w:rPr>
          <w:rFonts w:hint="default" w:ascii="Times New Roman" w:hAnsi="Times New Roman" w:cs="Times New Roman"/>
          <w:color w:val="auto"/>
          <w:highlight w:val="none"/>
        </w:rPr>
      </w:pPr>
      <w:bookmarkStart w:id="256" w:name="_Toc32567"/>
      <w:bookmarkStart w:id="257" w:name="_Toc25028"/>
      <w:bookmarkStart w:id="258" w:name="_Toc22506"/>
      <w:bookmarkStart w:id="259" w:name="_Toc234832909"/>
      <w:r>
        <w:rPr>
          <w:rFonts w:hint="default" w:ascii="Times New Roman" w:hAnsi="Times New Roman" w:cs="Times New Roman"/>
          <w:color w:val="auto"/>
          <w:highlight w:val="none"/>
        </w:rPr>
        <w:t>6.3 评标</w:t>
      </w:r>
      <w:bookmarkEnd w:id="256"/>
      <w:bookmarkEnd w:id="257"/>
      <w:bookmarkEnd w:id="258"/>
      <w:bookmarkEnd w:id="259"/>
    </w:p>
    <w:p w14:paraId="1F9E4B7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6.3.1 评标委员会按照第三章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规定的方法、评审因素、标准和程序对投标文件进行评审。第三章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没有规定的方法、评审因素和标准，不作为评标依据。</w:t>
      </w:r>
    </w:p>
    <w:p w14:paraId="5CCBBE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6.3.2评标及补救措施</w:t>
      </w:r>
    </w:p>
    <w:p w14:paraId="5B2FD2A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评标委员会按照本章第6.3.1项的规定在电子评标系统上开展评审工作。如果评标过程中出现异常情况，导致无法继续评审工作的，可暂停评标，对原有资料及信息作出妥善保密处理，待电子评标系统恢复正常之后，应重新组织评审。</w:t>
      </w:r>
    </w:p>
    <w:p w14:paraId="4E33ED1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szCs w:val="24"/>
          <w:highlight w:val="none"/>
        </w:rPr>
        <w:t>评标完成后，评标委员会应当向招标人提交书面评标报告和中标候选人名单。评标委员会推荐中标</w:t>
      </w:r>
      <w:bookmarkStart w:id="260" w:name="_Toc361508615"/>
      <w:bookmarkStart w:id="261" w:name="_Toc144974526"/>
      <w:bookmarkStart w:id="262" w:name="_Toc384308240"/>
      <w:bookmarkStart w:id="263" w:name="_Toc247527583"/>
      <w:bookmarkStart w:id="264" w:name="_Toc369531546"/>
      <w:bookmarkStart w:id="265" w:name="_Toc352691502"/>
      <w:bookmarkStart w:id="266" w:name="_Toc152045558"/>
      <w:bookmarkStart w:id="267" w:name="_Toc12259"/>
      <w:bookmarkStart w:id="268" w:name="_Toc152042334"/>
      <w:bookmarkStart w:id="269" w:name="_Toc247513982"/>
      <w:bookmarkStart w:id="270" w:name="_Toc300834979"/>
      <w:r>
        <w:rPr>
          <w:rFonts w:hint="default" w:ascii="Times New Roman" w:hAnsi="Times New Roman" w:cs="Times New Roman"/>
          <w:color w:val="auto"/>
          <w:sz w:val="24"/>
          <w:szCs w:val="24"/>
          <w:highlight w:val="none"/>
        </w:rPr>
        <w:t>候选人的人数见投标人须知前附</w:t>
      </w:r>
      <w:bookmarkEnd w:id="260"/>
      <w:bookmarkEnd w:id="261"/>
      <w:bookmarkEnd w:id="262"/>
      <w:bookmarkEnd w:id="263"/>
      <w:bookmarkEnd w:id="264"/>
      <w:bookmarkEnd w:id="265"/>
      <w:bookmarkEnd w:id="266"/>
      <w:bookmarkEnd w:id="267"/>
      <w:bookmarkEnd w:id="268"/>
      <w:bookmarkEnd w:id="269"/>
      <w:bookmarkEnd w:id="270"/>
      <w:r>
        <w:rPr>
          <w:rFonts w:hint="default" w:ascii="Times New Roman" w:hAnsi="Times New Roman" w:cs="Times New Roman"/>
          <w:color w:val="auto"/>
          <w:sz w:val="24"/>
          <w:szCs w:val="24"/>
          <w:highlight w:val="none"/>
        </w:rPr>
        <w:t>表</w:t>
      </w:r>
      <w:r>
        <w:rPr>
          <w:rFonts w:hint="default" w:ascii="Times New Roman" w:hAnsi="Times New Roman" w:eastAsia="宋体" w:cs="Times New Roman"/>
          <w:color w:val="auto"/>
          <w:sz w:val="24"/>
          <w:highlight w:val="none"/>
        </w:rPr>
        <w:t>。</w:t>
      </w:r>
    </w:p>
    <w:p w14:paraId="532F1523">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271" w:name="_Toc16883"/>
      <w:bookmarkStart w:id="272" w:name="_Toc234832910"/>
      <w:bookmarkStart w:id="273" w:name="_Toc29075"/>
      <w:bookmarkStart w:id="274" w:name="_Toc5930"/>
      <w:r>
        <w:rPr>
          <w:rFonts w:hint="default" w:ascii="Times New Roman" w:hAnsi="Times New Roman" w:eastAsia="黑体" w:cs="Times New Roman"/>
          <w:b w:val="0"/>
          <w:color w:val="auto"/>
          <w:sz w:val="28"/>
          <w:szCs w:val="28"/>
          <w:highlight w:val="none"/>
        </w:rPr>
        <w:t>7. 合同授予</w:t>
      </w:r>
      <w:bookmarkEnd w:id="271"/>
      <w:bookmarkEnd w:id="272"/>
      <w:bookmarkEnd w:id="273"/>
      <w:bookmarkEnd w:id="274"/>
    </w:p>
    <w:p w14:paraId="44C1F90F">
      <w:pPr>
        <w:pStyle w:val="2"/>
        <w:pageBreakBefore w:val="0"/>
        <w:kinsoku/>
        <w:wordWrap w:val="0"/>
        <w:bidi w:val="0"/>
        <w:outlineLvl w:val="2"/>
        <w:rPr>
          <w:rFonts w:hint="default" w:ascii="Times New Roman" w:hAnsi="Times New Roman" w:cs="Times New Roman"/>
          <w:color w:val="auto"/>
          <w:highlight w:val="none"/>
        </w:rPr>
      </w:pPr>
      <w:bookmarkStart w:id="275" w:name="_Toc1586"/>
      <w:bookmarkStart w:id="276" w:name="_Toc6153"/>
      <w:bookmarkStart w:id="277" w:name="_Toc29612"/>
      <w:bookmarkStart w:id="278" w:name="_Toc234832911"/>
      <w:r>
        <w:rPr>
          <w:rFonts w:hint="default" w:ascii="Times New Roman" w:hAnsi="Times New Roman" w:cs="Times New Roman"/>
          <w:color w:val="auto"/>
          <w:highlight w:val="none"/>
        </w:rPr>
        <w:t>7.1 中标候选人公示</w:t>
      </w:r>
      <w:bookmarkEnd w:id="275"/>
      <w:bookmarkEnd w:id="276"/>
      <w:bookmarkEnd w:id="277"/>
    </w:p>
    <w:p w14:paraId="5481FF2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招标人在收到评标报告之日起3日内，按照投标人须知前附表规定的公示媒介和期限公示中标候选人，公示期不得少于3日，公示内容包括：</w:t>
      </w:r>
    </w:p>
    <w:p w14:paraId="383DEDE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（1）中标候选人排序、名称、投标报价，对工程质量要求、安全目标和工期的响应情况；</w:t>
      </w:r>
    </w:p>
    <w:p w14:paraId="0764269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（2）中标候选人在投标文件中承诺的项目经理和项目总工姓名、个人业绩、相关证书名称和编号；</w:t>
      </w:r>
    </w:p>
    <w:p w14:paraId="0B07518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（3）中标候选人在投标文件中填报的项目业绩；</w:t>
      </w:r>
    </w:p>
    <w:p w14:paraId="2F1C989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（4）被否决投标的投标人名称、否决依据和原因；</w:t>
      </w:r>
    </w:p>
    <w:p w14:paraId="1AEFC93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（5）提出异议的渠道和方式；</w:t>
      </w:r>
    </w:p>
    <w:p w14:paraId="13B09E1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（6）投标人须知前附表规定公示的其他内容。</w:t>
      </w:r>
    </w:p>
    <w:p w14:paraId="68F32CC9">
      <w:pPr>
        <w:pStyle w:val="2"/>
        <w:pageBreakBefore w:val="0"/>
        <w:kinsoku/>
        <w:wordWrap w:val="0"/>
        <w:bidi w:val="0"/>
        <w:outlineLvl w:val="2"/>
        <w:rPr>
          <w:rFonts w:hint="default" w:ascii="Times New Roman" w:hAnsi="Times New Roman" w:cs="Times New Roman"/>
          <w:color w:val="auto"/>
          <w:highlight w:val="none"/>
        </w:rPr>
      </w:pPr>
      <w:bookmarkStart w:id="279" w:name="_Toc28677"/>
      <w:bookmarkStart w:id="280" w:name="_Toc9333"/>
      <w:bookmarkStart w:id="281" w:name="_Toc27197"/>
      <w:r>
        <w:rPr>
          <w:rFonts w:hint="default" w:ascii="Times New Roman" w:hAnsi="Times New Roman" w:cs="Times New Roman"/>
          <w:color w:val="auto"/>
          <w:highlight w:val="none"/>
        </w:rPr>
        <w:t>7.2 评标结果异议</w:t>
      </w:r>
      <w:bookmarkEnd w:id="279"/>
      <w:bookmarkEnd w:id="280"/>
      <w:bookmarkEnd w:id="281"/>
    </w:p>
    <w:p w14:paraId="314BCA8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rPr>
        <w:t>投标人或其他利害关系人对依法必须进行招标的项目的评标结果有异议的，应在中标候选人公示期间提出。招标人将在收到异议之日起3日内作出答复；作出答复前，将暂停招标投标活动。</w:t>
      </w:r>
    </w:p>
    <w:p w14:paraId="09085330">
      <w:pPr>
        <w:pStyle w:val="2"/>
        <w:pageBreakBefore w:val="0"/>
        <w:kinsoku/>
        <w:wordWrap w:val="0"/>
        <w:bidi w:val="0"/>
        <w:outlineLvl w:val="2"/>
        <w:rPr>
          <w:rFonts w:hint="default" w:ascii="Times New Roman" w:hAnsi="Times New Roman" w:cs="Times New Roman"/>
          <w:color w:val="auto"/>
          <w:highlight w:val="none"/>
        </w:rPr>
      </w:pPr>
      <w:bookmarkStart w:id="282" w:name="_Toc2167"/>
      <w:bookmarkStart w:id="283" w:name="_Toc9159"/>
      <w:bookmarkStart w:id="284" w:name="_Toc20027"/>
      <w:r>
        <w:rPr>
          <w:rFonts w:hint="default" w:ascii="Times New Roman" w:hAnsi="Times New Roman" w:cs="Times New Roman"/>
          <w:color w:val="auto"/>
          <w:highlight w:val="none"/>
        </w:rPr>
        <w:t>7.3 中标候选人履约能力审查</w:t>
      </w:r>
      <w:bookmarkEnd w:id="282"/>
      <w:bookmarkEnd w:id="283"/>
      <w:bookmarkEnd w:id="284"/>
    </w:p>
    <w:p w14:paraId="5AA192B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6CC9869C">
      <w:pPr>
        <w:pStyle w:val="2"/>
        <w:pageBreakBefore w:val="0"/>
        <w:kinsoku/>
        <w:wordWrap w:val="0"/>
        <w:bidi w:val="0"/>
        <w:outlineLvl w:val="2"/>
        <w:rPr>
          <w:rFonts w:hint="default" w:ascii="Times New Roman" w:hAnsi="Times New Roman" w:cs="Times New Roman"/>
          <w:color w:val="auto"/>
          <w:highlight w:val="none"/>
        </w:rPr>
      </w:pPr>
      <w:bookmarkStart w:id="285" w:name="_Toc766"/>
      <w:bookmarkStart w:id="286" w:name="_Toc19093"/>
      <w:bookmarkStart w:id="287" w:name="_Toc5726"/>
      <w:r>
        <w:rPr>
          <w:rFonts w:hint="default" w:ascii="Times New Roman" w:hAnsi="Times New Roman" w:cs="Times New Roman"/>
          <w:color w:val="auto"/>
          <w:highlight w:val="none"/>
        </w:rPr>
        <w:t>7.</w:t>
      </w:r>
      <w:r>
        <w:rPr>
          <w:rFonts w:hint="default" w:ascii="Times New Roman" w:hAnsi="Times New Roman" w:cs="Times New Roman"/>
          <w:color w:val="auto"/>
          <w:highlight w:val="none"/>
          <w:lang w:eastAsia="zh-CN"/>
        </w:rPr>
        <w:t xml:space="preserve">4 </w:t>
      </w:r>
      <w:r>
        <w:rPr>
          <w:rFonts w:hint="default" w:ascii="Times New Roman" w:hAnsi="Times New Roman" w:cs="Times New Roman"/>
          <w:color w:val="auto"/>
          <w:highlight w:val="none"/>
        </w:rPr>
        <w:t>定标</w:t>
      </w:r>
      <w:bookmarkEnd w:id="278"/>
      <w:bookmarkEnd w:id="285"/>
      <w:bookmarkEnd w:id="286"/>
      <w:bookmarkEnd w:id="287"/>
    </w:p>
    <w:p w14:paraId="706D445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7.4.1</w:t>
      </w:r>
      <w:r>
        <w:rPr>
          <w:rFonts w:hint="default" w:ascii="Times New Roman" w:hAnsi="Times New Roman" w:eastAsia="宋体" w:cs="Times New Roman"/>
          <w:color w:val="auto"/>
          <w:sz w:val="24"/>
          <w:highlight w:val="none"/>
        </w:rPr>
        <w:t>按照投标人须知前附表的规定，招标人或招标人授权的评标委员会依法确定中标人。</w:t>
      </w:r>
    </w:p>
    <w:p w14:paraId="1465B88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eastAsia" w:cs="Times New Roman"/>
          <w:color w:val="auto"/>
          <w:sz w:val="24"/>
          <w:highlight w:val="none"/>
          <w:lang w:val="en-US" w:eastAsia="zh-CN"/>
        </w:rPr>
        <w:t>7.4.2招标人依据投标须知前附表的</w:t>
      </w:r>
      <w:r>
        <w:rPr>
          <w:rFonts w:hint="eastAsia" w:cs="Times New Roman"/>
          <w:color w:val="auto"/>
          <w:sz w:val="24"/>
          <w:szCs w:val="24"/>
          <w:highlight w:val="none"/>
          <w:lang w:val="en-US" w:eastAsia="zh-CN"/>
        </w:rPr>
        <w:t>定标规则</w:t>
      </w:r>
      <w:r>
        <w:rPr>
          <w:rFonts w:hint="eastAsia" w:cs="Times New Roman"/>
          <w:color w:val="auto"/>
          <w:sz w:val="24"/>
          <w:highlight w:val="none"/>
          <w:lang w:val="en-US" w:eastAsia="zh-CN"/>
        </w:rPr>
        <w:t>，在评标委员会推荐的中标候选人中确定中标人</w:t>
      </w:r>
      <w:r>
        <w:rPr>
          <w:rFonts w:hint="default" w:ascii="Times New Roman" w:hAnsi="Times New Roman" w:eastAsia="宋体" w:cs="Times New Roman"/>
          <w:color w:val="auto"/>
          <w:sz w:val="24"/>
          <w:highlight w:val="none"/>
        </w:rPr>
        <w:t>。</w:t>
      </w:r>
    </w:p>
    <w:p w14:paraId="04FFCA1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lang w:val="en-US" w:eastAsia="zh-CN"/>
        </w:rPr>
      </w:pPr>
      <w:r>
        <w:rPr>
          <w:rFonts w:hint="eastAsia" w:cs="Times New Roman"/>
          <w:color w:val="auto"/>
          <w:sz w:val="24"/>
          <w:highlight w:val="none"/>
          <w:lang w:val="en-US" w:eastAsia="zh-CN"/>
        </w:rPr>
        <w:t>7.4.3招标人授权评标委员会按前附表7.4.2项规定的规则直接定标。</w:t>
      </w:r>
    </w:p>
    <w:p w14:paraId="0FB28957">
      <w:pPr>
        <w:pStyle w:val="2"/>
        <w:pageBreakBefore w:val="0"/>
        <w:kinsoku/>
        <w:wordWrap w:val="0"/>
        <w:bidi w:val="0"/>
        <w:outlineLvl w:val="2"/>
        <w:rPr>
          <w:rFonts w:hint="default" w:ascii="Times New Roman" w:hAnsi="Times New Roman" w:cs="Times New Roman"/>
          <w:color w:val="auto"/>
          <w:highlight w:val="none"/>
        </w:rPr>
      </w:pPr>
      <w:bookmarkStart w:id="288" w:name="_Toc4728"/>
      <w:bookmarkStart w:id="289" w:name="_Toc11520"/>
      <w:bookmarkStart w:id="290" w:name="_Toc234832912"/>
      <w:bookmarkStart w:id="291" w:name="_Toc10213"/>
      <w:r>
        <w:rPr>
          <w:rFonts w:hint="default" w:ascii="Times New Roman" w:hAnsi="Times New Roman" w:cs="Times New Roman"/>
          <w:color w:val="auto"/>
          <w:highlight w:val="none"/>
        </w:rPr>
        <w:t>7.</w:t>
      </w:r>
      <w:r>
        <w:rPr>
          <w:rFonts w:hint="default" w:ascii="Times New Roman" w:hAnsi="Times New Roman" w:cs="Times New Roman"/>
          <w:color w:val="auto"/>
          <w:highlight w:val="none"/>
          <w:lang w:eastAsia="zh-CN"/>
        </w:rPr>
        <w:t>5 中标通知</w:t>
      </w:r>
      <w:bookmarkEnd w:id="288"/>
      <w:bookmarkEnd w:id="289"/>
      <w:bookmarkEnd w:id="290"/>
      <w:bookmarkEnd w:id="291"/>
    </w:p>
    <w:p w14:paraId="24F9B88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cs="Times New Roman"/>
          <w:color w:val="auto"/>
          <w:sz w:val="24"/>
          <w:highlight w:val="none"/>
        </w:rPr>
        <w:t>在本章第3.3款规定的投标有效期内，招标人应通过</w:t>
      </w:r>
      <w:r>
        <w:rPr>
          <w:rFonts w:hint="default" w:ascii="Times New Roman" w:hAnsi="Times New Roman" w:cs="Times New Roman"/>
          <w:color w:val="auto"/>
          <w:sz w:val="24"/>
          <w:highlight w:val="none"/>
          <w:lang w:val="en-US" w:eastAsia="zh-CN"/>
        </w:rPr>
        <w:t>投标人须知前附表规定的</w:t>
      </w:r>
      <w:r>
        <w:rPr>
          <w:rFonts w:hint="default" w:ascii="Times New Roman" w:hAnsi="Times New Roman" w:cs="Times New Roman"/>
          <w:color w:val="auto"/>
          <w:sz w:val="24"/>
          <w:highlight w:val="none"/>
        </w:rPr>
        <w:t>形式向中标人发出中标通知书，同时将中标结果通知未中标的投标人</w:t>
      </w:r>
      <w:r>
        <w:rPr>
          <w:rFonts w:hint="default" w:ascii="Times New Roman" w:hAnsi="Times New Roman" w:eastAsia="宋体" w:cs="Times New Roman"/>
          <w:color w:val="auto"/>
          <w:sz w:val="24"/>
          <w:highlight w:val="none"/>
        </w:rPr>
        <w:t>。</w:t>
      </w:r>
    </w:p>
    <w:p w14:paraId="75BA45ED">
      <w:pPr>
        <w:pStyle w:val="2"/>
        <w:pageBreakBefore w:val="0"/>
        <w:kinsoku/>
        <w:wordWrap w:val="0"/>
        <w:bidi w:val="0"/>
        <w:outlineLvl w:val="2"/>
        <w:rPr>
          <w:rFonts w:hint="default" w:ascii="Times New Roman" w:hAnsi="Times New Roman" w:cs="Times New Roman"/>
          <w:color w:val="auto"/>
          <w:highlight w:val="none"/>
        </w:rPr>
      </w:pPr>
      <w:bookmarkStart w:id="292" w:name="_Toc16073"/>
      <w:bookmarkStart w:id="293" w:name="_Toc8745"/>
      <w:bookmarkStart w:id="294" w:name="_Toc2116"/>
      <w:r>
        <w:rPr>
          <w:rFonts w:hint="default" w:ascii="Times New Roman" w:hAnsi="Times New Roman" w:cs="Times New Roman"/>
          <w:color w:val="auto"/>
          <w:highlight w:val="none"/>
        </w:rPr>
        <w:t>7.</w:t>
      </w:r>
      <w:r>
        <w:rPr>
          <w:rFonts w:hint="default" w:ascii="Times New Roman" w:hAnsi="Times New Roman" w:cs="Times New Roman"/>
          <w:color w:val="auto"/>
          <w:highlight w:val="none"/>
          <w:lang w:eastAsia="zh-CN"/>
        </w:rPr>
        <w:t xml:space="preserve">6 </w:t>
      </w:r>
      <w:r>
        <w:rPr>
          <w:rFonts w:hint="default" w:ascii="Times New Roman" w:hAnsi="Times New Roman" w:cs="Times New Roman"/>
          <w:color w:val="auto"/>
          <w:highlight w:val="none"/>
        </w:rPr>
        <w:t>中标</w:t>
      </w:r>
      <w:r>
        <w:rPr>
          <w:rFonts w:hint="default" w:ascii="Times New Roman" w:hAnsi="Times New Roman" w:cs="Times New Roman"/>
          <w:color w:val="auto"/>
          <w:highlight w:val="none"/>
          <w:lang w:eastAsia="zh-CN"/>
        </w:rPr>
        <w:t>结果</w:t>
      </w:r>
      <w:r>
        <w:rPr>
          <w:rFonts w:hint="default" w:ascii="Times New Roman" w:hAnsi="Times New Roman" w:cs="Times New Roman"/>
          <w:color w:val="auto"/>
          <w:highlight w:val="none"/>
        </w:rPr>
        <w:t>公告</w:t>
      </w:r>
      <w:bookmarkEnd w:id="292"/>
      <w:bookmarkEnd w:id="293"/>
      <w:bookmarkEnd w:id="294"/>
    </w:p>
    <w:p w14:paraId="4D69381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招标人在确定中标人之日起3日内，按照投标人须知前附表规定的公告媒介和期限公告中标结果，公告期不得少于3日。公告内容包括中标人名称、中标价。</w:t>
      </w:r>
    </w:p>
    <w:p w14:paraId="37573989">
      <w:pPr>
        <w:pStyle w:val="2"/>
        <w:pageBreakBefore w:val="0"/>
        <w:kinsoku/>
        <w:wordWrap w:val="0"/>
        <w:bidi w:val="0"/>
        <w:outlineLvl w:val="2"/>
        <w:rPr>
          <w:rFonts w:hint="default" w:ascii="Times New Roman" w:hAnsi="Times New Roman" w:cs="Times New Roman"/>
          <w:color w:val="auto"/>
          <w:highlight w:val="none"/>
        </w:rPr>
      </w:pPr>
      <w:bookmarkStart w:id="295" w:name="_Toc234832913"/>
      <w:bookmarkStart w:id="296" w:name="_Toc24614"/>
      <w:bookmarkStart w:id="297" w:name="_Toc12850"/>
      <w:bookmarkStart w:id="298" w:name="_Toc8824"/>
      <w:r>
        <w:rPr>
          <w:rFonts w:hint="default" w:ascii="Times New Roman" w:hAnsi="Times New Roman" w:cs="Times New Roman"/>
          <w:color w:val="auto"/>
          <w:highlight w:val="none"/>
        </w:rPr>
        <w:t>7.</w:t>
      </w:r>
      <w:r>
        <w:rPr>
          <w:rFonts w:hint="default" w:ascii="Times New Roman" w:hAnsi="Times New Roman" w:cs="Times New Roman"/>
          <w:color w:val="auto"/>
          <w:highlight w:val="none"/>
          <w:lang w:eastAsia="zh-CN"/>
        </w:rPr>
        <w:t xml:space="preserve">7 </w:t>
      </w:r>
      <w:r>
        <w:rPr>
          <w:rFonts w:hint="default" w:ascii="Times New Roman" w:hAnsi="Times New Roman" w:cs="Times New Roman"/>
          <w:color w:val="auto"/>
          <w:highlight w:val="none"/>
        </w:rPr>
        <w:t>履约</w:t>
      </w:r>
      <w:bookmarkEnd w:id="295"/>
      <w:r>
        <w:rPr>
          <w:rFonts w:hint="default" w:ascii="Times New Roman" w:hAnsi="Times New Roman" w:cs="Times New Roman"/>
          <w:color w:val="auto"/>
          <w:highlight w:val="none"/>
          <w:lang w:eastAsia="zh-CN"/>
        </w:rPr>
        <w:t>保证金</w:t>
      </w:r>
      <w:bookmarkEnd w:id="296"/>
      <w:bookmarkEnd w:id="297"/>
      <w:bookmarkEnd w:id="298"/>
    </w:p>
    <w:p w14:paraId="2ACB876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7.7.1 在签订合同前，中标人应按投标人须知前附表规定的形式、金额和招标文件第四章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合同条款及格式</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规定的或事先经过招标人书面认可的履约保证金格式向招标人提交履约保证金。除投标人须知前附表另有规定外，履约保证金为签约合同价的</w:t>
      </w:r>
      <w:r>
        <w:rPr>
          <w:rFonts w:hint="default" w:ascii="Times New Roman" w:hAnsi="Times New Roman" w:eastAsia="宋体" w:cs="Times New Roman"/>
          <w:color w:val="auto"/>
          <w:sz w:val="24"/>
          <w:highlight w:val="none"/>
          <w:lang w:val="en-US"/>
        </w:rPr>
        <w:t>10</w:t>
      </w:r>
      <w:r>
        <w:rPr>
          <w:rFonts w:hint="default" w:ascii="Times New Roman" w:hAnsi="Times New Roman" w:eastAsia="宋体" w:cs="Times New Roman"/>
          <w:color w:val="auto"/>
          <w:sz w:val="24"/>
          <w:highlight w:val="none"/>
        </w:rPr>
        <w:t>%。联合体中标的，其履约保证金以联合体各方或联合体中牵头人的名义提交。</w:t>
      </w:r>
    </w:p>
    <w:p w14:paraId="3A55B77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采用银行保函时，应由符合投标人须知前附表规定级别的银行开具，所需的费用由中标人承担，中标人应保证银行保函有效。</w:t>
      </w:r>
    </w:p>
    <w:p w14:paraId="74E630E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7.7.2 中标人不能按本章第7.7.1项要求提交履约保证金的，视为放弃中标，其投标保证金不予退还，给招标人造成的损失超过投标保证金数额的，中标人还应对超过部分予以赔偿。</w:t>
      </w:r>
    </w:p>
    <w:p w14:paraId="0F09E191">
      <w:pPr>
        <w:pStyle w:val="2"/>
        <w:pageBreakBefore w:val="0"/>
        <w:kinsoku/>
        <w:wordWrap w:val="0"/>
        <w:bidi w:val="0"/>
        <w:outlineLvl w:val="2"/>
        <w:rPr>
          <w:rFonts w:hint="default" w:ascii="Times New Roman" w:hAnsi="Times New Roman" w:cs="Times New Roman"/>
          <w:color w:val="auto"/>
          <w:highlight w:val="none"/>
        </w:rPr>
      </w:pPr>
      <w:bookmarkStart w:id="299" w:name="_Toc12449"/>
      <w:bookmarkStart w:id="300" w:name="_Toc234832914"/>
      <w:bookmarkStart w:id="301" w:name="_Toc24076"/>
      <w:bookmarkStart w:id="302" w:name="_Toc8984"/>
      <w:r>
        <w:rPr>
          <w:rFonts w:hint="default" w:ascii="Times New Roman" w:hAnsi="Times New Roman" w:cs="Times New Roman"/>
          <w:color w:val="auto"/>
          <w:highlight w:val="none"/>
        </w:rPr>
        <w:t>7.</w:t>
      </w:r>
      <w:r>
        <w:rPr>
          <w:rFonts w:hint="default" w:ascii="Times New Roman" w:hAnsi="Times New Roman" w:cs="Times New Roman"/>
          <w:color w:val="auto"/>
          <w:highlight w:val="none"/>
          <w:lang w:eastAsia="zh-CN"/>
        </w:rPr>
        <w:t>8</w:t>
      </w:r>
      <w:r>
        <w:rPr>
          <w:rFonts w:hint="default" w:ascii="Times New Roman" w:hAnsi="Times New Roman" w:cs="Times New Roman"/>
          <w:color w:val="auto"/>
          <w:highlight w:val="none"/>
        </w:rPr>
        <w:t xml:space="preserve"> 签订合同</w:t>
      </w:r>
      <w:bookmarkEnd w:id="299"/>
      <w:bookmarkEnd w:id="300"/>
      <w:bookmarkEnd w:id="301"/>
      <w:bookmarkEnd w:id="302"/>
    </w:p>
    <w:p w14:paraId="6F64A45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7.8.1 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 </w:t>
      </w:r>
    </w:p>
    <w:p w14:paraId="317505D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7.8.2 发出中标通知书后，招标人无正当理由拒签合同，或在签订合同时向中标人提出附加条件的，招标人向中标人退还投标保证金；给中标人造成损失的，还应赔偿损失。</w:t>
      </w:r>
    </w:p>
    <w:p w14:paraId="3269515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7.8.</w:t>
      </w:r>
      <w:r>
        <w:rPr>
          <w:rFonts w:hint="eastAsia" w:cs="Times New Roman"/>
          <w:color w:val="auto"/>
          <w:sz w:val="24"/>
          <w:highlight w:val="none"/>
          <w:lang w:val="en-US" w:eastAsia="zh-CN"/>
        </w:rPr>
        <w:t>3</w:t>
      </w:r>
      <w:r>
        <w:rPr>
          <w:rFonts w:hint="default" w:ascii="Times New Roman" w:hAnsi="Times New Roman" w:eastAsia="宋体" w:cs="Times New Roman"/>
          <w:color w:val="auto"/>
          <w:sz w:val="24"/>
          <w:highlight w:val="none"/>
        </w:rPr>
        <w:t xml:space="preserve"> 联合体中标的，联合体各方应共同与招标人签订合同，就中标项目向招标人承担连带责任。</w:t>
      </w:r>
    </w:p>
    <w:p w14:paraId="4338B18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7.8.</w:t>
      </w:r>
      <w:r>
        <w:rPr>
          <w:rFonts w:hint="eastAsia" w:cs="Times New Roman"/>
          <w:color w:val="auto"/>
          <w:sz w:val="24"/>
          <w:highlight w:val="none"/>
          <w:lang w:val="en-US" w:eastAsia="zh-CN"/>
        </w:rPr>
        <w:t>4</w:t>
      </w:r>
      <w:r>
        <w:rPr>
          <w:rFonts w:hint="default" w:ascii="Times New Roman" w:hAnsi="Times New Roman" w:eastAsia="宋体" w:cs="Times New Roman"/>
          <w:color w:val="auto"/>
          <w:sz w:val="24"/>
          <w:highlight w:val="none"/>
        </w:rPr>
        <w:t xml:space="preserve"> 招标人和中标人在签订合同协议书的同时，须按照本招标文件规定的格式和要求签订廉政合同及安全生产合同，明确双方在廉政建设和安全生产方面的权利和义务以及应承担的违约责任。</w:t>
      </w:r>
    </w:p>
    <w:p w14:paraId="53A47C0E">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303" w:name="_Toc21562"/>
      <w:bookmarkStart w:id="304" w:name="_Toc234832918"/>
      <w:bookmarkStart w:id="305" w:name="_Toc11642"/>
      <w:bookmarkStart w:id="306" w:name="_Toc11626"/>
      <w:r>
        <w:rPr>
          <w:rFonts w:hint="default" w:ascii="Times New Roman" w:hAnsi="Times New Roman" w:eastAsia="黑体" w:cs="Times New Roman"/>
          <w:b w:val="0"/>
          <w:color w:val="auto"/>
          <w:sz w:val="28"/>
          <w:szCs w:val="28"/>
          <w:highlight w:val="none"/>
          <w:lang w:eastAsia="zh-CN"/>
        </w:rPr>
        <w:t>8</w:t>
      </w:r>
      <w:r>
        <w:rPr>
          <w:rFonts w:hint="default" w:ascii="Times New Roman" w:hAnsi="Times New Roman" w:eastAsia="黑体" w:cs="Times New Roman"/>
          <w:b w:val="0"/>
          <w:color w:val="auto"/>
          <w:sz w:val="28"/>
          <w:szCs w:val="28"/>
          <w:highlight w:val="none"/>
        </w:rPr>
        <w:t>. 纪律和监督</w:t>
      </w:r>
      <w:bookmarkEnd w:id="303"/>
      <w:bookmarkEnd w:id="304"/>
      <w:bookmarkEnd w:id="305"/>
      <w:bookmarkEnd w:id="306"/>
    </w:p>
    <w:p w14:paraId="41E4D223">
      <w:pPr>
        <w:pStyle w:val="2"/>
        <w:pageBreakBefore w:val="0"/>
        <w:kinsoku/>
        <w:wordWrap w:val="0"/>
        <w:bidi w:val="0"/>
        <w:outlineLvl w:val="2"/>
        <w:rPr>
          <w:rFonts w:hint="default" w:ascii="Times New Roman" w:hAnsi="Times New Roman" w:cs="Times New Roman"/>
          <w:color w:val="auto"/>
          <w:highlight w:val="none"/>
        </w:rPr>
      </w:pPr>
      <w:bookmarkStart w:id="307" w:name="_Toc23721"/>
      <w:bookmarkStart w:id="308" w:name="_Toc234832919"/>
      <w:bookmarkStart w:id="309" w:name="_Toc2195"/>
      <w:bookmarkStart w:id="310" w:name="_Toc30402"/>
      <w:r>
        <w:rPr>
          <w:rFonts w:hint="default" w:ascii="Times New Roman" w:hAnsi="Times New Roman" w:cs="Times New Roman"/>
          <w:color w:val="auto"/>
          <w:highlight w:val="none"/>
          <w:lang w:eastAsia="zh-CN"/>
        </w:rPr>
        <w:t>8</w:t>
      </w:r>
      <w:r>
        <w:rPr>
          <w:rFonts w:hint="default" w:ascii="Times New Roman" w:hAnsi="Times New Roman" w:cs="Times New Roman"/>
          <w:color w:val="auto"/>
          <w:highlight w:val="none"/>
        </w:rPr>
        <w:t>.1 对招标人的纪律要求</w:t>
      </w:r>
      <w:bookmarkEnd w:id="307"/>
      <w:bookmarkEnd w:id="308"/>
      <w:bookmarkEnd w:id="309"/>
      <w:bookmarkEnd w:id="310"/>
    </w:p>
    <w:p w14:paraId="15ED3F0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招标人不得泄露招标投标活动中应保密的情况和资料，不得与投标人串通损害国家利益、社会公共利益或他人合法权益。</w:t>
      </w:r>
    </w:p>
    <w:p w14:paraId="3B7119B1">
      <w:pPr>
        <w:pStyle w:val="2"/>
        <w:pageBreakBefore w:val="0"/>
        <w:kinsoku/>
        <w:wordWrap w:val="0"/>
        <w:bidi w:val="0"/>
        <w:outlineLvl w:val="2"/>
        <w:rPr>
          <w:rFonts w:hint="default" w:ascii="Times New Roman" w:hAnsi="Times New Roman" w:cs="Times New Roman"/>
          <w:color w:val="auto"/>
          <w:highlight w:val="none"/>
        </w:rPr>
      </w:pPr>
      <w:bookmarkStart w:id="311" w:name="_Toc234832920"/>
      <w:bookmarkStart w:id="312" w:name="_Toc23019"/>
      <w:bookmarkStart w:id="313" w:name="_Toc31255"/>
      <w:bookmarkStart w:id="314" w:name="_Toc28155"/>
      <w:r>
        <w:rPr>
          <w:rFonts w:hint="default" w:ascii="Times New Roman" w:hAnsi="Times New Roman" w:cs="Times New Roman"/>
          <w:color w:val="auto"/>
          <w:highlight w:val="none"/>
          <w:lang w:eastAsia="zh-CN"/>
        </w:rPr>
        <w:t>8</w:t>
      </w:r>
      <w:r>
        <w:rPr>
          <w:rFonts w:hint="default" w:ascii="Times New Roman" w:hAnsi="Times New Roman" w:cs="Times New Roman"/>
          <w:color w:val="auto"/>
          <w:highlight w:val="none"/>
        </w:rPr>
        <w:t>.2 对投标人的纪律要求</w:t>
      </w:r>
      <w:bookmarkEnd w:id="311"/>
      <w:bookmarkEnd w:id="312"/>
      <w:bookmarkEnd w:id="313"/>
      <w:bookmarkEnd w:id="314"/>
    </w:p>
    <w:p w14:paraId="28327B7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投标人不得相互串通投标或与招标人串通投标，不得向招标人或评标委员会成员行贿谋取中标，不得以他人名义投标或以其他方式弄虚作假骗取中标；投标人不得以任何方式干扰、影响评标工作。</w:t>
      </w:r>
    </w:p>
    <w:p w14:paraId="40A6823D">
      <w:pPr>
        <w:pStyle w:val="2"/>
        <w:pageBreakBefore w:val="0"/>
        <w:kinsoku/>
        <w:wordWrap w:val="0"/>
        <w:bidi w:val="0"/>
        <w:outlineLvl w:val="2"/>
        <w:rPr>
          <w:rFonts w:hint="default" w:ascii="Times New Roman" w:hAnsi="Times New Roman" w:cs="Times New Roman"/>
          <w:color w:val="auto"/>
          <w:highlight w:val="none"/>
        </w:rPr>
      </w:pPr>
      <w:bookmarkStart w:id="315" w:name="_Toc22216"/>
      <w:bookmarkStart w:id="316" w:name="_Toc5418"/>
      <w:bookmarkStart w:id="317" w:name="_Toc18750"/>
      <w:bookmarkStart w:id="318" w:name="_Toc234832921"/>
      <w:r>
        <w:rPr>
          <w:rFonts w:hint="default" w:ascii="Times New Roman" w:hAnsi="Times New Roman" w:cs="Times New Roman"/>
          <w:color w:val="auto"/>
          <w:highlight w:val="none"/>
          <w:lang w:eastAsia="zh-CN"/>
        </w:rPr>
        <w:t>8</w:t>
      </w:r>
      <w:r>
        <w:rPr>
          <w:rFonts w:hint="default" w:ascii="Times New Roman" w:hAnsi="Times New Roman" w:cs="Times New Roman"/>
          <w:color w:val="auto"/>
          <w:highlight w:val="none"/>
        </w:rPr>
        <w:t>.3 对评标委员会成员的纪律要求</w:t>
      </w:r>
      <w:bookmarkEnd w:id="315"/>
      <w:bookmarkEnd w:id="316"/>
      <w:bookmarkEnd w:id="317"/>
      <w:bookmarkEnd w:id="318"/>
    </w:p>
    <w:p w14:paraId="7B1DDFB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评标办法</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没有规定的评审因素和标准进行评标。</w:t>
      </w:r>
    </w:p>
    <w:p w14:paraId="4412B560">
      <w:pPr>
        <w:pStyle w:val="2"/>
        <w:pageBreakBefore w:val="0"/>
        <w:kinsoku/>
        <w:wordWrap w:val="0"/>
        <w:bidi w:val="0"/>
        <w:outlineLvl w:val="2"/>
        <w:rPr>
          <w:rFonts w:hint="default" w:ascii="Times New Roman" w:hAnsi="Times New Roman" w:cs="Times New Roman"/>
          <w:color w:val="auto"/>
          <w:highlight w:val="none"/>
        </w:rPr>
      </w:pPr>
      <w:bookmarkStart w:id="319" w:name="_Toc11335"/>
      <w:bookmarkStart w:id="320" w:name="_Toc6211"/>
      <w:bookmarkStart w:id="321" w:name="_Toc9801"/>
      <w:bookmarkStart w:id="322" w:name="_Toc234832922"/>
      <w:r>
        <w:rPr>
          <w:rFonts w:hint="default" w:ascii="Times New Roman" w:hAnsi="Times New Roman" w:cs="Times New Roman"/>
          <w:color w:val="auto"/>
          <w:highlight w:val="none"/>
          <w:lang w:eastAsia="zh-CN"/>
        </w:rPr>
        <w:t>8</w:t>
      </w:r>
      <w:r>
        <w:rPr>
          <w:rFonts w:hint="default" w:ascii="Times New Roman" w:hAnsi="Times New Roman" w:cs="Times New Roman"/>
          <w:color w:val="auto"/>
          <w:highlight w:val="none"/>
        </w:rPr>
        <w:t>.4 对与评标活动有关的工作人员的纪律要求</w:t>
      </w:r>
      <w:bookmarkEnd w:id="319"/>
      <w:bookmarkEnd w:id="320"/>
      <w:bookmarkEnd w:id="321"/>
      <w:bookmarkEnd w:id="322"/>
    </w:p>
    <w:p w14:paraId="6F4E176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2C441406">
      <w:pPr>
        <w:pStyle w:val="2"/>
        <w:pageBreakBefore w:val="0"/>
        <w:kinsoku/>
        <w:wordWrap w:val="0"/>
        <w:bidi w:val="0"/>
        <w:outlineLvl w:val="2"/>
        <w:rPr>
          <w:rFonts w:hint="default" w:ascii="Times New Roman" w:hAnsi="Times New Roman" w:cs="Times New Roman"/>
          <w:color w:val="auto"/>
          <w:highlight w:val="none"/>
        </w:rPr>
      </w:pPr>
      <w:bookmarkStart w:id="323" w:name="_Toc19294"/>
      <w:bookmarkStart w:id="324" w:name="_Toc15842"/>
      <w:bookmarkStart w:id="325" w:name="_Toc22150"/>
      <w:bookmarkStart w:id="326" w:name="_Toc234832923"/>
      <w:r>
        <w:rPr>
          <w:rFonts w:hint="default" w:ascii="Times New Roman" w:hAnsi="Times New Roman" w:cs="Times New Roman"/>
          <w:color w:val="auto"/>
          <w:highlight w:val="none"/>
          <w:lang w:eastAsia="zh-CN"/>
        </w:rPr>
        <w:t>8</w:t>
      </w:r>
      <w:r>
        <w:rPr>
          <w:rFonts w:hint="default" w:ascii="Times New Roman" w:hAnsi="Times New Roman" w:cs="Times New Roman"/>
          <w:color w:val="auto"/>
          <w:highlight w:val="none"/>
        </w:rPr>
        <w:t>.5 投诉</w:t>
      </w:r>
      <w:bookmarkEnd w:id="323"/>
      <w:bookmarkEnd w:id="324"/>
      <w:bookmarkEnd w:id="325"/>
      <w:bookmarkEnd w:id="326"/>
    </w:p>
    <w:p w14:paraId="15B39CC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8.5.1 投标人或其他利害关系人认为招标投标活动不符合法律、行政法规规定的，可以自知道或应当知道之日起10日内向有关行政监督部门投诉。投诉应有明确的请求和必要的证明材料。</w:t>
      </w:r>
    </w:p>
    <w:p w14:paraId="7DD0328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监督部门的联系方式见投标人须知前附表。</w:t>
      </w:r>
    </w:p>
    <w:p w14:paraId="587FEEB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8.5.2 投标人或其他利害关系人对招标文件、开标和评标结果提出投诉的，应按照本章第2.4款、第5.3款和第7.2款的规定先向招标人提出异议。异议答复期间</w:t>
      </w:r>
      <w:bookmarkStart w:id="327" w:name="_Toc247513994"/>
      <w:bookmarkStart w:id="328" w:name="_Toc247527595"/>
      <w:bookmarkStart w:id="329" w:name="_Toc369531561"/>
      <w:bookmarkStart w:id="330" w:name="_Toc12776"/>
      <w:bookmarkStart w:id="331" w:name="_Toc144974538"/>
      <w:bookmarkStart w:id="332" w:name="_Toc361508630"/>
      <w:bookmarkStart w:id="333" w:name="_Toc352691517"/>
      <w:bookmarkStart w:id="334" w:name="_Toc384308255"/>
      <w:bookmarkStart w:id="335" w:name="_Toc152045570"/>
      <w:bookmarkStart w:id="336" w:name="_Toc300834993"/>
      <w:bookmarkStart w:id="337" w:name="_Toc152042346"/>
      <w:r>
        <w:rPr>
          <w:rFonts w:hint="default" w:ascii="Times New Roman" w:hAnsi="Times New Roman" w:eastAsia="宋体" w:cs="Times New Roman"/>
          <w:color w:val="auto"/>
          <w:sz w:val="24"/>
          <w:highlight w:val="none"/>
        </w:rPr>
        <w:t>不计算在第8.5.</w:t>
      </w:r>
      <w:bookmarkEnd w:id="327"/>
      <w:bookmarkEnd w:id="328"/>
      <w:bookmarkEnd w:id="329"/>
      <w:bookmarkEnd w:id="330"/>
      <w:bookmarkEnd w:id="331"/>
      <w:bookmarkEnd w:id="332"/>
      <w:bookmarkEnd w:id="333"/>
      <w:bookmarkEnd w:id="334"/>
      <w:bookmarkEnd w:id="335"/>
      <w:bookmarkEnd w:id="336"/>
      <w:bookmarkEnd w:id="337"/>
      <w:r>
        <w:rPr>
          <w:rFonts w:hint="default" w:ascii="Times New Roman" w:hAnsi="Times New Roman" w:eastAsia="宋体" w:cs="Times New Roman"/>
          <w:color w:val="auto"/>
          <w:sz w:val="24"/>
          <w:highlight w:val="none"/>
        </w:rPr>
        <w:t>1项规定的期限内。</w:t>
      </w:r>
    </w:p>
    <w:p w14:paraId="5068F50C">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lang w:eastAsia="zh-CN"/>
        </w:rPr>
      </w:pPr>
      <w:bookmarkStart w:id="338" w:name="_Toc234832924"/>
      <w:bookmarkStart w:id="339" w:name="_Toc5209"/>
      <w:bookmarkStart w:id="340" w:name="_Toc18903"/>
      <w:bookmarkStart w:id="341" w:name="_Toc22135"/>
      <w:r>
        <w:rPr>
          <w:rFonts w:hint="default" w:ascii="Times New Roman" w:hAnsi="Times New Roman" w:cs="Times New Roman"/>
          <w:b w:val="0"/>
          <w:color w:val="auto"/>
          <w:sz w:val="28"/>
          <w:szCs w:val="28"/>
          <w:highlight w:val="none"/>
          <w:lang w:val="en-US" w:eastAsia="zh-CN"/>
        </w:rPr>
        <w:t>9</w:t>
      </w:r>
      <w:r>
        <w:rPr>
          <w:rFonts w:hint="default" w:ascii="Times New Roman" w:hAnsi="Times New Roman" w:eastAsia="黑体" w:cs="Times New Roman"/>
          <w:b w:val="0"/>
          <w:color w:val="auto"/>
          <w:sz w:val="28"/>
          <w:szCs w:val="28"/>
          <w:highlight w:val="none"/>
        </w:rPr>
        <w:t>.</w:t>
      </w:r>
      <w:r>
        <w:rPr>
          <w:rFonts w:hint="default" w:ascii="Times New Roman" w:hAnsi="Times New Roman" w:eastAsia="黑体" w:cs="Times New Roman"/>
          <w:b w:val="0"/>
          <w:color w:val="auto"/>
          <w:sz w:val="28"/>
          <w:szCs w:val="28"/>
          <w:highlight w:val="none"/>
          <w:lang w:eastAsia="zh-CN"/>
        </w:rPr>
        <w:t xml:space="preserve"> </w:t>
      </w:r>
      <w:r>
        <w:rPr>
          <w:rFonts w:hint="default" w:ascii="Times New Roman" w:hAnsi="Times New Roman" w:eastAsia="黑体" w:cs="Times New Roman"/>
          <w:b w:val="0"/>
          <w:color w:val="auto"/>
          <w:sz w:val="28"/>
          <w:szCs w:val="28"/>
          <w:highlight w:val="none"/>
        </w:rPr>
        <w:t>需要补充的其他内容</w:t>
      </w:r>
      <w:bookmarkEnd w:id="338"/>
      <w:bookmarkEnd w:id="339"/>
      <w:bookmarkEnd w:id="340"/>
      <w:bookmarkEnd w:id="341"/>
    </w:p>
    <w:p w14:paraId="44ABA4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eastAsia="宋体" w:cs="Times New Roman"/>
          <w:color w:val="auto"/>
          <w:sz w:val="24"/>
          <w:highlight w:val="none"/>
        </w:rPr>
        <w:t>需要补充的其他内容：见投标人须知前附表。</w:t>
      </w:r>
    </w:p>
    <w:p w14:paraId="18331042">
      <w:pPr>
        <w:pStyle w:val="2"/>
        <w:wordWrap w:val="0"/>
        <w:spacing w:before="0" w:after="100" w:afterAutospacing="1" w:line="240" w:lineRule="atLeast"/>
        <w:rPr>
          <w:rFonts w:hint="default" w:ascii="Times New Roman" w:hAnsi="Times New Roman" w:eastAsia="黑体" w:cs="Times New Roman"/>
          <w:b w:val="0"/>
          <w:color w:val="auto"/>
          <w:sz w:val="24"/>
          <w:szCs w:val="24"/>
          <w:highlight w:val="none"/>
        </w:rPr>
      </w:pPr>
      <w:r>
        <w:rPr>
          <w:rFonts w:hint="default" w:ascii="Times New Roman" w:hAnsi="Times New Roman" w:eastAsia="隶书" w:cs="Times New Roman"/>
          <w:color w:val="auto"/>
          <w:sz w:val="24"/>
          <w:highlight w:val="none"/>
        </w:rPr>
        <w:br w:type="page"/>
      </w:r>
      <w:bookmarkStart w:id="342" w:name="_Toc12892"/>
      <w:bookmarkStart w:id="343" w:name="_Toc31950"/>
      <w:bookmarkStart w:id="344" w:name="_Toc234832925"/>
      <w:bookmarkStart w:id="345" w:name="_Toc19391"/>
      <w:r>
        <w:rPr>
          <w:rFonts w:hint="default" w:ascii="Times New Roman" w:hAnsi="Times New Roman" w:eastAsia="黑体" w:cs="Times New Roman"/>
          <w:b w:val="0"/>
          <w:color w:val="auto"/>
          <w:sz w:val="24"/>
          <w:szCs w:val="24"/>
          <w:highlight w:val="none"/>
        </w:rPr>
        <w:t>附</w:t>
      </w:r>
      <w:r>
        <w:rPr>
          <w:rFonts w:hint="default" w:ascii="Times New Roman" w:hAnsi="Times New Roman" w:eastAsia="黑体" w:cs="Times New Roman"/>
          <w:b w:val="0"/>
          <w:color w:val="auto"/>
          <w:sz w:val="24"/>
          <w:szCs w:val="24"/>
          <w:highlight w:val="none"/>
          <w:lang w:eastAsia="zh-CN"/>
        </w:rPr>
        <w:t>件</w:t>
      </w:r>
      <w:r>
        <w:rPr>
          <w:rFonts w:hint="default" w:ascii="Times New Roman" w:hAnsi="Times New Roman" w:eastAsia="黑体" w:cs="Times New Roman"/>
          <w:b w:val="0"/>
          <w:color w:val="auto"/>
          <w:sz w:val="24"/>
          <w:szCs w:val="24"/>
          <w:highlight w:val="none"/>
        </w:rPr>
        <w:t>一</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 xml:space="preserve">开标记录表 </w:t>
      </w:r>
      <w:r>
        <w:rPr>
          <w:rStyle w:val="47"/>
          <w:rFonts w:hint="default" w:ascii="Times New Roman" w:hAnsi="Times New Roman" w:eastAsia="黑体" w:cs="Times New Roman"/>
          <w:b w:val="0"/>
          <w:color w:val="auto"/>
          <w:sz w:val="28"/>
          <w:szCs w:val="28"/>
          <w:highlight w:val="none"/>
        </w:rPr>
        <w:footnoteReference w:id="23"/>
      </w:r>
      <w:bookmarkEnd w:id="342"/>
      <w:bookmarkEnd w:id="343"/>
      <w:bookmarkEnd w:id="344"/>
      <w:bookmarkEnd w:id="345"/>
    </w:p>
    <w:p w14:paraId="1C62D13C">
      <w:pPr>
        <w:wordWrap w:val="0"/>
        <w:spacing w:before="0" w:after="100" w:afterAutospacing="1" w:line="240" w:lineRule="atLeast"/>
        <w:outlineLvl w:val="9"/>
        <w:rPr>
          <w:rFonts w:hint="default" w:ascii="Times New Roman" w:hAnsi="Times New Roman" w:eastAsia="黑体" w:cs="Times New Roman"/>
          <w:b w:val="0"/>
          <w:color w:val="auto"/>
          <w:sz w:val="24"/>
          <w:szCs w:val="24"/>
          <w:highlight w:val="none"/>
        </w:rPr>
      </w:pPr>
      <w:bookmarkStart w:id="346" w:name="_Toc2455"/>
      <w:bookmarkStart w:id="347" w:name="_Toc16381"/>
      <w:bookmarkStart w:id="348" w:name="_Toc20922"/>
      <w:bookmarkStart w:id="349" w:name="_Toc8817"/>
      <w:r>
        <w:rPr>
          <w:rFonts w:hint="eastAsia" w:ascii="宋体" w:hAnsi="宋体" w:eastAsia="宋体" w:cs="宋体"/>
          <w:color w:val="auto"/>
          <w:sz w:val="24"/>
          <w:szCs w:val="24"/>
          <w:highlight w:val="none"/>
          <w:u w:val="none"/>
          <w:lang w:val="en-US" w:eastAsia="zh-CN"/>
        </w:rPr>
        <w:t>以电子交易平台生成格式为准。</w:t>
      </w:r>
      <w:bookmarkEnd w:id="346"/>
      <w:bookmarkEnd w:id="347"/>
      <w:bookmarkEnd w:id="348"/>
      <w:bookmarkEnd w:id="349"/>
    </w:p>
    <w:p w14:paraId="10D54DE3">
      <w:pPr>
        <w:keepNext/>
        <w:keepLines/>
        <w:pageBreakBefore w:val="0"/>
        <w:widowControl w:val="0"/>
        <w:kinsoku/>
        <w:wordWrap/>
        <w:overflowPunct/>
        <w:topLinePunct w:val="0"/>
        <w:autoSpaceDE/>
        <w:autoSpaceDN/>
        <w:bidi w:val="0"/>
        <w:adjustRightInd/>
        <w:snapToGrid/>
        <w:spacing w:after="100" w:afterAutospacing="1" w:line="240" w:lineRule="atLeast"/>
        <w:jc w:val="left"/>
        <w:textAlignment w:val="auto"/>
        <w:outlineLvl w:val="9"/>
        <w:rPr>
          <w:rFonts w:hint="default" w:ascii="Times New Roman" w:hAnsi="Times New Roman" w:cs="Times New Roman"/>
          <w:color w:val="auto"/>
          <w:szCs w:val="21"/>
          <w:highlight w:val="none"/>
        </w:rPr>
      </w:pPr>
      <w:bookmarkStart w:id="350" w:name="_Toc24468"/>
      <w:r>
        <w:rPr>
          <w:rFonts w:hint="eastAsia" w:eastAsia="黑体" w:cs="Times New Roman"/>
          <w:color w:val="auto"/>
          <w:sz w:val="24"/>
          <w:szCs w:val="24"/>
          <w:highlight w:val="none"/>
          <w:u w:val="none"/>
          <w:lang w:val="en-US" w:eastAsia="zh-CN"/>
        </w:rPr>
        <w:t xml:space="preserve"> </w:t>
      </w:r>
      <w:r>
        <w:rPr>
          <w:rFonts w:hint="default" w:ascii="Times New Roman" w:hAnsi="Times New Roman" w:cs="Times New Roman"/>
          <w:color w:val="auto"/>
          <w:szCs w:val="24"/>
          <w:highlight w:val="none"/>
        </w:rPr>
        <w:br w:type="page"/>
      </w:r>
      <w:bookmarkEnd w:id="350"/>
    </w:p>
    <w:p w14:paraId="4208375C">
      <w:pPr>
        <w:pageBreakBefore w:val="0"/>
        <w:kinsoku/>
        <w:wordWrap w:val="0"/>
        <w:bidi w:val="0"/>
        <w:spacing w:line="620" w:lineRule="exact"/>
        <w:ind w:right="630"/>
        <w:jc w:val="center"/>
        <w:rPr>
          <w:rFonts w:hint="default" w:ascii="Times New Roman" w:hAnsi="Times New Roman" w:cs="Times New Roman"/>
          <w:color w:val="auto"/>
          <w:szCs w:val="21"/>
          <w:highlight w:val="none"/>
        </w:rPr>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1EBAD083">
      <w:pPr>
        <w:pStyle w:val="2"/>
        <w:pageBreakBefore w:val="0"/>
        <w:kinsoku/>
        <w:wordWrap w:val="0"/>
        <w:bidi w:val="0"/>
        <w:spacing w:before="0" w:after="0" w:line="240" w:lineRule="atLeast"/>
        <w:rPr>
          <w:rFonts w:hint="default" w:ascii="Times New Roman" w:hAnsi="Times New Roman" w:eastAsia="黑体" w:cs="Times New Roman"/>
          <w:b w:val="0"/>
          <w:color w:val="auto"/>
          <w:sz w:val="24"/>
          <w:szCs w:val="24"/>
          <w:highlight w:val="none"/>
        </w:rPr>
      </w:pPr>
      <w:bookmarkStart w:id="351" w:name="_Toc18880"/>
      <w:bookmarkStart w:id="352" w:name="_Toc234832926"/>
      <w:bookmarkStart w:id="353" w:name="_Toc3403"/>
      <w:bookmarkStart w:id="354" w:name="_Toc25086"/>
      <w:r>
        <w:rPr>
          <w:rFonts w:hint="default" w:ascii="Times New Roman" w:hAnsi="Times New Roman" w:eastAsia="黑体" w:cs="Times New Roman"/>
          <w:b w:val="0"/>
          <w:color w:val="auto"/>
          <w:sz w:val="24"/>
          <w:szCs w:val="24"/>
          <w:highlight w:val="none"/>
        </w:rPr>
        <w:t>附</w:t>
      </w:r>
      <w:r>
        <w:rPr>
          <w:rFonts w:hint="default" w:ascii="Times New Roman" w:hAnsi="Times New Roman" w:eastAsia="黑体" w:cs="Times New Roman"/>
          <w:b w:val="0"/>
          <w:color w:val="auto"/>
          <w:sz w:val="24"/>
          <w:szCs w:val="24"/>
          <w:highlight w:val="none"/>
          <w:lang w:eastAsia="zh-CN"/>
        </w:rPr>
        <w:t>件</w:t>
      </w:r>
      <w:r>
        <w:rPr>
          <w:rFonts w:hint="default" w:ascii="Times New Roman" w:hAnsi="Times New Roman" w:eastAsia="黑体" w:cs="Times New Roman"/>
          <w:b w:val="0"/>
          <w:color w:val="auto"/>
          <w:sz w:val="24"/>
          <w:szCs w:val="24"/>
          <w:highlight w:val="none"/>
        </w:rPr>
        <w:t>二</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问题澄清通知</w:t>
      </w:r>
      <w:bookmarkEnd w:id="351"/>
      <w:bookmarkEnd w:id="352"/>
      <w:bookmarkEnd w:id="353"/>
      <w:bookmarkEnd w:id="354"/>
    </w:p>
    <w:p w14:paraId="64645D91">
      <w:pPr>
        <w:pageBreakBefore w:val="0"/>
        <w:kinsoku/>
        <w:wordWrap w:val="0"/>
        <w:bidi w:val="0"/>
        <w:spacing w:line="440" w:lineRule="exact"/>
        <w:jc w:val="center"/>
        <w:rPr>
          <w:rFonts w:hint="default" w:ascii="Times New Roman" w:hAnsi="Times New Roman" w:cs="Times New Roman"/>
          <w:color w:val="auto"/>
          <w:sz w:val="28"/>
          <w:szCs w:val="28"/>
          <w:highlight w:val="none"/>
        </w:rPr>
      </w:pPr>
    </w:p>
    <w:p w14:paraId="766153F3">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问题澄清通知</w:t>
      </w:r>
    </w:p>
    <w:p w14:paraId="08F5AA53">
      <w:pPr>
        <w:pageBreakBefore w:val="0"/>
        <w:kinsoku/>
        <w:wordWrap w:val="0"/>
        <w:bidi w:val="0"/>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t>（编号：</w:t>
      </w:r>
      <w:r>
        <w:rPr>
          <w:rFonts w:hint="default" w:ascii="Times New Roman" w:hAnsi="Times New Roman" w:eastAsia="黑体" w:cs="Times New Roman"/>
          <w:color w:val="auto"/>
          <w:sz w:val="28"/>
          <w:highlight w:val="none"/>
          <w:u w:val="single"/>
        </w:rPr>
        <w:t xml:space="preserve">               </w:t>
      </w:r>
      <w:r>
        <w:rPr>
          <w:rFonts w:hint="default" w:ascii="Times New Roman" w:hAnsi="Times New Roman" w:cs="Times New Roman"/>
          <w:color w:val="auto"/>
          <w:highlight w:val="none"/>
        </w:rPr>
        <w:t>）</w:t>
      </w:r>
    </w:p>
    <w:p w14:paraId="666A57B8">
      <w:pPr>
        <w:pageBreakBefore w:val="0"/>
        <w:kinsoku/>
        <w:wordWrap w:val="0"/>
        <w:bidi w:val="0"/>
        <w:spacing w:line="440" w:lineRule="exact"/>
        <w:rPr>
          <w:rFonts w:hint="default" w:ascii="Times New Roman" w:hAnsi="Times New Roman" w:cs="Times New Roman"/>
          <w:color w:val="auto"/>
          <w:sz w:val="24"/>
          <w:highlight w:val="none"/>
        </w:rPr>
      </w:pPr>
    </w:p>
    <w:p w14:paraId="47FD2F8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w:t>
      </w:r>
    </w:p>
    <w:p w14:paraId="05927090">
      <w:pPr>
        <w:pageBreakBefore w:val="0"/>
        <w:kinsoku/>
        <w:wordWrap w:val="0"/>
        <w:bidi w:val="0"/>
        <w:spacing w:line="440" w:lineRule="exact"/>
        <w:rPr>
          <w:rFonts w:hint="default" w:ascii="Times New Roman" w:hAnsi="Times New Roman" w:cs="Times New Roman"/>
          <w:color w:val="auto"/>
          <w:sz w:val="24"/>
          <w:highlight w:val="none"/>
        </w:rPr>
      </w:pPr>
    </w:p>
    <w:p w14:paraId="021C328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标段施工招标的评标委员会，对你方的投标文件进行了仔细的审查，现需你方对下列问题以书面形式予以澄清或说明：</w:t>
      </w:r>
    </w:p>
    <w:p w14:paraId="6CB3FF06">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230432E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1.</w:t>
      </w:r>
    </w:p>
    <w:p w14:paraId="6EE961D1">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2.</w:t>
      </w:r>
    </w:p>
    <w:p w14:paraId="463C3E04">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   </w:t>
      </w:r>
    </w:p>
    <w:p w14:paraId="26675944">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41183A29">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请将上述问题的澄清或说明于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分前通过</w:t>
      </w:r>
      <w:r>
        <w:rPr>
          <w:rFonts w:hint="eastAsia" w:ascii="宋体" w:hAnsi="宋体" w:eastAsia="宋体" w:cs="宋体"/>
          <w:color w:val="auto"/>
          <w:sz w:val="24"/>
          <w:highlight w:val="none"/>
          <w:lang w:eastAsia="zh-CN"/>
        </w:rPr>
        <w:t>“</w:t>
      </w:r>
      <w:r>
        <w:rPr>
          <w:rFonts w:hint="eastAsia" w:cs="Times New Roman"/>
          <w:color w:val="auto"/>
          <w:sz w:val="24"/>
          <w:highlight w:val="none"/>
          <w:lang w:eastAsia="zh-CN"/>
        </w:rPr>
        <w:t>电子交易平台</w:t>
      </w:r>
      <w:r>
        <w:rPr>
          <w:rFonts w:hint="eastAsia" w:ascii="宋体" w:hAnsi="宋体" w:eastAsia="宋体" w:cs="宋体"/>
          <w:color w:val="auto"/>
          <w:sz w:val="24"/>
          <w:highlight w:val="none"/>
          <w:lang w:eastAsia="zh-CN"/>
        </w:rPr>
        <w:t>”</w:t>
      </w:r>
      <w:r>
        <w:rPr>
          <w:rFonts w:hint="default" w:ascii="Times New Roman" w:hAnsi="Times New Roman" w:cs="Times New Roman"/>
          <w:color w:val="auto"/>
          <w:sz w:val="24"/>
          <w:highlight w:val="none"/>
        </w:rPr>
        <w:t>上传。</w:t>
      </w:r>
    </w:p>
    <w:p w14:paraId="2809404C">
      <w:pPr>
        <w:pageBreakBefore w:val="0"/>
        <w:kinsoku/>
        <w:wordWrap w:val="0"/>
        <w:bidi w:val="0"/>
        <w:spacing w:line="440" w:lineRule="exact"/>
        <w:rPr>
          <w:rFonts w:hint="default" w:ascii="Times New Roman" w:hAnsi="Times New Roman" w:cs="Times New Roman"/>
          <w:color w:val="auto"/>
          <w:sz w:val="24"/>
          <w:highlight w:val="none"/>
        </w:rPr>
      </w:pPr>
    </w:p>
    <w:p w14:paraId="20C22570">
      <w:pPr>
        <w:pageBreakBefore w:val="0"/>
        <w:kinsoku/>
        <w:wordWrap w:val="0"/>
        <w:bidi w:val="0"/>
        <w:spacing w:line="440" w:lineRule="exact"/>
        <w:rPr>
          <w:rFonts w:hint="default" w:ascii="Times New Roman" w:hAnsi="Times New Roman" w:cs="Times New Roman"/>
          <w:color w:val="auto"/>
          <w:sz w:val="24"/>
          <w:highlight w:val="none"/>
        </w:rPr>
      </w:pPr>
    </w:p>
    <w:p w14:paraId="76D0BC53">
      <w:pPr>
        <w:pageBreakBefore w:val="0"/>
        <w:kinsoku/>
        <w:wordWrap w:val="0"/>
        <w:bidi w:val="0"/>
        <w:spacing w:line="440" w:lineRule="exact"/>
        <w:jc w:val="righ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评标委员会授权的招标人或招标代理机构：</w:t>
      </w:r>
      <w:r>
        <w:rPr>
          <w:rFonts w:hint="default" w:ascii="Times New Roman" w:hAnsi="Times New Roman" w:eastAsia="黑体" w:cs="Times New Roman"/>
          <w:color w:val="auto"/>
          <w:sz w:val="24"/>
          <w:highlight w:val="none"/>
          <w:u w:val="single"/>
        </w:rPr>
        <w:t xml:space="preserve">        </w:t>
      </w:r>
      <w:r>
        <w:rPr>
          <w:rFonts w:hint="default" w:ascii="Times New Roman" w:hAnsi="Times New Roman" w:cs="Times New Roman"/>
          <w:color w:val="auto"/>
          <w:sz w:val="24"/>
          <w:highlight w:val="none"/>
        </w:rPr>
        <w:t>（签字或盖单位章）</w:t>
      </w:r>
    </w:p>
    <w:p w14:paraId="2B594FF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5D9FABC2">
      <w:pPr>
        <w:pageBreakBefore w:val="0"/>
        <w:kinsoku/>
        <w:wordWrap w:val="0"/>
        <w:bidi w:val="0"/>
        <w:spacing w:line="440" w:lineRule="exact"/>
        <w:ind w:right="48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2D7687DC">
      <w:pPr>
        <w:pStyle w:val="2"/>
        <w:pageBreakBefore w:val="0"/>
        <w:kinsoku/>
        <w:wordWrap w:val="0"/>
        <w:bidi w:val="0"/>
        <w:spacing w:before="0" w:after="0" w:line="240" w:lineRule="atLeast"/>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4"/>
          <w:highlight w:val="none"/>
        </w:rPr>
        <w:br w:type="page"/>
      </w:r>
      <w:bookmarkStart w:id="355" w:name="_Toc234832927"/>
      <w:bookmarkStart w:id="356" w:name="_Toc31852"/>
      <w:bookmarkStart w:id="357" w:name="_Toc6756"/>
      <w:bookmarkStart w:id="358" w:name="_Toc23171"/>
      <w:r>
        <w:rPr>
          <w:rFonts w:hint="default" w:ascii="Times New Roman" w:hAnsi="Times New Roman" w:eastAsia="黑体" w:cs="Times New Roman"/>
          <w:b w:val="0"/>
          <w:color w:val="auto"/>
          <w:sz w:val="24"/>
          <w:szCs w:val="24"/>
          <w:highlight w:val="none"/>
        </w:rPr>
        <w:t>附</w:t>
      </w:r>
      <w:r>
        <w:rPr>
          <w:rFonts w:hint="default" w:ascii="Times New Roman" w:hAnsi="Times New Roman" w:eastAsia="黑体" w:cs="Times New Roman"/>
          <w:b w:val="0"/>
          <w:color w:val="auto"/>
          <w:sz w:val="24"/>
          <w:szCs w:val="24"/>
          <w:highlight w:val="none"/>
          <w:lang w:eastAsia="zh-CN"/>
        </w:rPr>
        <w:t>件</w:t>
      </w:r>
      <w:r>
        <w:rPr>
          <w:rFonts w:hint="default" w:ascii="Times New Roman" w:hAnsi="Times New Roman" w:eastAsia="黑体" w:cs="Times New Roman"/>
          <w:b w:val="0"/>
          <w:color w:val="auto"/>
          <w:sz w:val="24"/>
          <w:szCs w:val="24"/>
          <w:highlight w:val="none"/>
        </w:rPr>
        <w:t>三</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问题的澄清</w:t>
      </w:r>
      <w:bookmarkEnd w:id="355"/>
      <w:bookmarkEnd w:id="356"/>
      <w:bookmarkEnd w:id="357"/>
      <w:bookmarkEnd w:id="358"/>
    </w:p>
    <w:p w14:paraId="68355E7E">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问题的澄清</w:t>
      </w:r>
    </w:p>
    <w:p w14:paraId="0C8F5AAC">
      <w:pPr>
        <w:pageBreakBefore w:val="0"/>
        <w:kinsoku/>
        <w:wordWrap w:val="0"/>
        <w:bidi w:val="0"/>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t>（编号：</w:t>
      </w:r>
      <w:r>
        <w:rPr>
          <w:rFonts w:hint="default" w:ascii="Times New Roman" w:hAnsi="Times New Roman" w:eastAsia="黑体" w:cs="Times New Roman"/>
          <w:color w:val="auto"/>
          <w:sz w:val="28"/>
          <w:highlight w:val="none"/>
          <w:u w:val="single"/>
        </w:rPr>
        <w:t xml:space="preserve">           </w:t>
      </w:r>
      <w:r>
        <w:rPr>
          <w:rFonts w:hint="default" w:ascii="Times New Roman" w:hAnsi="Times New Roman" w:cs="Times New Roman"/>
          <w:color w:val="auto"/>
          <w:highlight w:val="none"/>
        </w:rPr>
        <w:t>）</w:t>
      </w:r>
    </w:p>
    <w:p w14:paraId="08D1925C">
      <w:pPr>
        <w:pageBreakBefore w:val="0"/>
        <w:kinsoku/>
        <w:wordWrap w:val="0"/>
        <w:bidi w:val="0"/>
        <w:spacing w:line="440" w:lineRule="exact"/>
        <w:rPr>
          <w:rFonts w:hint="default" w:ascii="Times New Roman" w:hAnsi="Times New Roman" w:cs="Times New Roman"/>
          <w:color w:val="auto"/>
          <w:sz w:val="24"/>
          <w:highlight w:val="none"/>
        </w:rPr>
      </w:pPr>
    </w:p>
    <w:p w14:paraId="573D4164">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标段施工招标评标委员会：</w:t>
      </w:r>
    </w:p>
    <w:p w14:paraId="61FD5648">
      <w:pPr>
        <w:pageBreakBefore w:val="0"/>
        <w:kinsoku/>
        <w:wordWrap w:val="0"/>
        <w:bidi w:val="0"/>
        <w:spacing w:line="440" w:lineRule="exact"/>
        <w:rPr>
          <w:rFonts w:hint="default" w:ascii="Times New Roman" w:hAnsi="Times New Roman" w:cs="Times New Roman"/>
          <w:color w:val="auto"/>
          <w:sz w:val="24"/>
          <w:highlight w:val="none"/>
        </w:rPr>
      </w:pPr>
    </w:p>
    <w:p w14:paraId="7FD1E0B2">
      <w:pPr>
        <w:pageBreakBefore w:val="0"/>
        <w:kinsoku/>
        <w:wordWrap w:val="0"/>
        <w:bidi w:val="0"/>
        <w:spacing w:line="440" w:lineRule="exact"/>
        <w:rPr>
          <w:rFonts w:hint="default" w:ascii="Times New Roman" w:hAnsi="Times New Roman" w:cs="Times New Roman"/>
          <w:color w:val="auto"/>
          <w:sz w:val="24"/>
          <w:highlight w:val="none"/>
        </w:rPr>
      </w:pPr>
    </w:p>
    <w:p w14:paraId="62504EAF">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问题澄清通知（编号：</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）已收悉，现澄清、说明如下：</w:t>
      </w:r>
    </w:p>
    <w:p w14:paraId="32956CC5">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w:t>
      </w:r>
    </w:p>
    <w:p w14:paraId="4853BCB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2.</w:t>
      </w:r>
    </w:p>
    <w:p w14:paraId="5E396721">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4833EE29">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4C0643D8">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3CE7A2C0">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p>
    <w:p w14:paraId="55E6E562">
      <w:pPr>
        <w:pageBreakBefore w:val="0"/>
        <w:kinsoku/>
        <w:wordWrap w:val="0"/>
        <w:bidi w:val="0"/>
        <w:spacing w:line="440" w:lineRule="exact"/>
        <w:rPr>
          <w:rFonts w:hint="default" w:ascii="Times New Roman" w:hAnsi="Times New Roman" w:cs="Times New Roman"/>
          <w:color w:val="auto"/>
          <w:sz w:val="24"/>
          <w:highlight w:val="none"/>
        </w:rPr>
      </w:pPr>
    </w:p>
    <w:p w14:paraId="68721B5E">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上述问题澄清或说明，不改变我方投标文件的实质性内容，构成我方投标文件的组成部分。</w:t>
      </w:r>
    </w:p>
    <w:p w14:paraId="594220BB">
      <w:pPr>
        <w:pageBreakBefore w:val="0"/>
        <w:kinsoku/>
        <w:wordWrap w:val="0"/>
        <w:bidi w:val="0"/>
        <w:spacing w:line="440" w:lineRule="exact"/>
        <w:rPr>
          <w:rFonts w:hint="default" w:ascii="Times New Roman" w:hAnsi="Times New Roman" w:cs="Times New Roman"/>
          <w:color w:val="auto"/>
          <w:sz w:val="24"/>
          <w:highlight w:val="none"/>
        </w:rPr>
      </w:pPr>
    </w:p>
    <w:p w14:paraId="26C543BB">
      <w:pPr>
        <w:pageBreakBefore w:val="0"/>
        <w:kinsoku/>
        <w:wordWrap w:val="0"/>
        <w:bidi w:val="0"/>
        <w:spacing w:line="440" w:lineRule="exact"/>
        <w:rPr>
          <w:rFonts w:hint="default" w:ascii="Times New Roman" w:hAnsi="Times New Roman" w:cs="Times New Roman"/>
          <w:color w:val="auto"/>
          <w:sz w:val="24"/>
          <w:highlight w:val="none"/>
        </w:rPr>
      </w:pPr>
    </w:p>
    <w:p w14:paraId="477B6A3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投标人：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r>
        <w:rPr>
          <w:rFonts w:hint="default" w:ascii="Times New Roman" w:hAnsi="Times New Roman" w:cs="Times New Roman"/>
          <w:color w:val="auto"/>
          <w:sz w:val="24"/>
          <w:highlight w:val="none"/>
          <w:vertAlign w:val="superscript"/>
        </w:rPr>
        <w:footnoteReference w:id="24"/>
      </w:r>
    </w:p>
    <w:p w14:paraId="6D101A9D">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w:t>
      </w:r>
    </w:p>
    <w:p w14:paraId="117AF06A">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7FEED5BE">
      <w:pPr>
        <w:pStyle w:val="2"/>
        <w:pageBreakBefore w:val="0"/>
        <w:kinsoku/>
        <w:wordWrap w:val="0"/>
        <w:bidi w:val="0"/>
        <w:spacing w:before="0" w:after="0" w:line="240" w:lineRule="atLeast"/>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0"/>
          <w:szCs w:val="20"/>
          <w:highlight w:val="none"/>
        </w:rPr>
        <w:br w:type="page"/>
      </w:r>
      <w:bookmarkStart w:id="359" w:name="_Toc234832928"/>
      <w:bookmarkStart w:id="360" w:name="_Toc15693"/>
      <w:bookmarkStart w:id="361" w:name="_Toc10765"/>
      <w:bookmarkStart w:id="362" w:name="_Toc22225"/>
      <w:r>
        <w:rPr>
          <w:rFonts w:hint="default" w:ascii="Times New Roman" w:hAnsi="Times New Roman" w:eastAsia="黑体" w:cs="Times New Roman"/>
          <w:b w:val="0"/>
          <w:color w:val="auto"/>
          <w:sz w:val="24"/>
          <w:szCs w:val="24"/>
          <w:highlight w:val="none"/>
        </w:rPr>
        <w:t>附</w:t>
      </w:r>
      <w:r>
        <w:rPr>
          <w:rFonts w:hint="default" w:ascii="Times New Roman" w:hAnsi="Times New Roman" w:eastAsia="黑体" w:cs="Times New Roman"/>
          <w:b w:val="0"/>
          <w:color w:val="auto"/>
          <w:sz w:val="24"/>
          <w:szCs w:val="24"/>
          <w:highlight w:val="none"/>
          <w:lang w:eastAsia="zh-CN"/>
        </w:rPr>
        <w:t>件</w:t>
      </w:r>
      <w:r>
        <w:rPr>
          <w:rFonts w:hint="default" w:ascii="Times New Roman" w:hAnsi="Times New Roman" w:eastAsia="黑体" w:cs="Times New Roman"/>
          <w:b w:val="0"/>
          <w:color w:val="auto"/>
          <w:sz w:val="24"/>
          <w:szCs w:val="24"/>
          <w:highlight w:val="none"/>
        </w:rPr>
        <w:t>四</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中标通知书</w:t>
      </w:r>
      <w:bookmarkEnd w:id="359"/>
      <w:bookmarkEnd w:id="360"/>
      <w:bookmarkEnd w:id="361"/>
      <w:bookmarkEnd w:id="362"/>
    </w:p>
    <w:p w14:paraId="3E8B7905">
      <w:pPr>
        <w:pageBreakBefore w:val="0"/>
        <w:kinsoku/>
        <w:wordWrap w:val="0"/>
        <w:bidi w:val="0"/>
        <w:spacing w:line="440" w:lineRule="exact"/>
        <w:ind w:firstLine="3640" w:firstLineChars="1300"/>
        <w:rPr>
          <w:rFonts w:hint="default" w:ascii="Times New Roman" w:hAnsi="Times New Roman" w:eastAsia="黑体" w:cs="Times New Roman"/>
          <w:color w:val="auto"/>
          <w:sz w:val="28"/>
          <w:szCs w:val="28"/>
          <w:highlight w:val="none"/>
        </w:rPr>
      </w:pPr>
    </w:p>
    <w:p w14:paraId="008B760E">
      <w:pPr>
        <w:pageBreakBefore w:val="0"/>
        <w:kinsoku/>
        <w:wordWrap w:val="0"/>
        <w:bidi w:val="0"/>
        <w:spacing w:line="600" w:lineRule="exact"/>
        <w:ind w:firstLine="0" w:firstLineChars="0"/>
        <w:rPr>
          <w:rFonts w:hint="default" w:ascii="Times New Roman" w:hAnsi="Times New Roman" w:cs="Times New Roman"/>
          <w:color w:val="auto"/>
          <w:sz w:val="24"/>
          <w:highlight w:val="none"/>
        </w:rPr>
      </w:pPr>
      <w:r>
        <w:rPr>
          <w:rFonts w:hint="eastAsia" w:ascii="宋体" w:hAnsi="宋体" w:eastAsia="宋体" w:cs="宋体"/>
          <w:color w:val="auto"/>
          <w:sz w:val="24"/>
          <w:szCs w:val="24"/>
          <w:highlight w:val="none"/>
          <w:u w:val="none"/>
          <w:lang w:val="en-US" w:eastAsia="zh-CN"/>
        </w:rPr>
        <w:t>以</w:t>
      </w:r>
      <w:r>
        <w:rPr>
          <w:rFonts w:hint="eastAsia" w:cs="Times New Roman"/>
          <w:color w:val="auto"/>
          <w:sz w:val="24"/>
          <w:szCs w:val="24"/>
          <w:highlight w:val="none"/>
          <w:u w:val="none"/>
          <w:lang w:val="en-US" w:eastAsia="zh-CN"/>
        </w:rPr>
        <w:t>辽宁省招标投标监管网</w:t>
      </w:r>
      <w:r>
        <w:rPr>
          <w:rFonts w:hint="default" w:cs="Times New Roman"/>
          <w:color w:val="auto"/>
          <w:sz w:val="24"/>
          <w:szCs w:val="24"/>
          <w:highlight w:val="none"/>
          <w:u w:val="none"/>
          <w:lang w:val="en-US" w:eastAsia="zh-CN"/>
        </w:rPr>
        <w:t>生成格式为准</w:t>
      </w:r>
      <w:r>
        <w:rPr>
          <w:rFonts w:hint="eastAsia" w:cs="Times New Roman"/>
          <w:color w:val="auto"/>
          <w:sz w:val="24"/>
          <w:szCs w:val="24"/>
          <w:highlight w:val="none"/>
          <w:u w:val="none"/>
          <w:lang w:val="en-US" w:eastAsia="zh-CN"/>
        </w:rPr>
        <w:t>（如有）</w:t>
      </w:r>
      <w:r>
        <w:rPr>
          <w:rFonts w:hint="default" w:cs="Times New Roman"/>
          <w:color w:val="auto"/>
          <w:sz w:val="24"/>
          <w:szCs w:val="24"/>
          <w:highlight w:val="none"/>
          <w:u w:val="none"/>
          <w:lang w:val="en-US" w:eastAsia="zh-CN"/>
        </w:rPr>
        <w:t>。</w:t>
      </w:r>
    </w:p>
    <w:p w14:paraId="687046F4">
      <w:pPr>
        <w:pageBreakBefore w:val="0"/>
        <w:kinsoku/>
        <w:wordWrap w:val="0"/>
        <w:bidi w:val="0"/>
        <w:spacing w:line="440" w:lineRule="exact"/>
        <w:rPr>
          <w:rFonts w:hint="default" w:ascii="Times New Roman" w:hAnsi="Times New Roman" w:eastAsia="黑体" w:cs="Times New Roman"/>
          <w:color w:val="auto"/>
          <w:sz w:val="24"/>
          <w:highlight w:val="none"/>
        </w:rPr>
      </w:pPr>
    </w:p>
    <w:p w14:paraId="71D7B768">
      <w:pPr>
        <w:pageBreakBefore w:val="0"/>
        <w:kinsoku/>
        <w:wordWrap w:val="0"/>
        <w:bidi w:val="0"/>
        <w:spacing w:line="440" w:lineRule="exact"/>
        <w:rPr>
          <w:rFonts w:hint="default" w:ascii="Times New Roman" w:hAnsi="Times New Roman" w:cs="Times New Roman"/>
          <w:color w:val="auto"/>
          <w:sz w:val="20"/>
          <w:szCs w:val="20"/>
          <w:highlight w:val="none"/>
        </w:rPr>
      </w:pPr>
    </w:p>
    <w:p w14:paraId="366AA722">
      <w:pPr>
        <w:pageBreakBefore w:val="0"/>
        <w:kinsoku/>
        <w:wordWrap w:val="0"/>
        <w:bidi w:val="0"/>
        <w:spacing w:line="440" w:lineRule="exact"/>
        <w:rPr>
          <w:rFonts w:hint="default" w:ascii="Times New Roman" w:hAnsi="Times New Roman" w:cs="Times New Roman"/>
          <w:color w:val="auto"/>
          <w:sz w:val="20"/>
          <w:szCs w:val="20"/>
          <w:highlight w:val="none"/>
        </w:rPr>
      </w:pPr>
    </w:p>
    <w:p w14:paraId="09BA17C3">
      <w:pPr>
        <w:pageBreakBefore w:val="0"/>
        <w:kinsoku/>
        <w:wordWrap w:val="0"/>
        <w:bidi w:val="0"/>
        <w:spacing w:line="440" w:lineRule="exact"/>
        <w:rPr>
          <w:rFonts w:hint="default" w:ascii="Times New Roman" w:hAnsi="Times New Roman" w:cs="Times New Roman"/>
          <w:color w:val="auto"/>
          <w:sz w:val="20"/>
          <w:szCs w:val="20"/>
          <w:highlight w:val="none"/>
        </w:rPr>
      </w:pPr>
    </w:p>
    <w:p w14:paraId="49658921">
      <w:pPr>
        <w:pageBreakBefore w:val="0"/>
        <w:kinsoku/>
        <w:wordWrap w:val="0"/>
        <w:bidi w:val="0"/>
        <w:spacing w:line="440" w:lineRule="exact"/>
        <w:rPr>
          <w:rFonts w:hint="default" w:ascii="Times New Roman" w:hAnsi="Times New Roman" w:cs="Times New Roman"/>
          <w:color w:val="auto"/>
          <w:sz w:val="20"/>
          <w:szCs w:val="20"/>
          <w:highlight w:val="none"/>
        </w:rPr>
      </w:pPr>
    </w:p>
    <w:p w14:paraId="79D4E17E">
      <w:pPr>
        <w:pageBreakBefore w:val="0"/>
        <w:kinsoku/>
        <w:wordWrap w:val="0"/>
        <w:bidi w:val="0"/>
        <w:spacing w:line="440" w:lineRule="exact"/>
        <w:rPr>
          <w:rFonts w:hint="default" w:ascii="Times New Roman" w:hAnsi="Times New Roman" w:cs="Times New Roman"/>
          <w:color w:val="auto"/>
          <w:sz w:val="20"/>
          <w:szCs w:val="20"/>
          <w:highlight w:val="none"/>
        </w:rPr>
      </w:pPr>
    </w:p>
    <w:p w14:paraId="71250CBA">
      <w:pPr>
        <w:pageBreakBefore w:val="0"/>
        <w:kinsoku/>
        <w:wordWrap w:val="0"/>
        <w:bidi w:val="0"/>
        <w:spacing w:line="440" w:lineRule="exact"/>
        <w:rPr>
          <w:rFonts w:hint="default" w:ascii="Times New Roman" w:hAnsi="Times New Roman" w:cs="Times New Roman"/>
          <w:color w:val="auto"/>
          <w:sz w:val="20"/>
          <w:szCs w:val="20"/>
          <w:highlight w:val="none"/>
        </w:rPr>
      </w:pPr>
    </w:p>
    <w:p w14:paraId="67917685">
      <w:pPr>
        <w:pageBreakBefore w:val="0"/>
        <w:kinsoku/>
        <w:wordWrap w:val="0"/>
        <w:bidi w:val="0"/>
        <w:spacing w:line="440" w:lineRule="exact"/>
        <w:rPr>
          <w:rFonts w:hint="default" w:ascii="Times New Roman" w:hAnsi="Times New Roman" w:cs="Times New Roman"/>
          <w:color w:val="auto"/>
          <w:sz w:val="20"/>
          <w:szCs w:val="20"/>
          <w:highlight w:val="none"/>
        </w:rPr>
      </w:pPr>
    </w:p>
    <w:p w14:paraId="3DA380B7">
      <w:pPr>
        <w:pageBreakBefore w:val="0"/>
        <w:kinsoku/>
        <w:wordWrap w:val="0"/>
        <w:bidi w:val="0"/>
        <w:spacing w:before="0" w:after="0" w:line="240" w:lineRule="atLeast"/>
        <w:rPr>
          <w:rFonts w:hint="default" w:ascii="Times New Roman" w:hAnsi="Times New Roman" w:eastAsia="黑体" w:cs="Times New Roman"/>
          <w:b w:val="0"/>
          <w:color w:val="auto"/>
          <w:sz w:val="24"/>
          <w:szCs w:val="24"/>
          <w:highlight w:val="none"/>
        </w:rPr>
      </w:pPr>
      <w:bookmarkStart w:id="363" w:name="_Toc234832929"/>
      <w:r>
        <w:rPr>
          <w:rFonts w:hint="default" w:ascii="Times New Roman" w:hAnsi="Times New Roman" w:eastAsia="黑体" w:cs="Times New Roman"/>
          <w:b w:val="0"/>
          <w:color w:val="auto"/>
          <w:sz w:val="24"/>
          <w:szCs w:val="24"/>
          <w:highlight w:val="none"/>
        </w:rPr>
        <w:br w:type="page"/>
      </w:r>
    </w:p>
    <w:bookmarkEnd w:id="363"/>
    <w:p w14:paraId="6E449D9F">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5DCE7807">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33501BF6">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145DCCCB">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7B922D29">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46CCC16E">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6E39A908">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1D085D13">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06AC211D">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609FB01A">
      <w:pPr>
        <w:pageBreakBefore w:val="0"/>
        <w:kinsoku/>
        <w:wordWrap w:val="0"/>
        <w:topLinePunct/>
        <w:bidi w:val="0"/>
        <w:spacing w:line="440" w:lineRule="exact"/>
        <w:ind w:right="31" w:rightChars="15"/>
        <w:jc w:val="center"/>
        <w:rPr>
          <w:rFonts w:hint="default" w:ascii="Times New Roman" w:hAnsi="Times New Roman" w:eastAsia="黑体" w:cs="Times New Roman"/>
          <w:color w:val="auto"/>
          <w:sz w:val="32"/>
          <w:szCs w:val="32"/>
          <w:highlight w:val="none"/>
        </w:rPr>
      </w:pPr>
    </w:p>
    <w:p w14:paraId="26FEE861">
      <w:pPr>
        <w:pageBreakBefore w:val="0"/>
        <w:kinsoku/>
        <w:wordWrap w:val="0"/>
        <w:topLinePunct/>
        <w:bidi w:val="0"/>
        <w:spacing w:line="240" w:lineRule="atLeast"/>
        <w:ind w:right="31" w:rightChars="15"/>
        <w:jc w:val="center"/>
        <w:rPr>
          <w:rFonts w:hint="default" w:ascii="Times New Roman" w:hAnsi="Times New Roman" w:eastAsia="黑体" w:cs="Times New Roman"/>
          <w:color w:val="auto"/>
          <w:sz w:val="56"/>
          <w:szCs w:val="56"/>
          <w:highlight w:val="none"/>
        </w:rPr>
      </w:pPr>
      <w:r>
        <w:rPr>
          <w:rFonts w:hint="default" w:ascii="Times New Roman" w:hAnsi="Times New Roman" w:eastAsia="黑体" w:cs="Times New Roman"/>
          <w:color w:val="auto"/>
          <w:sz w:val="56"/>
          <w:szCs w:val="56"/>
          <w:highlight w:val="none"/>
        </w:rPr>
        <w:t>第三章  评标办法</w:t>
      </w:r>
    </w:p>
    <w:p w14:paraId="460AC5AC">
      <w:pPr>
        <w:pStyle w:val="2"/>
        <w:pageBreakBefore w:val="0"/>
        <w:kinsoku/>
        <w:wordWrap w:val="0"/>
        <w:bidi w:val="0"/>
        <w:spacing w:before="0" w:after="120" w:afterLines="50" w:line="240" w:lineRule="atLeast"/>
        <w:jc w:val="center"/>
        <w:outlineLvl w:val="9"/>
        <w:rPr>
          <w:rFonts w:hint="default" w:ascii="Times New Roman" w:hAnsi="Times New Roman" w:eastAsia="黑体" w:cs="Times New Roman"/>
          <w:color w:val="auto"/>
          <w:sz w:val="36"/>
          <w:szCs w:val="36"/>
          <w:highlight w:val="none"/>
        </w:rPr>
        <w:sectPr>
          <w:headerReference r:id="rId27" w:type="default"/>
          <w:footerReference r:id="rId29" w:type="default"/>
          <w:headerReference r:id="rId28" w:type="even"/>
          <w:footerReference r:id="rId30"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78B86BCF">
      <w:pPr>
        <w:spacing w:line="400" w:lineRule="atLeast"/>
        <w:ind w:firstLine="480" w:firstLineChars="200"/>
        <w:rPr>
          <w:rFonts w:hint="default" w:ascii="Times New Roman" w:hAnsi="Times New Roman" w:eastAsia="宋体" w:cs="Times New Roman"/>
          <w:color w:val="auto"/>
          <w:sz w:val="24"/>
          <w:highlight w:val="none"/>
        </w:rPr>
      </w:pPr>
      <w:bookmarkStart w:id="364" w:name="_Toc234832931"/>
    </w:p>
    <w:p w14:paraId="4649B38B">
      <w:pPr>
        <w:pStyle w:val="2"/>
        <w:pageBreakBefore w:val="0"/>
        <w:kinsoku/>
        <w:wordWrap w:val="0"/>
        <w:bidi w:val="0"/>
        <w:spacing w:before="0" w:after="120" w:afterLines="50" w:line="240" w:lineRule="atLeast"/>
        <w:jc w:val="center"/>
        <w:rPr>
          <w:rFonts w:hint="default" w:ascii="Times New Roman" w:hAnsi="Times New Roman" w:eastAsia="黑体" w:cs="Times New Roman"/>
          <w:b w:val="0"/>
          <w:color w:val="auto"/>
          <w:sz w:val="42"/>
          <w:szCs w:val="42"/>
          <w:highlight w:val="none"/>
        </w:rPr>
      </w:pPr>
      <w:bookmarkStart w:id="365" w:name="_Toc26505"/>
      <w:bookmarkStart w:id="366" w:name="_Toc10728"/>
      <w:bookmarkStart w:id="367" w:name="_Toc14682"/>
      <w:r>
        <w:rPr>
          <w:rFonts w:hint="default" w:ascii="Times New Roman" w:hAnsi="Times New Roman" w:eastAsia="黑体" w:cs="Times New Roman"/>
          <w:b w:val="0"/>
          <w:color w:val="auto"/>
          <w:sz w:val="42"/>
          <w:szCs w:val="42"/>
          <w:highlight w:val="none"/>
        </w:rPr>
        <w:t>第三章  评标办法（合理低价法）</w:t>
      </w:r>
      <w:r>
        <w:rPr>
          <w:rStyle w:val="47"/>
          <w:rFonts w:hint="default" w:ascii="Times New Roman" w:hAnsi="Times New Roman" w:eastAsia="黑体" w:cs="Times New Roman"/>
          <w:color w:val="auto"/>
          <w:sz w:val="42"/>
          <w:szCs w:val="42"/>
          <w:highlight w:val="none"/>
        </w:rPr>
        <w:footnoteReference w:id="25"/>
      </w:r>
      <w:bookmarkEnd w:id="364"/>
      <w:bookmarkEnd w:id="365"/>
      <w:bookmarkEnd w:id="366"/>
      <w:bookmarkEnd w:id="367"/>
    </w:p>
    <w:p w14:paraId="3BBDCC78">
      <w:pPr>
        <w:pageBreakBefore w:val="0"/>
        <w:kinsoku/>
        <w:wordWrap w:val="0"/>
        <w:bidi w:val="0"/>
        <w:spacing w:line="420" w:lineRule="atLeast"/>
        <w:rPr>
          <w:rFonts w:hint="default" w:ascii="Times New Roman" w:hAnsi="Times New Roman" w:eastAsia="黑体" w:cs="Times New Roman"/>
          <w:color w:val="auto"/>
          <w:sz w:val="20"/>
          <w:szCs w:val="20"/>
          <w:highlight w:val="none"/>
        </w:rPr>
      </w:pPr>
    </w:p>
    <w:p w14:paraId="6DA1A5E5">
      <w:pPr>
        <w:pStyle w:val="2"/>
        <w:pageBreakBefore w:val="0"/>
        <w:kinsoku/>
        <w:wordWrap w:val="0"/>
        <w:bidi w:val="0"/>
        <w:spacing w:before="0" w:after="0" w:line="240" w:lineRule="atLeast"/>
        <w:outlineLvl w:val="1"/>
        <w:rPr>
          <w:rFonts w:hint="default" w:ascii="Times New Roman" w:hAnsi="Times New Roman" w:eastAsia="黑体" w:cs="Times New Roman"/>
          <w:b w:val="0"/>
          <w:color w:val="auto"/>
          <w:sz w:val="28"/>
          <w:szCs w:val="28"/>
          <w:highlight w:val="none"/>
        </w:rPr>
      </w:pPr>
      <w:bookmarkStart w:id="368" w:name="_Toc8233"/>
      <w:bookmarkStart w:id="369" w:name="_Toc17606"/>
      <w:bookmarkStart w:id="370" w:name="_Toc11316"/>
      <w:bookmarkStart w:id="371" w:name="_Toc234832932"/>
      <w:r>
        <w:rPr>
          <w:rFonts w:hint="default" w:ascii="Times New Roman" w:hAnsi="Times New Roman" w:eastAsia="黑体" w:cs="Times New Roman"/>
          <w:b w:val="0"/>
          <w:color w:val="auto"/>
          <w:sz w:val="24"/>
          <w:szCs w:val="24"/>
          <w:highlight w:val="none"/>
        </w:rPr>
        <w:t>评标办法前附表</w:t>
      </w:r>
      <w:r>
        <w:rPr>
          <w:rFonts w:hint="default" w:ascii="Times New Roman" w:hAnsi="Times New Roman" w:eastAsia="黑体" w:cs="Times New Roman"/>
          <w:b w:val="0"/>
          <w:color w:val="auto"/>
          <w:sz w:val="28"/>
          <w:szCs w:val="28"/>
          <w:highlight w:val="none"/>
        </w:rPr>
        <w:t xml:space="preserve"> </w:t>
      </w:r>
      <w:r>
        <w:rPr>
          <w:rStyle w:val="47"/>
          <w:rFonts w:hint="default" w:ascii="Times New Roman" w:hAnsi="Times New Roman" w:cs="Times New Roman"/>
          <w:color w:val="auto"/>
          <w:sz w:val="28"/>
          <w:szCs w:val="28"/>
          <w:highlight w:val="none"/>
        </w:rPr>
        <w:footnoteReference w:id="26"/>
      </w:r>
      <w:bookmarkEnd w:id="368"/>
      <w:bookmarkEnd w:id="369"/>
      <w:bookmarkEnd w:id="370"/>
      <w:bookmarkEnd w:id="371"/>
    </w:p>
    <w:tbl>
      <w:tblPr>
        <w:tblStyle w:val="3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12"/>
        <w:gridCol w:w="1505"/>
        <w:gridCol w:w="5099"/>
      </w:tblGrid>
      <w:tr w14:paraId="208C47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24" w:type="dxa"/>
            <w:gridSpan w:val="2"/>
            <w:tcBorders>
              <w:top w:val="single" w:color="auto" w:sz="4" w:space="0"/>
              <w:bottom w:val="single" w:color="auto" w:sz="4" w:space="0"/>
              <w:right w:val="single" w:color="auto" w:sz="4" w:space="0"/>
            </w:tcBorders>
            <w:noWrap w:val="0"/>
            <w:vAlign w:val="center"/>
          </w:tcPr>
          <w:p w14:paraId="6B015CFF">
            <w:pPr>
              <w:pageBreakBefore w:val="0"/>
              <w:kinsoku/>
              <w:wordWrap w:val="0"/>
              <w:bidi w:val="0"/>
              <w:spacing w:line="40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条款号</w:t>
            </w:r>
          </w:p>
        </w:tc>
        <w:tc>
          <w:tcPr>
            <w:tcW w:w="6616" w:type="dxa"/>
            <w:gridSpan w:val="3"/>
            <w:tcBorders>
              <w:top w:val="single" w:color="auto" w:sz="4" w:space="0"/>
              <w:left w:val="single" w:color="auto" w:sz="4" w:space="0"/>
              <w:bottom w:val="single" w:color="auto" w:sz="4" w:space="0"/>
              <w:right w:val="single" w:color="auto" w:sz="4" w:space="0"/>
            </w:tcBorders>
            <w:noWrap w:val="0"/>
            <w:vAlign w:val="center"/>
          </w:tcPr>
          <w:p w14:paraId="6D1B2780">
            <w:pPr>
              <w:pageBreakBefore w:val="0"/>
              <w:kinsoku/>
              <w:wordWrap w:val="0"/>
              <w:bidi w:val="0"/>
              <w:spacing w:line="40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评审因素与评审标准</w:t>
            </w:r>
          </w:p>
        </w:tc>
      </w:tr>
      <w:tr w14:paraId="2A4FA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bottom w:val="single" w:color="auto" w:sz="4" w:space="0"/>
              <w:right w:val="single" w:color="auto" w:sz="4" w:space="0"/>
            </w:tcBorders>
            <w:noWrap w:val="0"/>
            <w:vAlign w:val="center"/>
          </w:tcPr>
          <w:p w14:paraId="55D78933">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124" w:type="dxa"/>
            <w:tcBorders>
              <w:top w:val="single" w:color="auto" w:sz="4" w:space="0"/>
              <w:bottom w:val="single" w:color="auto" w:sz="4" w:space="0"/>
              <w:right w:val="single" w:color="auto" w:sz="4" w:space="0"/>
            </w:tcBorders>
            <w:noWrap w:val="0"/>
            <w:vAlign w:val="center"/>
          </w:tcPr>
          <w:p w14:paraId="67D43E4F">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评标方法</w:t>
            </w:r>
          </w:p>
        </w:tc>
        <w:tc>
          <w:tcPr>
            <w:tcW w:w="6616" w:type="dxa"/>
            <w:gridSpan w:val="3"/>
            <w:tcBorders>
              <w:top w:val="single" w:color="auto" w:sz="4" w:space="0"/>
              <w:left w:val="single" w:color="auto" w:sz="4" w:space="0"/>
              <w:right w:val="single" w:color="auto" w:sz="4" w:space="0"/>
            </w:tcBorders>
            <w:noWrap w:val="0"/>
            <w:vAlign w:val="center"/>
          </w:tcPr>
          <w:p w14:paraId="6C753350">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综合评分相等时，评标委员会依次按照以下优先顺序推荐中标候选人或确定中标人：</w:t>
            </w:r>
          </w:p>
          <w:p w14:paraId="13AFDD3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（1）评标价低的投标人优先；</w:t>
            </w:r>
          </w:p>
          <w:p w14:paraId="0433752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（2）被</w:t>
            </w:r>
            <w:r>
              <w:rPr>
                <w:rFonts w:hint="eastAsia" w:cs="Times New Roman"/>
                <w:color w:val="auto"/>
                <w:szCs w:val="21"/>
                <w:highlight w:val="none"/>
                <w:lang w:val="en-US" w:eastAsia="zh-CN"/>
              </w:rPr>
              <w:t>辽宁</w:t>
            </w:r>
            <w:r>
              <w:rPr>
                <w:rFonts w:hint="default" w:ascii="Times New Roman" w:hAnsi="Times New Roman" w:cs="Times New Roman"/>
                <w:color w:val="auto"/>
                <w:szCs w:val="21"/>
                <w:highlight w:val="none"/>
              </w:rPr>
              <w:t>省交通运输</w:t>
            </w:r>
            <w:r>
              <w:rPr>
                <w:rFonts w:hint="eastAsia" w:cs="Times New Roman"/>
                <w:color w:val="auto"/>
                <w:szCs w:val="21"/>
                <w:highlight w:val="none"/>
                <w:lang w:val="en-US" w:eastAsia="zh-CN"/>
              </w:rPr>
              <w:t>厅</w:t>
            </w:r>
            <w:r>
              <w:rPr>
                <w:rFonts w:hint="default" w:ascii="Times New Roman" w:hAnsi="Times New Roman" w:cs="Times New Roman"/>
                <w:color w:val="auto"/>
                <w:szCs w:val="21"/>
                <w:highlight w:val="none"/>
              </w:rPr>
              <w:t>评为较高信用等级的投标人优先；</w:t>
            </w:r>
          </w:p>
          <w:p w14:paraId="5A21662E">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3</w:t>
            </w:r>
            <w:r>
              <w:rPr>
                <w:rFonts w:hint="eastAsia" w:cs="Times New Roman"/>
                <w:color w:val="auto"/>
                <w:szCs w:val="21"/>
                <w:highlight w:val="none"/>
                <w:lang w:eastAsia="zh-CN"/>
              </w:rPr>
              <w:t>)</w:t>
            </w:r>
            <w:r>
              <w:rPr>
                <w:rFonts w:hint="default" w:ascii="Times New Roman" w:hAnsi="Times New Roman" w:cs="Times New Roman"/>
                <w:color w:val="auto"/>
                <w:szCs w:val="21"/>
                <w:highlight w:val="none"/>
              </w:rPr>
              <w:t>……</w:t>
            </w:r>
          </w:p>
        </w:tc>
      </w:tr>
      <w:tr w14:paraId="24228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bottom w:val="single" w:color="auto" w:sz="4" w:space="0"/>
              <w:right w:val="single" w:color="auto" w:sz="4" w:space="0"/>
            </w:tcBorders>
            <w:noWrap w:val="0"/>
            <w:vAlign w:val="center"/>
          </w:tcPr>
          <w:p w14:paraId="0EDC50D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2.1.1</w:t>
            </w:r>
          </w:p>
          <w:p w14:paraId="3D234E3F">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2.1.3</w:t>
            </w:r>
          </w:p>
        </w:tc>
        <w:tc>
          <w:tcPr>
            <w:tcW w:w="1124" w:type="dxa"/>
            <w:tcBorders>
              <w:top w:val="single" w:color="auto" w:sz="4" w:space="0"/>
              <w:bottom w:val="single" w:color="auto" w:sz="4" w:space="0"/>
              <w:right w:val="single" w:color="auto" w:sz="4" w:space="0"/>
            </w:tcBorders>
            <w:noWrap w:val="0"/>
            <w:vAlign w:val="center"/>
          </w:tcPr>
          <w:p w14:paraId="20E3161F">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形式评审与响应性评审标准</w:t>
            </w:r>
          </w:p>
        </w:tc>
        <w:tc>
          <w:tcPr>
            <w:tcW w:w="6616" w:type="dxa"/>
            <w:gridSpan w:val="3"/>
            <w:tcBorders>
              <w:top w:val="single" w:color="auto" w:sz="4" w:space="0"/>
              <w:left w:val="single" w:color="auto" w:sz="4" w:space="0"/>
              <w:right w:val="single" w:color="auto" w:sz="4" w:space="0"/>
            </w:tcBorders>
            <w:noWrap w:val="0"/>
            <w:vAlign w:val="center"/>
          </w:tcPr>
          <w:p w14:paraId="0F03AE62">
            <w:pPr>
              <w:pageBreakBefore w:val="0"/>
              <w:kinsoku/>
              <w:wordWrap w:val="0"/>
              <w:bidi w:val="0"/>
              <w:spacing w:line="360" w:lineRule="atLeast"/>
              <w:ind w:firstLine="422" w:firstLineChars="200"/>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第一个信封（商务及技术文件）评审标准：</w:t>
            </w:r>
          </w:p>
          <w:p w14:paraId="1264684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（1）投标文件按照招标文件规定的格式、内容填写，字迹清晰可辨：</w:t>
            </w:r>
          </w:p>
          <w:p w14:paraId="484DFF49">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a.投标函按招标文件规定填报了项目名称、标段号、补遗书编号（如有）、工期、工程质量要求及安全目标；</w:t>
            </w:r>
          </w:p>
          <w:p w14:paraId="16F237A5">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b.投标函附录的所有数据均符合招标文件规定；</w:t>
            </w:r>
          </w:p>
          <w:p w14:paraId="00E514E3">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c.投标文件组成齐全完整，内容均按规定填写。</w:t>
            </w:r>
          </w:p>
          <w:p w14:paraId="44D14F5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（2）投标文件上法定代表人或其委托代理人的签字、投标人的单位章盖章齐全，符合招标文件规定。</w:t>
            </w:r>
          </w:p>
          <w:p w14:paraId="30CDD46C">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3</w:t>
            </w:r>
            <w:r>
              <w:rPr>
                <w:rFonts w:hint="default" w:ascii="Times New Roman" w:hAnsi="Times New Roman" w:cs="Times New Roman"/>
                <w:color w:val="auto"/>
                <w:szCs w:val="21"/>
                <w:highlight w:val="none"/>
              </w:rPr>
              <w:t>）投标人按照招标文件的规定提供了投标保证金：</w:t>
            </w:r>
          </w:p>
          <w:p w14:paraId="672F522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a.投标保证金金额符合招标文件规定的金额，且投标保证金有效期不少于投标有效期；</w:t>
            </w:r>
          </w:p>
          <w:p w14:paraId="6A9DC113">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b.若投标保证金采用现金或支票形式提交，投标人应在递交投标文件截止时间之前，将投标保证金由投标人的基本账户转入招标人指定账户；</w:t>
            </w:r>
          </w:p>
          <w:p w14:paraId="7C976D2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c.若投标保证金采用银行保函形式提交，银行保函的格式、开具保函的银行均满足招标文件要求。</w:t>
            </w:r>
          </w:p>
          <w:p w14:paraId="7424F2A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d.若投标保证金采用电子保函形式提交，投标人应在投标文件中提供电子保函的原件扫描件、电子化保函验真渠道和从投标人基本账户支出的保函财务费用支付凭证。</w:t>
            </w:r>
          </w:p>
          <w:p w14:paraId="34A1483A">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（4）投标人法定代表人授权委托代理人签署投标文件的，须提交授权委托书，且授权人和被授权人均在授权委托书上使用CA 数字证书加盖个人电子印章或</w:t>
            </w:r>
            <w:r>
              <w:rPr>
                <w:rFonts w:hint="eastAsia" w:cs="Times New Roman"/>
                <w:color w:val="auto"/>
                <w:szCs w:val="21"/>
                <w:highlight w:val="none"/>
                <w:lang w:eastAsia="zh-CN"/>
              </w:rPr>
              <w:t>电子签名</w:t>
            </w:r>
            <w:r>
              <w:rPr>
                <w:rFonts w:hint="default" w:ascii="Times New Roman" w:hAnsi="Times New Roman" w:cs="Times New Roman"/>
                <w:color w:val="auto"/>
                <w:szCs w:val="21"/>
                <w:highlight w:val="none"/>
              </w:rPr>
              <w:t>。</w:t>
            </w:r>
          </w:p>
          <w:p w14:paraId="32CA665A">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（5）投标人法定代表人亲自签署投标文件的，提供了法定代表人身份证明，且法定代表人在法定代表人身份证明上使用CA 数字证书加盖个人电子印章或</w:t>
            </w:r>
            <w:r>
              <w:rPr>
                <w:rFonts w:hint="eastAsia" w:cs="Times New Roman"/>
                <w:color w:val="auto"/>
                <w:szCs w:val="21"/>
                <w:highlight w:val="none"/>
                <w:lang w:eastAsia="zh-CN"/>
              </w:rPr>
              <w:t>电子签名</w:t>
            </w:r>
            <w:r>
              <w:rPr>
                <w:rFonts w:hint="default" w:ascii="Times New Roman" w:hAnsi="Times New Roman" w:cs="Times New Roman"/>
                <w:color w:val="auto"/>
                <w:szCs w:val="21"/>
                <w:highlight w:val="none"/>
              </w:rPr>
              <w:t>。</w:t>
            </w:r>
          </w:p>
          <w:p w14:paraId="0A873F9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（6）投标人以联合体形式投标时，联合体满足招标文件的要求：投标人按照招标文件提供的格式签订了联合体协议书，明确各方承担连带责任，并明确了联合体牵头人。</w:t>
            </w:r>
          </w:p>
          <w:p w14:paraId="44E73817">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（7）投标人如有分包计划，符合招标文件第二章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第1.11款规定。</w:t>
            </w:r>
          </w:p>
          <w:p w14:paraId="040FAFF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（8）同一投标人未提交两个以上不同的投标文件，但招标文件要求提交备选投标的除外。</w:t>
            </w:r>
          </w:p>
          <w:p w14:paraId="20F2F853">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（9）投标文件中未出现有关投标报价的内容。</w:t>
            </w:r>
          </w:p>
          <w:p w14:paraId="086FDB88">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（10）投标文件载明的招标项目完成期限未超过招标文件规定的时限。</w:t>
            </w:r>
          </w:p>
          <w:p w14:paraId="601E3F89">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（11）投标文件对招标文件的实质性要求和条件作出响应。</w:t>
            </w:r>
          </w:p>
          <w:p w14:paraId="16D7E4B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（12）权利义务符合招标文件规定：</w:t>
            </w:r>
          </w:p>
          <w:p w14:paraId="37DBAC87">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a.投标人应接受招标文件规定的风险划分原则，未提出新的风险划分办法；</w:t>
            </w:r>
          </w:p>
          <w:p w14:paraId="3667639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b.投标人未增加发包人的责任范围，或减少投标人义务；</w:t>
            </w:r>
          </w:p>
          <w:p w14:paraId="49740ECC">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c.投标人未提出不同的工程验收、计量、支付办法；</w:t>
            </w:r>
          </w:p>
          <w:p w14:paraId="2E15A89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d.投标人对合同纠纷、事故处理办法未提出异议；</w:t>
            </w:r>
          </w:p>
          <w:p w14:paraId="7DA510C4">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e.投标人在投标活动中无欺诈行为；</w:t>
            </w:r>
          </w:p>
          <w:p w14:paraId="2895E46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f.投标人未对合同条款有重要保留。</w:t>
            </w:r>
          </w:p>
          <w:p w14:paraId="6122FCDA">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r>
              <w:rPr>
                <w:rFonts w:hint="eastAsia" w:cs="Times New Roman"/>
                <w:color w:val="auto"/>
                <w:szCs w:val="21"/>
                <w:highlight w:val="none"/>
                <w:lang w:val="en-US" w:eastAsia="zh-CN"/>
              </w:rPr>
              <w:t>3</w:t>
            </w:r>
            <w:r>
              <w:rPr>
                <w:rFonts w:hint="default" w:ascii="Times New Roman" w:hAnsi="Times New Roman" w:cs="Times New Roman"/>
                <w:color w:val="auto"/>
                <w:szCs w:val="21"/>
                <w:highlight w:val="none"/>
              </w:rPr>
              <w:t>）投标人上传投标文件的标段数量满足第一章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招标公告</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第3.3款规定，投标函上填写的标段号与上传的对应项目标段号一致。</w:t>
            </w:r>
          </w:p>
          <w:p w14:paraId="63F8613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（14）未发现投标人与其他投标人存在使用同一不可篡改的唯一标识软硬件设备投标的（如：MAC地址、标书制作特征码、标书唯一特征码等）。</w:t>
            </w:r>
          </w:p>
          <w:p w14:paraId="4B79BFF0">
            <w:pPr>
              <w:pageBreakBefore w:val="0"/>
              <w:kinsoku/>
              <w:wordWrap w:val="0"/>
              <w:bidi w:val="0"/>
              <w:spacing w:line="360" w:lineRule="atLeast"/>
              <w:ind w:firstLine="422" w:firstLineChars="200"/>
              <w:rPr>
                <w:rFonts w:hint="default" w:ascii="Times New Roman" w:hAnsi="Times New Roman" w:cs="Times New Roman"/>
                <w:color w:val="auto"/>
                <w:szCs w:val="21"/>
                <w:highlight w:val="none"/>
              </w:rPr>
            </w:pPr>
            <w:r>
              <w:rPr>
                <w:rFonts w:hint="default" w:ascii="Times New Roman" w:hAnsi="Times New Roman" w:cs="Times New Roman"/>
                <w:b/>
                <w:bCs/>
                <w:color w:val="auto"/>
                <w:szCs w:val="21"/>
                <w:highlight w:val="none"/>
              </w:rPr>
              <w:t>第二个信封（报价文件）评审标准：</w:t>
            </w:r>
          </w:p>
          <w:p w14:paraId="3C583F5E">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（1）投标文件按照招标文件规定的格式、内容填写，字迹清晰可辨：</w:t>
            </w:r>
          </w:p>
          <w:p w14:paraId="1EA6BF8C">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a.投标函按招标文件规定填报了项目名称、标段号、补遗书编号（如有）、投标价（包括大写金额和小写金额）；</w:t>
            </w:r>
          </w:p>
          <w:p w14:paraId="5E7140CD">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b.已标价工程量清单说明文字与招标文件规定一致，未进行实质性修改和删减；</w:t>
            </w:r>
          </w:p>
          <w:p w14:paraId="3F71BD03">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c.投标文件组成齐全完整，内容均按规定填写。</w:t>
            </w:r>
          </w:p>
          <w:p w14:paraId="2B462054">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（2）投标文件上法定代表人或其委托代理人的签字、投标人的单位章盖章齐全，符合招标文件规定。</w:t>
            </w:r>
          </w:p>
          <w:p w14:paraId="1BBE3A2F">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（3）投标报价中的报价未超过招标文件设定的最高投标限价（如有）。</w:t>
            </w:r>
          </w:p>
          <w:p w14:paraId="2257F27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（4）投标报价中报价的大写金额能够确定具体数值。</w:t>
            </w:r>
          </w:p>
          <w:p w14:paraId="6C018917">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（5）同一投标人未提交两个以上不同的投标报价，但招标文件要求提交备选投标的除外。</w:t>
            </w:r>
          </w:p>
          <w:p w14:paraId="44DBD671">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rPr>
              <w:t>）投标人若填写工程量固化清单，填写完毕的工程量固化清单未对工程量固化清单电子文件中的数据、格式和运算定义进行修改；工程量固化清单中的投标报价和投标函大写金额报价一致。</w:t>
            </w:r>
          </w:p>
          <w:p w14:paraId="4BDCD34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eastAsia" w:cs="Times New Roman"/>
                <w:color w:val="auto"/>
                <w:szCs w:val="21"/>
                <w:highlight w:val="none"/>
                <w:lang w:val="en-US" w:eastAsia="zh-CN"/>
              </w:rPr>
              <w:t>7</w:t>
            </w:r>
            <w:r>
              <w:rPr>
                <w:rFonts w:hint="default" w:ascii="Times New Roman" w:hAnsi="Times New Roman" w:cs="Times New Roman"/>
                <w:color w:val="auto"/>
                <w:szCs w:val="21"/>
                <w:highlight w:val="none"/>
              </w:rPr>
              <w:t>）未发现投标人与其他投标人存在使用同一不可篡改的唯一标识软硬件设备投标的（如：MAC地址、标书制作特征码、标书唯一特征码等）。</w:t>
            </w:r>
          </w:p>
        </w:tc>
      </w:tr>
      <w:tr w14:paraId="54743E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30" w:hRule="atLeast"/>
        </w:trPr>
        <w:tc>
          <w:tcPr>
            <w:tcW w:w="900" w:type="dxa"/>
            <w:tcBorders>
              <w:top w:val="single" w:color="auto" w:sz="4" w:space="0"/>
              <w:right w:val="single" w:color="auto" w:sz="4" w:space="0"/>
            </w:tcBorders>
            <w:noWrap w:val="0"/>
            <w:vAlign w:val="center"/>
          </w:tcPr>
          <w:p w14:paraId="1DE9B983">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2.1.2</w:t>
            </w:r>
          </w:p>
        </w:tc>
        <w:tc>
          <w:tcPr>
            <w:tcW w:w="1136" w:type="dxa"/>
            <w:gridSpan w:val="2"/>
            <w:tcBorders>
              <w:top w:val="single" w:color="auto" w:sz="4" w:space="0"/>
              <w:right w:val="single" w:color="auto" w:sz="4" w:space="0"/>
            </w:tcBorders>
            <w:noWrap w:val="0"/>
            <w:vAlign w:val="center"/>
          </w:tcPr>
          <w:p w14:paraId="18FBE9F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资格评审标准</w:t>
            </w:r>
          </w:p>
        </w:tc>
        <w:tc>
          <w:tcPr>
            <w:tcW w:w="6604" w:type="dxa"/>
            <w:gridSpan w:val="2"/>
            <w:tcBorders>
              <w:top w:val="single" w:color="auto" w:sz="4" w:space="0"/>
              <w:left w:val="single" w:color="auto" w:sz="4" w:space="0"/>
              <w:right w:val="single" w:color="auto" w:sz="4" w:space="0"/>
            </w:tcBorders>
            <w:noWrap w:val="0"/>
            <w:vAlign w:val="center"/>
          </w:tcPr>
          <w:p w14:paraId="575677D6">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（1）投标人的资质等级符合招标文件规定。</w:t>
            </w:r>
          </w:p>
          <w:p w14:paraId="2A91CF34">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）投标人的财务状况符合招标文件规定。</w:t>
            </w:r>
          </w:p>
          <w:p w14:paraId="58227332">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3</w:t>
            </w:r>
            <w:r>
              <w:rPr>
                <w:rFonts w:hint="default" w:ascii="Times New Roman" w:hAnsi="Times New Roman" w:cs="Times New Roman"/>
                <w:color w:val="auto"/>
                <w:szCs w:val="21"/>
                <w:highlight w:val="none"/>
              </w:rPr>
              <w:t>）投标人的类似项目业绩符合招标文件规定。</w:t>
            </w:r>
          </w:p>
          <w:p w14:paraId="36219AF4">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4</w:t>
            </w:r>
            <w:r>
              <w:rPr>
                <w:rFonts w:hint="default" w:ascii="Times New Roman" w:hAnsi="Times New Roman" w:cs="Times New Roman"/>
                <w:color w:val="auto"/>
                <w:szCs w:val="21"/>
                <w:highlight w:val="none"/>
              </w:rPr>
              <w:t>）投标人的信誉符合招标文件规定。</w:t>
            </w:r>
          </w:p>
          <w:p w14:paraId="205AC8B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5</w:t>
            </w:r>
            <w:r>
              <w:rPr>
                <w:rFonts w:hint="default" w:ascii="Times New Roman" w:hAnsi="Times New Roman" w:cs="Times New Roman"/>
                <w:color w:val="auto"/>
                <w:szCs w:val="21"/>
                <w:highlight w:val="none"/>
              </w:rPr>
              <w:t>）投标人的项目经理和项目总工资格、在岗情况符合招标文件规定。</w:t>
            </w:r>
          </w:p>
          <w:p w14:paraId="0911327E">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6</w:t>
            </w:r>
            <w:r>
              <w:rPr>
                <w:rFonts w:hint="default" w:ascii="Times New Roman" w:hAnsi="Times New Roman" w:cs="Times New Roman"/>
                <w:color w:val="auto"/>
                <w:szCs w:val="21"/>
                <w:highlight w:val="none"/>
              </w:rPr>
              <w:t>）投标人的其他要求符合招标文件规定。</w:t>
            </w:r>
            <w:r>
              <w:rPr>
                <w:rFonts w:hint="default" w:ascii="Times New Roman" w:hAnsi="Times New Roman" w:cs="Times New Roman"/>
                <w:color w:val="auto"/>
                <w:szCs w:val="21"/>
                <w:highlight w:val="none"/>
                <w:vertAlign w:val="superscript"/>
              </w:rPr>
              <w:footnoteReference w:id="27"/>
            </w:r>
          </w:p>
          <w:p w14:paraId="46F7E225">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7</w:t>
            </w:r>
            <w:r>
              <w:rPr>
                <w:rFonts w:hint="default" w:ascii="Times New Roman" w:hAnsi="Times New Roman" w:cs="Times New Roman"/>
                <w:color w:val="auto"/>
                <w:szCs w:val="21"/>
                <w:highlight w:val="none"/>
              </w:rPr>
              <w:t>）投标人不存在第二章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 xml:space="preserve">第1.4.3项或第1.4.4项规定的任何一种情形。 </w:t>
            </w:r>
          </w:p>
          <w:p w14:paraId="69BF71CB">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8</w:t>
            </w:r>
            <w:r>
              <w:rPr>
                <w:rFonts w:hint="default" w:ascii="Times New Roman" w:hAnsi="Times New Roman" w:cs="Times New Roman"/>
                <w:color w:val="auto"/>
                <w:szCs w:val="21"/>
                <w:highlight w:val="none"/>
              </w:rPr>
              <w:t>）投标人符合第二章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第1.4.5项规定。</w:t>
            </w:r>
            <w:r>
              <w:rPr>
                <w:rStyle w:val="47"/>
                <w:rFonts w:hint="default" w:ascii="Times New Roman" w:hAnsi="Times New Roman" w:cs="Times New Roman"/>
                <w:color w:val="auto"/>
                <w:highlight w:val="none"/>
              </w:rPr>
              <w:footnoteReference w:id="28"/>
            </w:r>
          </w:p>
          <w:p w14:paraId="29E88866">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r>
              <w:rPr>
                <w:rFonts w:hint="default" w:ascii="Times New Roman" w:hAnsi="Times New Roman" w:cs="Times New Roman"/>
                <w:color w:val="auto"/>
                <w:szCs w:val="21"/>
                <w:highlight w:val="none"/>
                <w:lang w:val="en-US" w:eastAsia="zh-CN"/>
              </w:rPr>
              <w:t>9</w:t>
            </w:r>
            <w:r>
              <w:rPr>
                <w:rFonts w:hint="default" w:ascii="Times New Roman" w:hAnsi="Times New Roman" w:cs="Times New Roman"/>
                <w:color w:val="auto"/>
                <w:szCs w:val="21"/>
                <w:highlight w:val="none"/>
              </w:rPr>
              <w:t>）以联合体形式参与投标的，联合体各方均未再以自己名义单独或参加其他联合体在同一标段中投标；独立参与投标的，投标人未同时参加联合体在同一标段中投标。</w:t>
            </w:r>
          </w:p>
          <w:p w14:paraId="141A8FA1">
            <w:pPr>
              <w:pageBreakBefore w:val="0"/>
              <w:kinsoku/>
              <w:wordWrap w:val="0"/>
              <w:bidi w:val="0"/>
              <w:spacing w:line="360" w:lineRule="atLeast"/>
              <w:ind w:firstLine="422" w:firstLineChars="200"/>
              <w:rPr>
                <w:rFonts w:hint="default" w:ascii="Times New Roman" w:hAnsi="Times New Roman" w:cs="Times New Roman"/>
                <w:color w:val="auto"/>
                <w:szCs w:val="21"/>
                <w:highlight w:val="none"/>
              </w:rPr>
            </w:pPr>
            <w:r>
              <w:rPr>
                <w:rFonts w:ascii="宋体" w:hAnsi="宋体"/>
                <w:b/>
                <w:sz w:val="21"/>
                <w:szCs w:val="21"/>
              </w:rPr>
              <w:t>投标文件未满足以上任一条件的，其投标视为无效，评标委员会将否决其投标。</w:t>
            </w:r>
          </w:p>
        </w:tc>
      </w:tr>
      <w:tr w14:paraId="378D84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03AA1356">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条款号</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A6141B4">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条款内容</w:t>
            </w:r>
          </w:p>
        </w:tc>
        <w:tc>
          <w:tcPr>
            <w:tcW w:w="5099" w:type="dxa"/>
            <w:tcBorders>
              <w:top w:val="single" w:color="auto" w:sz="4" w:space="0"/>
              <w:left w:val="single" w:color="auto" w:sz="4" w:space="0"/>
              <w:bottom w:val="single" w:color="auto" w:sz="4" w:space="0"/>
              <w:right w:val="single" w:color="auto" w:sz="4" w:space="0"/>
            </w:tcBorders>
            <w:noWrap w:val="0"/>
            <w:vAlign w:val="center"/>
          </w:tcPr>
          <w:p w14:paraId="1D0C4381">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编列内容</w:t>
            </w:r>
          </w:p>
        </w:tc>
      </w:tr>
      <w:tr w14:paraId="7D6460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bottom w:val="single" w:color="auto" w:sz="4" w:space="0"/>
              <w:right w:val="single" w:color="auto" w:sz="4" w:space="0"/>
            </w:tcBorders>
            <w:noWrap w:val="0"/>
            <w:vAlign w:val="center"/>
          </w:tcPr>
          <w:p w14:paraId="0807F42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2.2.1</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E2F4D6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分值构成</w:t>
            </w:r>
          </w:p>
          <w:p w14:paraId="2F50CB8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（总分100分）</w:t>
            </w:r>
          </w:p>
        </w:tc>
        <w:tc>
          <w:tcPr>
            <w:tcW w:w="5099" w:type="dxa"/>
            <w:tcBorders>
              <w:top w:val="single" w:color="auto" w:sz="4" w:space="0"/>
              <w:left w:val="single" w:color="auto" w:sz="4" w:space="0"/>
              <w:bottom w:val="single" w:color="auto" w:sz="4" w:space="0"/>
              <w:right w:val="single" w:color="auto" w:sz="4" w:space="0"/>
            </w:tcBorders>
            <w:noWrap w:val="0"/>
            <w:vAlign w:val="center"/>
          </w:tcPr>
          <w:p w14:paraId="578CB68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评标价：100分</w:t>
            </w:r>
          </w:p>
        </w:tc>
      </w:tr>
      <w:tr w14:paraId="73924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2" w:hRule="atLeast"/>
        </w:trPr>
        <w:tc>
          <w:tcPr>
            <w:tcW w:w="2036" w:type="dxa"/>
            <w:gridSpan w:val="3"/>
            <w:tcBorders>
              <w:top w:val="single" w:color="auto" w:sz="4" w:space="0"/>
              <w:right w:val="single" w:color="auto" w:sz="4" w:space="0"/>
            </w:tcBorders>
            <w:noWrap w:val="0"/>
            <w:vAlign w:val="center"/>
          </w:tcPr>
          <w:p w14:paraId="491BC7F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2.2.2</w:t>
            </w:r>
          </w:p>
        </w:tc>
        <w:tc>
          <w:tcPr>
            <w:tcW w:w="1505" w:type="dxa"/>
            <w:tcBorders>
              <w:top w:val="single" w:color="auto" w:sz="4" w:space="0"/>
              <w:left w:val="single" w:color="auto" w:sz="4" w:space="0"/>
              <w:right w:val="single" w:color="auto" w:sz="4" w:space="0"/>
            </w:tcBorders>
            <w:noWrap w:val="0"/>
            <w:vAlign w:val="center"/>
          </w:tcPr>
          <w:p w14:paraId="090A2CD6">
            <w:pPr>
              <w:pageBreakBefore w:val="0"/>
              <w:kinsoku/>
              <w:wordWrap w:val="0"/>
              <w:bidi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color w:val="auto"/>
                <w:szCs w:val="21"/>
                <w:highlight w:val="none"/>
              </w:rPr>
              <w:t>评标基准价计算方法</w:t>
            </w:r>
          </w:p>
        </w:tc>
        <w:tc>
          <w:tcPr>
            <w:tcW w:w="5099" w:type="dxa"/>
            <w:tcBorders>
              <w:top w:val="single" w:color="auto" w:sz="4" w:space="0"/>
              <w:left w:val="single" w:color="auto" w:sz="4" w:space="0"/>
              <w:bottom w:val="single" w:color="auto" w:sz="4" w:space="0"/>
              <w:right w:val="single" w:color="auto" w:sz="4" w:space="0"/>
            </w:tcBorders>
            <w:noWrap w:val="0"/>
            <w:vAlign w:val="center"/>
          </w:tcPr>
          <w:p w14:paraId="00AF55B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在开标现场，招标人将当场计算并宣布各标段评标基准价。在评标过程中，评标委员会将对招标人计算的评标基准价进行复核，存在计算错误的应予以修正并在评标报告中作出说明。除此之外，评标基准价在整个评标期间保持不变，不随任何因素发生变化。</w:t>
            </w:r>
          </w:p>
          <w:p w14:paraId="3C132BB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计算差错，仅限于以下两种情况：</w:t>
            </w:r>
            <w:r>
              <w:rPr>
                <w:rFonts w:hint="eastAsia" w:ascii="Times New Roman" w:hAnsi="Times New Roman" w:eastAsia="宋体" w:cs="Times New Roman"/>
                <w:color w:val="auto"/>
                <w:kern w:val="0"/>
                <w:szCs w:val="21"/>
                <w:highlight w:val="none"/>
                <w:lang w:bidi="ar"/>
              </w:rPr>
              <w:t>1、</w:t>
            </w:r>
            <w:r>
              <w:rPr>
                <w:rFonts w:ascii="Times New Roman" w:hAnsi="Times New Roman" w:eastAsia="宋体" w:cs="Times New Roman"/>
                <w:color w:val="auto"/>
                <w:kern w:val="0"/>
                <w:szCs w:val="21"/>
                <w:highlight w:val="none"/>
                <w:lang w:bidi="ar"/>
              </w:rPr>
              <w:t>纯算术性四则运算差错；</w:t>
            </w:r>
            <w:r>
              <w:rPr>
                <w:rFonts w:hint="eastAsia" w:ascii="Times New Roman" w:hAnsi="Times New Roman" w:eastAsia="宋体" w:cs="Times New Roman"/>
                <w:color w:val="auto"/>
                <w:kern w:val="0"/>
                <w:szCs w:val="21"/>
                <w:highlight w:val="none"/>
                <w:lang w:bidi="ar"/>
              </w:rPr>
              <w:t>2、</w:t>
            </w:r>
            <w:r>
              <w:rPr>
                <w:rFonts w:ascii="Times New Roman" w:hAnsi="Times New Roman" w:eastAsia="宋体" w:cs="Times New Roman"/>
                <w:color w:val="auto"/>
                <w:kern w:val="0"/>
                <w:szCs w:val="21"/>
                <w:highlight w:val="none"/>
                <w:lang w:bidi="ar"/>
              </w:rPr>
              <w:t>未按约定的</w:t>
            </w:r>
            <w:r>
              <w:rPr>
                <w:rFonts w:hint="eastAsia" w:ascii="Times New Roman" w:hAnsi="Times New Roman" w:eastAsia="宋体" w:cs="Times New Roman"/>
                <w:color w:val="auto"/>
                <w:kern w:val="0"/>
                <w:szCs w:val="21"/>
                <w:highlight w:val="none"/>
                <w:lang w:bidi="ar"/>
              </w:rPr>
              <w:t>规则</w:t>
            </w:r>
            <w:r>
              <w:rPr>
                <w:rFonts w:ascii="Times New Roman" w:hAnsi="Times New Roman" w:eastAsia="宋体" w:cs="Times New Roman"/>
                <w:color w:val="auto"/>
                <w:kern w:val="0"/>
                <w:szCs w:val="21"/>
                <w:highlight w:val="none"/>
                <w:lang w:bidi="ar"/>
              </w:rPr>
              <w:t>，多计或少计</w:t>
            </w:r>
            <w:r>
              <w:rPr>
                <w:rFonts w:hint="eastAsia" w:ascii="Times New Roman" w:hAnsi="Times New Roman" w:eastAsia="宋体" w:cs="Times New Roman"/>
                <w:color w:val="auto"/>
                <w:kern w:val="0"/>
                <w:szCs w:val="21"/>
                <w:highlight w:val="none"/>
                <w:lang w:bidi="ar"/>
              </w:rPr>
              <w:t>参加评标价平均值计算的评标价</w:t>
            </w:r>
            <w:r>
              <w:rPr>
                <w:rFonts w:ascii="Times New Roman" w:hAnsi="Times New Roman" w:eastAsia="宋体" w:cs="Times New Roman"/>
                <w:color w:val="auto"/>
                <w:kern w:val="0"/>
                <w:szCs w:val="21"/>
                <w:highlight w:val="none"/>
                <w:lang w:bidi="ar"/>
              </w:rPr>
              <w:t>。</w:t>
            </w:r>
          </w:p>
          <w:p w14:paraId="7EBA61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本次招标设定</w:t>
            </w:r>
            <w:r>
              <w:rPr>
                <w:rFonts w:ascii="Times New Roman" w:hAnsi="Times New Roman" w:eastAsia="宋体" w:cs="Times New Roman"/>
                <w:color w:val="auto"/>
                <w:highlight w:val="none"/>
              </w:rPr>
              <w:t>3</w:t>
            </w:r>
            <w:r>
              <w:rPr>
                <w:rFonts w:hint="eastAsia" w:ascii="Times New Roman" w:hAnsi="Times New Roman" w:eastAsia="宋体" w:cs="Times New Roman"/>
                <w:color w:val="auto"/>
                <w:highlight w:val="none"/>
              </w:rPr>
              <w:t>种评标价平均值（B）计算方法，在第二个信封（报价文件）开标现场，每个标段随机抽取其中1种作为该标段的评标价平均值计算方法。</w:t>
            </w:r>
          </w:p>
          <w:p w14:paraId="240E21A1">
            <w:pPr>
              <w:widowControl w:val="0"/>
              <w:spacing w:before="0" w:beforeLines="-2147483648" w:after="0" w:afterLines="-2147483648" w:line="360" w:lineRule="exact"/>
              <w:ind w:firstLine="422" w:firstLineChars="200"/>
              <w:jc w:val="both"/>
              <w:outlineLvl w:val="9"/>
              <w:rPr>
                <w:rFonts w:ascii="Times New Roman" w:hAnsi="Times New Roman" w:eastAsia="宋体" w:cs="Times New Roman"/>
                <w:b/>
                <w:bCs/>
                <w:color w:val="auto"/>
                <w:kern w:val="2"/>
                <w:sz w:val="21"/>
                <w:szCs w:val="24"/>
                <w:highlight w:val="none"/>
                <w:lang w:val="en-US" w:eastAsia="zh-CN" w:bidi="ar-SA"/>
              </w:rPr>
            </w:pPr>
            <w:r>
              <w:rPr>
                <w:rFonts w:hint="eastAsia" w:ascii="Times New Roman" w:hAnsi="Times New Roman" w:eastAsia="宋体" w:cs="Times New Roman"/>
                <w:b/>
                <w:bCs/>
                <w:color w:val="auto"/>
                <w:kern w:val="0"/>
                <w:sz w:val="21"/>
                <w:szCs w:val="21"/>
                <w:highlight w:val="none"/>
                <w:lang w:val="en-US" w:eastAsia="zh-CN" w:bidi="ar"/>
              </w:rPr>
              <w:t>一、</w:t>
            </w:r>
            <w:r>
              <w:rPr>
                <w:rFonts w:ascii="Times New Roman" w:hAnsi="Times New Roman" w:eastAsia="宋体" w:cs="Times New Roman"/>
                <w:b/>
                <w:bCs/>
                <w:color w:val="auto"/>
                <w:kern w:val="0"/>
                <w:sz w:val="21"/>
                <w:szCs w:val="21"/>
                <w:highlight w:val="none"/>
                <w:lang w:val="en-US" w:eastAsia="zh-CN" w:bidi="ar"/>
              </w:rPr>
              <w:t>评标价</w:t>
            </w:r>
            <w:r>
              <w:rPr>
                <w:rFonts w:hint="eastAsia" w:ascii="Times New Roman" w:hAnsi="Times New Roman" w:eastAsia="宋体" w:cs="Times New Roman"/>
                <w:b/>
                <w:bCs/>
                <w:color w:val="auto"/>
                <w:kern w:val="0"/>
                <w:sz w:val="21"/>
                <w:szCs w:val="21"/>
                <w:highlight w:val="none"/>
                <w:lang w:val="en-US" w:eastAsia="zh-CN" w:bidi="ar"/>
              </w:rPr>
              <w:t>（A）</w:t>
            </w:r>
          </w:p>
          <w:p w14:paraId="38E7035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kern w:val="0"/>
                <w:szCs w:val="21"/>
                <w:highlight w:val="none"/>
                <w:lang w:bidi="ar"/>
              </w:rPr>
              <w:t>评标价=投标函的文字报价</w:t>
            </w:r>
          </w:p>
          <w:p w14:paraId="1106428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如果投标文件出现以下1～5任一情况，不参加评标价平均值的计算：</w:t>
            </w:r>
          </w:p>
          <w:p w14:paraId="0FC9117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1、未按要求在投标函上填写投标总价；</w:t>
            </w:r>
          </w:p>
          <w:p w14:paraId="40BC344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黑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、投标报价超出招标人公布的最高投标限价，或低于招标人公布的最高投标限价的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r>
              <w:rPr>
                <w:rFonts w:ascii="Times New Roman" w:hAnsi="Times New Roman" w:eastAsia="黑体" w:cs="Times New Roman"/>
                <w:color w:val="auto"/>
                <w:kern w:val="0"/>
                <w:szCs w:val="21"/>
                <w:highlight w:val="none"/>
                <w:lang w:bidi="ar"/>
              </w:rPr>
              <w:t>（注：由招标人在招标文件中约定低于投标最高限价一定范围值的投标报价不参与评标基准价的计算，G%</w:t>
            </w:r>
            <w:r>
              <w:rPr>
                <w:rFonts w:hint="eastAsia" w:eastAsia="黑体" w:cs="Times New Roman"/>
                <w:color w:val="auto"/>
                <w:kern w:val="0"/>
                <w:szCs w:val="21"/>
                <w:highlight w:val="none"/>
                <w:lang w:val="en-US" w:eastAsia="zh-CN" w:bidi="ar"/>
              </w:rPr>
              <w:t>按</w:t>
            </w:r>
            <w:r>
              <w:rPr>
                <w:rFonts w:ascii="Times New Roman" w:hAnsi="Times New Roman" w:eastAsia="黑体" w:cs="Times New Roman"/>
                <w:color w:val="auto"/>
                <w:kern w:val="0"/>
                <w:szCs w:val="21"/>
                <w:highlight w:val="none"/>
                <w:lang w:bidi="ar"/>
              </w:rPr>
              <w:t>90%取值。）</w:t>
            </w:r>
          </w:p>
          <w:p w14:paraId="0CB19EE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3</w:t>
            </w:r>
            <w:r>
              <w:rPr>
                <w:rFonts w:hint="eastAsia" w:ascii="Times New Roman" w:hAnsi="Times New Roman" w:eastAsia="宋体" w:cs="Times New Roman"/>
                <w:color w:val="auto"/>
                <w:kern w:val="0"/>
                <w:szCs w:val="21"/>
                <w:highlight w:val="none"/>
                <w:lang w:bidi="ar"/>
              </w:rPr>
              <w:t>、无法确定投标报价具体数值；</w:t>
            </w:r>
          </w:p>
          <w:p w14:paraId="4D50D95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4</w:t>
            </w:r>
            <w:r>
              <w:rPr>
                <w:rFonts w:hint="eastAsia" w:ascii="Times New Roman" w:hAnsi="Times New Roman" w:eastAsia="宋体" w:cs="Times New Roman"/>
                <w:color w:val="auto"/>
                <w:kern w:val="0"/>
                <w:szCs w:val="21"/>
                <w:highlight w:val="none"/>
                <w:lang w:bidi="ar"/>
              </w:rPr>
              <w:t>、投标函上填写的标段号与上传的对应项目标段号不一致（如分标段）；</w:t>
            </w:r>
          </w:p>
          <w:p w14:paraId="30F6B34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eastAsia"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5</w:t>
            </w:r>
            <w:r>
              <w:rPr>
                <w:rFonts w:hint="eastAsia" w:ascii="Times New Roman" w:hAnsi="Times New Roman" w:eastAsia="宋体" w:cs="Times New Roman"/>
                <w:color w:val="auto"/>
                <w:kern w:val="0"/>
                <w:szCs w:val="21"/>
                <w:highlight w:val="none"/>
                <w:lang w:bidi="ar"/>
              </w:rPr>
              <w:t>、投标函中的投标报价大写金额与投标文件工程量清单中的投标报价金额不一致。</w:t>
            </w:r>
          </w:p>
          <w:p w14:paraId="7797EC2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highlight w:val="none"/>
              </w:rPr>
            </w:pPr>
            <w:r>
              <w:rPr>
                <w:rFonts w:hint="eastAsia" w:ascii="Times New Roman" w:hAnsi="Times New Roman" w:eastAsia="宋体" w:cs="Times New Roman"/>
                <w:color w:val="auto"/>
                <w:kern w:val="0"/>
                <w:szCs w:val="21"/>
                <w:highlight w:val="none"/>
                <w:lang w:bidi="ar"/>
              </w:rPr>
              <w:t>投标文件存在以上1～5任一情况，但招标人在第二个信封（报价文件）开标现场未发现的，视为计算过程中基础数据取用错误，由评标委员会在评标过程中予以修正</w:t>
            </w:r>
            <w:r>
              <w:rPr>
                <w:rFonts w:hint="eastAsia" w:cs="Times New Roman"/>
                <w:color w:val="auto"/>
                <w:kern w:val="0"/>
                <w:szCs w:val="21"/>
                <w:highlight w:val="none"/>
                <w:lang w:eastAsia="zh-CN" w:bidi="ar"/>
              </w:rPr>
              <w:t>，</w:t>
            </w:r>
            <w:r>
              <w:rPr>
                <w:rFonts w:hint="eastAsia" w:cs="Times New Roman"/>
                <w:color w:val="auto"/>
                <w:kern w:val="0"/>
                <w:szCs w:val="21"/>
                <w:highlight w:val="none"/>
                <w:lang w:val="en-US" w:eastAsia="zh-CN" w:bidi="ar"/>
              </w:rPr>
              <w:t>若系统无法修正，则上述投标人不推荐进入中标候选人。</w:t>
            </w:r>
            <w:r>
              <w:rPr>
                <w:rFonts w:hint="eastAsia" w:ascii="Times New Roman" w:hAnsi="Times New Roman" w:eastAsia="宋体" w:cs="Times New Roman"/>
                <w:color w:val="auto"/>
                <w:kern w:val="0"/>
                <w:szCs w:val="21"/>
                <w:highlight w:val="none"/>
                <w:lang w:bidi="ar"/>
              </w:rPr>
              <w:t>投标文件未出现以上1～5情况的，均参加评标价平均值的计算。</w:t>
            </w:r>
          </w:p>
          <w:p w14:paraId="77083FA8">
            <w:pPr>
              <w:widowControl w:val="0"/>
              <w:spacing w:before="0" w:beforeLines="-2147483648" w:after="0" w:afterLines="-2147483648" w:line="360" w:lineRule="exact"/>
              <w:ind w:firstLine="422" w:firstLineChars="200"/>
              <w:jc w:val="both"/>
              <w:outlineLvl w:val="9"/>
              <w:rPr>
                <w:rFonts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二、评标价平均值（B）计算方法1</w:t>
            </w:r>
          </w:p>
          <w:p w14:paraId="709ADF2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C为招标人设定的最高投标限价</w:t>
            </w:r>
            <w:r>
              <w:rPr>
                <w:rFonts w:hint="eastAsia" w:cs="Times New Roman"/>
                <w:color w:val="auto"/>
                <w:kern w:val="0"/>
                <w:szCs w:val="21"/>
                <w:highlight w:val="none"/>
                <w:lang w:eastAsia="zh-CN" w:bidi="ar"/>
              </w:rPr>
              <w:t>，</w:t>
            </w:r>
            <w:r>
              <w:rPr>
                <w:rFonts w:hint="eastAsia" w:ascii="Times New Roman" w:hAnsi="Times New Roman" w:eastAsia="宋体" w:cs="Times New Roman"/>
                <w:color w:val="auto"/>
                <w:kern w:val="0"/>
                <w:szCs w:val="21"/>
                <w:highlight w:val="none"/>
                <w:lang w:bidi="ar"/>
              </w:rPr>
              <w:t>如果所有评标价均低于</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*C值（最高投标限价的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），则评标价平均值（B）直接为</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lang w:bidi="ar"/>
              </w:rPr>
              <w:t>*C值（最高投标限价的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lang w:bidi="ar"/>
              </w:rPr>
              <w:t>）。否则，按以下方式计算评标价平均值（B）：</w:t>
            </w:r>
          </w:p>
          <w:p w14:paraId="20A8FE6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、评标价初始平均值（B</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w:t>
            </w:r>
          </w:p>
          <w:p w14:paraId="29DCADD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所有参加评标价平均值计算的评标价的算术平均值为评标价初始平均值B</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w:t>
            </w:r>
          </w:p>
          <w:p w14:paraId="3F9824C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评标价初始平均值（B</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）保留七位小数，小数点后第八位</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四舍五入</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p>
          <w:p w14:paraId="775BDD6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、评标价区段平均值（B</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w:t>
            </w:r>
          </w:p>
          <w:p w14:paraId="1544ADD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根据下述区段计算</w:t>
            </w:r>
            <w:r>
              <w:rPr>
                <w:rFonts w:hint="eastAsia" w:ascii="Times New Roman" w:hAnsi="Times New Roman" w:eastAsia="宋体" w:cs="Times New Roman"/>
                <w:color w:val="auto"/>
                <w:kern w:val="0"/>
                <w:szCs w:val="21"/>
                <w:highlight w:val="none"/>
                <w:lang w:bidi="ar"/>
              </w:rPr>
              <w:t>评标价</w:t>
            </w:r>
            <w:r>
              <w:rPr>
                <w:rFonts w:ascii="Times New Roman" w:hAnsi="Times New Roman" w:eastAsia="宋体" w:cs="Times New Roman"/>
                <w:color w:val="auto"/>
                <w:kern w:val="0"/>
                <w:szCs w:val="21"/>
                <w:highlight w:val="none"/>
                <w:lang w:bidi="ar"/>
              </w:rPr>
              <w:t>区段平均值</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szCs w:val="21"/>
                <w:highlight w:val="none"/>
              </w:rPr>
              <w:t>B2.1</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B2.2</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B2.15</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B2.16</w:t>
            </w:r>
            <w:r>
              <w:rPr>
                <w:rFonts w:hint="eastAsia" w:ascii="Times New Roman" w:hAnsi="Times New Roman" w:eastAsia="宋体" w:cs="Times New Roman"/>
                <w:color w:val="auto"/>
                <w:kern w:val="0"/>
                <w:szCs w:val="21"/>
                <w:highlight w:val="none"/>
                <w:lang w:bidi="ar"/>
              </w:rPr>
              <w:t>），各</w:t>
            </w:r>
            <w:r>
              <w:rPr>
                <w:rFonts w:ascii="Times New Roman" w:hAnsi="Times New Roman" w:eastAsia="宋体" w:cs="Times New Roman"/>
                <w:color w:val="auto"/>
                <w:kern w:val="0"/>
                <w:szCs w:val="21"/>
                <w:highlight w:val="none"/>
                <w:lang w:bidi="ar"/>
              </w:rPr>
              <w:t>区段</w:t>
            </w:r>
            <w:r>
              <w:rPr>
                <w:rFonts w:hint="eastAsia" w:ascii="Times New Roman" w:hAnsi="Times New Roman" w:eastAsia="宋体" w:cs="Times New Roman"/>
                <w:color w:val="auto"/>
                <w:kern w:val="0"/>
                <w:szCs w:val="21"/>
                <w:highlight w:val="none"/>
                <w:lang w:bidi="ar"/>
              </w:rPr>
              <w:t>平均值为该区段内</w:t>
            </w:r>
            <w:r>
              <w:rPr>
                <w:rFonts w:ascii="Times New Roman" w:hAnsi="Times New Roman" w:eastAsia="宋体" w:cs="Times New Roman"/>
                <w:color w:val="auto"/>
                <w:kern w:val="0"/>
                <w:szCs w:val="21"/>
                <w:highlight w:val="none"/>
                <w:lang w:bidi="ar"/>
              </w:rPr>
              <w:t>各评标价的算术平均值</w:t>
            </w:r>
            <w:r>
              <w:rPr>
                <w:rFonts w:hint="eastAsia" w:ascii="Times New Roman" w:hAnsi="Times New Roman" w:eastAsia="宋体" w:cs="Times New Roman"/>
                <w:color w:val="auto"/>
                <w:kern w:val="0"/>
                <w:szCs w:val="21"/>
                <w:highlight w:val="none"/>
                <w:lang w:bidi="ar"/>
              </w:rPr>
              <w:t>。如：B2.2为</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1.03*B1（不含）～1.035*B1（含）</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范围内的所有评标价的算术平均值。评标价区段平均值（B</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）保留七位小数，小数点后第八位</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四舍五入</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8"/>
              <w:gridCol w:w="1525"/>
            </w:tblGrid>
            <w:tr w14:paraId="1C94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22923E6E">
                  <w:pPr>
                    <w:widowControl w:val="0"/>
                    <w:spacing w:line="360" w:lineRule="exact"/>
                    <w:ind w:firstLine="0" w:firstLineChars="0"/>
                    <w:jc w:val="center"/>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区段</w:t>
                  </w:r>
                </w:p>
              </w:tc>
              <w:tc>
                <w:tcPr>
                  <w:tcW w:w="1564" w:type="pct"/>
                  <w:vAlign w:val="center"/>
                </w:tcPr>
                <w:p w14:paraId="0FBC43E2">
                  <w:pPr>
                    <w:widowControl w:val="0"/>
                    <w:spacing w:line="360" w:lineRule="exact"/>
                    <w:ind w:firstLine="0" w:firstLineChars="0"/>
                    <w:jc w:val="center"/>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区段平均值</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2</w:t>
                  </w:r>
                  <w:r>
                    <w:rPr>
                      <w:rFonts w:hint="eastAsia" w:ascii="Times New Roman" w:hAnsi="Times New Roman" w:eastAsia="宋体" w:cs="Times New Roman"/>
                      <w:color w:val="auto"/>
                      <w:kern w:val="0"/>
                      <w:sz w:val="21"/>
                      <w:szCs w:val="21"/>
                      <w:highlight w:val="none"/>
                      <w:lang w:val="en-US" w:eastAsia="zh-CN" w:bidi="ar"/>
                    </w:rPr>
                    <w:t>）</w:t>
                  </w:r>
                </w:p>
              </w:tc>
            </w:tr>
            <w:tr w14:paraId="1EFA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4A27B81D">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.035*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p>
              </w:tc>
              <w:tc>
                <w:tcPr>
                  <w:tcW w:w="1564" w:type="pct"/>
                  <w:vAlign w:val="center"/>
                </w:tcPr>
                <w:p w14:paraId="3F131E11">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w:t>
                  </w:r>
                </w:p>
              </w:tc>
            </w:tr>
            <w:tr w14:paraId="2A8E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7395FBA9">
                  <w:pPr>
                    <w:widowControl w:val="0"/>
                    <w:spacing w:line="360" w:lineRule="exact"/>
                    <w:ind w:firstLine="420" w:firstLineChars="200"/>
                    <w:jc w:val="left"/>
                    <w:rPr>
                      <w:rFonts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.03*</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.035*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156D733B">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B2.2</w:t>
                  </w:r>
                </w:p>
              </w:tc>
            </w:tr>
            <w:tr w14:paraId="48EE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1B1EE9E9">
                  <w:pPr>
                    <w:widowControl w:val="0"/>
                    <w:spacing w:line="360" w:lineRule="exact"/>
                    <w:ind w:firstLine="420" w:firstLineChars="200"/>
                    <w:jc w:val="left"/>
                    <w:rPr>
                      <w:rFonts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.025*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.03*</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280EE2A5">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B2.3</w:t>
                  </w:r>
                </w:p>
              </w:tc>
            </w:tr>
            <w:tr w14:paraId="5E54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7E22B1A5">
                  <w:pPr>
                    <w:widowControl w:val="0"/>
                    <w:spacing w:line="360" w:lineRule="exact"/>
                    <w:ind w:firstLine="420" w:firstLineChars="200"/>
                    <w:jc w:val="left"/>
                    <w:rPr>
                      <w:rFonts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.02*</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.025*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6A17E7B5">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B2.4</w:t>
                  </w:r>
                </w:p>
              </w:tc>
            </w:tr>
            <w:tr w14:paraId="2E2D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50CAB34C">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.015*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.02*</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23C15E24">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B2.5</w:t>
                  </w:r>
                </w:p>
              </w:tc>
            </w:tr>
            <w:tr w14:paraId="32A6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408C5CD3">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.01*</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.015*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3A1241BC">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B2.6</w:t>
                  </w:r>
                </w:p>
              </w:tc>
            </w:tr>
            <w:tr w14:paraId="2A56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333022DE">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.005*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.01*</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2FC9CD8C">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B2.7</w:t>
                  </w:r>
                </w:p>
              </w:tc>
            </w:tr>
            <w:tr w14:paraId="7EF6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7E71B1FF">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.00*</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.005*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4E922514">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B2.8</w:t>
                  </w:r>
                </w:p>
              </w:tc>
            </w:tr>
            <w:tr w14:paraId="38DC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0FE0AB2A">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0.995*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.00*</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671926BA">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B2.9</w:t>
                  </w:r>
                </w:p>
              </w:tc>
            </w:tr>
            <w:tr w14:paraId="3853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vAlign w:val="center"/>
                </w:tcPr>
                <w:p w14:paraId="44489DB2">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0.99*</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0.995*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69B70483">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B2.10</w:t>
                  </w:r>
                </w:p>
              </w:tc>
            </w:tr>
            <w:tr w14:paraId="7468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6385FD80">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0.985*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0.99*</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28B440F5">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B2.11</w:t>
                  </w:r>
                </w:p>
              </w:tc>
            </w:tr>
            <w:tr w14:paraId="40F0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376DC285">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0.98*</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0.985*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647F0D5B">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B2.12</w:t>
                  </w:r>
                </w:p>
              </w:tc>
            </w:tr>
            <w:tr w14:paraId="40D9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592C171A">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0.975*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0.98*</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028C05E2">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B2.13</w:t>
                  </w:r>
                </w:p>
              </w:tc>
            </w:tr>
            <w:tr w14:paraId="626F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57503F59">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0.97*</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1&lt;评标价</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0.975*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7AC635F8">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B2.14</w:t>
                  </w:r>
                </w:p>
              </w:tc>
            </w:tr>
            <w:tr w14:paraId="6746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1153D493">
                  <w:pPr>
                    <w:widowControl w:val="0"/>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0"/>
                      <w:sz w:val="21"/>
                      <w:szCs w:val="21"/>
                      <w:highlight w:val="none"/>
                      <w:lang w:val="en-US" w:eastAsia="zh-CN" w:bidi="ar"/>
                    </w:rPr>
                    <w:t>0.965*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评标价</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0.97*</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0E4368F0">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B2.15</w:t>
                  </w:r>
                </w:p>
              </w:tc>
            </w:tr>
            <w:tr w14:paraId="51C0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35" w:type="pct"/>
                </w:tcPr>
                <w:p w14:paraId="6CE54D3B">
                  <w:pPr>
                    <w:widowControl w:val="0"/>
                    <w:spacing w:line="360" w:lineRule="exact"/>
                    <w:ind w:firstLine="420" w:firstLineChars="200"/>
                    <w:jc w:val="left"/>
                    <w:rPr>
                      <w:rFonts w:ascii="Times New Roman" w:hAnsi="Times New Roman" w:eastAsia="宋体" w:cs="Times New Roman"/>
                      <w:color w:val="auto"/>
                      <w:kern w:val="0"/>
                      <w:sz w:val="21"/>
                      <w:szCs w:val="21"/>
                      <w:highlight w:val="none"/>
                      <w:lang w:val="en-US" w:eastAsia="zh-CN" w:bidi="ar"/>
                    </w:rPr>
                  </w:pPr>
                  <w:r>
                    <w:rPr>
                      <w:rFonts w:ascii="Times New Roman" w:hAnsi="Times New Roman" w:eastAsia="宋体" w:cs="Times New Roman"/>
                      <w:color w:val="auto"/>
                      <w:kern w:val="0"/>
                      <w:sz w:val="21"/>
                      <w:szCs w:val="21"/>
                      <w:highlight w:val="none"/>
                      <w:lang w:val="en-US" w:eastAsia="zh-CN" w:bidi="ar"/>
                    </w:rPr>
                    <w:t>评标价&lt;0.965*</w:t>
                  </w: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1</w:t>
                  </w:r>
                </w:p>
              </w:tc>
              <w:tc>
                <w:tcPr>
                  <w:tcW w:w="1564" w:type="pct"/>
                  <w:vAlign w:val="center"/>
                </w:tcPr>
                <w:p w14:paraId="36CC591C">
                  <w:pPr>
                    <w:widowControl/>
                    <w:spacing w:line="360" w:lineRule="exact"/>
                    <w:ind w:firstLine="420" w:firstLineChars="200"/>
                    <w:jc w:val="left"/>
                    <w:rPr>
                      <w:rFonts w:ascii="Times New Roman" w:hAnsi="Times New Roman" w:eastAsia="宋体" w:cs="Times New Roman"/>
                      <w:color w:val="auto"/>
                      <w:kern w:val="2"/>
                      <w:sz w:val="21"/>
                      <w:szCs w:val="24"/>
                      <w:highlight w:val="none"/>
                      <w:lang w:val="en-US" w:eastAsia="zh-CN" w:bidi="ar-SA"/>
                    </w:rPr>
                  </w:pPr>
                  <w:r>
                    <w:rPr>
                      <w:rFonts w:ascii="Times New Roman" w:hAnsi="Times New Roman" w:eastAsia="宋体" w:cs="Times New Roman"/>
                      <w:color w:val="auto"/>
                      <w:kern w:val="2"/>
                      <w:sz w:val="21"/>
                      <w:szCs w:val="21"/>
                      <w:highlight w:val="none"/>
                      <w:lang w:val="en-US" w:eastAsia="zh-CN" w:bidi="ar-SA"/>
                    </w:rPr>
                    <w:t>B2.16</w:t>
                  </w:r>
                </w:p>
              </w:tc>
            </w:tr>
          </w:tbl>
          <w:p w14:paraId="4190D3E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3</w:t>
            </w:r>
            <w:r>
              <w:rPr>
                <w:rFonts w:hint="eastAsia" w:ascii="Times New Roman" w:hAnsi="Times New Roman" w:eastAsia="宋体" w:cs="Times New Roman"/>
                <w:color w:val="auto"/>
                <w:kern w:val="0"/>
                <w:szCs w:val="21"/>
                <w:highlight w:val="none"/>
                <w:lang w:bidi="ar"/>
              </w:rPr>
              <w:t>、评标价平均值（B）</w:t>
            </w:r>
          </w:p>
          <w:p w14:paraId="1D3DAAA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（1）按下列公式，</w:t>
            </w:r>
            <w:r>
              <w:rPr>
                <w:rFonts w:ascii="Times New Roman" w:hAnsi="Times New Roman" w:eastAsia="宋体" w:cs="Times New Roman"/>
                <w:color w:val="auto"/>
                <w:kern w:val="0"/>
                <w:szCs w:val="21"/>
                <w:highlight w:val="none"/>
                <w:lang w:bidi="ar"/>
              </w:rPr>
              <w:t>将计算得出的区段平均值</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szCs w:val="21"/>
                <w:highlight w:val="none"/>
              </w:rPr>
              <w:t>B2.1</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B2.2</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B2.15</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szCs w:val="21"/>
                <w:highlight w:val="none"/>
              </w:rPr>
              <w:t>B2.16</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kern w:val="0"/>
                <w:szCs w:val="21"/>
                <w:highlight w:val="none"/>
                <w:lang w:bidi="ar"/>
              </w:rPr>
              <w:t>进行加权平均</w:t>
            </w:r>
            <w:r>
              <w:rPr>
                <w:rFonts w:hint="eastAsia" w:ascii="Times New Roman" w:hAnsi="Times New Roman" w:eastAsia="宋体" w:cs="Times New Roman"/>
                <w:color w:val="auto"/>
                <w:kern w:val="0"/>
                <w:szCs w:val="21"/>
                <w:highlight w:val="none"/>
                <w:lang w:bidi="ar"/>
              </w:rPr>
              <w:t>（B</w:t>
            </w:r>
            <w:r>
              <w:rPr>
                <w:rFonts w:ascii="Times New Roman" w:hAnsi="Times New Roman" w:eastAsia="宋体" w:cs="Times New Roman"/>
                <w:color w:val="auto"/>
                <w:kern w:val="0"/>
                <w:szCs w:val="21"/>
                <w:highlight w:val="none"/>
                <w:lang w:bidi="ar"/>
              </w:rPr>
              <w:t>2.1</w:t>
            </w:r>
            <w:r>
              <w:rPr>
                <w:rFonts w:hint="eastAsia" w:ascii="Times New Roman" w:hAnsi="Times New Roman" w:eastAsia="宋体" w:cs="Times New Roman"/>
                <w:color w:val="auto"/>
                <w:kern w:val="0"/>
                <w:szCs w:val="21"/>
                <w:highlight w:val="none"/>
                <w:lang w:bidi="ar"/>
              </w:rPr>
              <w:t>和B</w:t>
            </w:r>
            <w:r>
              <w:rPr>
                <w:rFonts w:ascii="Times New Roman" w:hAnsi="Times New Roman" w:eastAsia="宋体" w:cs="Times New Roman"/>
                <w:color w:val="auto"/>
                <w:kern w:val="0"/>
                <w:szCs w:val="21"/>
                <w:highlight w:val="none"/>
                <w:lang w:bidi="ar"/>
              </w:rPr>
              <w:t>2.16</w:t>
            </w:r>
            <w:r>
              <w:rPr>
                <w:rFonts w:hint="eastAsia" w:ascii="Times New Roman" w:hAnsi="Times New Roman" w:eastAsia="宋体" w:cs="Times New Roman"/>
                <w:color w:val="auto"/>
                <w:kern w:val="0"/>
                <w:szCs w:val="21"/>
                <w:highlight w:val="none"/>
                <w:lang w:bidi="ar"/>
              </w:rPr>
              <w:t>权重为0.1，B</w:t>
            </w:r>
            <w:r>
              <w:rPr>
                <w:rFonts w:ascii="Times New Roman" w:hAnsi="Times New Roman" w:eastAsia="宋体" w:cs="Times New Roman"/>
                <w:color w:val="auto"/>
                <w:kern w:val="0"/>
                <w:szCs w:val="21"/>
                <w:highlight w:val="none"/>
                <w:lang w:bidi="ar"/>
              </w:rPr>
              <w:t>2.2</w:t>
            </w:r>
            <w:r>
              <w:rPr>
                <w:rFonts w:hint="eastAsia" w:ascii="Times New Roman" w:hAnsi="Times New Roman" w:eastAsia="宋体" w:cs="Times New Roman"/>
                <w:color w:val="auto"/>
                <w:kern w:val="0"/>
                <w:szCs w:val="21"/>
                <w:highlight w:val="none"/>
                <w:lang w:bidi="ar"/>
              </w:rPr>
              <w:t>和B</w:t>
            </w:r>
            <w:r>
              <w:rPr>
                <w:rFonts w:ascii="Times New Roman" w:hAnsi="Times New Roman" w:eastAsia="宋体" w:cs="Times New Roman"/>
                <w:color w:val="auto"/>
                <w:kern w:val="0"/>
                <w:szCs w:val="21"/>
                <w:highlight w:val="none"/>
                <w:lang w:bidi="ar"/>
              </w:rPr>
              <w:t>2.15</w:t>
            </w:r>
            <w:r>
              <w:rPr>
                <w:rFonts w:hint="eastAsia" w:ascii="Times New Roman" w:hAnsi="Times New Roman" w:eastAsia="宋体" w:cs="Times New Roman"/>
                <w:color w:val="auto"/>
                <w:kern w:val="0"/>
                <w:szCs w:val="21"/>
                <w:highlight w:val="none"/>
                <w:lang w:bidi="ar"/>
              </w:rPr>
              <w:t>权重为0.3，B</w:t>
            </w:r>
            <w:r>
              <w:rPr>
                <w:rFonts w:ascii="Times New Roman" w:hAnsi="Times New Roman" w:eastAsia="宋体" w:cs="Times New Roman"/>
                <w:color w:val="auto"/>
                <w:kern w:val="0"/>
                <w:szCs w:val="21"/>
                <w:highlight w:val="none"/>
                <w:lang w:bidi="ar"/>
              </w:rPr>
              <w:t>2.3</w:t>
            </w:r>
            <w:r>
              <w:rPr>
                <w:rFonts w:hint="eastAsia" w:ascii="Times New Roman" w:hAnsi="Times New Roman" w:eastAsia="宋体" w:cs="Times New Roman"/>
                <w:color w:val="auto"/>
                <w:kern w:val="0"/>
                <w:szCs w:val="21"/>
                <w:highlight w:val="none"/>
                <w:lang w:bidi="ar"/>
              </w:rPr>
              <w:t>和B</w:t>
            </w:r>
            <w:r>
              <w:rPr>
                <w:rFonts w:ascii="Times New Roman" w:hAnsi="Times New Roman" w:eastAsia="宋体" w:cs="Times New Roman"/>
                <w:color w:val="auto"/>
                <w:kern w:val="0"/>
                <w:szCs w:val="21"/>
                <w:highlight w:val="none"/>
                <w:lang w:bidi="ar"/>
              </w:rPr>
              <w:t>2.14</w:t>
            </w:r>
            <w:r>
              <w:rPr>
                <w:rFonts w:hint="eastAsia" w:ascii="Times New Roman" w:hAnsi="Times New Roman" w:eastAsia="宋体" w:cs="Times New Roman"/>
                <w:color w:val="auto"/>
                <w:kern w:val="0"/>
                <w:szCs w:val="21"/>
                <w:highlight w:val="none"/>
                <w:lang w:bidi="ar"/>
              </w:rPr>
              <w:t>权重为0.5，其余权重为1.0）</w:t>
            </w:r>
            <w:r>
              <w:rPr>
                <w:rFonts w:ascii="Times New Roman" w:hAnsi="Times New Roman" w:eastAsia="宋体" w:cs="Times New Roman"/>
                <w:color w:val="auto"/>
                <w:kern w:val="0"/>
                <w:szCs w:val="21"/>
                <w:highlight w:val="none"/>
                <w:lang w:bidi="ar"/>
              </w:rPr>
              <w:t>，得出</w:t>
            </w:r>
            <w:r>
              <w:rPr>
                <w:rFonts w:hint="eastAsia" w:ascii="Times New Roman" w:hAnsi="Times New Roman" w:eastAsia="宋体" w:cs="Times New Roman"/>
                <w:color w:val="auto"/>
                <w:kern w:val="0"/>
                <w:szCs w:val="21"/>
                <w:highlight w:val="none"/>
                <w:lang w:bidi="ar"/>
              </w:rPr>
              <w:t>评标价平均值（B）</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评标价平均值（B）保留七位小数，小数点后第八位</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四舍五入</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p>
          <w:p w14:paraId="58554F62">
            <w:pPr>
              <w:widowControl w:val="0"/>
              <w:wordWrap w:val="0"/>
              <w:spacing w:line="360" w:lineRule="exact"/>
              <w:ind w:firstLine="420" w:firstLineChars="200"/>
              <w:jc w:val="both"/>
              <w:rPr>
                <w:rFonts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B</w:t>
            </w:r>
            <w:r>
              <w:rPr>
                <w:rFonts w:ascii="Times New Roman" w:hAnsi="Times New Roman" w:eastAsia="宋体" w:cs="Times New Roman"/>
                <w:color w:val="auto"/>
                <w:kern w:val="0"/>
                <w:sz w:val="21"/>
                <w:szCs w:val="21"/>
                <w:highlight w:val="none"/>
                <w:lang w:val="en-US" w:eastAsia="zh-CN" w:bidi="ar"/>
              </w:rPr>
              <w:t>=[0.1*</w:t>
            </w:r>
            <w:r>
              <w:rPr>
                <w:rFonts w:ascii="Times New Roman" w:hAnsi="Times New Roman" w:eastAsia="宋体" w:cs="Times New Roman"/>
                <w:color w:val="auto"/>
                <w:kern w:val="2"/>
                <w:sz w:val="21"/>
                <w:szCs w:val="21"/>
                <w:highlight w:val="none"/>
                <w:lang w:val="en-US" w:eastAsia="zh-CN" w:bidi="ar-SA"/>
              </w:rPr>
              <w:t>B2.1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0.3*</w:t>
            </w:r>
            <w:r>
              <w:rPr>
                <w:rFonts w:ascii="Times New Roman" w:hAnsi="Times New Roman" w:eastAsia="宋体" w:cs="Times New Roman"/>
                <w:color w:val="auto"/>
                <w:kern w:val="2"/>
                <w:sz w:val="21"/>
                <w:szCs w:val="21"/>
                <w:highlight w:val="none"/>
                <w:lang w:val="en-US" w:eastAsia="zh-CN" w:bidi="ar-SA"/>
              </w:rPr>
              <w:t>B2.2</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0.5*</w:t>
            </w:r>
            <w:r>
              <w:rPr>
                <w:rFonts w:ascii="Times New Roman" w:hAnsi="Times New Roman" w:eastAsia="宋体" w:cs="Times New Roman"/>
                <w:color w:val="auto"/>
                <w:kern w:val="2"/>
                <w:sz w:val="21"/>
                <w:szCs w:val="21"/>
                <w:highlight w:val="none"/>
                <w:lang w:val="en-US" w:eastAsia="zh-CN" w:bidi="ar-SA"/>
              </w:rPr>
              <w:t>B2.3</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2"/>
                <w:sz w:val="21"/>
                <w:szCs w:val="21"/>
                <w:highlight w:val="none"/>
                <w:lang w:val="en-US" w:eastAsia="zh-CN" w:bidi="ar-SA"/>
              </w:rPr>
              <w:t>B2.4+B2.5+</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+B2.12+B2.13</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0.5*</w:t>
            </w:r>
            <w:r>
              <w:rPr>
                <w:rFonts w:ascii="Times New Roman" w:hAnsi="Times New Roman" w:eastAsia="宋体" w:cs="Times New Roman"/>
                <w:color w:val="auto"/>
                <w:kern w:val="2"/>
                <w:sz w:val="21"/>
                <w:szCs w:val="21"/>
                <w:highlight w:val="none"/>
                <w:lang w:val="en-US" w:eastAsia="zh-CN" w:bidi="ar-SA"/>
              </w:rPr>
              <w:t>B2.14+</w:t>
            </w:r>
            <w:r>
              <w:rPr>
                <w:rFonts w:ascii="Times New Roman" w:hAnsi="Times New Roman" w:eastAsia="宋体" w:cs="Times New Roman"/>
                <w:color w:val="auto"/>
                <w:kern w:val="0"/>
                <w:sz w:val="21"/>
                <w:szCs w:val="21"/>
                <w:highlight w:val="none"/>
                <w:lang w:val="en-US" w:eastAsia="zh-CN" w:bidi="ar"/>
              </w:rPr>
              <w:t>0.3*</w:t>
            </w:r>
            <w:r>
              <w:rPr>
                <w:rFonts w:ascii="Times New Roman" w:hAnsi="Times New Roman" w:eastAsia="宋体" w:cs="Times New Roman"/>
                <w:color w:val="auto"/>
                <w:kern w:val="2"/>
                <w:sz w:val="21"/>
                <w:szCs w:val="21"/>
                <w:highlight w:val="none"/>
                <w:lang w:val="en-US" w:eastAsia="zh-CN" w:bidi="ar-SA"/>
              </w:rPr>
              <w:t>B2.15+0.1*</w:t>
            </w:r>
            <w:r>
              <w:rPr>
                <w:rFonts w:hint="eastAsia" w:ascii="Times New Roman" w:hAnsi="Times New Roman" w:eastAsia="宋体" w:cs="Times New Roman"/>
                <w:color w:val="auto"/>
                <w:kern w:val="2"/>
                <w:sz w:val="21"/>
                <w:szCs w:val="21"/>
                <w:highlight w:val="none"/>
                <w:lang w:val="en-US" w:eastAsia="zh-CN" w:bidi="ar-SA"/>
              </w:rPr>
              <w:t>B</w:t>
            </w:r>
            <w:r>
              <w:rPr>
                <w:rFonts w:ascii="Times New Roman" w:hAnsi="Times New Roman" w:eastAsia="宋体" w:cs="Times New Roman"/>
                <w:color w:val="auto"/>
                <w:kern w:val="2"/>
                <w:sz w:val="21"/>
                <w:szCs w:val="21"/>
                <w:highlight w:val="none"/>
                <w:lang w:val="en-US" w:eastAsia="zh-CN" w:bidi="ar-SA"/>
              </w:rPr>
              <w:t>2.16</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[0.1+0.3+0.5+1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+0.5+0.3+0.1]</w:t>
            </w:r>
            <w:r>
              <w:rPr>
                <w:rFonts w:hint="eastAsia" w:ascii="Times New Roman" w:hAnsi="Times New Roman" w:eastAsia="宋体" w:cs="Times New Roman"/>
                <w:color w:val="auto"/>
                <w:kern w:val="0"/>
                <w:sz w:val="21"/>
                <w:szCs w:val="21"/>
                <w:highlight w:val="none"/>
                <w:lang w:val="en-US" w:eastAsia="zh-CN" w:bidi="ar"/>
              </w:rPr>
              <w:t>。</w:t>
            </w:r>
          </w:p>
          <w:p w14:paraId="2CC743B2">
            <w:pPr>
              <w:widowControl w:val="0"/>
              <w:wordWrap w:val="0"/>
              <w:spacing w:line="360" w:lineRule="exact"/>
              <w:ind w:firstLine="420" w:firstLineChars="200"/>
              <w:jc w:val="both"/>
              <w:rPr>
                <w:rFonts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（2）如果某区段无</w:t>
            </w:r>
            <w:r>
              <w:rPr>
                <w:rFonts w:ascii="Times New Roman" w:hAnsi="Times New Roman" w:eastAsia="宋体" w:cs="Times New Roman"/>
                <w:color w:val="auto"/>
                <w:kern w:val="0"/>
                <w:sz w:val="21"/>
                <w:szCs w:val="21"/>
                <w:highlight w:val="none"/>
                <w:lang w:val="en-US" w:eastAsia="zh-CN" w:bidi="ar"/>
              </w:rPr>
              <w:t>区段平均值</w:t>
            </w:r>
            <w:r>
              <w:rPr>
                <w:rFonts w:hint="eastAsia" w:ascii="Times New Roman" w:hAnsi="Times New Roman" w:eastAsia="宋体" w:cs="Times New Roman"/>
                <w:color w:val="auto"/>
                <w:kern w:val="0"/>
                <w:sz w:val="21"/>
                <w:szCs w:val="21"/>
                <w:highlight w:val="none"/>
                <w:lang w:val="en-US" w:eastAsia="zh-CN" w:bidi="ar"/>
              </w:rPr>
              <w:t>，则该区段不计区段平均值。如：无</w:t>
            </w:r>
            <w:r>
              <w:rPr>
                <w:rFonts w:ascii="Times New Roman" w:hAnsi="Times New Roman" w:eastAsia="宋体" w:cs="Times New Roman"/>
                <w:color w:val="auto"/>
                <w:kern w:val="0"/>
                <w:sz w:val="21"/>
                <w:szCs w:val="21"/>
                <w:highlight w:val="none"/>
                <w:lang w:val="en-US" w:eastAsia="zh-CN" w:bidi="ar"/>
              </w:rPr>
              <w:t>B2.1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B2.3</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B2.9</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B2.15</w:t>
            </w:r>
            <w:r>
              <w:rPr>
                <w:rFonts w:hint="eastAsia" w:ascii="Times New Roman" w:hAnsi="Times New Roman" w:eastAsia="宋体" w:cs="Times New Roman"/>
                <w:color w:val="auto"/>
                <w:kern w:val="0"/>
                <w:sz w:val="21"/>
                <w:szCs w:val="21"/>
                <w:highlight w:val="none"/>
                <w:lang w:val="en-US" w:eastAsia="zh-CN" w:bidi="ar"/>
              </w:rPr>
              <w:t>等</w:t>
            </w:r>
            <w:r>
              <w:rPr>
                <w:rFonts w:ascii="Times New Roman" w:hAnsi="Times New Roman" w:eastAsia="宋体" w:cs="Times New Roman"/>
                <w:color w:val="auto"/>
                <w:kern w:val="0"/>
                <w:sz w:val="21"/>
                <w:szCs w:val="21"/>
                <w:highlight w:val="none"/>
                <w:lang w:val="en-US" w:eastAsia="zh-CN" w:bidi="ar"/>
              </w:rPr>
              <w:t>区段平均值</w:t>
            </w:r>
            <w:r>
              <w:rPr>
                <w:rFonts w:hint="eastAsia" w:ascii="Times New Roman" w:hAnsi="Times New Roman" w:eastAsia="宋体" w:cs="Times New Roman"/>
                <w:color w:val="auto"/>
                <w:kern w:val="0"/>
                <w:sz w:val="21"/>
                <w:szCs w:val="21"/>
                <w:highlight w:val="none"/>
                <w:lang w:val="en-US" w:eastAsia="zh-CN" w:bidi="ar"/>
              </w:rPr>
              <w:t>，即</w:t>
            </w:r>
            <w:r>
              <w:rPr>
                <w:rFonts w:ascii="Times New Roman" w:hAnsi="Times New Roman" w:eastAsia="宋体" w:cs="Times New Roman"/>
                <w:color w:val="auto"/>
                <w:kern w:val="0"/>
                <w:sz w:val="21"/>
                <w:szCs w:val="21"/>
                <w:highlight w:val="none"/>
                <w:lang w:val="en-US" w:eastAsia="zh-CN" w:bidi="ar"/>
              </w:rPr>
              <w:t>B2.1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B2.3</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B2.9</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B2.15</w:t>
            </w:r>
            <w:r>
              <w:rPr>
                <w:rFonts w:hint="eastAsia" w:ascii="Times New Roman" w:hAnsi="Times New Roman" w:eastAsia="宋体" w:cs="Times New Roman"/>
                <w:color w:val="auto"/>
                <w:kern w:val="0"/>
                <w:sz w:val="21"/>
                <w:szCs w:val="21"/>
                <w:highlight w:val="none"/>
                <w:lang w:val="en-US" w:eastAsia="zh-CN" w:bidi="ar"/>
              </w:rPr>
              <w:t>以及其权重均等于0，则评标价平均值B</w:t>
            </w:r>
            <w:r>
              <w:rPr>
                <w:rFonts w:ascii="Times New Roman" w:hAnsi="Times New Roman" w:eastAsia="宋体" w:cs="Times New Roman"/>
                <w:color w:val="auto"/>
                <w:kern w:val="0"/>
                <w:sz w:val="21"/>
                <w:szCs w:val="21"/>
                <w:highlight w:val="none"/>
                <w:lang w:val="en-US" w:eastAsia="zh-CN" w:bidi="ar"/>
              </w:rPr>
              <w:t>=[0.0*0.0+0.3*</w:t>
            </w:r>
            <w:r>
              <w:rPr>
                <w:rFonts w:ascii="Times New Roman" w:hAnsi="Times New Roman" w:eastAsia="宋体" w:cs="Times New Roman"/>
                <w:color w:val="auto"/>
                <w:kern w:val="2"/>
                <w:sz w:val="21"/>
                <w:szCs w:val="21"/>
                <w:highlight w:val="none"/>
                <w:lang w:val="en-US" w:eastAsia="zh-CN" w:bidi="ar-SA"/>
              </w:rPr>
              <w:t>B2.2+</w:t>
            </w:r>
            <w:r>
              <w:rPr>
                <w:rFonts w:ascii="Times New Roman" w:hAnsi="Times New Roman" w:eastAsia="宋体" w:cs="Times New Roman"/>
                <w:color w:val="auto"/>
                <w:kern w:val="0"/>
                <w:sz w:val="21"/>
                <w:szCs w:val="21"/>
                <w:highlight w:val="none"/>
                <w:lang w:val="en-US" w:eastAsia="zh-CN" w:bidi="ar"/>
              </w:rPr>
              <w:t>0.0*0.0</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2"/>
                <w:sz w:val="21"/>
                <w:szCs w:val="21"/>
                <w:highlight w:val="none"/>
                <w:lang w:val="en-US" w:eastAsia="zh-CN" w:bidi="ar-SA"/>
              </w:rPr>
              <w:t>B2.4+B2.5+</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+B2.8+</w:t>
            </w:r>
            <w:r>
              <w:rPr>
                <w:rFonts w:ascii="Times New Roman" w:hAnsi="Times New Roman" w:eastAsia="宋体" w:cs="Times New Roman"/>
                <w:color w:val="auto"/>
                <w:kern w:val="0"/>
                <w:sz w:val="21"/>
                <w:szCs w:val="21"/>
                <w:highlight w:val="none"/>
                <w:lang w:val="en-US" w:eastAsia="zh-CN" w:bidi="ar"/>
              </w:rPr>
              <w:t>0.0+</w:t>
            </w:r>
            <w:r>
              <w:rPr>
                <w:rFonts w:ascii="Times New Roman" w:hAnsi="Times New Roman" w:eastAsia="宋体" w:cs="Times New Roman"/>
                <w:color w:val="auto"/>
                <w:kern w:val="2"/>
                <w:sz w:val="21"/>
                <w:szCs w:val="21"/>
                <w:highlight w:val="none"/>
                <w:lang w:val="en-US" w:eastAsia="zh-CN" w:bidi="ar-SA"/>
              </w:rPr>
              <w:t>B2.10+</w:t>
            </w:r>
            <w:r>
              <w:rPr>
                <w:rFonts w:hint="eastAsia" w:ascii="Times New Roman" w:hAnsi="Times New Roman" w:eastAsia="宋体" w:cs="Times New Roman"/>
                <w:color w:val="auto"/>
                <w:kern w:val="2"/>
                <w:sz w:val="21"/>
                <w:szCs w:val="21"/>
                <w:highlight w:val="none"/>
                <w:lang w:val="en-US" w:eastAsia="zh-CN" w:bidi="ar-SA"/>
              </w:rPr>
              <w:t>……</w:t>
            </w:r>
            <w:r>
              <w:rPr>
                <w:rFonts w:ascii="Times New Roman" w:hAnsi="Times New Roman" w:eastAsia="宋体" w:cs="Times New Roman"/>
                <w:color w:val="auto"/>
                <w:kern w:val="2"/>
                <w:sz w:val="21"/>
                <w:szCs w:val="21"/>
                <w:highlight w:val="none"/>
                <w:lang w:val="en-US" w:eastAsia="zh-CN" w:bidi="ar-SA"/>
              </w:rPr>
              <w:t>B2.12+B2.13</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0.5*</w:t>
            </w:r>
            <w:r>
              <w:rPr>
                <w:rFonts w:ascii="Times New Roman" w:hAnsi="Times New Roman" w:eastAsia="宋体" w:cs="Times New Roman"/>
                <w:color w:val="auto"/>
                <w:kern w:val="2"/>
                <w:sz w:val="21"/>
                <w:szCs w:val="21"/>
                <w:highlight w:val="none"/>
                <w:lang w:val="en-US" w:eastAsia="zh-CN" w:bidi="ar-SA"/>
              </w:rPr>
              <w:t>B2.14+</w:t>
            </w:r>
            <w:r>
              <w:rPr>
                <w:rFonts w:ascii="Times New Roman" w:hAnsi="Times New Roman" w:eastAsia="宋体" w:cs="Times New Roman"/>
                <w:color w:val="auto"/>
                <w:kern w:val="0"/>
                <w:sz w:val="21"/>
                <w:szCs w:val="21"/>
                <w:highlight w:val="none"/>
                <w:lang w:val="en-US" w:eastAsia="zh-CN" w:bidi="ar"/>
              </w:rPr>
              <w:t>0.0*0.0</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2"/>
                <w:sz w:val="21"/>
                <w:szCs w:val="21"/>
                <w:highlight w:val="none"/>
                <w:lang w:val="en-US" w:eastAsia="zh-CN" w:bidi="ar-SA"/>
              </w:rPr>
              <w:t>0.1*</w:t>
            </w:r>
            <w:r>
              <w:rPr>
                <w:rFonts w:hint="eastAsia" w:ascii="Times New Roman" w:hAnsi="Times New Roman" w:eastAsia="宋体" w:cs="Times New Roman"/>
                <w:color w:val="auto"/>
                <w:kern w:val="2"/>
                <w:sz w:val="21"/>
                <w:szCs w:val="21"/>
                <w:highlight w:val="none"/>
                <w:lang w:val="en-US" w:eastAsia="zh-CN" w:bidi="ar-SA"/>
              </w:rPr>
              <w:t>B</w:t>
            </w:r>
            <w:r>
              <w:rPr>
                <w:rFonts w:ascii="Times New Roman" w:hAnsi="Times New Roman" w:eastAsia="宋体" w:cs="Times New Roman"/>
                <w:color w:val="auto"/>
                <w:kern w:val="2"/>
                <w:sz w:val="21"/>
                <w:szCs w:val="21"/>
                <w:highlight w:val="none"/>
                <w:lang w:val="en-US" w:eastAsia="zh-CN" w:bidi="ar-SA"/>
              </w:rPr>
              <w:t>2.16</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[0.0+0.3+0.0+1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+0.0+1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+0.5+0.0+0.1]</w:t>
            </w:r>
            <w:r>
              <w:rPr>
                <w:rFonts w:hint="eastAsia" w:ascii="Times New Roman" w:hAnsi="Times New Roman" w:eastAsia="宋体" w:cs="Times New Roman"/>
                <w:color w:val="auto"/>
                <w:kern w:val="0"/>
                <w:sz w:val="21"/>
                <w:szCs w:val="21"/>
                <w:highlight w:val="none"/>
                <w:lang w:val="en-US" w:eastAsia="zh-CN" w:bidi="ar"/>
              </w:rPr>
              <w:t>。</w:t>
            </w:r>
          </w:p>
          <w:p w14:paraId="07BB860E">
            <w:pPr>
              <w:widowControl w:val="0"/>
              <w:spacing w:before="0" w:beforeLines="-2147483648" w:after="0" w:afterLines="-2147483648" w:line="360" w:lineRule="exact"/>
              <w:ind w:firstLine="422" w:firstLineChars="200"/>
              <w:jc w:val="both"/>
              <w:outlineLvl w:val="9"/>
              <w:rPr>
                <w:rFonts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三、评标价平均值（B）计算方法2</w:t>
            </w:r>
          </w:p>
          <w:p w14:paraId="6182E19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根据所有参加评标价平均值计算的评标价（个数用P表示）计算评标价平均值（B）。C为招标人设定的最高投标限价。评标价平均值保留七位小数，小数点后第八位</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四舍五入</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p>
          <w:p w14:paraId="59471C3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1、当P</w:t>
            </w:r>
            <w:r>
              <w:rPr>
                <w:rFonts w:ascii="Times New Roman" w:hAnsi="Times New Roman" w:eastAsia="宋体" w:cs="Times New Roman"/>
                <w:color w:val="auto"/>
                <w:kern w:val="0"/>
                <w:szCs w:val="21"/>
                <w:highlight w:val="none"/>
                <w:lang w:bidi="ar"/>
              </w:rPr>
              <w:t>=0</w:t>
            </w:r>
            <w:r>
              <w:rPr>
                <w:rFonts w:hint="eastAsia" w:ascii="Times New Roman" w:hAnsi="Times New Roman" w:eastAsia="宋体" w:cs="Times New Roman"/>
                <w:color w:val="auto"/>
                <w:kern w:val="0"/>
                <w:szCs w:val="21"/>
                <w:highlight w:val="none"/>
                <w:lang w:bidi="ar"/>
              </w:rPr>
              <w:t>时，即所有评标价均低于</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*C值（最高投标限价的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），则评标价平均值（B）直接为</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lang w:bidi="ar"/>
              </w:rPr>
              <w:t>*C值（最高投标限价的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lang w:bidi="ar"/>
              </w:rPr>
              <w:t>）。</w:t>
            </w:r>
          </w:p>
          <w:p w14:paraId="6133997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、当0＜P≤</w:t>
            </w:r>
            <w:r>
              <w:rPr>
                <w:rFonts w:ascii="Times New Roman" w:hAnsi="Times New Roman" w:eastAsia="宋体" w:cs="Times New Roman"/>
                <w:color w:val="auto"/>
                <w:kern w:val="0"/>
                <w:szCs w:val="21"/>
                <w:highlight w:val="none"/>
                <w:lang w:bidi="ar"/>
              </w:rPr>
              <w:t>5</w:t>
            </w:r>
            <w:r>
              <w:rPr>
                <w:rFonts w:hint="eastAsia" w:ascii="Times New Roman" w:hAnsi="Times New Roman" w:eastAsia="宋体" w:cs="Times New Roman"/>
                <w:color w:val="auto"/>
                <w:kern w:val="0"/>
                <w:szCs w:val="21"/>
                <w:highlight w:val="none"/>
                <w:lang w:bidi="ar"/>
              </w:rPr>
              <w:t>时，评标价平均值（B）为P个评标价的算术平均值。</w:t>
            </w:r>
          </w:p>
          <w:p w14:paraId="5933792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3</w:t>
            </w:r>
            <w:r>
              <w:rPr>
                <w:rFonts w:hint="eastAsia" w:ascii="Times New Roman" w:hAnsi="Times New Roman" w:eastAsia="宋体" w:cs="Times New Roman"/>
                <w:color w:val="auto"/>
                <w:kern w:val="0"/>
                <w:szCs w:val="21"/>
                <w:highlight w:val="none"/>
                <w:lang w:bidi="ar"/>
              </w:rPr>
              <w:t>、当</w:t>
            </w:r>
            <w:r>
              <w:rPr>
                <w:rFonts w:ascii="Times New Roman" w:hAnsi="Times New Roman" w:eastAsia="宋体" w:cs="Times New Roman"/>
                <w:color w:val="auto"/>
                <w:kern w:val="0"/>
                <w:szCs w:val="21"/>
                <w:highlight w:val="none"/>
                <w:lang w:bidi="ar"/>
              </w:rPr>
              <w:t>6</w:t>
            </w:r>
            <w:r>
              <w:rPr>
                <w:rFonts w:hint="eastAsia" w:ascii="Times New Roman" w:hAnsi="Times New Roman" w:eastAsia="宋体" w:cs="Times New Roman"/>
                <w:color w:val="auto"/>
                <w:kern w:val="0"/>
                <w:szCs w:val="21"/>
                <w:highlight w:val="none"/>
                <w:lang w:bidi="ar"/>
              </w:rPr>
              <w:t>≤P≤9时，在P个评标价中，去掉</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个最高值和</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个最低值后的其余评标价的算术平均值为评标价平均值（B）。</w:t>
            </w:r>
          </w:p>
          <w:p w14:paraId="06F8BEA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4</w:t>
            </w:r>
            <w:r>
              <w:rPr>
                <w:rFonts w:hint="eastAsia" w:ascii="Times New Roman" w:hAnsi="Times New Roman" w:eastAsia="宋体" w:cs="Times New Roman"/>
                <w:color w:val="auto"/>
                <w:kern w:val="0"/>
                <w:szCs w:val="21"/>
                <w:highlight w:val="none"/>
                <w:lang w:bidi="ar"/>
              </w:rPr>
              <w:t>、当P≥</w:t>
            </w:r>
            <w:r>
              <w:rPr>
                <w:rFonts w:ascii="Times New Roman" w:hAnsi="Times New Roman" w:eastAsia="宋体" w:cs="Times New Roman"/>
                <w:color w:val="auto"/>
                <w:kern w:val="0"/>
                <w:szCs w:val="21"/>
                <w:highlight w:val="none"/>
                <w:lang w:bidi="ar"/>
              </w:rPr>
              <w:t>10</w:t>
            </w:r>
            <w:r>
              <w:rPr>
                <w:rFonts w:hint="eastAsia" w:ascii="Times New Roman" w:hAnsi="Times New Roman" w:eastAsia="宋体" w:cs="Times New Roman"/>
                <w:color w:val="auto"/>
                <w:kern w:val="0"/>
                <w:szCs w:val="21"/>
                <w:highlight w:val="none"/>
                <w:lang w:bidi="ar"/>
              </w:rPr>
              <w:t>时，在P个评标价中，去掉P1个最高值和P2个最低值后的其余评标价的算术平均值为评标价平均值（B）。</w:t>
            </w:r>
          </w:p>
          <w:p w14:paraId="43B801C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P</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，P</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是在取值区间（1～Q）中随机抽取的两个数值，较大的数值为Q</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，较小的数值为Q</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。Q=INT（P/5），即Q为（P</w:t>
            </w:r>
            <w:r>
              <w:rPr>
                <w:rFonts w:ascii="Times New Roman" w:hAnsi="Times New Roman" w:eastAsia="宋体" w:cs="Times New Roman"/>
                <w:color w:val="auto"/>
                <w:kern w:val="0"/>
                <w:szCs w:val="21"/>
                <w:highlight w:val="none"/>
                <w:lang w:bidi="ar"/>
              </w:rPr>
              <w:t>/5</w:t>
            </w:r>
            <w:r>
              <w:rPr>
                <w:rFonts w:hint="eastAsia" w:ascii="Times New Roman" w:hAnsi="Times New Roman" w:eastAsia="宋体" w:cs="Times New Roman"/>
                <w:color w:val="auto"/>
                <w:kern w:val="0"/>
                <w:szCs w:val="21"/>
                <w:highlight w:val="none"/>
                <w:lang w:bidi="ar"/>
              </w:rPr>
              <w:t>）向下取整。</w:t>
            </w:r>
          </w:p>
          <w:p w14:paraId="01C30298">
            <w:pPr>
              <w:widowControl w:val="0"/>
              <w:spacing w:before="0" w:beforeLines="-2147483648" w:after="0" w:afterLines="-2147483648" w:line="360" w:lineRule="exact"/>
              <w:ind w:firstLine="422" w:firstLineChars="200"/>
              <w:jc w:val="both"/>
              <w:outlineLvl w:val="9"/>
              <w:rPr>
                <w:rFonts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四、评标价平均值（B）计算方法3</w:t>
            </w:r>
          </w:p>
          <w:p w14:paraId="22D3BEF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根据所有参加评标价平均值计算的评标价（个数用P表示）计算评标价平均值（B）。C为招标人设定的最高投标限价。评标价平均值保留七位小数，小数点后第八位</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四舍五入</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p>
          <w:p w14:paraId="709ED24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1、当P</w:t>
            </w:r>
            <w:r>
              <w:rPr>
                <w:rFonts w:ascii="Times New Roman" w:hAnsi="Times New Roman" w:eastAsia="宋体" w:cs="Times New Roman"/>
                <w:color w:val="auto"/>
                <w:kern w:val="0"/>
                <w:szCs w:val="21"/>
                <w:highlight w:val="none"/>
                <w:lang w:bidi="ar"/>
              </w:rPr>
              <w:t>=0</w:t>
            </w:r>
            <w:r>
              <w:rPr>
                <w:rFonts w:hint="eastAsia" w:ascii="Times New Roman" w:hAnsi="Times New Roman" w:eastAsia="宋体" w:cs="Times New Roman"/>
                <w:color w:val="auto"/>
                <w:kern w:val="0"/>
                <w:szCs w:val="21"/>
                <w:highlight w:val="none"/>
                <w:lang w:bidi="ar"/>
              </w:rPr>
              <w:t>时，即所有评标价均低于</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*C值（最高投标限价的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），则评标价平均值（B）直接为</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lang w:bidi="ar"/>
              </w:rPr>
              <w:t>*C值（最高投标限价的</w:t>
            </w:r>
            <w:r>
              <w:rPr>
                <w:rFonts w:hint="eastAsia" w:ascii="Times New Roman" w:hAnsi="Times New Roman" w:eastAsia="宋体" w:cs="Times New Roman"/>
                <w:color w:val="auto"/>
                <w:kern w:val="0"/>
                <w:szCs w:val="21"/>
                <w:highlight w:val="none"/>
                <w:u w:val="single"/>
                <w:lang w:bidi="ar"/>
              </w:rPr>
              <w:t xml:space="preserve"> </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u w:val="single"/>
                <w:lang w:bidi="ar"/>
              </w:rPr>
              <w:t>G</w:t>
            </w:r>
            <w:r>
              <w:rPr>
                <w:rFonts w:ascii="Times New Roman" w:hAnsi="Times New Roman" w:eastAsia="宋体" w:cs="Times New Roman"/>
                <w:color w:val="auto"/>
                <w:kern w:val="0"/>
                <w:szCs w:val="21"/>
                <w:highlight w:val="none"/>
                <w:u w:val="single"/>
                <w:lang w:bidi="ar"/>
              </w:rPr>
              <w:t xml:space="preserve">%  </w:t>
            </w:r>
            <w:r>
              <w:rPr>
                <w:rFonts w:hint="eastAsia" w:ascii="Times New Roman" w:hAnsi="Times New Roman" w:eastAsia="宋体" w:cs="Times New Roman"/>
                <w:color w:val="auto"/>
                <w:kern w:val="0"/>
                <w:szCs w:val="21"/>
                <w:highlight w:val="none"/>
                <w:lang w:bidi="ar"/>
              </w:rPr>
              <w:t>）。</w:t>
            </w:r>
          </w:p>
          <w:p w14:paraId="2703C57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2、当0＜P≤</w:t>
            </w:r>
            <w:r>
              <w:rPr>
                <w:rFonts w:ascii="Times New Roman" w:hAnsi="Times New Roman" w:eastAsia="宋体" w:cs="Times New Roman"/>
                <w:color w:val="auto"/>
                <w:kern w:val="0"/>
                <w:szCs w:val="21"/>
                <w:highlight w:val="none"/>
                <w:lang w:bidi="ar"/>
              </w:rPr>
              <w:t>5</w:t>
            </w:r>
            <w:r>
              <w:rPr>
                <w:rFonts w:hint="eastAsia" w:ascii="Times New Roman" w:hAnsi="Times New Roman" w:eastAsia="宋体" w:cs="Times New Roman"/>
                <w:color w:val="auto"/>
                <w:kern w:val="0"/>
                <w:szCs w:val="21"/>
                <w:highlight w:val="none"/>
                <w:lang w:bidi="ar"/>
              </w:rPr>
              <w:t>时，评标价平均值（B）为P个评标价的算术平均值。</w:t>
            </w:r>
          </w:p>
          <w:p w14:paraId="209CC55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3、当P=</w:t>
            </w:r>
            <w:r>
              <w:rPr>
                <w:rFonts w:ascii="Times New Roman" w:hAnsi="Times New Roman" w:eastAsia="宋体" w:cs="Times New Roman"/>
                <w:color w:val="auto"/>
                <w:kern w:val="0"/>
                <w:szCs w:val="21"/>
                <w:highlight w:val="none"/>
                <w:lang w:bidi="ar"/>
              </w:rPr>
              <w:t>6</w:t>
            </w:r>
            <w:r>
              <w:rPr>
                <w:rFonts w:hint="eastAsia" w:ascii="Times New Roman" w:hAnsi="Times New Roman" w:eastAsia="宋体" w:cs="Times New Roman"/>
                <w:color w:val="auto"/>
                <w:kern w:val="0"/>
                <w:szCs w:val="21"/>
                <w:highlight w:val="none"/>
                <w:lang w:bidi="ar"/>
              </w:rPr>
              <w:t>或7时，在P个评标价中，去掉</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个最高值和</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个最低值后的其余评标价的算术平均值为评标价平均值（B）。</w:t>
            </w:r>
          </w:p>
          <w:p w14:paraId="2E673A8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4、当P≥</w:t>
            </w:r>
            <w:r>
              <w:rPr>
                <w:rFonts w:ascii="Times New Roman" w:hAnsi="Times New Roman" w:eastAsia="宋体" w:cs="Times New Roman"/>
                <w:color w:val="auto"/>
                <w:kern w:val="0"/>
                <w:szCs w:val="21"/>
                <w:highlight w:val="none"/>
                <w:lang w:bidi="ar"/>
              </w:rPr>
              <w:t>8</w:t>
            </w:r>
            <w:r>
              <w:rPr>
                <w:rFonts w:hint="eastAsia" w:ascii="Times New Roman" w:hAnsi="Times New Roman" w:eastAsia="宋体" w:cs="Times New Roman"/>
                <w:color w:val="auto"/>
                <w:kern w:val="0"/>
                <w:szCs w:val="21"/>
                <w:highlight w:val="none"/>
                <w:lang w:bidi="ar"/>
              </w:rPr>
              <w:t>时</w:t>
            </w:r>
          </w:p>
          <w:p w14:paraId="24F68E7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（1）首先，在P个评标价中，去掉P1个最高值和P2个最低值。</w:t>
            </w:r>
          </w:p>
          <w:p w14:paraId="42402912">
            <w:pPr>
              <w:widowControl/>
              <w:spacing w:line="360" w:lineRule="exact"/>
              <w:ind w:firstLine="420" w:firstLineChars="200"/>
              <w:jc w:val="left"/>
              <w:rPr>
                <w:color w:val="auto"/>
                <w:kern w:val="0"/>
                <w:szCs w:val="21"/>
                <w:highlight w:val="none"/>
                <w:lang w:bidi="ar"/>
              </w:rPr>
            </w:pPr>
            <w:r>
              <w:rPr>
                <w:rFonts w:hint="eastAsia"/>
                <w:color w:val="auto"/>
                <w:kern w:val="0"/>
                <w:szCs w:val="21"/>
                <w:highlight w:val="none"/>
                <w:lang w:bidi="ar"/>
              </w:rPr>
              <w:t>①当P=8或9时，P1=P2=1；</w:t>
            </w:r>
          </w:p>
          <w:p w14:paraId="29DFB902">
            <w:pPr>
              <w:widowControl/>
              <w:spacing w:line="360" w:lineRule="exact"/>
              <w:ind w:firstLine="420" w:firstLineChars="200"/>
              <w:jc w:val="left"/>
              <w:rPr>
                <w:color w:val="auto"/>
                <w:kern w:val="0"/>
                <w:szCs w:val="21"/>
                <w:highlight w:val="none"/>
                <w:lang w:bidi="ar"/>
              </w:rPr>
            </w:pPr>
            <w:r>
              <w:rPr>
                <w:rFonts w:hint="eastAsia"/>
                <w:color w:val="auto"/>
                <w:kern w:val="0"/>
                <w:szCs w:val="21"/>
                <w:highlight w:val="none"/>
                <w:lang w:bidi="ar"/>
              </w:rPr>
              <w:t>②当P=10或11或12或13或14时，P1=2，P2=1；</w:t>
            </w:r>
          </w:p>
          <w:p w14:paraId="1209BC1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color w:val="auto"/>
                <w:kern w:val="0"/>
                <w:szCs w:val="21"/>
                <w:highlight w:val="none"/>
                <w:lang w:bidi="ar"/>
              </w:rPr>
              <w:t>③当P≥15时，</w:t>
            </w:r>
            <w:r>
              <w:rPr>
                <w:rFonts w:hint="eastAsia" w:ascii="Times New Roman" w:hAnsi="Times New Roman" w:eastAsia="宋体" w:cs="Times New Roman"/>
                <w:color w:val="auto"/>
                <w:kern w:val="0"/>
                <w:szCs w:val="21"/>
                <w:highlight w:val="none"/>
                <w:lang w:bidi="ar"/>
              </w:rPr>
              <w:t>P</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，P</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、Q</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是在取值区间（1～Q）中随机抽取的两个数值，较大的数值为Q</w:t>
            </w:r>
            <w:r>
              <w:rPr>
                <w:rFonts w:ascii="Times New Roman" w:hAnsi="Times New Roman" w:eastAsia="宋体" w:cs="Times New Roman"/>
                <w:color w:val="auto"/>
                <w:kern w:val="0"/>
                <w:szCs w:val="21"/>
                <w:highlight w:val="none"/>
                <w:lang w:bidi="ar"/>
              </w:rPr>
              <w:t>1</w:t>
            </w:r>
            <w:r>
              <w:rPr>
                <w:rFonts w:hint="eastAsia" w:ascii="Times New Roman" w:hAnsi="Times New Roman" w:eastAsia="宋体" w:cs="Times New Roman"/>
                <w:color w:val="auto"/>
                <w:kern w:val="0"/>
                <w:szCs w:val="21"/>
                <w:highlight w:val="none"/>
                <w:lang w:bidi="ar"/>
              </w:rPr>
              <w:t>，较小的数值为Q</w:t>
            </w: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。Q=INT（P/5），即Q为（P</w:t>
            </w:r>
            <w:r>
              <w:rPr>
                <w:rFonts w:ascii="Times New Roman" w:hAnsi="Times New Roman" w:eastAsia="宋体" w:cs="Times New Roman"/>
                <w:color w:val="auto"/>
                <w:kern w:val="0"/>
                <w:szCs w:val="21"/>
                <w:highlight w:val="none"/>
                <w:lang w:bidi="ar"/>
              </w:rPr>
              <w:t>/5</w:t>
            </w:r>
            <w:r>
              <w:rPr>
                <w:rFonts w:hint="eastAsia" w:ascii="Times New Roman" w:hAnsi="Times New Roman" w:eastAsia="宋体" w:cs="Times New Roman"/>
                <w:color w:val="auto"/>
                <w:kern w:val="0"/>
                <w:szCs w:val="21"/>
                <w:highlight w:val="none"/>
                <w:lang w:bidi="ar"/>
              </w:rPr>
              <w:t>）向下取整且最小为1。</w:t>
            </w:r>
          </w:p>
          <w:p w14:paraId="0BA73CE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（2）然后，将其余评标价由低到高排列，对排列第（1、1+R、1+2R、……、1+SR）</w:t>
            </w:r>
            <w:r>
              <w:rPr>
                <w:rFonts w:ascii="Times New Roman" w:hAnsi="Times New Roman" w:eastAsia="宋体" w:cs="Times New Roman"/>
                <w:color w:val="auto"/>
                <w:highlight w:val="none"/>
              </w:rPr>
              <w:t>的评标价进行</w:t>
            </w:r>
            <w:r>
              <w:rPr>
                <w:rFonts w:hint="eastAsia" w:ascii="Times New Roman" w:hAnsi="Times New Roman" w:eastAsia="宋体" w:cs="Times New Roman"/>
                <w:color w:val="auto"/>
                <w:highlight w:val="none"/>
              </w:rPr>
              <w:t>算术</w:t>
            </w:r>
            <w:r>
              <w:rPr>
                <w:rFonts w:ascii="Times New Roman" w:hAnsi="Times New Roman" w:eastAsia="宋体" w:cs="Times New Roman"/>
                <w:color w:val="auto"/>
                <w:highlight w:val="none"/>
              </w:rPr>
              <w:t>平均</w:t>
            </w:r>
            <w:r>
              <w:rPr>
                <w:rFonts w:hint="eastAsia" w:ascii="Times New Roman" w:hAnsi="Times New Roman" w:eastAsia="宋体" w:cs="Times New Roman"/>
                <w:color w:val="auto"/>
                <w:highlight w:val="none"/>
              </w:rPr>
              <w:t>，该算术平均值为</w:t>
            </w:r>
            <w:r>
              <w:rPr>
                <w:rFonts w:hint="eastAsia" w:ascii="Times New Roman" w:hAnsi="Times New Roman" w:eastAsia="宋体" w:cs="Times New Roman"/>
                <w:color w:val="auto"/>
                <w:kern w:val="0"/>
                <w:szCs w:val="21"/>
                <w:highlight w:val="none"/>
                <w:lang w:bidi="ar"/>
              </w:rPr>
              <w:t>评标价平均值（B）。</w:t>
            </w:r>
          </w:p>
          <w:p w14:paraId="35489A4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R</w:t>
            </w:r>
            <w:r>
              <w:rPr>
                <w:rFonts w:hint="eastAsia" w:ascii="Times New Roman" w:hAnsi="Times New Roman" w:eastAsia="宋体" w:cs="Times New Roman"/>
                <w:color w:val="auto"/>
                <w:kern w:val="0"/>
                <w:szCs w:val="21"/>
                <w:highlight w:val="none"/>
                <w:lang w:bidi="ar"/>
              </w:rPr>
              <w:t>为随机步距，在开标现场随机抽取，取值范围为3、4、5。</w:t>
            </w:r>
          </w:p>
          <w:p w14:paraId="061EC93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S为步距个数，</w:t>
            </w:r>
            <w:r>
              <w:rPr>
                <w:rFonts w:ascii="Times New Roman" w:hAnsi="Times New Roman" w:eastAsia="宋体" w:cs="Times New Roman"/>
                <w:color w:val="auto"/>
                <w:kern w:val="0"/>
                <w:szCs w:val="21"/>
                <w:highlight w:val="none"/>
                <w:lang w:bidi="ar"/>
              </w:rPr>
              <w:t>S</w:t>
            </w:r>
            <w:r>
              <w:rPr>
                <w:rFonts w:hint="eastAsia" w:ascii="Times New Roman" w:hAnsi="Times New Roman" w:eastAsia="宋体" w:cs="Times New Roman"/>
                <w:color w:val="auto"/>
                <w:kern w:val="0"/>
                <w:szCs w:val="21"/>
                <w:highlight w:val="none"/>
                <w:lang w:bidi="ar"/>
              </w:rPr>
              <w:t>=INT</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kern w:val="0"/>
                <w:szCs w:val="21"/>
                <w:highlight w:val="none"/>
                <w:lang w:bidi="ar"/>
              </w:rPr>
              <w:t>P-P1-P2-1</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kern w:val="0"/>
                <w:szCs w:val="21"/>
                <w:highlight w:val="none"/>
                <w:lang w:bidi="ar"/>
              </w:rPr>
              <w:t>R]</w:t>
            </w:r>
            <w:r>
              <w:rPr>
                <w:rFonts w:hint="eastAsia" w:ascii="Times New Roman" w:hAnsi="Times New Roman" w:eastAsia="宋体" w:cs="Times New Roman"/>
                <w:color w:val="auto"/>
                <w:kern w:val="0"/>
                <w:szCs w:val="21"/>
                <w:highlight w:val="none"/>
                <w:lang w:bidi="ar"/>
              </w:rPr>
              <w:t>，即</w:t>
            </w:r>
            <w:r>
              <w:rPr>
                <w:rFonts w:ascii="Times New Roman" w:hAnsi="Times New Roman" w:eastAsia="宋体" w:cs="Times New Roman"/>
                <w:color w:val="auto"/>
                <w:kern w:val="0"/>
                <w:szCs w:val="21"/>
                <w:highlight w:val="none"/>
                <w:lang w:bidi="ar"/>
              </w:rPr>
              <w:t>S</w:t>
            </w:r>
            <w:r>
              <w:rPr>
                <w:rFonts w:hint="eastAsia" w:ascii="Times New Roman" w:hAnsi="Times New Roman" w:eastAsia="宋体" w:cs="Times New Roman"/>
                <w:color w:val="auto"/>
                <w:kern w:val="0"/>
                <w:szCs w:val="21"/>
                <w:highlight w:val="none"/>
                <w:lang w:bidi="ar"/>
              </w:rPr>
              <w:t>为</w:t>
            </w:r>
            <w:r>
              <w:rPr>
                <w:rFonts w:ascii="Times New Roman" w:hAnsi="Times New Roman" w:eastAsia="宋体" w:cs="Times New Roman"/>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kern w:val="0"/>
                <w:szCs w:val="21"/>
                <w:highlight w:val="none"/>
                <w:lang w:bidi="ar"/>
              </w:rPr>
              <w:t>P-P1-P2-1</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kern w:val="0"/>
                <w:szCs w:val="21"/>
                <w:highlight w:val="none"/>
                <w:lang w:bidi="ar"/>
              </w:rPr>
              <w:t>R]</w:t>
            </w:r>
            <w:r>
              <w:rPr>
                <w:rFonts w:hint="eastAsia" w:ascii="Times New Roman" w:hAnsi="Times New Roman" w:eastAsia="宋体" w:cs="Times New Roman"/>
                <w:color w:val="auto"/>
                <w:kern w:val="0"/>
                <w:szCs w:val="21"/>
                <w:highlight w:val="none"/>
                <w:lang w:bidi="ar"/>
              </w:rPr>
              <w:t>向下取整。</w:t>
            </w:r>
          </w:p>
          <w:p w14:paraId="09EB67E0">
            <w:pPr>
              <w:widowControl w:val="0"/>
              <w:spacing w:before="0" w:beforeLines="-2147483648" w:after="0" w:afterLines="-2147483648" w:line="360" w:lineRule="exact"/>
              <w:ind w:firstLine="422" w:firstLineChars="200"/>
              <w:jc w:val="both"/>
              <w:outlineLvl w:val="9"/>
              <w:rPr>
                <w:rFonts w:ascii="Times New Roman" w:hAnsi="Times New Roman" w:eastAsia="宋体" w:cs="Times New Roman"/>
                <w:b/>
                <w:bCs/>
                <w:color w:val="auto"/>
                <w:kern w:val="0"/>
                <w:sz w:val="21"/>
                <w:szCs w:val="21"/>
                <w:highlight w:val="none"/>
                <w:lang w:val="en-US" w:eastAsia="zh-CN" w:bidi="ar"/>
              </w:rPr>
            </w:pPr>
            <w:r>
              <w:rPr>
                <w:rFonts w:hint="eastAsia" w:ascii="Times New Roman" w:hAnsi="Times New Roman" w:eastAsia="宋体" w:cs="Times New Roman"/>
                <w:b/>
                <w:bCs/>
                <w:color w:val="auto"/>
                <w:kern w:val="0"/>
                <w:sz w:val="21"/>
                <w:szCs w:val="21"/>
                <w:highlight w:val="none"/>
                <w:lang w:val="en-US" w:eastAsia="zh-CN" w:bidi="ar"/>
              </w:rPr>
              <w:t>五、</w:t>
            </w:r>
            <w:r>
              <w:rPr>
                <w:rFonts w:ascii="Times New Roman" w:hAnsi="Times New Roman" w:eastAsia="宋体" w:cs="Times New Roman"/>
                <w:b/>
                <w:bCs/>
                <w:color w:val="auto"/>
                <w:kern w:val="0"/>
                <w:sz w:val="21"/>
                <w:szCs w:val="21"/>
                <w:highlight w:val="none"/>
                <w:lang w:val="en-US" w:eastAsia="zh-CN" w:bidi="ar"/>
              </w:rPr>
              <w:t>评标基准价</w:t>
            </w:r>
            <w:r>
              <w:rPr>
                <w:rFonts w:hint="eastAsia" w:ascii="Times New Roman" w:hAnsi="Times New Roman" w:eastAsia="宋体" w:cs="Times New Roman"/>
                <w:b/>
                <w:bCs/>
                <w:color w:val="auto"/>
                <w:kern w:val="0"/>
                <w:sz w:val="21"/>
                <w:szCs w:val="21"/>
                <w:highlight w:val="none"/>
                <w:lang w:val="en-US" w:eastAsia="zh-CN" w:bidi="ar"/>
              </w:rPr>
              <w:t>（D）</w:t>
            </w:r>
          </w:p>
          <w:p w14:paraId="40A7D6F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D=D=[C*K+B*（1-K）]*（1-Z），保留七位小数，小数点后第八位</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四舍五入</w:t>
            </w:r>
            <w:r>
              <w:rPr>
                <w:rFonts w:hint="eastAsia" w:ascii="宋体" w:hAnsi="宋体" w:eastAsia="宋体" w:cs="宋体"/>
                <w:color w:val="auto"/>
                <w:kern w:val="0"/>
                <w:szCs w:val="21"/>
                <w:highlight w:val="none"/>
                <w:lang w:bidi="ar"/>
              </w:rPr>
              <w:t>”</w:t>
            </w:r>
            <w:r>
              <w:rPr>
                <w:rFonts w:hint="eastAsia" w:ascii="Times New Roman" w:hAnsi="Times New Roman" w:eastAsia="宋体" w:cs="Times New Roman"/>
                <w:color w:val="auto"/>
                <w:kern w:val="0"/>
                <w:szCs w:val="21"/>
                <w:highlight w:val="none"/>
                <w:lang w:bidi="ar"/>
              </w:rPr>
              <w:t>。</w:t>
            </w:r>
          </w:p>
          <w:p w14:paraId="2EAE666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kern w:val="0"/>
                <w:szCs w:val="21"/>
                <w:highlight w:val="none"/>
                <w:lang w:bidi="ar"/>
              </w:rPr>
              <w:t>式中：</w:t>
            </w:r>
          </w:p>
          <w:p w14:paraId="594C87F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hint="eastAsia" w:ascii="Times New Roman" w:hAnsi="Times New Roman" w:eastAsia="宋体" w:cs="Times New Roman"/>
                <w:color w:val="auto"/>
                <w:kern w:val="0"/>
                <w:szCs w:val="21"/>
                <w:highlight w:val="none"/>
                <w:lang w:bidi="ar"/>
              </w:rPr>
              <w:t>1、C</w:t>
            </w:r>
            <w:r>
              <w:rPr>
                <w:rFonts w:ascii="Times New Roman" w:hAnsi="Times New Roman" w:eastAsia="宋体" w:cs="Times New Roman"/>
                <w:color w:val="auto"/>
                <w:kern w:val="0"/>
                <w:szCs w:val="21"/>
                <w:highlight w:val="none"/>
                <w:lang w:bidi="ar"/>
              </w:rPr>
              <w:t>为招标人</w:t>
            </w:r>
            <w:r>
              <w:rPr>
                <w:rFonts w:hint="eastAsia" w:ascii="Times New Roman" w:hAnsi="Times New Roman" w:eastAsia="宋体" w:cs="Times New Roman"/>
                <w:color w:val="auto"/>
                <w:kern w:val="0"/>
                <w:szCs w:val="21"/>
                <w:highlight w:val="none"/>
                <w:lang w:bidi="ar"/>
              </w:rPr>
              <w:t>设定的</w:t>
            </w:r>
            <w:r>
              <w:rPr>
                <w:rFonts w:ascii="Times New Roman" w:hAnsi="Times New Roman" w:eastAsia="宋体" w:cs="Times New Roman"/>
                <w:color w:val="auto"/>
                <w:kern w:val="0"/>
                <w:szCs w:val="21"/>
                <w:highlight w:val="none"/>
                <w:lang w:bidi="ar"/>
              </w:rPr>
              <w:t>最高投标限价</w:t>
            </w:r>
            <w:r>
              <w:rPr>
                <w:rFonts w:hint="eastAsia" w:ascii="Times New Roman" w:hAnsi="Times New Roman" w:eastAsia="宋体" w:cs="Times New Roman"/>
                <w:color w:val="auto"/>
                <w:kern w:val="0"/>
                <w:szCs w:val="21"/>
                <w:highlight w:val="none"/>
                <w:lang w:bidi="ar"/>
              </w:rPr>
              <w:t>，B为评标价平均值。</w:t>
            </w:r>
          </w:p>
          <w:p w14:paraId="46E3CA3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2</w:t>
            </w:r>
            <w:r>
              <w:rPr>
                <w:rFonts w:hint="eastAsia" w:ascii="Times New Roman" w:hAnsi="Times New Roman" w:eastAsia="宋体" w:cs="Times New Roman"/>
                <w:color w:val="auto"/>
                <w:kern w:val="0"/>
                <w:szCs w:val="21"/>
                <w:highlight w:val="none"/>
                <w:lang w:bidi="ar"/>
              </w:rPr>
              <w:t>、</w:t>
            </w:r>
            <w:r>
              <w:rPr>
                <w:rFonts w:ascii="Times New Roman" w:hAnsi="Times New Roman" w:eastAsia="宋体" w:cs="Times New Roman"/>
                <w:color w:val="auto"/>
                <w:kern w:val="0"/>
                <w:szCs w:val="21"/>
                <w:highlight w:val="none"/>
                <w:lang w:bidi="ar"/>
              </w:rPr>
              <w:t>K</w:t>
            </w:r>
            <w:r>
              <w:rPr>
                <w:rFonts w:hint="eastAsia" w:ascii="Times New Roman" w:hAnsi="Times New Roman" w:eastAsia="宋体" w:cs="Times New Roman"/>
                <w:color w:val="auto"/>
                <w:kern w:val="0"/>
                <w:szCs w:val="21"/>
                <w:highlight w:val="none"/>
                <w:lang w:bidi="ar"/>
              </w:rPr>
              <w:t>为</w:t>
            </w:r>
            <w:r>
              <w:rPr>
                <w:rFonts w:ascii="Times New Roman" w:hAnsi="Times New Roman" w:eastAsia="宋体" w:cs="Times New Roman"/>
                <w:color w:val="auto"/>
                <w:highlight w:val="none"/>
              </w:rPr>
              <w:t>权重系数</w:t>
            </w:r>
            <w:r>
              <w:rPr>
                <w:rFonts w:hint="eastAsia" w:ascii="Times New Roman" w:hAnsi="Times New Roman" w:eastAsia="宋体" w:cs="Times New Roman"/>
                <w:color w:val="auto"/>
                <w:highlight w:val="none"/>
              </w:rPr>
              <w:t>，K=[（K</w:t>
            </w:r>
            <w:r>
              <w:rPr>
                <w:rFonts w:ascii="Times New Roman" w:hAnsi="Times New Roman" w:eastAsia="宋体" w:cs="Times New Roman"/>
                <w:color w:val="auto"/>
                <w:highlight w:val="none"/>
              </w:rPr>
              <w:t>1/10</w:t>
            </w:r>
            <w:r>
              <w:rPr>
                <w:rFonts w:hint="eastAsia" w:ascii="Times New Roman" w:hAnsi="Times New Roman" w:eastAsia="宋体" w:cs="Times New Roman"/>
                <w:color w:val="auto"/>
                <w:highlight w:val="none"/>
              </w:rPr>
              <w:t>）+K</w:t>
            </w:r>
            <w:r>
              <w:rPr>
                <w:rFonts w:ascii="Times New Roman" w:hAnsi="Times New Roman" w:eastAsia="宋体" w:cs="Times New Roman"/>
                <w:color w:val="auto"/>
                <w:highlight w:val="none"/>
              </w:rPr>
              <w:t>2</w:t>
            </w:r>
            <w:r>
              <w:rPr>
                <w:rFonts w:hint="eastAsia" w:ascii="Times New Roman" w:hAnsi="Times New Roman" w:eastAsia="宋体" w:cs="Times New Roman"/>
                <w:color w:val="auto"/>
                <w:highlight w:val="none"/>
              </w:rPr>
              <w:t>]/10。各标段的</w:t>
            </w:r>
            <w:r>
              <w:rPr>
                <w:rFonts w:ascii="Times New Roman" w:hAnsi="Times New Roman" w:eastAsia="宋体" w:cs="Times New Roman"/>
                <w:color w:val="auto"/>
                <w:highlight w:val="none"/>
              </w:rPr>
              <w:t>K1</w:t>
            </w:r>
            <w:r>
              <w:rPr>
                <w:rFonts w:hint="eastAsia" w:ascii="Times New Roman" w:hAnsi="Times New Roman" w:eastAsia="宋体" w:cs="Times New Roman"/>
                <w:color w:val="auto"/>
                <w:highlight w:val="none"/>
              </w:rPr>
              <w:t>在开标现场从0、1、2、3、4、5、6、7、8、9等1</w:t>
            </w:r>
            <w:r>
              <w:rPr>
                <w:rFonts w:ascii="Times New Roman" w:hAnsi="Times New Roman" w:eastAsia="宋体" w:cs="Times New Roman"/>
                <w:color w:val="auto"/>
                <w:highlight w:val="none"/>
              </w:rPr>
              <w:t>0</w:t>
            </w:r>
            <w:r>
              <w:rPr>
                <w:rFonts w:hint="eastAsia" w:ascii="Times New Roman" w:hAnsi="Times New Roman" w:eastAsia="宋体" w:cs="Times New Roman"/>
                <w:color w:val="auto"/>
                <w:highlight w:val="none"/>
              </w:rPr>
              <w:t>个系数中随机抽取。各标段的</w:t>
            </w:r>
            <w:r>
              <w:rPr>
                <w:rFonts w:ascii="Times New Roman" w:hAnsi="Times New Roman" w:eastAsia="宋体" w:cs="Times New Roman"/>
                <w:color w:val="auto"/>
                <w:highlight w:val="none"/>
              </w:rPr>
              <w:t>K2</w:t>
            </w:r>
            <w:r>
              <w:rPr>
                <w:rFonts w:hint="eastAsia" w:ascii="Times New Roman" w:hAnsi="Times New Roman" w:eastAsia="宋体" w:cs="Times New Roman"/>
                <w:color w:val="auto"/>
                <w:highlight w:val="none"/>
              </w:rPr>
              <w:t>在开标现场从</w:t>
            </w:r>
            <w:r>
              <w:rPr>
                <w:rFonts w:ascii="Times New Roman" w:hAnsi="Times New Roman" w:eastAsia="宋体" w:cs="Times New Roman"/>
                <w:color w:val="auto"/>
                <w:highlight w:val="none"/>
              </w:rPr>
              <w:t>0、0.5、1等3个系数</w:t>
            </w:r>
            <w:r>
              <w:rPr>
                <w:rFonts w:hint="eastAsia" w:ascii="Times New Roman" w:hAnsi="Times New Roman" w:eastAsia="宋体" w:cs="Times New Roman"/>
                <w:color w:val="auto"/>
                <w:highlight w:val="none"/>
              </w:rPr>
              <w:t>中随机抽取。</w:t>
            </w:r>
          </w:p>
          <w:p w14:paraId="60052376">
            <w:pPr>
              <w:pageBreakBefore w:val="0"/>
              <w:kinsoku/>
              <w:wordWrap w:val="0"/>
              <w:bidi w:val="0"/>
              <w:spacing w:line="360" w:lineRule="atLeast"/>
              <w:ind w:firstLine="420" w:firstLineChars="200"/>
              <w:rPr>
                <w:rFonts w:hint="default" w:ascii="Times New Roman" w:hAnsi="Times New Roman" w:cs="Times New Roman"/>
                <w:color w:val="auto"/>
                <w:szCs w:val="21"/>
                <w:highlight w:val="none"/>
              </w:rPr>
            </w:pPr>
            <w:r>
              <w:rPr>
                <w:rFonts w:ascii="Times New Roman" w:hAnsi="Times New Roman" w:eastAsia="宋体" w:cs="Times New Roman"/>
                <w:color w:val="auto"/>
                <w:kern w:val="0"/>
                <w:sz w:val="21"/>
                <w:szCs w:val="21"/>
                <w:highlight w:val="none"/>
                <w:lang w:val="en-US" w:eastAsia="zh-CN" w:bidi="ar"/>
              </w:rPr>
              <w:t>3</w:t>
            </w:r>
            <w:r>
              <w:rPr>
                <w:rFonts w:hint="eastAsia" w:ascii="Times New Roman" w:hAnsi="Times New Roman" w:eastAsia="宋体" w:cs="Times New Roman"/>
                <w:color w:val="auto"/>
                <w:kern w:val="0"/>
                <w:sz w:val="21"/>
                <w:szCs w:val="21"/>
                <w:highlight w:val="none"/>
                <w:lang w:val="en-US" w:eastAsia="zh-CN" w:bidi="ar"/>
              </w:rPr>
              <w:t>、Z为下浮系数，各标段的Z</w:t>
            </w:r>
            <w:r>
              <w:rPr>
                <w:rFonts w:ascii="Times New Roman" w:hAnsi="Times New Roman" w:eastAsia="宋体" w:cs="Times New Roman"/>
                <w:color w:val="auto"/>
                <w:kern w:val="2"/>
                <w:sz w:val="21"/>
                <w:szCs w:val="21"/>
                <w:highlight w:val="none"/>
                <w:lang w:val="en-US" w:eastAsia="zh-CN" w:bidi="ar-SA"/>
              </w:rPr>
              <w:t>在开标现场</w:t>
            </w:r>
            <w:r>
              <w:rPr>
                <w:rFonts w:hint="eastAsia" w:ascii="Times New Roman" w:hAnsi="Times New Roman" w:eastAsia="宋体" w:cs="Times New Roman"/>
                <w:color w:val="auto"/>
                <w:kern w:val="0"/>
                <w:sz w:val="21"/>
                <w:szCs w:val="21"/>
                <w:highlight w:val="none"/>
                <w:lang w:val="en-US" w:eastAsia="zh-CN" w:bidi="ar"/>
              </w:rPr>
              <w:t>均从0%、0.</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2</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3</w:t>
            </w:r>
            <w:r>
              <w:rPr>
                <w:rFonts w:hint="eastAsia" w:ascii="Times New Roman" w:hAnsi="Times New Roman" w:eastAsia="宋体" w:cs="Times New Roman"/>
                <w:color w:val="auto"/>
                <w:kern w:val="0"/>
                <w:sz w:val="21"/>
                <w:szCs w:val="21"/>
                <w:highlight w:val="none"/>
                <w:lang w:val="en-US" w:eastAsia="zh-CN" w:bidi="ar"/>
              </w:rPr>
              <w:t>%、0.</w:t>
            </w:r>
            <w:r>
              <w:rPr>
                <w:rFonts w:ascii="Times New Roman" w:hAnsi="Times New Roman" w:eastAsia="宋体" w:cs="Times New Roman"/>
                <w:color w:val="auto"/>
                <w:kern w:val="0"/>
                <w:sz w:val="21"/>
                <w:szCs w:val="21"/>
                <w:highlight w:val="none"/>
                <w:lang w:val="en-US" w:eastAsia="zh-CN" w:bidi="ar"/>
              </w:rPr>
              <w:t>4</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0.5</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0.6</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0.7</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0.8</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0.9</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1.0</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1.2</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1.3</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1.4</w:t>
            </w:r>
            <w:r>
              <w:rPr>
                <w:rFonts w:hint="eastAsia" w:ascii="Times New Roman" w:hAnsi="Times New Roman" w:eastAsia="宋体" w:cs="Times New Roman"/>
                <w:color w:val="auto"/>
                <w:kern w:val="0"/>
                <w:sz w:val="21"/>
                <w:szCs w:val="21"/>
                <w:highlight w:val="none"/>
                <w:lang w:val="en-US" w:eastAsia="zh-CN" w:bidi="ar"/>
              </w:rPr>
              <w:t>%、1</w:t>
            </w:r>
            <w:r>
              <w:rPr>
                <w:rFonts w:ascii="Times New Roman" w:hAnsi="Times New Roman" w:eastAsia="宋体" w:cs="Times New Roman"/>
                <w:color w:val="auto"/>
                <w:kern w:val="0"/>
                <w:sz w:val="21"/>
                <w:szCs w:val="21"/>
                <w:highlight w:val="none"/>
                <w:lang w:val="en-US" w:eastAsia="zh-CN" w:bidi="ar"/>
              </w:rPr>
              <w:t>.5</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6</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7</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8</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1</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9</w:t>
            </w:r>
            <w:r>
              <w:rPr>
                <w:rFonts w:hint="eastAsia" w:ascii="Times New Roman" w:hAnsi="Times New Roman" w:eastAsia="宋体" w:cs="Times New Roman"/>
                <w:color w:val="auto"/>
                <w:kern w:val="0"/>
                <w:sz w:val="21"/>
                <w:szCs w:val="21"/>
                <w:highlight w:val="none"/>
                <w:lang w:val="en-US" w:eastAsia="zh-CN" w:bidi="ar"/>
              </w:rPr>
              <w:t>%、</w:t>
            </w:r>
            <w:r>
              <w:rPr>
                <w:rFonts w:ascii="Times New Roman" w:hAnsi="Times New Roman" w:eastAsia="宋体" w:cs="Times New Roman"/>
                <w:color w:val="auto"/>
                <w:kern w:val="0"/>
                <w:sz w:val="21"/>
                <w:szCs w:val="21"/>
                <w:highlight w:val="none"/>
                <w:lang w:val="en-US" w:eastAsia="zh-CN" w:bidi="ar"/>
              </w:rPr>
              <w:t>2</w:t>
            </w:r>
            <w:r>
              <w:rPr>
                <w:rFonts w:hint="eastAsia" w:ascii="Times New Roman" w:hAnsi="Times New Roman" w:eastAsia="宋体" w:cs="Times New Roman"/>
                <w:color w:val="auto"/>
                <w:kern w:val="0"/>
                <w:sz w:val="21"/>
                <w:szCs w:val="21"/>
                <w:highlight w:val="none"/>
                <w:lang w:val="en-US" w:eastAsia="zh-CN" w:bidi="ar"/>
              </w:rPr>
              <w:t>%等</w:t>
            </w:r>
            <w:r>
              <w:rPr>
                <w:rFonts w:ascii="Times New Roman" w:hAnsi="Times New Roman" w:eastAsia="宋体" w:cs="Times New Roman"/>
                <w:color w:val="auto"/>
                <w:kern w:val="0"/>
                <w:sz w:val="21"/>
                <w:szCs w:val="21"/>
                <w:highlight w:val="none"/>
                <w:lang w:val="en-US" w:eastAsia="zh-CN" w:bidi="ar"/>
              </w:rPr>
              <w:t>21</w:t>
            </w:r>
            <w:r>
              <w:rPr>
                <w:rFonts w:hint="eastAsia" w:ascii="Times New Roman" w:hAnsi="Times New Roman" w:eastAsia="宋体" w:cs="Times New Roman"/>
                <w:color w:val="auto"/>
                <w:kern w:val="0"/>
                <w:sz w:val="21"/>
                <w:szCs w:val="21"/>
                <w:highlight w:val="none"/>
                <w:lang w:val="en-US" w:eastAsia="zh-CN" w:bidi="ar"/>
              </w:rPr>
              <w:t>个系数中随机抽取。</w:t>
            </w:r>
          </w:p>
        </w:tc>
      </w:tr>
      <w:tr w14:paraId="561BC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0CEE70E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2.2.3</w:t>
            </w:r>
          </w:p>
        </w:tc>
        <w:tc>
          <w:tcPr>
            <w:tcW w:w="1505" w:type="dxa"/>
            <w:tcBorders>
              <w:top w:val="single" w:color="auto" w:sz="4" w:space="0"/>
              <w:left w:val="single" w:color="auto" w:sz="4" w:space="0"/>
              <w:right w:val="single" w:color="auto" w:sz="4" w:space="0"/>
            </w:tcBorders>
            <w:noWrap w:val="0"/>
            <w:vAlign w:val="center"/>
          </w:tcPr>
          <w:p w14:paraId="6DE566A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评标价的偏差率计算公式</w:t>
            </w:r>
          </w:p>
        </w:tc>
        <w:tc>
          <w:tcPr>
            <w:tcW w:w="5099" w:type="dxa"/>
            <w:tcBorders>
              <w:top w:val="single" w:color="auto" w:sz="4" w:space="0"/>
              <w:left w:val="single" w:color="auto" w:sz="4" w:space="0"/>
              <w:right w:val="single" w:color="auto" w:sz="4" w:space="0"/>
            </w:tcBorders>
            <w:noWrap w:val="0"/>
            <w:vAlign w:val="center"/>
          </w:tcPr>
          <w:p w14:paraId="7D9F6DC0">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偏差率=100% ×（投标人评标价－评标基准价）/评标基准价</w:t>
            </w:r>
          </w:p>
          <w:p w14:paraId="5A7A313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偏差率保留</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7</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位小数</w:t>
            </w:r>
          </w:p>
        </w:tc>
      </w:tr>
      <w:tr w14:paraId="53F570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05294D3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条款号</w:t>
            </w:r>
          </w:p>
        </w:tc>
        <w:tc>
          <w:tcPr>
            <w:tcW w:w="1505" w:type="dxa"/>
            <w:tcBorders>
              <w:top w:val="single" w:color="auto" w:sz="4" w:space="0"/>
              <w:left w:val="single" w:color="auto" w:sz="4" w:space="0"/>
              <w:right w:val="single" w:color="auto" w:sz="4" w:space="0"/>
            </w:tcBorders>
            <w:noWrap w:val="0"/>
            <w:vAlign w:val="center"/>
          </w:tcPr>
          <w:p w14:paraId="5351484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评分因素</w:t>
            </w:r>
          </w:p>
        </w:tc>
        <w:tc>
          <w:tcPr>
            <w:tcW w:w="5099" w:type="dxa"/>
            <w:tcBorders>
              <w:top w:val="single" w:color="auto" w:sz="4" w:space="0"/>
              <w:left w:val="single" w:color="auto" w:sz="4" w:space="0"/>
              <w:right w:val="single" w:color="auto" w:sz="4" w:space="0"/>
            </w:tcBorders>
            <w:noWrap w:val="0"/>
            <w:vAlign w:val="center"/>
          </w:tcPr>
          <w:p w14:paraId="46E0F73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b/>
                <w:color w:val="auto"/>
                <w:szCs w:val="21"/>
                <w:highlight w:val="none"/>
              </w:rPr>
              <w:t>评分标准</w:t>
            </w:r>
          </w:p>
        </w:tc>
      </w:tr>
      <w:tr w14:paraId="28407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noWrap w:val="0"/>
            <w:vAlign w:val="center"/>
          </w:tcPr>
          <w:p w14:paraId="752CBDD7">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2.2.4</w:t>
            </w:r>
          </w:p>
        </w:tc>
        <w:tc>
          <w:tcPr>
            <w:tcW w:w="1505" w:type="dxa"/>
            <w:tcBorders>
              <w:top w:val="single" w:color="auto" w:sz="4" w:space="0"/>
              <w:left w:val="single" w:color="auto" w:sz="4" w:space="0"/>
              <w:right w:val="single" w:color="auto" w:sz="4" w:space="0"/>
            </w:tcBorders>
            <w:noWrap w:val="0"/>
            <w:vAlign w:val="center"/>
          </w:tcPr>
          <w:p w14:paraId="38D2874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w:t>
            </w:r>
          </w:p>
        </w:tc>
        <w:tc>
          <w:tcPr>
            <w:tcW w:w="5099" w:type="dxa"/>
            <w:tcBorders>
              <w:top w:val="single" w:color="auto" w:sz="4" w:space="0"/>
              <w:left w:val="single" w:color="auto" w:sz="4" w:space="0"/>
              <w:right w:val="single" w:color="auto" w:sz="4" w:space="0"/>
            </w:tcBorders>
            <w:noWrap w:val="0"/>
            <w:vAlign w:val="top"/>
          </w:tcPr>
          <w:p w14:paraId="41CFAEB4">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100分</w:t>
            </w:r>
          </w:p>
          <w:p w14:paraId="2EA0B17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评标价得分计算公式示例：</w:t>
            </w:r>
          </w:p>
          <w:p w14:paraId="4791B86A">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（1）如果投标人的评标价&gt;评标基准价，则评标价得分＝100－偏差率×100×</w:t>
            </w:r>
            <w:r>
              <w:rPr>
                <w:rFonts w:hint="eastAsia" w:cs="Times New Roman"/>
                <w:color w:val="auto"/>
                <w:szCs w:val="21"/>
                <w:highlight w:val="none"/>
                <w:lang w:val="en-US" w:eastAsia="zh-CN"/>
              </w:rPr>
              <w:t>2</w:t>
            </w:r>
            <w:r>
              <w:rPr>
                <w:rFonts w:hint="default" w:ascii="Times New Roman" w:hAnsi="Times New Roman" w:cs="Times New Roman"/>
                <w:color w:val="auto"/>
                <w:szCs w:val="21"/>
                <w:highlight w:val="none"/>
              </w:rPr>
              <w:t>；</w:t>
            </w:r>
          </w:p>
          <w:p w14:paraId="51010EE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（2）如果投标人的评标价≤评标基准价，则评标价得分＝100＋偏差率×100×</w:t>
            </w:r>
            <w:r>
              <w:rPr>
                <w:rFonts w:hint="eastAsia" w:cs="Times New Roman"/>
                <w:color w:val="auto"/>
                <w:szCs w:val="21"/>
                <w:highlight w:val="none"/>
                <w:lang w:val="en-US" w:eastAsia="zh-CN"/>
              </w:rPr>
              <w:t>1</w:t>
            </w:r>
            <w:r>
              <w:rPr>
                <w:rFonts w:hint="default" w:ascii="Times New Roman" w:hAnsi="Times New Roman" w:cs="Times New Roman"/>
                <w:color w:val="auto"/>
                <w:szCs w:val="21"/>
                <w:highlight w:val="none"/>
              </w:rPr>
              <w:t>。</w:t>
            </w:r>
          </w:p>
        </w:tc>
      </w:tr>
      <w:tr w14:paraId="00D02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640" w:type="dxa"/>
            <w:gridSpan w:val="5"/>
            <w:tcBorders>
              <w:top w:val="single" w:color="auto" w:sz="4" w:space="0"/>
              <w:bottom w:val="single" w:color="auto" w:sz="4" w:space="0"/>
              <w:right w:val="single" w:color="auto" w:sz="4" w:space="0"/>
            </w:tcBorders>
            <w:noWrap w:val="0"/>
            <w:vAlign w:val="center"/>
          </w:tcPr>
          <w:p w14:paraId="1947F030">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需要补充的其他内容：</w:t>
            </w:r>
          </w:p>
        </w:tc>
      </w:tr>
      <w:tr w14:paraId="6A12F1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036" w:type="dxa"/>
            <w:gridSpan w:val="3"/>
            <w:tcBorders>
              <w:top w:val="single" w:color="auto" w:sz="4" w:space="0"/>
              <w:bottom w:val="single" w:color="auto" w:sz="4" w:space="0"/>
              <w:right w:val="single" w:color="auto" w:sz="4" w:space="0"/>
            </w:tcBorders>
            <w:shd w:val="clear" w:color="auto" w:fill="auto"/>
            <w:noWrap w:val="0"/>
            <w:vAlign w:val="center"/>
          </w:tcPr>
          <w:p w14:paraId="17E54255">
            <w:pPr>
              <w:snapToGrid w:val="0"/>
              <w:spacing w:line="400" w:lineRule="exact"/>
              <w:jc w:val="center"/>
              <w:rPr>
                <w:rFonts w:hint="default" w:ascii="宋体" w:hAnsi="宋体" w:eastAsia="宋体" w:cs="Times New Roman"/>
                <w:b/>
                <w:bCs/>
                <w:kern w:val="2"/>
                <w:sz w:val="21"/>
                <w:szCs w:val="21"/>
                <w:lang w:val="en-US" w:eastAsia="zh-CN" w:bidi="ar-SA"/>
              </w:rPr>
            </w:pPr>
            <w:r>
              <w:rPr>
                <w:rFonts w:ascii="宋体" w:hAnsi="宋体"/>
                <w:b/>
                <w:bCs/>
                <w:szCs w:val="21"/>
              </w:rPr>
              <w:t>条款号</w:t>
            </w:r>
          </w:p>
        </w:tc>
        <w:tc>
          <w:tcPr>
            <w:tcW w:w="6604" w:type="dxa"/>
            <w:gridSpan w:val="2"/>
            <w:tcBorders>
              <w:top w:val="single" w:color="auto" w:sz="4" w:space="0"/>
              <w:bottom w:val="single" w:color="auto" w:sz="4" w:space="0"/>
              <w:right w:val="single" w:color="auto" w:sz="4" w:space="0"/>
            </w:tcBorders>
            <w:shd w:val="clear" w:color="auto" w:fill="auto"/>
            <w:noWrap w:val="0"/>
            <w:vAlign w:val="center"/>
          </w:tcPr>
          <w:p w14:paraId="652EF47B">
            <w:pPr>
              <w:snapToGrid w:val="0"/>
              <w:spacing w:line="400" w:lineRule="exact"/>
              <w:jc w:val="center"/>
              <w:rPr>
                <w:rFonts w:hint="default" w:ascii="宋体" w:hAnsi="宋体" w:eastAsia="宋体" w:cs="Times New Roman"/>
                <w:b/>
                <w:bCs/>
                <w:kern w:val="2"/>
                <w:sz w:val="21"/>
                <w:szCs w:val="21"/>
                <w:lang w:val="en-US" w:eastAsia="zh-CN" w:bidi="ar-SA"/>
              </w:rPr>
            </w:pPr>
            <w:r>
              <w:rPr>
                <w:rFonts w:ascii="宋体" w:hAnsi="宋体"/>
                <w:b/>
                <w:bCs/>
                <w:szCs w:val="21"/>
              </w:rPr>
              <w:t>编列内容</w:t>
            </w:r>
          </w:p>
        </w:tc>
      </w:tr>
      <w:tr w14:paraId="1538B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gridSpan w:val="3"/>
            <w:shd w:val="clear" w:color="auto" w:fill="auto"/>
            <w:vAlign w:val="center"/>
          </w:tcPr>
          <w:p w14:paraId="6F1DEE7E">
            <w:pPr>
              <w:snapToGrid w:val="0"/>
              <w:spacing w:line="400" w:lineRule="exact"/>
              <w:jc w:val="center"/>
              <w:rPr>
                <w:rFonts w:hint="default" w:ascii="宋体" w:hAnsi="宋体" w:eastAsia="宋体" w:cs="Times New Roman"/>
                <w:b/>
                <w:bCs/>
                <w:kern w:val="2"/>
                <w:sz w:val="21"/>
                <w:szCs w:val="21"/>
                <w:lang w:val="en-US" w:eastAsia="zh-CN" w:bidi="ar-SA"/>
              </w:rPr>
            </w:pPr>
            <w:r>
              <w:rPr>
                <w:rFonts w:ascii="宋体" w:hAnsi="宋体"/>
                <w:szCs w:val="21"/>
              </w:rPr>
              <w:t>1</w:t>
            </w:r>
          </w:p>
        </w:tc>
        <w:tc>
          <w:tcPr>
            <w:tcW w:w="0" w:type="auto"/>
            <w:gridSpan w:val="2"/>
            <w:shd w:val="clear" w:color="auto" w:fill="auto"/>
            <w:vAlign w:val="center"/>
          </w:tcPr>
          <w:p w14:paraId="1C881ED0">
            <w:pPr>
              <w:adjustRightInd w:val="0"/>
              <w:snapToGrid w:val="0"/>
              <w:spacing w:line="400" w:lineRule="exact"/>
              <w:ind w:firstLine="422" w:firstLineChars="200"/>
              <w:rPr>
                <w:rFonts w:hint="default" w:ascii="宋体" w:hAnsi="宋体" w:eastAsia="宋体" w:cs="Times New Roman"/>
                <w:b/>
                <w:bCs/>
                <w:kern w:val="2"/>
                <w:sz w:val="21"/>
                <w:szCs w:val="21"/>
                <w:lang w:val="en-US" w:eastAsia="zh-CN" w:bidi="ar-SA"/>
              </w:rPr>
            </w:pPr>
          </w:p>
        </w:tc>
      </w:tr>
      <w:tr w14:paraId="1B25A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0" w:type="auto"/>
            <w:gridSpan w:val="3"/>
            <w:shd w:val="clear" w:color="auto" w:fill="auto"/>
            <w:vAlign w:val="center"/>
          </w:tcPr>
          <w:p w14:paraId="4B64889F">
            <w:pPr>
              <w:snapToGrid w:val="0"/>
              <w:spacing w:line="400" w:lineRule="exact"/>
              <w:jc w:val="center"/>
              <w:rPr>
                <w:rFonts w:hint="default" w:ascii="宋体" w:hAnsi="宋体" w:eastAsia="宋体" w:cs="Times New Roman"/>
                <w:b/>
                <w:bCs/>
                <w:kern w:val="2"/>
                <w:sz w:val="21"/>
                <w:szCs w:val="21"/>
                <w:lang w:val="en-US" w:eastAsia="zh-CN" w:bidi="ar-SA"/>
              </w:rPr>
            </w:pPr>
            <w:r>
              <w:rPr>
                <w:rFonts w:hint="eastAsia" w:ascii="宋体" w:hAnsi="宋体"/>
                <w:szCs w:val="21"/>
              </w:rPr>
              <w:t>2</w:t>
            </w:r>
          </w:p>
        </w:tc>
        <w:tc>
          <w:tcPr>
            <w:tcW w:w="0" w:type="auto"/>
            <w:gridSpan w:val="2"/>
            <w:shd w:val="clear" w:color="auto" w:fill="auto"/>
            <w:vAlign w:val="center"/>
          </w:tcPr>
          <w:p w14:paraId="4E08DF52">
            <w:pPr>
              <w:spacing w:line="400" w:lineRule="exact"/>
              <w:ind w:left="55" w:leftChars="26" w:right="118" w:rightChars="56" w:firstLine="420" w:firstLineChars="200"/>
              <w:rPr>
                <w:rFonts w:hint="eastAsia"/>
                <w:color w:val="FF0000"/>
                <w:szCs w:val="21"/>
              </w:rPr>
            </w:pPr>
            <w:r>
              <w:rPr>
                <w:rFonts w:hint="eastAsia"/>
                <w:color w:val="FF0000"/>
                <w:szCs w:val="21"/>
              </w:rPr>
              <w:t>在投标报价开标前，随机确定一种标准文件规定的评标基准价计算方案（分区加权法、首尾去值法、随机步距法）</w:t>
            </w:r>
          </w:p>
          <w:p w14:paraId="33B1746E">
            <w:pPr>
              <w:spacing w:line="400" w:lineRule="exact"/>
              <w:ind w:left="55" w:leftChars="26" w:right="118" w:rightChars="56" w:firstLine="420" w:firstLineChars="200"/>
              <w:rPr>
                <w:rFonts w:ascii="宋体" w:hAnsi="宋体"/>
                <w:szCs w:val="21"/>
              </w:rPr>
            </w:pPr>
            <w:r>
              <w:rPr>
                <w:rFonts w:ascii="宋体" w:hAnsi="宋体"/>
                <w:szCs w:val="21"/>
              </w:rPr>
              <w:t>1.评标办法</w:t>
            </w:r>
          </w:p>
          <w:p w14:paraId="4ABB7105">
            <w:pPr>
              <w:spacing w:line="400" w:lineRule="exact"/>
              <w:ind w:firstLine="420" w:firstLineChars="200"/>
              <w:rPr>
                <w:rFonts w:ascii="宋体" w:hAnsi="宋体"/>
                <w:szCs w:val="21"/>
              </w:rPr>
            </w:pPr>
            <w:r>
              <w:rPr>
                <w:rFonts w:ascii="宋体" w:hAnsi="宋体"/>
                <w:szCs w:val="21"/>
              </w:rPr>
              <w:t>本条细化为：</w:t>
            </w:r>
          </w:p>
          <w:p w14:paraId="1B53C0AF">
            <w:pPr>
              <w:spacing w:line="400" w:lineRule="exact"/>
              <w:ind w:firstLine="420" w:firstLineChars="200"/>
              <w:rPr>
                <w:rFonts w:ascii="宋体" w:hAnsi="宋体"/>
                <w:szCs w:val="21"/>
              </w:rPr>
            </w:pPr>
            <w:r>
              <w:rPr>
                <w:rFonts w:hint="eastAsia" w:ascii="宋体" w:hAnsi="宋体"/>
                <w:szCs w:val="21"/>
              </w:rPr>
              <w:t>1.1本次评标采用</w:t>
            </w:r>
            <w:r>
              <w:rPr>
                <w:rFonts w:hint="eastAsia" w:ascii="宋体" w:hAnsi="宋体"/>
                <w:b/>
                <w:bCs/>
                <w:szCs w:val="21"/>
                <w:u w:val="single"/>
              </w:rPr>
              <w:t>双信封合理低价法</w:t>
            </w:r>
            <w:r>
              <w:rPr>
                <w:rFonts w:hint="eastAsia" w:ascii="宋体" w:hAnsi="宋体"/>
                <w:szCs w:val="21"/>
              </w:rPr>
              <w:t>。</w:t>
            </w:r>
          </w:p>
          <w:p w14:paraId="01F9A0E7">
            <w:pPr>
              <w:adjustRightInd w:val="0"/>
              <w:snapToGrid w:val="0"/>
              <w:spacing w:line="400" w:lineRule="exact"/>
              <w:ind w:firstLine="420" w:firstLineChars="200"/>
              <w:rPr>
                <w:rFonts w:ascii="宋体" w:hAnsi="宋体"/>
                <w:szCs w:val="21"/>
              </w:rPr>
            </w:pPr>
            <w:r>
              <w:rPr>
                <w:rFonts w:hint="eastAsia" w:ascii="宋体" w:hAnsi="宋体"/>
                <w:szCs w:val="21"/>
              </w:rPr>
              <w:t>1.1.1评标委员会首先对第一个信封（商务及技术文件）进行初步评审（形式评审与响应性评审、资格评审），通过第一个信封初步评审的投标人，进入第二个信封（报价文件）开标。第二个信封在监督机关的监督下进行开标，未通过第一个信封初步评审的投标人的投标文件将被否决投标，其第二个信封原封不参与开标。</w:t>
            </w:r>
          </w:p>
          <w:p w14:paraId="1D6CAE87">
            <w:pPr>
              <w:adjustRightInd w:val="0"/>
              <w:snapToGrid w:val="0"/>
              <w:spacing w:line="400" w:lineRule="exact"/>
              <w:ind w:firstLine="420" w:firstLineChars="200"/>
              <w:rPr>
                <w:rFonts w:ascii="宋体" w:hAnsi="宋体"/>
                <w:szCs w:val="21"/>
              </w:rPr>
            </w:pPr>
            <w:r>
              <w:rPr>
                <w:rFonts w:hint="eastAsia" w:ascii="宋体" w:hAnsi="宋体"/>
                <w:szCs w:val="21"/>
              </w:rPr>
              <w:t>1.1.2评标委员会对投标文件第二个信封进行形式和响应性评审，未通过第二个信封形式和响应性评审的投标文件将被否决投标；若所有投标文件均未通过第二个信封的形式和响应性评审，招标人将重新招标。评标委员会对通过第二个信封形式和响应性评审的投标文件，按照本章第2.2款规定的评分标准进行评分，然后按评标价得分由高到低顺序推荐中标候选人，但投标报价低于其成本的除外。</w:t>
            </w:r>
          </w:p>
          <w:p w14:paraId="7A0E2206">
            <w:pPr>
              <w:adjustRightInd w:val="0"/>
              <w:snapToGrid w:val="0"/>
              <w:spacing w:line="400" w:lineRule="exact"/>
              <w:ind w:firstLine="420" w:firstLineChars="200"/>
              <w:rPr>
                <w:rFonts w:ascii="宋体" w:hAnsi="宋体"/>
                <w:szCs w:val="21"/>
                <w:highlight w:val="none"/>
              </w:rPr>
            </w:pPr>
            <w:r>
              <w:rPr>
                <w:rFonts w:hint="eastAsia" w:ascii="宋体" w:hAnsi="宋体"/>
                <w:szCs w:val="21"/>
                <w:highlight w:val="none"/>
              </w:rPr>
              <w:t>1.1.3当两家及以上投标人在标段中的评标价得分相等时，评标委员会依次按照以下因素及原则推荐排序（序号在前的因素优先）：</w:t>
            </w:r>
          </w:p>
          <w:p w14:paraId="22425EA3">
            <w:pPr>
              <w:adjustRightInd w:val="0"/>
              <w:snapToGrid w:val="0"/>
              <w:spacing w:line="400" w:lineRule="exact"/>
              <w:ind w:firstLine="420" w:firstLineChars="200"/>
              <w:rPr>
                <w:rFonts w:hint="eastAsia" w:ascii="宋体" w:hAnsi="宋体"/>
                <w:szCs w:val="21"/>
                <w:highlight w:val="none"/>
              </w:rPr>
            </w:pPr>
            <w:r>
              <w:rPr>
                <w:rFonts w:hint="eastAsia" w:ascii="宋体" w:hAnsi="宋体"/>
                <w:szCs w:val="21"/>
                <w:highlight w:val="none"/>
              </w:rPr>
              <w:t>（1）以投标价较低者优先；</w:t>
            </w:r>
          </w:p>
          <w:p w14:paraId="262153C3">
            <w:pPr>
              <w:adjustRightInd w:val="0"/>
              <w:snapToGrid w:val="0"/>
              <w:spacing w:line="400" w:lineRule="exact"/>
              <w:ind w:firstLine="420" w:firstLineChars="200"/>
              <w:rPr>
                <w:rFonts w:hint="eastAsia" w:ascii="宋体" w:hAnsi="宋体"/>
                <w:color w:val="FF0000"/>
                <w:szCs w:val="21"/>
                <w:highlight w:val="none"/>
              </w:rPr>
            </w:pPr>
            <w:r>
              <w:rPr>
                <w:rFonts w:hint="eastAsia" w:ascii="宋体" w:hAnsi="宋体"/>
                <w:szCs w:val="21"/>
                <w:highlight w:val="none"/>
              </w:rPr>
              <w:t>（2）当两家及以上投标人的最终得分相等且投标价也相等时，则以各投标人公路施工企业信用等级评价较高者优先</w:t>
            </w:r>
            <w:r>
              <w:rPr>
                <w:rFonts w:hint="eastAsia" w:ascii="宋体" w:hAnsi="宋体"/>
                <w:color w:val="FF0000"/>
                <w:szCs w:val="21"/>
                <w:highlight w:val="none"/>
              </w:rPr>
              <w:t>。</w:t>
            </w:r>
          </w:p>
          <w:p w14:paraId="397498B7">
            <w:pPr>
              <w:snapToGrid w:val="0"/>
              <w:spacing w:line="400" w:lineRule="exact"/>
              <w:ind w:left="55" w:leftChars="26" w:right="118" w:rightChars="56" w:firstLine="420" w:firstLineChars="200"/>
              <w:rPr>
                <w:rFonts w:hint="eastAsia" w:ascii="宋体" w:hAnsi="宋体" w:eastAsia="宋体"/>
                <w:color w:val="auto"/>
                <w:szCs w:val="21"/>
                <w:highlight w:val="none"/>
                <w:lang w:eastAsia="zh-CN"/>
              </w:rPr>
            </w:pPr>
            <w:r>
              <w:rPr>
                <w:rFonts w:hint="eastAsia" w:ascii="宋体" w:hAnsi="宋体"/>
                <w:szCs w:val="21"/>
                <w:highlight w:val="none"/>
              </w:rPr>
              <w:t>（</w:t>
            </w:r>
            <w:r>
              <w:rPr>
                <w:rFonts w:hint="eastAsia" w:ascii="宋体" w:hAnsi="宋体"/>
                <w:color w:val="auto"/>
                <w:szCs w:val="21"/>
                <w:highlight w:val="none"/>
              </w:rPr>
              <w:t>3）优先顺序</w:t>
            </w:r>
            <w:r>
              <w:rPr>
                <w:rFonts w:hint="eastAsia" w:ascii="宋体" w:hAnsi="宋体"/>
                <w:color w:val="auto"/>
                <w:szCs w:val="21"/>
                <w:highlight w:val="none"/>
                <w:lang w:eastAsia="zh-CN"/>
              </w:rPr>
              <w:t>为</w:t>
            </w:r>
            <w:r>
              <w:rPr>
                <w:rFonts w:hint="eastAsia" w:ascii="宋体" w:hAnsi="宋体"/>
                <w:color w:val="auto"/>
                <w:szCs w:val="21"/>
                <w:highlight w:val="none"/>
              </w:rPr>
              <w:t>辽宁省公路施工企业信用评价结果、交通运输部公路施工企业信用评价结果、企业注册地公路施工企业信用评价结果，若信用等级相同，则由评标委员会根据</w:t>
            </w:r>
            <w:r>
              <w:rPr>
                <w:rFonts w:ascii="Calibri" w:hAnsi="Calibri" w:cs="Calibri"/>
                <w:color w:val="auto"/>
                <w:szCs w:val="21"/>
                <w:highlight w:val="none"/>
              </w:rPr>
              <w:t>①</w:t>
            </w:r>
            <w:r>
              <w:rPr>
                <w:rFonts w:hint="eastAsia" w:ascii="宋体" w:hAnsi="宋体"/>
                <w:color w:val="auto"/>
                <w:szCs w:val="21"/>
                <w:highlight w:val="none"/>
              </w:rPr>
              <w:t>项目经理资格条件（建造师级别、业绩数量）</w:t>
            </w:r>
            <w:r>
              <w:rPr>
                <w:rFonts w:ascii="Calibri" w:hAnsi="Calibri" w:cs="Calibri"/>
                <w:color w:val="auto"/>
                <w:szCs w:val="21"/>
                <w:highlight w:val="none"/>
              </w:rPr>
              <w:t>②</w:t>
            </w:r>
            <w:r>
              <w:rPr>
                <w:rFonts w:hint="eastAsia" w:ascii="宋体" w:hAnsi="宋体"/>
                <w:color w:val="auto"/>
                <w:szCs w:val="21"/>
                <w:highlight w:val="none"/>
              </w:rPr>
              <w:t>项目总工资格条件（</w:t>
            </w:r>
            <w:r>
              <w:rPr>
                <w:rFonts w:hint="eastAsia" w:ascii="宋体" w:hAnsi="宋体"/>
                <w:color w:val="auto"/>
                <w:szCs w:val="21"/>
                <w:highlight w:val="none"/>
                <w:lang w:eastAsia="zh-CN"/>
              </w:rPr>
              <w:t>职称</w:t>
            </w:r>
            <w:r>
              <w:rPr>
                <w:rFonts w:hint="eastAsia" w:ascii="宋体" w:hAnsi="宋体"/>
                <w:color w:val="auto"/>
                <w:szCs w:val="21"/>
                <w:highlight w:val="none"/>
              </w:rPr>
              <w:t>级别、业绩数量）</w:t>
            </w:r>
            <w:r>
              <w:rPr>
                <w:rFonts w:ascii="Calibri" w:hAnsi="Calibri" w:cs="Calibri"/>
                <w:color w:val="auto"/>
                <w:szCs w:val="21"/>
                <w:highlight w:val="none"/>
              </w:rPr>
              <w:t>③</w:t>
            </w:r>
            <w:r>
              <w:rPr>
                <w:rFonts w:hint="eastAsia" w:ascii="宋体" w:hAnsi="宋体"/>
                <w:color w:val="auto"/>
                <w:szCs w:val="21"/>
                <w:highlight w:val="none"/>
              </w:rPr>
              <w:t>施工组织设计的优劣推荐顺序。</w:t>
            </w:r>
          </w:p>
          <w:p w14:paraId="25087E01">
            <w:pPr>
              <w:snapToGrid w:val="0"/>
              <w:spacing w:line="400" w:lineRule="exact"/>
              <w:ind w:left="55" w:leftChars="26" w:right="118" w:rightChars="56" w:firstLine="420" w:firstLineChars="200"/>
              <w:rPr>
                <w:rFonts w:ascii="宋体" w:hAnsi="宋体"/>
                <w:szCs w:val="21"/>
              </w:rPr>
            </w:pPr>
            <w:r>
              <w:rPr>
                <w:rFonts w:hint="eastAsia" w:ascii="宋体" w:hAnsi="宋体"/>
                <w:szCs w:val="21"/>
              </w:rPr>
              <w:t>2</w:t>
            </w:r>
            <w:r>
              <w:rPr>
                <w:rFonts w:ascii="宋体" w:hAnsi="宋体"/>
                <w:szCs w:val="21"/>
              </w:rPr>
              <w:t xml:space="preserve">.4评标结果 </w:t>
            </w:r>
          </w:p>
          <w:p w14:paraId="75C30F18">
            <w:pPr>
              <w:snapToGrid w:val="0"/>
              <w:spacing w:line="400" w:lineRule="exact"/>
              <w:ind w:left="55" w:leftChars="26" w:right="118" w:rightChars="56" w:firstLine="420" w:firstLineChars="200"/>
              <w:rPr>
                <w:rFonts w:ascii="宋体" w:hAnsi="宋体"/>
                <w:szCs w:val="21"/>
              </w:rPr>
            </w:pPr>
            <w:r>
              <w:rPr>
                <w:rFonts w:hint="eastAsia" w:ascii="宋体" w:hAnsi="宋体"/>
                <w:szCs w:val="21"/>
              </w:rPr>
              <w:t>2</w:t>
            </w:r>
            <w:r>
              <w:rPr>
                <w:rFonts w:ascii="宋体" w:hAnsi="宋体"/>
                <w:szCs w:val="21"/>
              </w:rPr>
              <w:t>.4.1评标委员会按照本章第1条评标方法的规定推荐中标候选人。</w:t>
            </w:r>
          </w:p>
          <w:p w14:paraId="5828C16A">
            <w:pPr>
              <w:spacing w:line="400" w:lineRule="exact"/>
              <w:ind w:left="55" w:leftChars="26" w:right="118" w:rightChars="56" w:firstLine="420" w:firstLineChars="200"/>
              <w:rPr>
                <w:rFonts w:hint="default" w:ascii="宋体" w:hAnsi="宋体" w:eastAsia="宋体" w:cs="Times New Roman"/>
                <w:b/>
                <w:bCs/>
                <w:kern w:val="2"/>
                <w:sz w:val="21"/>
                <w:szCs w:val="21"/>
                <w:lang w:val="en-US" w:eastAsia="zh-CN" w:bidi="ar-SA"/>
              </w:rPr>
            </w:pPr>
            <w:r>
              <w:rPr>
                <w:rFonts w:hint="eastAsia" w:ascii="宋体" w:hAnsi="宋体"/>
                <w:szCs w:val="21"/>
              </w:rPr>
              <w:t>2</w:t>
            </w:r>
            <w:r>
              <w:rPr>
                <w:rFonts w:ascii="宋体" w:hAnsi="宋体"/>
                <w:szCs w:val="21"/>
              </w:rPr>
              <w:t>.4.2 评标委员会完成评标后，应当向招标人提交书面评标报告。评标报告由评标委员会全体成员签字。对评标结论持有异议的评标委员会成员可以书面方式阐述其不同意见和理由。评标委员会成员拒绝在评标报告上签字且不陈述其不同意见和理由的，视为同意评标结论。</w:t>
            </w:r>
          </w:p>
        </w:tc>
      </w:tr>
    </w:tbl>
    <w:p w14:paraId="35C7202B">
      <w:pPr>
        <w:pStyle w:val="2"/>
        <w:pageBreakBefore w:val="0"/>
        <w:kinsoku/>
        <w:wordWrap w:val="0"/>
        <w:bidi w:val="0"/>
        <w:spacing w:before="240" w:after="240" w:line="240" w:lineRule="atLeast"/>
        <w:outlineLvl w:val="1"/>
        <w:rPr>
          <w:rFonts w:hint="default" w:ascii="Times New Roman" w:hAnsi="Times New Roman" w:eastAsia="黑体" w:cs="Times New Roman"/>
          <w:b w:val="0"/>
          <w:color w:val="auto"/>
          <w:sz w:val="28"/>
          <w:szCs w:val="28"/>
          <w:highlight w:val="none"/>
        </w:rPr>
      </w:pPr>
      <w:r>
        <w:rPr>
          <w:rFonts w:hint="default" w:ascii="Times New Roman" w:hAnsi="Times New Roman" w:cs="Times New Roman"/>
          <w:color w:val="auto"/>
          <w:sz w:val="20"/>
          <w:szCs w:val="20"/>
          <w:highlight w:val="none"/>
        </w:rPr>
        <w:br w:type="page"/>
      </w:r>
      <w:bookmarkStart w:id="372" w:name="_Toc15748"/>
      <w:bookmarkStart w:id="373" w:name="_Toc12557"/>
      <w:bookmarkStart w:id="374" w:name="_Toc20703"/>
      <w:bookmarkStart w:id="375" w:name="_Toc234832933"/>
      <w:r>
        <w:rPr>
          <w:rFonts w:hint="default" w:ascii="Times New Roman" w:hAnsi="Times New Roman" w:eastAsia="黑体" w:cs="Times New Roman"/>
          <w:b w:val="0"/>
          <w:color w:val="auto"/>
          <w:sz w:val="28"/>
          <w:szCs w:val="28"/>
          <w:highlight w:val="none"/>
        </w:rPr>
        <w:t>1. 评标方法</w:t>
      </w:r>
      <w:bookmarkEnd w:id="372"/>
      <w:bookmarkEnd w:id="373"/>
      <w:bookmarkEnd w:id="374"/>
      <w:bookmarkEnd w:id="375"/>
    </w:p>
    <w:p w14:paraId="6F3DEF4A">
      <w:pPr>
        <w:pageBreakBefore w:val="0"/>
        <w:kinsoku/>
        <w:wordWrap w:val="0"/>
        <w:bidi w:val="0"/>
        <w:spacing w:line="400" w:lineRule="atLeast"/>
        <w:ind w:firstLine="480" w:firstLineChars="200"/>
        <w:rPr>
          <w:rFonts w:hint="default" w:ascii="Times New Roman" w:hAnsi="Times New Roman" w:eastAsia="华文隶书" w:cs="Times New Roman"/>
          <w:color w:val="auto"/>
          <w:sz w:val="24"/>
          <w:highlight w:val="none"/>
        </w:rPr>
      </w:pPr>
      <w:r>
        <w:rPr>
          <w:rFonts w:hint="default" w:ascii="Times New Roman" w:hAnsi="Times New Roman" w:eastAsia="宋体" w:cs="Times New Roman"/>
          <w:color w:val="auto"/>
          <w:sz w:val="24"/>
          <w:highlight w:val="none"/>
        </w:rPr>
        <w:t>本次评标采用合理低价法。评标委员会对满足招标文件实质性要求的投标文件，按照本章第2.2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14:paraId="4030ECEC">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376" w:name="_Toc8070"/>
      <w:bookmarkStart w:id="377" w:name="_Toc27850"/>
      <w:bookmarkStart w:id="378" w:name="_Toc234832934"/>
      <w:bookmarkStart w:id="379" w:name="_Toc31114"/>
      <w:r>
        <w:rPr>
          <w:rFonts w:hint="default" w:ascii="Times New Roman" w:hAnsi="Times New Roman" w:eastAsia="黑体" w:cs="Times New Roman"/>
          <w:b w:val="0"/>
          <w:color w:val="auto"/>
          <w:sz w:val="28"/>
          <w:szCs w:val="28"/>
          <w:highlight w:val="none"/>
        </w:rPr>
        <w:t>2. 评审标准</w:t>
      </w:r>
      <w:bookmarkEnd w:id="376"/>
      <w:bookmarkEnd w:id="377"/>
      <w:bookmarkEnd w:id="378"/>
      <w:bookmarkEnd w:id="379"/>
    </w:p>
    <w:p w14:paraId="176FA0B4">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380" w:name="_Toc12147"/>
      <w:bookmarkStart w:id="381" w:name="_Toc23903"/>
      <w:bookmarkStart w:id="382" w:name="_Toc29160"/>
      <w:bookmarkStart w:id="383" w:name="_Toc234832935"/>
      <w:r>
        <w:rPr>
          <w:rFonts w:hint="default" w:ascii="Times New Roman" w:hAnsi="Times New Roman" w:eastAsia="黑体" w:cs="Times New Roman"/>
          <w:b w:val="0"/>
          <w:color w:val="auto"/>
          <w:sz w:val="24"/>
          <w:szCs w:val="24"/>
          <w:highlight w:val="none"/>
        </w:rPr>
        <w:t>2.1 初步评审标准</w:t>
      </w:r>
      <w:bookmarkEnd w:id="380"/>
      <w:bookmarkEnd w:id="381"/>
      <w:bookmarkEnd w:id="382"/>
      <w:bookmarkEnd w:id="383"/>
    </w:p>
    <w:p w14:paraId="16BFC1D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2.1.1 形式评审标准：见评标办法前附表。</w:t>
      </w:r>
    </w:p>
    <w:p w14:paraId="18AA5D7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2.1.2 资格评审标准：见评标办法前附表。</w:t>
      </w:r>
    </w:p>
    <w:p w14:paraId="60837C7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2.1.3 响应性评审标准：见评标办法前附表。</w:t>
      </w:r>
    </w:p>
    <w:p w14:paraId="7F62624A">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384" w:name="_Toc234832936"/>
      <w:bookmarkStart w:id="385" w:name="_Toc28400"/>
      <w:bookmarkStart w:id="386" w:name="_Toc24185"/>
      <w:bookmarkStart w:id="387" w:name="_Toc25127"/>
      <w:r>
        <w:rPr>
          <w:rFonts w:hint="default" w:ascii="Times New Roman" w:hAnsi="Times New Roman" w:eastAsia="黑体" w:cs="Times New Roman"/>
          <w:b w:val="0"/>
          <w:color w:val="auto"/>
          <w:sz w:val="24"/>
          <w:szCs w:val="24"/>
          <w:highlight w:val="none"/>
        </w:rPr>
        <w:t>2.2 分值构成与评分标准</w:t>
      </w:r>
      <w:bookmarkEnd w:id="384"/>
      <w:bookmarkEnd w:id="385"/>
      <w:bookmarkEnd w:id="386"/>
      <w:bookmarkEnd w:id="387"/>
    </w:p>
    <w:p w14:paraId="17C6B721">
      <w:pPr>
        <w:pageBreakBefore w:val="0"/>
        <w:tabs>
          <w:tab w:val="left" w:pos="360"/>
        </w:tabs>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2.2.1 分值构成</w:t>
      </w:r>
    </w:p>
    <w:p w14:paraId="260309C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评标价：见评标办法前附表。</w:t>
      </w:r>
    </w:p>
    <w:p w14:paraId="101F9169">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2.2.2 评标基准价计算</w:t>
      </w:r>
    </w:p>
    <w:p w14:paraId="597F2BF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评标基准价计算方法：见评标办法前附表。</w:t>
      </w:r>
    </w:p>
    <w:p w14:paraId="3ADF5D0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2.2.3 评标价的偏差率计算</w:t>
      </w:r>
    </w:p>
    <w:p w14:paraId="34F17E8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评标价的偏差率计算公式：见评标办法前附表。</w:t>
      </w:r>
    </w:p>
    <w:p w14:paraId="44E5071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2.2.4 评分标准</w:t>
      </w:r>
    </w:p>
    <w:p w14:paraId="06B35AB1">
      <w:pPr>
        <w:pageBreakBefore w:val="0"/>
        <w:kinsoku/>
        <w:wordWrap w:val="0"/>
        <w:bidi w:val="0"/>
        <w:spacing w:line="400" w:lineRule="atLeast"/>
        <w:ind w:firstLine="480" w:firstLineChars="200"/>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评标价评分标准：见评标办法前附表。</w:t>
      </w:r>
    </w:p>
    <w:p w14:paraId="300130BC">
      <w:pPr>
        <w:pStyle w:val="2"/>
        <w:pageBreakBefore w:val="0"/>
        <w:kinsoku/>
        <w:wordWrap w:val="0"/>
        <w:bidi w:val="0"/>
        <w:spacing w:before="360" w:after="240" w:line="240" w:lineRule="atLeast"/>
        <w:outlineLvl w:val="1"/>
        <w:rPr>
          <w:rFonts w:hint="default" w:ascii="Times New Roman" w:hAnsi="Times New Roman" w:eastAsia="黑体" w:cs="Times New Roman"/>
          <w:b w:val="0"/>
          <w:color w:val="auto"/>
          <w:sz w:val="28"/>
          <w:szCs w:val="28"/>
          <w:highlight w:val="none"/>
        </w:rPr>
      </w:pPr>
      <w:bookmarkStart w:id="388" w:name="_Toc26597"/>
      <w:bookmarkStart w:id="389" w:name="_Toc234832937"/>
      <w:bookmarkStart w:id="390" w:name="_Toc24625"/>
      <w:bookmarkStart w:id="391" w:name="_Toc17186"/>
      <w:r>
        <w:rPr>
          <w:rFonts w:hint="default" w:ascii="Times New Roman" w:hAnsi="Times New Roman" w:eastAsia="黑体" w:cs="Times New Roman"/>
          <w:b w:val="0"/>
          <w:color w:val="auto"/>
          <w:sz w:val="28"/>
          <w:szCs w:val="28"/>
          <w:highlight w:val="none"/>
        </w:rPr>
        <w:t>3. 评标程序</w:t>
      </w:r>
      <w:bookmarkEnd w:id="388"/>
      <w:bookmarkEnd w:id="389"/>
      <w:bookmarkEnd w:id="390"/>
      <w:bookmarkEnd w:id="391"/>
    </w:p>
    <w:p w14:paraId="232687F0">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392" w:name="_Toc21337"/>
      <w:bookmarkStart w:id="393" w:name="_Toc234832938"/>
      <w:bookmarkStart w:id="394" w:name="_Toc10579"/>
      <w:bookmarkStart w:id="395" w:name="_Toc12133"/>
      <w:r>
        <w:rPr>
          <w:rFonts w:hint="default" w:ascii="Times New Roman" w:hAnsi="Times New Roman" w:eastAsia="黑体" w:cs="Times New Roman"/>
          <w:b w:val="0"/>
          <w:color w:val="auto"/>
          <w:sz w:val="24"/>
          <w:szCs w:val="24"/>
          <w:highlight w:val="none"/>
        </w:rPr>
        <w:t>3.1</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第一个信封初步评审</w:t>
      </w:r>
      <w:bookmarkEnd w:id="392"/>
      <w:bookmarkEnd w:id="393"/>
      <w:bookmarkEnd w:id="394"/>
      <w:bookmarkEnd w:id="395"/>
    </w:p>
    <w:p w14:paraId="2EC1E7F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3.1.1 评标委员会依据本章第2.1款规定的评审标准对投标文件第一个信封（商务及技术文件）进行初步评审。有一项不符合评审标准的，评标委员会应否决其投标。</w:t>
      </w:r>
    </w:p>
    <w:p w14:paraId="142A450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3.1.2 投标文件的标的、质量标准、工期等实质性要求和条件不得出现（存在）不利于招标人的偏差，否则，评标委员会应否决其投标。</w:t>
      </w:r>
    </w:p>
    <w:p w14:paraId="10A5317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3.1.3 如果通过第一信封评审的有效投标不足3个，评标委员会应当对有效投标是否仍具有竞争性进行评审。评标委员会一致认为有效投标仍具有竞争性的，应当按规定的程序进行第二信封报价文件的评审，并在报告中予以说明。评标委员会对有效投标是否仍具备竞争性无法达成一致意见的，应当否决全部投标。</w:t>
      </w:r>
    </w:p>
    <w:p w14:paraId="350D281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p>
    <w:p w14:paraId="55E921DE">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396" w:name="_Toc20429"/>
      <w:bookmarkStart w:id="397" w:name="_Toc5399"/>
      <w:bookmarkStart w:id="398" w:name="_Toc13086"/>
      <w:r>
        <w:rPr>
          <w:rFonts w:hint="default" w:ascii="Times New Roman" w:hAnsi="Times New Roman" w:eastAsia="黑体" w:cs="Times New Roman"/>
          <w:b w:val="0"/>
          <w:color w:val="auto"/>
          <w:sz w:val="24"/>
          <w:szCs w:val="24"/>
          <w:highlight w:val="none"/>
        </w:rPr>
        <w:t>3.2</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第二个信封开标</w:t>
      </w:r>
      <w:bookmarkEnd w:id="396"/>
      <w:bookmarkEnd w:id="397"/>
      <w:bookmarkEnd w:id="398"/>
    </w:p>
    <w:p w14:paraId="2A16C45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第一个信封（商务及技术文件）评审结束后，招标人将按照第二章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第5.1款规定的时间和地点对通过投标文件第一个信封（商务及技术文件）评审的投标文件第二个信封（报价文件）进行开标。</w:t>
      </w:r>
    </w:p>
    <w:p w14:paraId="56440F4C">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399" w:name="_Toc18266"/>
      <w:bookmarkStart w:id="400" w:name="_Toc6484"/>
      <w:bookmarkStart w:id="401" w:name="_Toc25423"/>
      <w:r>
        <w:rPr>
          <w:rFonts w:hint="default" w:ascii="Times New Roman" w:hAnsi="Times New Roman" w:eastAsia="黑体" w:cs="Times New Roman"/>
          <w:b w:val="0"/>
          <w:color w:val="auto"/>
          <w:sz w:val="24"/>
          <w:szCs w:val="24"/>
          <w:highlight w:val="none"/>
        </w:rPr>
        <w:t>3.3</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第二个信封初步评审</w:t>
      </w:r>
      <w:bookmarkEnd w:id="399"/>
      <w:bookmarkEnd w:id="400"/>
      <w:bookmarkEnd w:id="401"/>
    </w:p>
    <w:p w14:paraId="106B1F7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w:t>
      </w:r>
      <w:r>
        <w:rPr>
          <w:rFonts w:hint="eastAsia" w:cs="Times New Roman"/>
          <w:color w:val="auto"/>
          <w:sz w:val="24"/>
          <w:highlight w:val="none"/>
          <w:lang w:val="en-US" w:eastAsia="zh-CN"/>
        </w:rPr>
        <w:t>1</w:t>
      </w:r>
      <w:r>
        <w:rPr>
          <w:rFonts w:hint="default" w:ascii="Times New Roman" w:hAnsi="Times New Roman" w:eastAsia="宋体" w:cs="Times New Roman"/>
          <w:color w:val="auto"/>
          <w:sz w:val="24"/>
          <w:highlight w:val="none"/>
        </w:rPr>
        <w:t>评标委员会依据本章第2.1.1项、第2.1.3项规定的评审标准对投标文件第二个信封（报价文件）进行初步评审。有一项不符合评审标准的，评标委员会应否决其投标。</w:t>
      </w:r>
    </w:p>
    <w:p w14:paraId="49F45C8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3.3.2</w:t>
      </w:r>
      <w:r>
        <w:rPr>
          <w:rFonts w:hint="default" w:ascii="Times New Roman" w:hAnsi="Times New Roman" w:eastAsia="宋体" w:cs="Times New Roman"/>
          <w:color w:val="auto"/>
          <w:highlight w:val="none"/>
          <w:vertAlign w:val="superscript"/>
        </w:rPr>
        <w:footnoteReference w:id="29"/>
      </w:r>
      <w:r>
        <w:rPr>
          <w:rFonts w:hint="default" w:ascii="Times New Roman" w:hAnsi="Times New Roman" w:eastAsia="宋体" w:cs="Times New Roman"/>
          <w:color w:val="auto"/>
          <w:sz w:val="24"/>
          <w:highlight w:val="none"/>
        </w:rPr>
        <w:t xml:space="preserve"> 投标报价有算术错误的，评标委员会按以下原则对投标报价进行修正，修正的价格经投标人书面确认后具有约束力。投标人不接受修正价格的，评标委员会应否决其投标。</w:t>
      </w:r>
    </w:p>
    <w:p w14:paraId="6BBCDC7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（1）投标文件中的大写金额与小写金额不一致的，</w:t>
      </w:r>
      <w:r>
        <w:rPr>
          <w:rFonts w:hint="eastAsia" w:cs="Times New Roman"/>
          <w:color w:val="auto"/>
          <w:sz w:val="24"/>
          <w:highlight w:val="none"/>
          <w:lang w:val="en-US" w:eastAsia="zh-CN"/>
        </w:rPr>
        <w:t>电子标以上传的开标记录表数值</w:t>
      </w:r>
      <w:r>
        <w:rPr>
          <w:rFonts w:hint="default" w:ascii="Times New Roman" w:hAnsi="Times New Roman" w:eastAsia="宋体" w:cs="Times New Roman"/>
          <w:color w:val="auto"/>
          <w:sz w:val="24"/>
          <w:highlight w:val="none"/>
        </w:rPr>
        <w:t>为准；</w:t>
      </w:r>
    </w:p>
    <w:p w14:paraId="63270ED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（2）总价金额与依据单价计算出的结果不一致的，以单价金额为准修正总价，但单价金额小数点有明显错误的除外；</w:t>
      </w:r>
    </w:p>
    <w:p w14:paraId="5B478B8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（3）当单价与数量相乘不等于合价时，以单价计算为准，如果单价有明显的小数点位置差错，应以标出的合价为准，同时对单价予以修正；</w:t>
      </w:r>
    </w:p>
    <w:p w14:paraId="26742BF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（4）当各子目的合价累计不等于总价时，应以各子目合价累计数为准，修正总价。</w:t>
      </w:r>
    </w:p>
    <w:p w14:paraId="2BB1F87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3.3.3 工程量清单中的投标报价有其他错误的，评标委员会按以下原则对投标报价进行修正，修正的价格经投标人书面确认后具有约束力。投标人不接受修正价格的，评标委员会应否决其投标。</w:t>
      </w:r>
    </w:p>
    <w:p w14:paraId="179CF2B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在招标人给定的工程量清单中漏报了某个工程子目的单价、合价或总额价，或所报单价、合价或总额价减少了报价范围，则漏报的工程子目单价、合价和总额价或单价、合价和总额价中减少的报价内容视为已含入其他工程子目的单价、合价和总额价之中。</w:t>
      </w:r>
    </w:p>
    <w:p w14:paraId="118F5A0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在招标人给定的工程量清单中多报了某个工程子目的单价、合价或总额价，或所报单价、合价或总额价增加了报价范围，则从投标报价中扣除多报的工程子目报价或工程子目报价中增加了报价范围的部分报价。</w:t>
      </w:r>
    </w:p>
    <w:p w14:paraId="09C5309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（3）当单价与数量的乘积与合价（金额）虽然一致，但投标人修改了该子目的工程数量，则其合价按招标人给定的工程数量乘以投标人所报单价予以修正。</w:t>
      </w:r>
    </w:p>
    <w:p w14:paraId="58986E0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3.3.4 修正后的最终投标报价若超过最高投标限价（如有），评标委员会应否决其投标。</w:t>
      </w:r>
    </w:p>
    <w:p w14:paraId="37420DE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3.3.5 修正后的最终投标报价仅作为签订合同的一个依据，不参与评标价得分的计算。</w:t>
      </w:r>
    </w:p>
    <w:p w14:paraId="58788A4F">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402" w:name="_Toc605"/>
      <w:bookmarkStart w:id="403" w:name="_Toc21488"/>
      <w:bookmarkStart w:id="404" w:name="_Toc234832939"/>
      <w:bookmarkStart w:id="405" w:name="_Toc32333"/>
      <w:r>
        <w:rPr>
          <w:rFonts w:hint="default" w:ascii="Times New Roman" w:hAnsi="Times New Roman" w:eastAsia="黑体" w:cs="Times New Roman"/>
          <w:b w:val="0"/>
          <w:color w:val="auto"/>
          <w:sz w:val="24"/>
          <w:szCs w:val="24"/>
          <w:highlight w:val="none"/>
        </w:rPr>
        <w:t>3.4</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第二个信封详细评审</w:t>
      </w:r>
      <w:bookmarkEnd w:id="402"/>
      <w:bookmarkEnd w:id="403"/>
      <w:bookmarkEnd w:id="404"/>
      <w:bookmarkEnd w:id="405"/>
    </w:p>
    <w:p w14:paraId="722FBEF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3.4.1 评标委员会按本章第2.2款规定的量化因素和分值进行打分，并计算出综合评估得分（即评标价得分）。</w:t>
      </w:r>
    </w:p>
    <w:p w14:paraId="3639586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3.4.2 投标人得分分值计算保留小数点后两位，小数点后第三位</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四舍五入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w:t>
      </w:r>
    </w:p>
    <w:p w14:paraId="7D75E7D5">
      <w:pPr>
        <w:pageBreakBefore w:val="0"/>
        <w:kinsoku/>
        <w:wordWrap w:val="0"/>
        <w:bidi w:val="0"/>
        <w:spacing w:line="400" w:lineRule="atLeast"/>
        <w:ind w:firstLine="480" w:firstLineChars="200"/>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3.4.3 评标委员会发现投标人的报价明显低于其他投标报价，是有可能影响履约的异常低价，应按本章3.</w:t>
      </w:r>
      <w:r>
        <w:rPr>
          <w:rFonts w:hint="eastAsia" w:cs="Times New Roman"/>
          <w:color w:val="auto"/>
          <w:sz w:val="24"/>
          <w:highlight w:val="none"/>
          <w:lang w:val="en-US" w:eastAsia="zh-CN"/>
        </w:rPr>
        <w:t>6</w:t>
      </w:r>
      <w:r>
        <w:rPr>
          <w:rFonts w:hint="default" w:ascii="Times New Roman" w:hAnsi="Times New Roman" w:eastAsia="宋体" w:cs="Times New Roman"/>
          <w:color w:val="auto"/>
          <w:sz w:val="24"/>
          <w:highlight w:val="none"/>
        </w:rPr>
        <w:t>款的规定向投标人发出澄清，要求该投标人作出书面说明该报价的合理性并提供相应证明材料。当投标人不能合理说明并证明其报价的合理性的，评标委员会应以少数服从多数的原则否决其投标。</w:t>
      </w:r>
    </w:p>
    <w:p w14:paraId="042F29B0">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406" w:name="_Toc16625"/>
      <w:bookmarkStart w:id="407" w:name="_Toc20918"/>
      <w:bookmarkStart w:id="408" w:name="_Toc29441"/>
      <w:r>
        <w:rPr>
          <w:rFonts w:hint="default" w:ascii="Times New Roman" w:hAnsi="Times New Roman" w:eastAsia="黑体" w:cs="Times New Roman"/>
          <w:b w:val="0"/>
          <w:color w:val="auto"/>
          <w:sz w:val="24"/>
          <w:szCs w:val="24"/>
          <w:highlight w:val="none"/>
        </w:rPr>
        <w:t>3.5</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投标文件相关信息的核查</w:t>
      </w:r>
      <w:bookmarkEnd w:id="406"/>
      <w:bookmarkEnd w:id="407"/>
      <w:bookmarkEnd w:id="408"/>
    </w:p>
    <w:p w14:paraId="66EDDE9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3.5.1 在评标过程中，评标委员会应查询交通运输主管部门</w:t>
      </w:r>
      <w:r>
        <w:rPr>
          <w:rFonts w:hint="eastAsia" w:ascii="宋体" w:hAnsi="宋体" w:eastAsia="宋体" w:cs="宋体"/>
          <w:color w:val="auto"/>
          <w:sz w:val="24"/>
          <w:highlight w:val="none"/>
        </w:rPr>
        <w:t>“</w:t>
      </w:r>
      <w:r>
        <w:rPr>
          <w:rFonts w:hint="eastAsia" w:cs="Times New Roman"/>
          <w:color w:val="auto"/>
          <w:sz w:val="24"/>
          <w:highlight w:val="none"/>
          <w:lang w:eastAsia="zh-CN"/>
        </w:rPr>
        <w:t>全国公路建设市场监督管理系统</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，对投标人的资质、业绩、主要人员资历和目前在岗情况、信用等级等信息进行核实。若投标文件载明的信息与交通运输主管部门</w:t>
      </w:r>
      <w:r>
        <w:rPr>
          <w:rFonts w:hint="eastAsia" w:ascii="宋体" w:hAnsi="宋体" w:eastAsia="宋体" w:cs="宋体"/>
          <w:color w:val="auto"/>
          <w:sz w:val="24"/>
          <w:highlight w:val="none"/>
        </w:rPr>
        <w:t>“</w:t>
      </w:r>
      <w:r>
        <w:rPr>
          <w:rFonts w:hint="eastAsia" w:cs="Times New Roman"/>
          <w:color w:val="auto"/>
          <w:sz w:val="24"/>
          <w:highlight w:val="none"/>
          <w:lang w:eastAsia="zh-CN"/>
        </w:rPr>
        <w:t>全国公路建设市场监督管理系统</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发布的信息不符，使得投标人的资格条件不符合招标文件规定的，评标委员会应否决其投标。</w:t>
      </w:r>
    </w:p>
    <w:p w14:paraId="7D2191B5">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3.5.2 评标委员会应对在评标过程中发现的投标人与投标人之间、投标人与招标人之间存在的串通投标的情形进行评审和认定。投标人存在串通投标、弄虚作假、行贿等违法行为的，评标委员会应否决其投标。</w:t>
      </w:r>
    </w:p>
    <w:p w14:paraId="0BD6E11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（1）有下列情形之一的，属于投标人相互串通投标：</w:t>
      </w:r>
    </w:p>
    <w:p w14:paraId="6DE882A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a.投标人之间协商投标报价等投标文件的实质性内容；</w:t>
      </w:r>
    </w:p>
    <w:p w14:paraId="66891E0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b.投标人之间约定中标人；</w:t>
      </w:r>
    </w:p>
    <w:p w14:paraId="1EFE4F0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c.投标人之间约定部分投标人放弃投标或中标；</w:t>
      </w:r>
    </w:p>
    <w:p w14:paraId="4F2B239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d.属于同一集团、协会、商会等组织成员的投标人按照该组织要求协同投标；</w:t>
      </w:r>
    </w:p>
    <w:p w14:paraId="59F8950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e.投标人之间为谋取中标或排斥特定投标人而采取的其他联合行动。</w:t>
      </w:r>
    </w:p>
    <w:p w14:paraId="5931B84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（2）有下列情形之一的，视为投标人相互串通投标：</w:t>
      </w:r>
    </w:p>
    <w:p w14:paraId="2483A40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a.不同投标人的投标文件由同一单位或个人编制；</w:t>
      </w:r>
    </w:p>
    <w:p w14:paraId="3A9BC4A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b.不同投标人委托同一单位或个人办理投标事宜；</w:t>
      </w:r>
    </w:p>
    <w:p w14:paraId="6CDE8A06">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c.不同投标人的投标文件载明的项目管理成员为同一人；</w:t>
      </w:r>
    </w:p>
    <w:p w14:paraId="0AA18B98">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d.不同投标人的投标文件异常一致或投标报价呈规律性差异；</w:t>
      </w:r>
    </w:p>
    <w:p w14:paraId="1F382C77">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e.不同投标人的投标文件相互混装；</w:t>
      </w:r>
    </w:p>
    <w:p w14:paraId="6120D3E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f.不同投标人的投标保证金从同一单位或个人的账户转出。</w:t>
      </w:r>
    </w:p>
    <w:p w14:paraId="6653244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（3）有下列情形之一的，属于招标人与投标人串通投标：</w:t>
      </w:r>
    </w:p>
    <w:p w14:paraId="0AADB975">
      <w:pPr>
        <w:pageBreakBefore w:val="0"/>
        <w:kinsoku/>
        <w:wordWrap w:val="0"/>
        <w:bidi w:val="0"/>
        <w:spacing w:line="400" w:lineRule="atLeast"/>
        <w:ind w:firstLine="480" w:firstLineChars="200"/>
        <w:rPr>
          <w:rFonts w:hint="eastAsia"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a.招标人在开标前开启投标文件并将有关信息泄露给其他投标人</w:t>
      </w:r>
      <w:r>
        <w:rPr>
          <w:rFonts w:hint="eastAsia" w:cs="Times New Roman"/>
          <w:color w:val="auto"/>
          <w:sz w:val="24"/>
          <w:highlight w:val="none"/>
          <w:lang w:eastAsia="zh-CN"/>
        </w:rPr>
        <w:t>；</w:t>
      </w:r>
    </w:p>
    <w:p w14:paraId="444E15F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b.招标人直接或间接向投标人泄露标底、评标委员会成员等信息；</w:t>
      </w:r>
    </w:p>
    <w:p w14:paraId="6F3D98E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c.招标人明示或暗示投标人压低或抬高投标报价；</w:t>
      </w:r>
    </w:p>
    <w:p w14:paraId="4A2BB550">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d.招标人授意投标人撤换、修改投标文件；</w:t>
      </w:r>
    </w:p>
    <w:p w14:paraId="249764AF">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e.招标人明示或暗示投标人为特定投标人中标提供方便；</w:t>
      </w:r>
    </w:p>
    <w:p w14:paraId="78B7BDD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f.招标人与投标人为谋求特定投标人中标而采取的其他串通行为。</w:t>
      </w:r>
    </w:p>
    <w:p w14:paraId="614C39FB">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（4）投标人有下列情形之一的，属于弄虚作假的行为：</w:t>
      </w:r>
    </w:p>
    <w:p w14:paraId="76D27BA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a.使用通过受让或租借等方式获取的资格、资质证书投标；</w:t>
      </w:r>
    </w:p>
    <w:p w14:paraId="1DBCF97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b.使用伪造、变造的许可证件；</w:t>
      </w:r>
    </w:p>
    <w:p w14:paraId="4465BA11">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c.提供虚假的财务状况或业绩；</w:t>
      </w:r>
    </w:p>
    <w:p w14:paraId="4176EBDE">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d.提供虚假的项目负责人或主要技术人员简历、劳动关系证明；</w:t>
      </w:r>
    </w:p>
    <w:p w14:paraId="13C2463D">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e.提供虚假的信用状况；</w:t>
      </w:r>
    </w:p>
    <w:p w14:paraId="08BA6DFA">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f.其他弄虚作假的行为。</w:t>
      </w:r>
    </w:p>
    <w:p w14:paraId="7FB7D8D5">
      <w:pPr>
        <w:pStyle w:val="2"/>
        <w:pageBreakBefore w:val="0"/>
        <w:kinsoku/>
        <w:wordWrap w:val="0"/>
        <w:bidi w:val="0"/>
        <w:spacing w:before="240" w:after="240" w:line="400" w:lineRule="atLeast"/>
        <w:outlineLvl w:val="2"/>
        <w:rPr>
          <w:rFonts w:hint="default" w:ascii="Times New Roman" w:hAnsi="Times New Roman" w:eastAsia="黑体" w:cs="Times New Roman"/>
          <w:b w:val="0"/>
          <w:color w:val="auto"/>
          <w:sz w:val="24"/>
          <w:szCs w:val="24"/>
          <w:highlight w:val="none"/>
        </w:rPr>
      </w:pPr>
      <w:bookmarkStart w:id="409" w:name="_Toc29213"/>
      <w:bookmarkStart w:id="410" w:name="_Toc31365"/>
      <w:bookmarkStart w:id="411" w:name="_Toc15234"/>
      <w:bookmarkStart w:id="412" w:name="_Toc234832940"/>
      <w:r>
        <w:rPr>
          <w:rFonts w:hint="default" w:ascii="Times New Roman" w:hAnsi="Times New Roman" w:eastAsia="黑体" w:cs="Times New Roman"/>
          <w:b w:val="0"/>
          <w:color w:val="auto"/>
          <w:sz w:val="24"/>
          <w:szCs w:val="24"/>
          <w:highlight w:val="none"/>
        </w:rPr>
        <w:t>3.6 投标文件的澄清和说明</w:t>
      </w:r>
      <w:bookmarkEnd w:id="409"/>
      <w:bookmarkEnd w:id="410"/>
      <w:bookmarkEnd w:id="411"/>
    </w:p>
    <w:p w14:paraId="213D66A3">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07374094">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3.6.2 澄清和说明不得超出投标文件的范围或改变投标文件的实质性内容（算术性错误的修正除外）。投标人的书面澄清、说明属于投标文件的组成部分。</w:t>
      </w:r>
    </w:p>
    <w:p w14:paraId="7D0D415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3.6.3 评标委员会不得暗示或诱导投标人作出澄清、说明，对投标人提交的澄清、说明有疑问的，可以要求投标人进一步澄清或说明，直至满足评标委员会的要求。</w:t>
      </w:r>
      <w:bookmarkEnd w:id="412"/>
    </w:p>
    <w:p w14:paraId="256AF2B7">
      <w:pPr>
        <w:pageBreakBefore w:val="0"/>
        <w:kinsoku/>
        <w:wordWrap w:val="0"/>
        <w:bidi w:val="0"/>
        <w:spacing w:line="400" w:lineRule="atLeast"/>
        <w:ind w:firstLine="480" w:firstLineChars="200"/>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3.6.4 凡超出招标文件规定的或给发包人带来未曾要求的利益的变化、偏差或其他因素在评标时不予考虑。</w:t>
      </w:r>
    </w:p>
    <w:p w14:paraId="6ECFF4D2">
      <w:pPr>
        <w:pStyle w:val="2"/>
        <w:pageBreakBefore w:val="0"/>
        <w:kinsoku/>
        <w:wordWrap w:val="0"/>
        <w:bidi w:val="0"/>
        <w:spacing w:before="240" w:after="240" w:line="400" w:lineRule="atLeast"/>
        <w:outlineLvl w:val="2"/>
        <w:rPr>
          <w:rFonts w:hint="default" w:ascii="Times New Roman" w:hAnsi="Times New Roman" w:eastAsia="黑体" w:cs="Times New Roman"/>
          <w:b w:val="0"/>
          <w:color w:val="auto"/>
          <w:sz w:val="24"/>
          <w:szCs w:val="24"/>
          <w:highlight w:val="none"/>
        </w:rPr>
      </w:pPr>
      <w:bookmarkStart w:id="413" w:name="_Toc7796"/>
      <w:bookmarkStart w:id="414" w:name="_Toc18964"/>
      <w:bookmarkStart w:id="415" w:name="_Toc23618"/>
      <w:r>
        <w:rPr>
          <w:rFonts w:hint="default" w:ascii="Times New Roman" w:hAnsi="Times New Roman" w:eastAsia="黑体" w:cs="Times New Roman"/>
          <w:b w:val="0"/>
          <w:color w:val="auto"/>
          <w:sz w:val="24"/>
          <w:szCs w:val="24"/>
          <w:highlight w:val="none"/>
        </w:rPr>
        <w:t>3</w:t>
      </w:r>
      <w:r>
        <w:rPr>
          <w:rFonts w:hint="default" w:ascii="Times New Roman" w:hAnsi="Times New Roman" w:eastAsia="黑体" w:cs="Times New Roman"/>
          <w:b w:val="0"/>
          <w:color w:val="auto"/>
          <w:sz w:val="24"/>
          <w:szCs w:val="24"/>
          <w:highlight w:val="none"/>
          <w:lang w:eastAsia="zh-CN"/>
        </w:rPr>
        <w:t>.</w:t>
      </w:r>
      <w:r>
        <w:rPr>
          <w:rFonts w:hint="default" w:ascii="Times New Roman" w:hAnsi="Times New Roman" w:eastAsia="黑体" w:cs="Times New Roman"/>
          <w:b w:val="0"/>
          <w:color w:val="auto"/>
          <w:sz w:val="24"/>
          <w:szCs w:val="24"/>
          <w:highlight w:val="none"/>
        </w:rPr>
        <w:t>7 不得否决投标的情形</w:t>
      </w:r>
      <w:bookmarkEnd w:id="413"/>
      <w:bookmarkEnd w:id="414"/>
      <w:bookmarkEnd w:id="415"/>
    </w:p>
    <w:p w14:paraId="65723632">
      <w:pPr>
        <w:pageBreakBefore w:val="0"/>
        <w:kinsoku/>
        <w:wordWrap w:val="0"/>
        <w:bidi w:val="0"/>
        <w:spacing w:line="400" w:lineRule="atLeast"/>
        <w:ind w:firstLine="480" w:firstLineChars="200"/>
        <w:rPr>
          <w:rFonts w:hint="default" w:ascii="Times New Roman" w:hAnsi="Times New Roman" w:eastAsia="隶书" w:cs="Times New Roman"/>
          <w:color w:val="auto"/>
          <w:sz w:val="24"/>
          <w:highlight w:val="none"/>
        </w:rPr>
      </w:pPr>
      <w:r>
        <w:rPr>
          <w:rFonts w:hint="default" w:ascii="Times New Roman" w:hAnsi="Times New Roman" w:eastAsia="宋体" w:cs="Times New Roman"/>
          <w:color w:val="auto"/>
          <w:sz w:val="24"/>
          <w:highlight w:val="none"/>
        </w:rPr>
        <w:t>投标文件存在第二章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第1.12.3项所列情形的，均视为细微偏差，评标委员会不得否决投标人的投标，应按照第二章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第1.12.4项规定的原则处理。</w:t>
      </w:r>
    </w:p>
    <w:p w14:paraId="3C8B2B8E">
      <w:pPr>
        <w:pStyle w:val="2"/>
        <w:pageBreakBefore w:val="0"/>
        <w:kinsoku/>
        <w:wordWrap w:val="0"/>
        <w:bidi w:val="0"/>
        <w:spacing w:before="240" w:after="240" w:line="240" w:lineRule="atLeast"/>
        <w:outlineLvl w:val="2"/>
        <w:rPr>
          <w:rFonts w:hint="default" w:ascii="Times New Roman" w:hAnsi="Times New Roman" w:eastAsia="黑体" w:cs="Times New Roman"/>
          <w:b w:val="0"/>
          <w:color w:val="auto"/>
          <w:sz w:val="24"/>
          <w:szCs w:val="24"/>
          <w:highlight w:val="none"/>
        </w:rPr>
      </w:pPr>
      <w:bookmarkStart w:id="416" w:name="_Toc10539"/>
      <w:bookmarkStart w:id="417" w:name="_Toc234832941"/>
      <w:bookmarkStart w:id="418" w:name="_Toc6874"/>
      <w:bookmarkStart w:id="419" w:name="_Toc28490"/>
      <w:r>
        <w:rPr>
          <w:rFonts w:hint="default" w:ascii="Times New Roman" w:hAnsi="Times New Roman" w:eastAsia="黑体" w:cs="Times New Roman"/>
          <w:b w:val="0"/>
          <w:color w:val="auto"/>
          <w:sz w:val="24"/>
          <w:szCs w:val="24"/>
          <w:highlight w:val="none"/>
        </w:rPr>
        <w:t>3.</w:t>
      </w:r>
      <w:r>
        <w:rPr>
          <w:rFonts w:hint="default" w:ascii="Times New Roman" w:hAnsi="Times New Roman" w:eastAsia="黑体" w:cs="Times New Roman"/>
          <w:b w:val="0"/>
          <w:color w:val="auto"/>
          <w:sz w:val="24"/>
          <w:szCs w:val="24"/>
          <w:highlight w:val="none"/>
          <w:lang w:eastAsia="zh-CN"/>
        </w:rPr>
        <w:t>8</w:t>
      </w:r>
      <w:r>
        <w:rPr>
          <w:rFonts w:hint="default" w:ascii="Times New Roman" w:hAnsi="Times New Roman" w:eastAsia="黑体" w:cs="Times New Roman"/>
          <w:b w:val="0"/>
          <w:color w:val="auto"/>
          <w:sz w:val="24"/>
          <w:szCs w:val="24"/>
          <w:highlight w:val="none"/>
        </w:rPr>
        <w:t xml:space="preserve"> 评标结果</w:t>
      </w:r>
      <w:bookmarkEnd w:id="416"/>
      <w:bookmarkEnd w:id="417"/>
      <w:bookmarkEnd w:id="418"/>
      <w:bookmarkEnd w:id="419"/>
    </w:p>
    <w:p w14:paraId="62BB0B22">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3.8.1 除第二章</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eastAsia="宋体" w:cs="Times New Roman"/>
          <w:color w:val="auto"/>
          <w:sz w:val="24"/>
          <w:highlight w:val="none"/>
        </w:rPr>
        <w:t>前附表授权直接确定中标人外，评标委员会按照得分由高到低的顺序推荐中标候选人，并标明排序。</w:t>
      </w:r>
    </w:p>
    <w:p w14:paraId="23A73E5C">
      <w:pPr>
        <w:pageBreakBefore w:val="0"/>
        <w:kinsoku/>
        <w:wordWrap w:val="0"/>
        <w:bidi w:val="0"/>
        <w:spacing w:line="400" w:lineRule="atLeas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3.8.2 评标委员会完成评标后，应向招标人提交评标报告。</w:t>
      </w:r>
    </w:p>
    <w:p w14:paraId="66F4B332">
      <w:pPr>
        <w:pStyle w:val="23"/>
        <w:pageBreakBefore w:val="0"/>
        <w:kinsoku/>
        <w:wordWrap w:val="0"/>
        <w:bidi w:val="0"/>
        <w:spacing w:line="360" w:lineRule="atLeast"/>
        <w:ind w:firstLine="480"/>
        <w:rPr>
          <w:rFonts w:hint="default" w:ascii="Times New Roman" w:hAnsi="Times New Roman" w:eastAsia="隶书" w:cs="Times New Roman"/>
          <w:color w:val="auto"/>
          <w:sz w:val="24"/>
          <w:szCs w:val="24"/>
          <w:highlight w:val="none"/>
        </w:rPr>
        <w:sectPr>
          <w:headerReference r:id="rId31" w:type="default"/>
          <w:footerReference r:id="rId32" w:type="default"/>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63374DA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70292D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574171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613FBA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A7BF88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614E6D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F1F7A8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59D2B1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180EE2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C4B70D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B333C6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6AD5207">
      <w:pPr>
        <w:pStyle w:val="2"/>
        <w:pageBreakBefore w:val="0"/>
        <w:kinsoku/>
        <w:wordWrap w:val="0"/>
        <w:bidi w:val="0"/>
        <w:spacing w:before="240" w:after="240" w:line="380" w:lineRule="atLeast"/>
        <w:jc w:val="center"/>
        <w:rPr>
          <w:rFonts w:hint="default" w:ascii="Times New Roman" w:hAnsi="Times New Roman" w:eastAsia="黑体" w:cs="Times New Roman"/>
          <w:b w:val="0"/>
          <w:color w:val="auto"/>
          <w:sz w:val="56"/>
          <w:szCs w:val="56"/>
          <w:highlight w:val="none"/>
        </w:rPr>
      </w:pPr>
      <w:bookmarkStart w:id="420" w:name="_Toc27019"/>
      <w:bookmarkStart w:id="421" w:name="_Toc11119"/>
      <w:bookmarkStart w:id="422" w:name="_Toc234832964"/>
      <w:bookmarkStart w:id="423" w:name="_Toc16169"/>
      <w:r>
        <w:rPr>
          <w:rFonts w:hint="default" w:ascii="Times New Roman" w:hAnsi="Times New Roman" w:eastAsia="黑体" w:cs="Times New Roman"/>
          <w:b w:val="0"/>
          <w:color w:val="auto"/>
          <w:sz w:val="56"/>
          <w:szCs w:val="56"/>
          <w:highlight w:val="none"/>
        </w:rPr>
        <w:t>第四章  合同条款及格式</w:t>
      </w:r>
      <w:bookmarkEnd w:id="420"/>
      <w:bookmarkEnd w:id="421"/>
      <w:bookmarkEnd w:id="422"/>
      <w:r>
        <w:rPr>
          <w:rStyle w:val="47"/>
          <w:rFonts w:hint="default" w:ascii="Times New Roman" w:hAnsi="Times New Roman" w:eastAsia="黑体" w:cs="Times New Roman"/>
          <w:b w:val="0"/>
          <w:color w:val="auto"/>
          <w:sz w:val="56"/>
          <w:szCs w:val="56"/>
          <w:highlight w:val="none"/>
        </w:rPr>
        <w:footnoteReference w:id="30"/>
      </w:r>
      <w:bookmarkEnd w:id="423"/>
    </w:p>
    <w:p w14:paraId="3DD640B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082F017">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F32A15C">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26AD20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r>
        <w:rPr>
          <w:rFonts w:hint="default" w:ascii="Times New Roman" w:hAnsi="Times New Roman" w:cs="Times New Roman"/>
          <w:color w:val="auto"/>
          <w:sz w:val="20"/>
          <w:szCs w:val="20"/>
          <w:highlight w:val="none"/>
        </w:rPr>
        <w:br w:type="page"/>
      </w:r>
      <w:bookmarkStart w:id="424" w:name="_Toc234832965"/>
    </w:p>
    <w:p w14:paraId="37721A5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1B3E51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194CF2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446BCA8">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E88B7E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EAABD3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B79B59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7982B9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19BC03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40D079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BAE0028">
      <w:pPr>
        <w:pStyle w:val="2"/>
        <w:pageBreakBefore w:val="0"/>
        <w:kinsoku/>
        <w:wordWrap w:val="0"/>
        <w:bidi w:val="0"/>
        <w:spacing w:before="240" w:after="240" w:line="380" w:lineRule="atLeast"/>
        <w:jc w:val="center"/>
        <w:outlineLvl w:val="1"/>
        <w:rPr>
          <w:rFonts w:hint="default" w:ascii="Times New Roman" w:hAnsi="Times New Roman" w:eastAsia="黑体" w:cs="Times New Roman"/>
          <w:b w:val="0"/>
          <w:color w:val="auto"/>
          <w:sz w:val="42"/>
          <w:szCs w:val="42"/>
          <w:highlight w:val="none"/>
        </w:rPr>
      </w:pPr>
      <w:bookmarkStart w:id="425" w:name="_Toc22989"/>
      <w:bookmarkStart w:id="426" w:name="_Toc18651"/>
      <w:bookmarkStart w:id="427" w:name="_Toc8515"/>
      <w:r>
        <w:rPr>
          <w:rFonts w:hint="default" w:ascii="Times New Roman" w:hAnsi="Times New Roman" w:eastAsia="黑体" w:cs="Times New Roman"/>
          <w:b w:val="0"/>
          <w:color w:val="auto"/>
          <w:sz w:val="42"/>
          <w:szCs w:val="42"/>
          <w:highlight w:val="none"/>
        </w:rPr>
        <w:t>第一节  通用合同条款</w:t>
      </w:r>
      <w:bookmarkEnd w:id="424"/>
      <w:r>
        <w:rPr>
          <w:rStyle w:val="47"/>
          <w:rFonts w:hint="default" w:ascii="Times New Roman" w:hAnsi="Times New Roman" w:eastAsia="黑体" w:cs="Times New Roman"/>
          <w:b w:val="0"/>
          <w:color w:val="auto"/>
          <w:sz w:val="32"/>
          <w:szCs w:val="32"/>
          <w:highlight w:val="none"/>
        </w:rPr>
        <w:footnoteReference w:id="31"/>
      </w:r>
      <w:bookmarkEnd w:id="425"/>
      <w:bookmarkEnd w:id="426"/>
      <w:bookmarkEnd w:id="427"/>
    </w:p>
    <w:p w14:paraId="2ED42983">
      <w:pPr>
        <w:pStyle w:val="2"/>
        <w:pageBreakBefore w:val="0"/>
        <w:kinsoku/>
        <w:wordWrap w:val="0"/>
        <w:bidi w:val="0"/>
        <w:spacing w:before="240" w:after="240" w:line="380" w:lineRule="atLeast"/>
        <w:jc w:val="center"/>
        <w:outlineLvl w:val="2"/>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b w:val="0"/>
          <w:color w:val="auto"/>
          <w:sz w:val="32"/>
          <w:szCs w:val="32"/>
          <w:highlight w:val="none"/>
        </w:rPr>
        <w:br w:type="page"/>
      </w:r>
      <w:bookmarkStart w:id="428" w:name="_Toc14452"/>
      <w:bookmarkStart w:id="429" w:name="_Toc234832966"/>
      <w:bookmarkStart w:id="430" w:name="_Toc1065"/>
      <w:bookmarkStart w:id="431" w:name="_Toc3137"/>
      <w:bookmarkStart w:id="432" w:name="_Toc32556"/>
      <w:r>
        <w:rPr>
          <w:rFonts w:hint="default" w:ascii="Times New Roman" w:hAnsi="Times New Roman" w:eastAsia="黑体" w:cs="Times New Roman"/>
          <w:b w:val="0"/>
          <w:color w:val="auto"/>
          <w:sz w:val="32"/>
          <w:szCs w:val="32"/>
          <w:highlight w:val="none"/>
        </w:rPr>
        <w:t>通用合同条款</w:t>
      </w:r>
      <w:bookmarkEnd w:id="428"/>
      <w:bookmarkEnd w:id="429"/>
      <w:bookmarkEnd w:id="430"/>
      <w:bookmarkEnd w:id="431"/>
      <w:bookmarkEnd w:id="432"/>
    </w:p>
    <w:p w14:paraId="104F17AF">
      <w:pPr>
        <w:pStyle w:val="2"/>
        <w:pageBreakBefore w:val="0"/>
        <w:kinsoku/>
        <w:wordWrap w:val="0"/>
        <w:bidi w:val="0"/>
        <w:spacing w:before="360" w:after="240" w:line="380" w:lineRule="atLeast"/>
        <w:outlineLvl w:val="2"/>
        <w:rPr>
          <w:rFonts w:hint="default" w:ascii="Times New Roman" w:hAnsi="Times New Roman" w:eastAsia="黑体" w:cs="Times New Roman"/>
          <w:b w:val="0"/>
          <w:color w:val="auto"/>
          <w:sz w:val="28"/>
          <w:szCs w:val="28"/>
          <w:highlight w:val="none"/>
        </w:rPr>
      </w:pPr>
      <w:bookmarkStart w:id="433" w:name="_Toc28721"/>
      <w:bookmarkStart w:id="434" w:name="_Toc24661"/>
      <w:bookmarkStart w:id="435" w:name="_Toc30881"/>
      <w:bookmarkStart w:id="436" w:name="_Toc19605"/>
      <w:bookmarkStart w:id="437" w:name="_Toc234832967"/>
      <w:r>
        <w:rPr>
          <w:rFonts w:hint="default" w:ascii="Times New Roman" w:hAnsi="Times New Roman" w:eastAsia="黑体" w:cs="Times New Roman"/>
          <w:b w:val="0"/>
          <w:color w:val="auto"/>
          <w:sz w:val="28"/>
          <w:szCs w:val="28"/>
          <w:highlight w:val="none"/>
        </w:rPr>
        <w:t>1. 一般约定</w:t>
      </w:r>
      <w:bookmarkEnd w:id="433"/>
      <w:bookmarkEnd w:id="434"/>
      <w:bookmarkEnd w:id="435"/>
      <w:bookmarkEnd w:id="436"/>
      <w:bookmarkEnd w:id="437"/>
      <w:r>
        <w:rPr>
          <w:rFonts w:hint="default" w:ascii="Times New Roman" w:hAnsi="Times New Roman" w:eastAsia="黑体" w:cs="Times New Roman"/>
          <w:b w:val="0"/>
          <w:color w:val="auto"/>
          <w:sz w:val="28"/>
          <w:szCs w:val="28"/>
          <w:highlight w:val="none"/>
        </w:rPr>
        <w:tab/>
      </w:r>
    </w:p>
    <w:p w14:paraId="7D97B6B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38" w:name="_Toc10064"/>
      <w:bookmarkStart w:id="439" w:name="_Toc10273"/>
      <w:bookmarkStart w:id="440" w:name="_Toc24826"/>
      <w:bookmarkStart w:id="441" w:name="_Toc5421"/>
      <w:bookmarkStart w:id="442" w:name="_Toc234832968"/>
      <w:r>
        <w:rPr>
          <w:rFonts w:hint="default" w:ascii="Times New Roman" w:hAnsi="Times New Roman" w:eastAsia="黑体" w:cs="Times New Roman"/>
          <w:b w:val="0"/>
          <w:color w:val="auto"/>
          <w:sz w:val="24"/>
          <w:szCs w:val="24"/>
          <w:highlight w:val="none"/>
        </w:rPr>
        <w:t>1.1</w:t>
      </w:r>
      <w:r>
        <w:rPr>
          <w:rFonts w:hint="default" w:ascii="Times New Roman" w:hAnsi="Times New Roman" w:eastAsia="黑体" w:cs="Times New Roman"/>
          <w:b w:val="0"/>
          <w:color w:val="auto"/>
          <w:sz w:val="24"/>
          <w:szCs w:val="24"/>
          <w:highlight w:val="none"/>
        </w:rPr>
        <w:tab/>
      </w:r>
      <w:r>
        <w:rPr>
          <w:rFonts w:hint="default" w:ascii="Times New Roman" w:hAnsi="Times New Roman" w:eastAsia="黑体" w:cs="Times New Roman"/>
          <w:b w:val="0"/>
          <w:color w:val="auto"/>
          <w:sz w:val="24"/>
          <w:szCs w:val="24"/>
          <w:highlight w:val="none"/>
        </w:rPr>
        <w:t>词语定义</w:t>
      </w:r>
      <w:bookmarkEnd w:id="438"/>
      <w:bookmarkEnd w:id="439"/>
      <w:bookmarkEnd w:id="440"/>
      <w:bookmarkEnd w:id="441"/>
      <w:bookmarkEnd w:id="442"/>
    </w:p>
    <w:p w14:paraId="56AA9558">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通用合同条款、专用合同条款中的下列词语应具有本款所赋予的含义。</w:t>
      </w:r>
    </w:p>
    <w:p w14:paraId="104D0AFB">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1.1.1 </w:t>
      </w:r>
      <w:r>
        <w:rPr>
          <w:rFonts w:hint="default" w:ascii="Times New Roman" w:hAnsi="Times New Roman" w:eastAsia="黑体" w:cs="Times New Roman"/>
          <w:color w:val="auto"/>
          <w:sz w:val="24"/>
          <w:highlight w:val="none"/>
        </w:rPr>
        <w:t>合同</w:t>
      </w:r>
    </w:p>
    <w:p w14:paraId="17E0317D">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1.1.1.1 合同文件（或称合同）：指合同协议书、中标通知书、投标函及投标函附录、专用合同条款、通用合同条款、技术标准和要求、图纸、已标价工程量清单，以及其他合同文件。</w:t>
      </w:r>
    </w:p>
    <w:p w14:paraId="26E0AB9D">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1.1.1.2 合同协议书：指第1.5款所指的合同协议书。</w:t>
      </w:r>
    </w:p>
    <w:p w14:paraId="03CB141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1.1.1.3 中标通知书：指发包人通知承包人中标的函件。</w:t>
      </w:r>
    </w:p>
    <w:p w14:paraId="7013F74C">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1.1.1.4 投标函：指构成合同文件组成部分的由承包人填写并签署的投标函。</w:t>
      </w:r>
    </w:p>
    <w:p w14:paraId="03E2FF6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1.1.1.5 投标函附录：指附在投标函后构成合同文件的投标函附录。</w:t>
      </w:r>
    </w:p>
    <w:p w14:paraId="0C9A99EA">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1.1.1.6 技术标准和要求：指构成合同文件组成部分的名为技术标准和要求的文件，包括合同双方当事人约定对其所作的修改或补充。</w:t>
      </w:r>
    </w:p>
    <w:p w14:paraId="5C8CBF8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1.1.1.7 图纸：指包含在合同中的工程图纸，以及由发包人按合同约定提供的任何补充和修改的图纸，包括配套的说明。</w:t>
      </w:r>
    </w:p>
    <w:p w14:paraId="5EEED93F">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1.1.1.8 已标价工程量清单：指构成合同文件组成部分的由承包人按照规定的格式和要求填写并标明价格的工程量清单。</w:t>
      </w:r>
    </w:p>
    <w:p w14:paraId="4CB13A2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1.1.1.9 其他合同文件：指经合同双方当事人确认构成合同文件的其他文件。</w:t>
      </w:r>
    </w:p>
    <w:p w14:paraId="5DC23EA2">
      <w:pPr>
        <w:pageBreakBefore w:val="0"/>
        <w:kinsoku/>
        <w:wordWrap w:val="0"/>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1.1.2 </w:t>
      </w:r>
      <w:r>
        <w:rPr>
          <w:rFonts w:hint="default" w:ascii="Times New Roman" w:hAnsi="Times New Roman" w:eastAsia="黑体" w:cs="Times New Roman"/>
          <w:color w:val="auto"/>
          <w:sz w:val="24"/>
          <w:highlight w:val="none"/>
        </w:rPr>
        <w:t>合同当事人和人员</w:t>
      </w:r>
    </w:p>
    <w:p w14:paraId="5759CC8A">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1.1.2.1 合同当事人：指发包人和（或）承包人。</w:t>
      </w:r>
    </w:p>
    <w:p w14:paraId="2E3067B0">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1.1.2.2 发包人：指专用合同条款中指明并与承包人在合同协议书中签字的当事人。</w:t>
      </w:r>
    </w:p>
    <w:p w14:paraId="339AA94C">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1.1.2.3承包人：指与发包人签订合同协议书的当事人。</w:t>
      </w:r>
    </w:p>
    <w:p w14:paraId="57113A8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1.1.2.4承包人项目经理：指承包人派驻施工场地的全权负责人。</w:t>
      </w:r>
    </w:p>
    <w:p w14:paraId="764238C1">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1.1.2.5分包人：指从承包人处分包合同中某一部分工程，并与其签订分包合同的分包人。</w:t>
      </w:r>
    </w:p>
    <w:p w14:paraId="278417D5">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1.1.2.6监理人：指在专用合同条款中指明的，受发包人委托对合同履行实施管理的法人或其他组织。</w:t>
      </w:r>
    </w:p>
    <w:p w14:paraId="1898C27C">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1.1.2.7总监理工程师（总监）：指由监理人委派常驻施工场地对合同履行实施管理的全权负责人。</w:t>
      </w:r>
    </w:p>
    <w:p w14:paraId="5BF606E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1.1.3 </w:t>
      </w:r>
      <w:r>
        <w:rPr>
          <w:rFonts w:hint="default" w:ascii="Times New Roman" w:hAnsi="Times New Roman" w:eastAsia="黑体" w:cs="Times New Roman"/>
          <w:color w:val="auto"/>
          <w:sz w:val="24"/>
          <w:highlight w:val="none"/>
        </w:rPr>
        <w:t>工程和设备</w:t>
      </w:r>
    </w:p>
    <w:p w14:paraId="08DF38FC">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 工程：指永久工程和（或）临时工程。</w:t>
      </w:r>
    </w:p>
    <w:p w14:paraId="7BCB06D0">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1.1.3.2 永久工程：指按合同约定建造并移交给发包人的工程，包括工程设备。</w:t>
      </w:r>
    </w:p>
    <w:p w14:paraId="171B077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1.1.3.3 临时工程：指为完成合同约定的永久工程所修建的各类临时性工程，不包括施工设备。</w:t>
      </w:r>
    </w:p>
    <w:p w14:paraId="62AADFE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1.1.3.4 单位工程：指专用合同条款中指明特定范围的永久工程。</w:t>
      </w:r>
    </w:p>
    <w:p w14:paraId="2709CF0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1.1.3.5 工程设备：指构成或计划构成永久工程一部分的机电设备、金属结构设备、仪器装置及其他类似的设备和装置。</w:t>
      </w:r>
    </w:p>
    <w:p w14:paraId="0755555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1.1.3.6 施工设备：指为完成合同约定的各项工作所需的设备、器具和其他物品，不包括临时工程和材料。</w:t>
      </w:r>
    </w:p>
    <w:p w14:paraId="65F2530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1.1.3.7临时设施：指为完成合同约定的各项工作所服务的临时性生产和生活设施。</w:t>
      </w:r>
    </w:p>
    <w:p w14:paraId="73798F9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1.1.3.8 承包人设备：指承包人自带的施工设备。</w:t>
      </w:r>
    </w:p>
    <w:p w14:paraId="2FB7C62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1.1.3.9 施工场地（或称工地、现场）：指用于合同工程施工的场所，以及在合同中指定作为施工场地组成部分的其他场所，包括永久占地和临时占地。</w:t>
      </w:r>
    </w:p>
    <w:p w14:paraId="2019F24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1.1.3.10 永久占地：指专用合同条款中指明为实施合同工程需永久占用的土地。</w:t>
      </w:r>
    </w:p>
    <w:p w14:paraId="4C52917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1.1.3.11 临时占地：指专用合同条款中指明为实施合同工程需临时占用的土地。</w:t>
      </w:r>
    </w:p>
    <w:p w14:paraId="2488DD2D">
      <w:pPr>
        <w:pageBreakBefore w:val="0"/>
        <w:kinsoku/>
        <w:wordWrap w:val="0"/>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1.1.4 </w:t>
      </w:r>
      <w:r>
        <w:rPr>
          <w:rFonts w:hint="default" w:ascii="Times New Roman" w:hAnsi="Times New Roman" w:eastAsia="黑体" w:cs="Times New Roman"/>
          <w:color w:val="auto"/>
          <w:sz w:val="24"/>
          <w:highlight w:val="none"/>
        </w:rPr>
        <w:t>日期</w:t>
      </w:r>
    </w:p>
    <w:p w14:paraId="52D6995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1.1.4.1 开工通知：指监理人按第11.1款通知承包人开工的函件。</w:t>
      </w:r>
    </w:p>
    <w:p w14:paraId="32D5C0E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1.1.4.2 开工日期：指监理人按第11.1款发出的开工通知中写明的开工日期。</w:t>
      </w:r>
    </w:p>
    <w:p w14:paraId="0E3BECBD">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1.1.4.3 工期：指承包人在投标函中承诺的完成合同工程所需的期限，包括按第11.3款、第11.4款和第11.6款约定所作的变更。</w:t>
      </w:r>
    </w:p>
    <w:p w14:paraId="2C5437DF">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1.1.4.4 竣工日期：指第1.1.4.3目约定工期届满时的日期。实际竣工日期以工程接收证书中写明的日期为准。</w:t>
      </w:r>
    </w:p>
    <w:p w14:paraId="7CFD081A">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1.1.4.5 缺陷责任期：指履行第19.2款约定的缺陷责任的期限，具体期限由专用合同条款约定，包括根据第19.3款约定所作的延长。</w:t>
      </w:r>
    </w:p>
    <w:p w14:paraId="43340F60">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1.1.4.6 基准日期：指投标截止时间前28天的日期。</w:t>
      </w:r>
    </w:p>
    <w:p w14:paraId="64F450BC">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1.1.4.7 天：除特别指明外，指日历天。合同中按天计算时间的，开始当天不计入，从次日开始计算。期限最后一天的截止时间为当天24:00。</w:t>
      </w:r>
    </w:p>
    <w:p w14:paraId="71238AF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1.1.5 </w:t>
      </w:r>
      <w:r>
        <w:rPr>
          <w:rFonts w:hint="default" w:ascii="Times New Roman" w:hAnsi="Times New Roman" w:eastAsia="黑体" w:cs="Times New Roman"/>
          <w:color w:val="auto"/>
          <w:sz w:val="24"/>
          <w:highlight w:val="none"/>
        </w:rPr>
        <w:t>合同价格和费用</w:t>
      </w:r>
    </w:p>
    <w:p w14:paraId="6092713C">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1.1.5.1 签约合同价：指签订合同时合同协议书中写明的，包括了暂列金额、暂估价的合同总金额。</w:t>
      </w:r>
    </w:p>
    <w:p w14:paraId="4239849D">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1.1.5.2 合同价格：指承包人按合同约定完成了包括缺陷责任期内的全部承包工作后，发包人应付给承包人的金额，包括在履行合同过程中按合同约定进行的变更和调整。</w:t>
      </w:r>
    </w:p>
    <w:p w14:paraId="1434516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1.1.5.3 费用：指为履行合同所发生的或将要发生的所有合理开支，包括管理费和应分摊的其他费用，但不包括利润。</w:t>
      </w:r>
    </w:p>
    <w:p w14:paraId="0C33ABF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1.1.5.4 暂列金额：指已标价工程量清单中所列的暂列金额，用于在签订协议书时尚未确定或不可预见变更的施工及其所需材料、工程设备、服务等的金额，包括以计日工方式支付的金额。</w:t>
      </w:r>
    </w:p>
    <w:p w14:paraId="4D35C7E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1.1.5.5暂估价：指发包人在工程量清单中给定的用于支付必然发生但暂时不能确定价格的材料、工程设备以及专业工程的金额。</w:t>
      </w:r>
    </w:p>
    <w:p w14:paraId="3CB7EA2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1.1.5.6 计日工：指对零星工作采取的一种计价方式，按合同中的计日工子目及其单价计价付款。</w:t>
      </w:r>
    </w:p>
    <w:p w14:paraId="7149B101">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1.1.5.7 质量保证金（或称保留金）：指按第17.4.1项约定用于保证在缺陷责任期内履行缺陷修复义务的金额。</w:t>
      </w:r>
    </w:p>
    <w:p w14:paraId="601E6BC9">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1.1.6 </w:t>
      </w:r>
      <w:r>
        <w:rPr>
          <w:rFonts w:hint="default" w:ascii="Times New Roman" w:hAnsi="Times New Roman" w:eastAsia="黑体" w:cs="Times New Roman"/>
          <w:color w:val="auto"/>
          <w:sz w:val="24"/>
          <w:highlight w:val="none"/>
        </w:rPr>
        <w:t>其他</w:t>
      </w:r>
    </w:p>
    <w:p w14:paraId="146F723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1.1.6.1 书面形式：指合同文件、信函、电报、传真等可以有形地表现所载内容的形式。</w:t>
      </w:r>
    </w:p>
    <w:p w14:paraId="052FB0A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43" w:name="_Toc7828"/>
      <w:bookmarkStart w:id="444" w:name="_Toc234832969"/>
      <w:bookmarkStart w:id="445" w:name="_Toc25135"/>
      <w:bookmarkStart w:id="446" w:name="_Toc22350"/>
      <w:bookmarkStart w:id="447" w:name="_Toc27354"/>
      <w:r>
        <w:rPr>
          <w:rFonts w:hint="default" w:ascii="Times New Roman" w:hAnsi="Times New Roman" w:eastAsia="黑体" w:cs="Times New Roman"/>
          <w:b w:val="0"/>
          <w:color w:val="auto"/>
          <w:sz w:val="24"/>
          <w:szCs w:val="24"/>
          <w:highlight w:val="none"/>
        </w:rPr>
        <w:t>1.2 语言文字</w:t>
      </w:r>
      <w:bookmarkEnd w:id="443"/>
      <w:bookmarkEnd w:id="444"/>
      <w:bookmarkEnd w:id="445"/>
      <w:bookmarkEnd w:id="446"/>
      <w:bookmarkEnd w:id="447"/>
    </w:p>
    <w:p w14:paraId="45B55EB1">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除专用术语外，合同使用的语言文字为中文。必要时专用术语应附有中文注释。</w:t>
      </w:r>
    </w:p>
    <w:p w14:paraId="3DBA7EB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48" w:name="_Toc234832970"/>
      <w:bookmarkStart w:id="449" w:name="_Toc317"/>
      <w:bookmarkStart w:id="450" w:name="_Toc17380"/>
      <w:bookmarkStart w:id="451" w:name="_Toc13856"/>
      <w:bookmarkStart w:id="452" w:name="_Toc8637"/>
      <w:r>
        <w:rPr>
          <w:rFonts w:hint="default" w:ascii="Times New Roman" w:hAnsi="Times New Roman" w:eastAsia="黑体" w:cs="Times New Roman"/>
          <w:b w:val="0"/>
          <w:color w:val="auto"/>
          <w:sz w:val="24"/>
          <w:szCs w:val="24"/>
          <w:highlight w:val="none"/>
        </w:rPr>
        <w:t>1.3 法律</w:t>
      </w:r>
      <w:bookmarkEnd w:id="448"/>
      <w:bookmarkEnd w:id="449"/>
      <w:bookmarkEnd w:id="450"/>
      <w:bookmarkEnd w:id="451"/>
      <w:bookmarkEnd w:id="452"/>
    </w:p>
    <w:p w14:paraId="7D779A96">
      <w:pPr>
        <w:pageBreakBefore w:val="0"/>
        <w:tabs>
          <w:tab w:val="left" w:pos="7020"/>
        </w:tabs>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适用于合同的法律包括中华人民共和国法律、行政法规、部门规章，以及工程所在地的</w:t>
      </w:r>
      <w:r>
        <w:rPr>
          <w:rFonts w:hint="eastAsia" w:cs="Times New Roman"/>
          <w:color w:val="auto"/>
          <w:sz w:val="24"/>
          <w:highlight w:val="none"/>
          <w:lang w:eastAsia="zh-CN"/>
        </w:rPr>
        <w:t>地方性法规</w:t>
      </w:r>
      <w:r>
        <w:rPr>
          <w:rFonts w:hint="default" w:ascii="Times New Roman" w:hAnsi="Times New Roman" w:cs="Times New Roman"/>
          <w:color w:val="auto"/>
          <w:sz w:val="24"/>
          <w:highlight w:val="none"/>
        </w:rPr>
        <w:t>、自治条例、单行条例和地方政府规章。</w:t>
      </w:r>
    </w:p>
    <w:p w14:paraId="7EBDAA7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53" w:name="_Toc3631"/>
      <w:bookmarkStart w:id="454" w:name="_Toc8196"/>
      <w:bookmarkStart w:id="455" w:name="_Toc23484"/>
      <w:bookmarkStart w:id="456" w:name="_Toc9336"/>
      <w:bookmarkStart w:id="457" w:name="_Toc234832971"/>
      <w:r>
        <w:rPr>
          <w:rFonts w:hint="default" w:ascii="Times New Roman" w:hAnsi="Times New Roman" w:eastAsia="黑体" w:cs="Times New Roman"/>
          <w:b w:val="0"/>
          <w:color w:val="auto"/>
          <w:sz w:val="24"/>
          <w:szCs w:val="24"/>
          <w:highlight w:val="none"/>
        </w:rPr>
        <w:t>1.4 合同文件的优先顺序</w:t>
      </w:r>
      <w:bookmarkEnd w:id="453"/>
      <w:bookmarkEnd w:id="454"/>
      <w:bookmarkEnd w:id="455"/>
      <w:bookmarkEnd w:id="456"/>
      <w:bookmarkEnd w:id="457"/>
    </w:p>
    <w:p w14:paraId="4E0809F6">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组成合同的各项文件应互相解释，互为说明。除专用合同条款另有约定外，解释合同文件的优先顺序如下：</w:t>
      </w:r>
    </w:p>
    <w:p w14:paraId="5DF2F8B2">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（1）合同协议书；</w:t>
      </w:r>
    </w:p>
    <w:p w14:paraId="16B25263">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（2）中标通知书；</w:t>
      </w:r>
    </w:p>
    <w:p w14:paraId="7B762C32">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（3）投标函及投标函附录；</w:t>
      </w:r>
    </w:p>
    <w:p w14:paraId="20E8A288">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（4）专用合同条款；</w:t>
      </w:r>
    </w:p>
    <w:p w14:paraId="33F76E6A">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（5）通用合同条款；</w:t>
      </w:r>
    </w:p>
    <w:p w14:paraId="4404C3A1">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（6）技术标准和要求；</w:t>
      </w:r>
    </w:p>
    <w:p w14:paraId="55659D03">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（7）图纸；</w:t>
      </w:r>
    </w:p>
    <w:p w14:paraId="309F32D7">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（8）已标价工程量清单；</w:t>
      </w:r>
    </w:p>
    <w:p w14:paraId="6D0CEFB1">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（9）其他合同文件。     </w:t>
      </w:r>
    </w:p>
    <w:p w14:paraId="156B83C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58" w:name="_Toc7240"/>
      <w:bookmarkStart w:id="459" w:name="_Toc29563"/>
      <w:bookmarkStart w:id="460" w:name="_Toc234832972"/>
      <w:bookmarkStart w:id="461" w:name="_Toc1591"/>
      <w:bookmarkStart w:id="462" w:name="_Toc17423"/>
      <w:r>
        <w:rPr>
          <w:rFonts w:hint="default" w:ascii="Times New Roman" w:hAnsi="Times New Roman" w:eastAsia="黑体" w:cs="Times New Roman"/>
          <w:b w:val="0"/>
          <w:color w:val="auto"/>
          <w:sz w:val="24"/>
          <w:szCs w:val="24"/>
          <w:highlight w:val="none"/>
        </w:rPr>
        <w:t>1.5 合同协议书</w:t>
      </w:r>
      <w:bookmarkEnd w:id="458"/>
      <w:bookmarkEnd w:id="459"/>
      <w:bookmarkEnd w:id="460"/>
      <w:bookmarkEnd w:id="461"/>
      <w:bookmarkEnd w:id="462"/>
    </w:p>
    <w:p w14:paraId="68C66E4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承包人按中标通知书规定的时间与发包人签订合同协议书。除法律另有规定或合同另有约定外，发包人和承包人的法定代表人或其委托代理人在合同协议书上签字</w:t>
      </w:r>
      <w:r>
        <w:rPr>
          <w:rFonts w:hint="eastAsia" w:cs="Times New Roman"/>
          <w:color w:val="auto"/>
          <w:sz w:val="24"/>
          <w:highlight w:val="none"/>
          <w:lang w:eastAsia="zh-CN"/>
        </w:rPr>
        <w:t>并加盖单位章后</w:t>
      </w:r>
      <w:r>
        <w:rPr>
          <w:rFonts w:hint="default" w:ascii="Times New Roman" w:hAnsi="Times New Roman" w:cs="Times New Roman"/>
          <w:color w:val="auto"/>
          <w:sz w:val="24"/>
          <w:highlight w:val="none"/>
        </w:rPr>
        <w:t>，合同生效。</w:t>
      </w:r>
    </w:p>
    <w:p w14:paraId="5A18CF6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63" w:name="_Toc24591"/>
      <w:bookmarkStart w:id="464" w:name="_Toc20779"/>
      <w:bookmarkStart w:id="465" w:name="_Toc18684"/>
      <w:bookmarkStart w:id="466" w:name="_Toc234832973"/>
      <w:bookmarkStart w:id="467" w:name="_Toc30819"/>
      <w:r>
        <w:rPr>
          <w:rFonts w:hint="default" w:ascii="Times New Roman" w:hAnsi="Times New Roman" w:eastAsia="黑体" w:cs="Times New Roman"/>
          <w:b w:val="0"/>
          <w:color w:val="auto"/>
          <w:sz w:val="24"/>
          <w:szCs w:val="24"/>
          <w:highlight w:val="none"/>
        </w:rPr>
        <w:t>1.6 图纸和承包人文件</w:t>
      </w:r>
      <w:bookmarkEnd w:id="463"/>
      <w:bookmarkEnd w:id="464"/>
      <w:bookmarkEnd w:id="465"/>
      <w:bookmarkEnd w:id="466"/>
      <w:bookmarkEnd w:id="467"/>
    </w:p>
    <w:p w14:paraId="3A0F389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1.6.1 </w:t>
      </w:r>
      <w:r>
        <w:rPr>
          <w:rFonts w:hint="default" w:ascii="Times New Roman" w:hAnsi="Times New Roman" w:eastAsia="黑体" w:cs="Times New Roman"/>
          <w:color w:val="auto"/>
          <w:sz w:val="24"/>
          <w:highlight w:val="none"/>
        </w:rPr>
        <w:t>图纸的提供</w:t>
      </w:r>
    </w:p>
    <w:p w14:paraId="152FE794">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除专用合同条款另有约定外，图纸应在合理的期限内按照合同约定的数量提供给承包人。由于发包人未按时提供图纸造成工期延误的，按第11.3款的约定办理。</w:t>
      </w:r>
    </w:p>
    <w:p w14:paraId="21341932">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1.6.2</w:t>
      </w:r>
      <w:r>
        <w:rPr>
          <w:rFonts w:hint="default" w:ascii="Times New Roman" w:hAnsi="Times New Roman" w:eastAsia="黑体" w:cs="Times New Roman"/>
          <w:color w:val="auto"/>
          <w:sz w:val="24"/>
          <w:highlight w:val="none"/>
        </w:rPr>
        <w:t xml:space="preserve"> 承包人提供的文件</w:t>
      </w:r>
    </w:p>
    <w:p w14:paraId="2697A531">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按专用合同条款约定由承包人提供的文件，包括部分工程的大样图、加工图等，承包人应按约定的数量和期限报送监理人。监理人应在专用合同条款约定的期限内批复。</w:t>
      </w:r>
    </w:p>
    <w:p w14:paraId="2A7BBE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1.6.3 </w:t>
      </w:r>
      <w:r>
        <w:rPr>
          <w:rFonts w:hint="default" w:ascii="Times New Roman" w:hAnsi="Times New Roman" w:eastAsia="黑体" w:cs="Times New Roman"/>
          <w:color w:val="auto"/>
          <w:sz w:val="24"/>
          <w:highlight w:val="none"/>
        </w:rPr>
        <w:t>图纸的修改</w:t>
      </w:r>
    </w:p>
    <w:p w14:paraId="41F8B96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图纸需要修改和补充的，应由监理人取得发包人同意后，在该工程或工程相应部位施工前的合理期限内签发图纸修改图给承包人，具体签发期限在专用合同条款中约定。承包人应按修改后的图纸施工。</w:t>
      </w:r>
    </w:p>
    <w:p w14:paraId="2545BB0B">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1.6.4 </w:t>
      </w:r>
      <w:r>
        <w:rPr>
          <w:rFonts w:hint="default" w:ascii="Times New Roman" w:hAnsi="Times New Roman" w:eastAsia="黑体" w:cs="Times New Roman"/>
          <w:color w:val="auto"/>
          <w:sz w:val="24"/>
          <w:highlight w:val="none"/>
        </w:rPr>
        <w:t>图纸的错误</w:t>
      </w:r>
    </w:p>
    <w:p w14:paraId="59AAD57E">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承包人发现发包人提供的图纸存在明显错误或疏忽，应及时通知监理人。</w:t>
      </w:r>
    </w:p>
    <w:p w14:paraId="696594B4">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1.6.5</w:t>
      </w:r>
      <w:r>
        <w:rPr>
          <w:rFonts w:hint="default" w:ascii="Times New Roman" w:hAnsi="Times New Roman" w:eastAsia="黑体" w:cs="Times New Roman"/>
          <w:color w:val="auto"/>
          <w:sz w:val="24"/>
          <w:highlight w:val="none"/>
        </w:rPr>
        <w:t xml:space="preserve"> 图纸和承包人文件的保管</w:t>
      </w:r>
    </w:p>
    <w:p w14:paraId="5D08546E">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监理人和承包人均应在施工场地各保存一套完整的包含第1.6.1项、第1.6.2项、第1.6.3项约定内容的图纸和承包人文件。</w:t>
      </w:r>
    </w:p>
    <w:p w14:paraId="50FC0BB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68" w:name="_Toc3784"/>
      <w:bookmarkStart w:id="469" w:name="_Toc28959"/>
      <w:bookmarkStart w:id="470" w:name="_Toc25686"/>
      <w:bookmarkStart w:id="471" w:name="_Toc234832974"/>
      <w:bookmarkStart w:id="472" w:name="_Toc3785"/>
      <w:r>
        <w:rPr>
          <w:rFonts w:hint="default" w:ascii="Times New Roman" w:hAnsi="Times New Roman" w:eastAsia="黑体" w:cs="Times New Roman"/>
          <w:b w:val="0"/>
          <w:color w:val="auto"/>
          <w:sz w:val="24"/>
          <w:szCs w:val="24"/>
          <w:highlight w:val="none"/>
        </w:rPr>
        <w:t>1.7 联络</w:t>
      </w:r>
      <w:bookmarkEnd w:id="468"/>
      <w:bookmarkEnd w:id="469"/>
      <w:bookmarkEnd w:id="470"/>
      <w:bookmarkEnd w:id="471"/>
      <w:bookmarkEnd w:id="472"/>
    </w:p>
    <w:p w14:paraId="5A079F3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1.7.1 与合同有关的通知、批准、证明、证书、指示、要求、请求、同意、意见、确定和决定等，均应采用书面形式。</w:t>
      </w:r>
    </w:p>
    <w:p w14:paraId="5145562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1.7.2 第1.7.1项中的通知、批准、证明、证书、指示、要求、请求、同意、意见、确定和决定等来往函件，均应在合同约定的期限内送达指定地点和接收人，并办理签收手续。</w:t>
      </w:r>
    </w:p>
    <w:p w14:paraId="033E055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73" w:name="_Toc162"/>
      <w:bookmarkStart w:id="474" w:name="_Toc234832975"/>
      <w:bookmarkStart w:id="475" w:name="_Toc5598"/>
      <w:bookmarkStart w:id="476" w:name="_Toc13094"/>
      <w:bookmarkStart w:id="477" w:name="_Toc8917"/>
      <w:r>
        <w:rPr>
          <w:rFonts w:hint="default" w:ascii="Times New Roman" w:hAnsi="Times New Roman" w:eastAsia="黑体" w:cs="Times New Roman"/>
          <w:b w:val="0"/>
          <w:color w:val="auto"/>
          <w:sz w:val="24"/>
          <w:szCs w:val="24"/>
          <w:highlight w:val="none"/>
        </w:rPr>
        <w:t>1.8 转让</w:t>
      </w:r>
      <w:bookmarkEnd w:id="473"/>
      <w:bookmarkEnd w:id="474"/>
      <w:bookmarkEnd w:id="475"/>
      <w:bookmarkEnd w:id="476"/>
      <w:bookmarkEnd w:id="477"/>
    </w:p>
    <w:p w14:paraId="7151AD30">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除合同另有约定外，未经对方当事人同意，一方当事人不得将合同权利全部或部分转让给第三人，也不得全部或部分转移合同义务。</w:t>
      </w:r>
    </w:p>
    <w:p w14:paraId="5EA6F28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78" w:name="_Toc31967"/>
      <w:bookmarkStart w:id="479" w:name="_Toc23791"/>
      <w:bookmarkStart w:id="480" w:name="_Toc24262"/>
      <w:bookmarkStart w:id="481" w:name="_Toc6228"/>
      <w:bookmarkStart w:id="482" w:name="_Toc234832976"/>
      <w:r>
        <w:rPr>
          <w:rFonts w:hint="default" w:ascii="Times New Roman" w:hAnsi="Times New Roman" w:eastAsia="黑体" w:cs="Times New Roman"/>
          <w:b w:val="0"/>
          <w:color w:val="auto"/>
          <w:sz w:val="24"/>
          <w:szCs w:val="24"/>
          <w:highlight w:val="none"/>
        </w:rPr>
        <w:t>1.9 严禁贿赂</w:t>
      </w:r>
      <w:bookmarkEnd w:id="478"/>
      <w:bookmarkEnd w:id="479"/>
      <w:bookmarkEnd w:id="480"/>
      <w:bookmarkEnd w:id="481"/>
      <w:bookmarkEnd w:id="482"/>
    </w:p>
    <w:p w14:paraId="6041C9D2">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合同双方当事人不得以贿赂或变相贿赂的方式，谋取不当利益或损害对方权益。因贿赂造成对方损失的，行为人应赔偿损失，并承担相应的法律责任。</w:t>
      </w:r>
    </w:p>
    <w:p w14:paraId="318254B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83" w:name="_Toc28929"/>
      <w:bookmarkStart w:id="484" w:name="_Toc1823"/>
      <w:bookmarkStart w:id="485" w:name="_Toc24319"/>
      <w:bookmarkStart w:id="486" w:name="_Toc234832977"/>
      <w:bookmarkStart w:id="487" w:name="_Toc5924"/>
      <w:r>
        <w:rPr>
          <w:rFonts w:hint="default" w:ascii="Times New Roman" w:hAnsi="Times New Roman" w:eastAsia="黑体" w:cs="Times New Roman"/>
          <w:b w:val="0"/>
          <w:color w:val="auto"/>
          <w:sz w:val="24"/>
          <w:szCs w:val="24"/>
          <w:highlight w:val="none"/>
        </w:rPr>
        <w:t>1.10 化石、文物</w:t>
      </w:r>
      <w:bookmarkEnd w:id="483"/>
      <w:bookmarkEnd w:id="484"/>
      <w:bookmarkEnd w:id="485"/>
      <w:bookmarkEnd w:id="486"/>
      <w:bookmarkEnd w:id="487"/>
    </w:p>
    <w:p w14:paraId="5707756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2A2E769D">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1.10.2 承包人发现文物后不及时报告或隐瞒不报，致使文物丢失或损坏的，应赔偿损失，并承担相应的法律责任。</w:t>
      </w:r>
    </w:p>
    <w:p w14:paraId="59BA3A2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88" w:name="_Toc24599"/>
      <w:bookmarkStart w:id="489" w:name="_Toc27784"/>
      <w:bookmarkStart w:id="490" w:name="_Toc234832978"/>
      <w:bookmarkStart w:id="491" w:name="_Toc7504"/>
      <w:bookmarkStart w:id="492" w:name="_Toc13641"/>
      <w:r>
        <w:rPr>
          <w:rFonts w:hint="default" w:ascii="Times New Roman" w:hAnsi="Times New Roman" w:eastAsia="黑体" w:cs="Times New Roman"/>
          <w:b w:val="0"/>
          <w:color w:val="auto"/>
          <w:sz w:val="24"/>
          <w:szCs w:val="24"/>
          <w:highlight w:val="none"/>
        </w:rPr>
        <w:t>1.11 专利技术</w:t>
      </w:r>
      <w:bookmarkEnd w:id="488"/>
      <w:bookmarkEnd w:id="489"/>
      <w:bookmarkEnd w:id="490"/>
      <w:bookmarkEnd w:id="491"/>
      <w:bookmarkEnd w:id="492"/>
    </w:p>
    <w:p w14:paraId="1742DC54">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1.11.1 承包人在使用任何材料、承包人设备、工程设备或采用施工工艺时，因侵犯专利权或其他知识产权所引起的责任，由承包人承担，但由于遵照发包人提供的设计或技术标准和要求引起的除外。</w:t>
      </w:r>
    </w:p>
    <w:p w14:paraId="350AD5A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1.11.2 承包人在投标文件中采用专利技术的，专利技术的使用费包含在投标报价内。</w:t>
      </w:r>
    </w:p>
    <w:p w14:paraId="082F85C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1.11.3 承包人的技术秘密和声明需要保密的资料和信息，发包人和监理人不得为合同以外的目的泄露给他人。</w:t>
      </w:r>
    </w:p>
    <w:p w14:paraId="7AEEB249">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493" w:name="_Toc963"/>
      <w:bookmarkStart w:id="494" w:name="_Toc234832979"/>
      <w:bookmarkStart w:id="495" w:name="_Toc2063"/>
      <w:bookmarkStart w:id="496" w:name="_Toc16391"/>
      <w:bookmarkStart w:id="497" w:name="_Toc29843"/>
      <w:r>
        <w:rPr>
          <w:rFonts w:hint="default" w:ascii="Times New Roman" w:hAnsi="Times New Roman" w:eastAsia="黑体" w:cs="Times New Roman"/>
          <w:b w:val="0"/>
          <w:color w:val="auto"/>
          <w:sz w:val="24"/>
          <w:szCs w:val="24"/>
          <w:highlight w:val="none"/>
        </w:rPr>
        <w:t>1.12 图纸和文件的保密</w:t>
      </w:r>
      <w:bookmarkEnd w:id="493"/>
      <w:bookmarkEnd w:id="494"/>
      <w:bookmarkEnd w:id="495"/>
      <w:bookmarkEnd w:id="496"/>
      <w:bookmarkEnd w:id="497"/>
    </w:p>
    <w:p w14:paraId="64B902B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1.12.1 发包人提供的图纸和文件，未经发包人同意，承包人不得为合同以外的目的泄露给他人或公开发表与引用。</w:t>
      </w:r>
    </w:p>
    <w:p w14:paraId="4367DDA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1.12.2 承包人提供的文件，未经承包人同意，发包人和监理人不得为合同以外的目的泄露给他人或公开发表与引用。</w:t>
      </w:r>
    </w:p>
    <w:p w14:paraId="57D4196B">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498" w:name="_Toc2725"/>
      <w:bookmarkStart w:id="499" w:name="_Toc1422"/>
      <w:bookmarkStart w:id="500" w:name="_Toc234832980"/>
      <w:bookmarkStart w:id="501" w:name="_Toc11044"/>
      <w:bookmarkStart w:id="502" w:name="_Toc28964"/>
      <w:r>
        <w:rPr>
          <w:rFonts w:hint="default" w:ascii="Times New Roman" w:hAnsi="Times New Roman" w:eastAsia="黑体" w:cs="Times New Roman"/>
          <w:b w:val="0"/>
          <w:color w:val="auto"/>
          <w:sz w:val="28"/>
          <w:szCs w:val="28"/>
          <w:highlight w:val="none"/>
        </w:rPr>
        <w:t>2. 发包人义务</w:t>
      </w:r>
      <w:bookmarkEnd w:id="498"/>
      <w:bookmarkEnd w:id="499"/>
      <w:bookmarkEnd w:id="500"/>
      <w:bookmarkEnd w:id="501"/>
      <w:bookmarkEnd w:id="502"/>
    </w:p>
    <w:p w14:paraId="273A2F1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03" w:name="_Toc9101"/>
      <w:bookmarkStart w:id="504" w:name="_Toc21730"/>
      <w:bookmarkStart w:id="505" w:name="_Toc5651"/>
      <w:bookmarkStart w:id="506" w:name="_Toc25606"/>
      <w:bookmarkStart w:id="507" w:name="_Toc234832981"/>
      <w:r>
        <w:rPr>
          <w:rFonts w:hint="default" w:ascii="Times New Roman" w:hAnsi="Times New Roman" w:eastAsia="黑体" w:cs="Times New Roman"/>
          <w:b w:val="0"/>
          <w:color w:val="auto"/>
          <w:sz w:val="24"/>
          <w:szCs w:val="24"/>
          <w:highlight w:val="none"/>
        </w:rPr>
        <w:t>2.1 遵守法律</w:t>
      </w:r>
      <w:bookmarkEnd w:id="503"/>
      <w:bookmarkEnd w:id="504"/>
      <w:bookmarkEnd w:id="505"/>
      <w:bookmarkEnd w:id="506"/>
      <w:bookmarkEnd w:id="507"/>
    </w:p>
    <w:p w14:paraId="706F6A07">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发包人在履行合同过程中应遵守法律，并保证承包人免于承担因发包人违反法律而引起的任何责任。</w:t>
      </w:r>
    </w:p>
    <w:p w14:paraId="518DF5A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08" w:name="_Toc31599"/>
      <w:bookmarkStart w:id="509" w:name="_Toc234832982"/>
      <w:bookmarkStart w:id="510" w:name="_Toc31024"/>
      <w:bookmarkStart w:id="511" w:name="_Toc19902"/>
      <w:bookmarkStart w:id="512" w:name="_Toc21405"/>
      <w:r>
        <w:rPr>
          <w:rFonts w:hint="default" w:ascii="Times New Roman" w:hAnsi="Times New Roman" w:eastAsia="黑体" w:cs="Times New Roman"/>
          <w:b w:val="0"/>
          <w:color w:val="auto"/>
          <w:sz w:val="24"/>
          <w:szCs w:val="24"/>
          <w:highlight w:val="none"/>
        </w:rPr>
        <w:t>2.2 发出开工通知</w:t>
      </w:r>
      <w:bookmarkEnd w:id="508"/>
      <w:bookmarkEnd w:id="509"/>
      <w:bookmarkEnd w:id="510"/>
      <w:bookmarkEnd w:id="511"/>
      <w:bookmarkEnd w:id="512"/>
    </w:p>
    <w:p w14:paraId="1F91A6FF">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发包人应委托监理人按第11.1款的约定向承包人发出开工通知。</w:t>
      </w:r>
    </w:p>
    <w:p w14:paraId="57DA994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13" w:name="_Toc12327"/>
      <w:bookmarkStart w:id="514" w:name="_Toc234832983"/>
      <w:bookmarkStart w:id="515" w:name="_Toc27640"/>
      <w:bookmarkStart w:id="516" w:name="_Toc12076"/>
      <w:bookmarkStart w:id="517" w:name="_Toc17104"/>
      <w:r>
        <w:rPr>
          <w:rFonts w:hint="default" w:ascii="Times New Roman" w:hAnsi="Times New Roman" w:eastAsia="黑体" w:cs="Times New Roman"/>
          <w:b w:val="0"/>
          <w:color w:val="auto"/>
          <w:sz w:val="24"/>
          <w:szCs w:val="24"/>
          <w:highlight w:val="none"/>
        </w:rPr>
        <w:t>2.3 提供施工场地</w:t>
      </w:r>
      <w:bookmarkEnd w:id="513"/>
      <w:bookmarkEnd w:id="514"/>
      <w:bookmarkEnd w:id="515"/>
      <w:bookmarkEnd w:id="516"/>
      <w:bookmarkEnd w:id="517"/>
    </w:p>
    <w:p w14:paraId="623F9289">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发包人应按专用合同条款约定向承包人提供施工场地，以及施工场地内地下管线和地下设施等有关资料，并保证资料的真实、准确、完整。</w:t>
      </w:r>
    </w:p>
    <w:p w14:paraId="5087438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18" w:name="_Toc15886"/>
      <w:bookmarkStart w:id="519" w:name="_Toc234832984"/>
      <w:bookmarkStart w:id="520" w:name="_Toc5430"/>
      <w:bookmarkStart w:id="521" w:name="_Toc12372"/>
      <w:bookmarkStart w:id="522" w:name="_Toc12536"/>
      <w:r>
        <w:rPr>
          <w:rFonts w:hint="default" w:ascii="Times New Roman" w:hAnsi="Times New Roman" w:eastAsia="黑体" w:cs="Times New Roman"/>
          <w:b w:val="0"/>
          <w:color w:val="auto"/>
          <w:sz w:val="24"/>
          <w:szCs w:val="24"/>
          <w:highlight w:val="none"/>
        </w:rPr>
        <w:t>2.4 协助承包人办理证件和批件</w:t>
      </w:r>
      <w:bookmarkEnd w:id="518"/>
      <w:bookmarkEnd w:id="519"/>
      <w:bookmarkEnd w:id="520"/>
      <w:bookmarkEnd w:id="521"/>
      <w:bookmarkEnd w:id="522"/>
    </w:p>
    <w:p w14:paraId="79385CA0">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发包人应协助承包人办理法律规定的有关施工证件和批件。</w:t>
      </w:r>
    </w:p>
    <w:p w14:paraId="6ECF330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23" w:name="_Toc22937"/>
      <w:bookmarkStart w:id="524" w:name="_Toc6781"/>
      <w:bookmarkStart w:id="525" w:name="_Toc29377"/>
      <w:bookmarkStart w:id="526" w:name="_Toc234832985"/>
      <w:bookmarkStart w:id="527" w:name="_Toc2840"/>
      <w:r>
        <w:rPr>
          <w:rFonts w:hint="default" w:ascii="Times New Roman" w:hAnsi="Times New Roman" w:eastAsia="黑体" w:cs="Times New Roman"/>
          <w:b w:val="0"/>
          <w:color w:val="auto"/>
          <w:sz w:val="24"/>
          <w:szCs w:val="24"/>
          <w:highlight w:val="none"/>
        </w:rPr>
        <w:t>2.5 组织设计交底</w:t>
      </w:r>
      <w:bookmarkEnd w:id="523"/>
      <w:bookmarkEnd w:id="524"/>
      <w:bookmarkEnd w:id="525"/>
      <w:bookmarkEnd w:id="526"/>
      <w:bookmarkEnd w:id="527"/>
    </w:p>
    <w:p w14:paraId="03A1D96E">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发包人应根据合同进度计划，组织设计单位向承包人进行设计交底。</w:t>
      </w:r>
    </w:p>
    <w:p w14:paraId="2AAFD71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28" w:name="_Toc18904"/>
      <w:bookmarkStart w:id="529" w:name="_Toc32192"/>
      <w:bookmarkStart w:id="530" w:name="_Toc2788"/>
      <w:bookmarkStart w:id="531" w:name="_Toc15709"/>
      <w:bookmarkStart w:id="532" w:name="_Toc234832986"/>
      <w:r>
        <w:rPr>
          <w:rFonts w:hint="default" w:ascii="Times New Roman" w:hAnsi="Times New Roman" w:eastAsia="黑体" w:cs="Times New Roman"/>
          <w:b w:val="0"/>
          <w:color w:val="auto"/>
          <w:sz w:val="24"/>
          <w:szCs w:val="24"/>
          <w:highlight w:val="none"/>
        </w:rPr>
        <w:t>2.6 支付合同价款</w:t>
      </w:r>
      <w:bookmarkEnd w:id="528"/>
      <w:bookmarkEnd w:id="529"/>
      <w:bookmarkEnd w:id="530"/>
      <w:bookmarkEnd w:id="531"/>
      <w:bookmarkEnd w:id="532"/>
    </w:p>
    <w:p w14:paraId="4AC0142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发包人应按合同约定向承包人及时支付合同价款。</w:t>
      </w:r>
    </w:p>
    <w:p w14:paraId="407FA55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33" w:name="_Toc9105"/>
      <w:bookmarkStart w:id="534" w:name="_Toc12390"/>
      <w:bookmarkStart w:id="535" w:name="_Toc234832987"/>
      <w:bookmarkStart w:id="536" w:name="_Toc8246"/>
      <w:bookmarkStart w:id="537" w:name="_Toc1813"/>
      <w:r>
        <w:rPr>
          <w:rFonts w:hint="default" w:ascii="Times New Roman" w:hAnsi="Times New Roman" w:eastAsia="黑体" w:cs="Times New Roman"/>
          <w:b w:val="0"/>
          <w:color w:val="auto"/>
          <w:sz w:val="24"/>
          <w:szCs w:val="24"/>
          <w:highlight w:val="none"/>
        </w:rPr>
        <w:t>2.7 组织竣工验收</w:t>
      </w:r>
      <w:bookmarkEnd w:id="533"/>
      <w:bookmarkEnd w:id="534"/>
      <w:bookmarkEnd w:id="535"/>
      <w:bookmarkEnd w:id="536"/>
      <w:bookmarkEnd w:id="537"/>
    </w:p>
    <w:p w14:paraId="7C0952CA">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发包人应按合同约定及时组织竣工验收。</w:t>
      </w:r>
    </w:p>
    <w:p w14:paraId="58EA46D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38" w:name="_Toc2212"/>
      <w:bookmarkStart w:id="539" w:name="_Toc13771"/>
      <w:bookmarkStart w:id="540" w:name="_Toc16971"/>
      <w:bookmarkStart w:id="541" w:name="_Toc234832988"/>
      <w:bookmarkStart w:id="542" w:name="_Toc4891"/>
      <w:r>
        <w:rPr>
          <w:rFonts w:hint="default" w:ascii="Times New Roman" w:hAnsi="Times New Roman" w:eastAsia="黑体" w:cs="Times New Roman"/>
          <w:b w:val="0"/>
          <w:color w:val="auto"/>
          <w:sz w:val="24"/>
          <w:szCs w:val="24"/>
          <w:highlight w:val="none"/>
        </w:rPr>
        <w:t>2.8 其他义务</w:t>
      </w:r>
      <w:bookmarkEnd w:id="538"/>
      <w:bookmarkEnd w:id="539"/>
      <w:bookmarkEnd w:id="540"/>
      <w:bookmarkEnd w:id="541"/>
      <w:bookmarkEnd w:id="542"/>
    </w:p>
    <w:p w14:paraId="5D039D59">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发包人应履行合同约定的其他义务。</w:t>
      </w:r>
    </w:p>
    <w:p w14:paraId="481A64B2">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543" w:name="_Toc234832989"/>
      <w:bookmarkStart w:id="544" w:name="_Toc22971"/>
      <w:bookmarkStart w:id="545" w:name="_Toc11915"/>
      <w:bookmarkStart w:id="546" w:name="_Toc5384"/>
      <w:bookmarkStart w:id="547" w:name="_Toc7583"/>
      <w:r>
        <w:rPr>
          <w:rFonts w:hint="default" w:ascii="Times New Roman" w:hAnsi="Times New Roman" w:eastAsia="黑体" w:cs="Times New Roman"/>
          <w:b w:val="0"/>
          <w:color w:val="auto"/>
          <w:sz w:val="28"/>
          <w:szCs w:val="28"/>
          <w:highlight w:val="none"/>
        </w:rPr>
        <w:t>3. 监理人</w:t>
      </w:r>
      <w:bookmarkEnd w:id="543"/>
      <w:bookmarkEnd w:id="544"/>
      <w:bookmarkEnd w:id="545"/>
      <w:bookmarkEnd w:id="546"/>
      <w:bookmarkEnd w:id="547"/>
    </w:p>
    <w:p w14:paraId="754279B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48" w:name="_Toc16242"/>
      <w:bookmarkStart w:id="549" w:name="_Toc21643"/>
      <w:bookmarkStart w:id="550" w:name="_Toc234832990"/>
      <w:bookmarkStart w:id="551" w:name="_Toc6610"/>
      <w:bookmarkStart w:id="552" w:name="_Toc16801"/>
      <w:r>
        <w:rPr>
          <w:rFonts w:hint="default" w:ascii="Times New Roman" w:hAnsi="Times New Roman" w:eastAsia="黑体" w:cs="Times New Roman"/>
          <w:b w:val="0"/>
          <w:color w:val="auto"/>
          <w:sz w:val="24"/>
          <w:szCs w:val="24"/>
          <w:highlight w:val="none"/>
        </w:rPr>
        <w:t>3.1 监理人的职责和权力</w:t>
      </w:r>
      <w:bookmarkEnd w:id="548"/>
      <w:bookmarkEnd w:id="549"/>
      <w:bookmarkEnd w:id="550"/>
      <w:bookmarkEnd w:id="551"/>
      <w:bookmarkEnd w:id="552"/>
      <w:r>
        <w:rPr>
          <w:rFonts w:hint="default" w:ascii="Times New Roman" w:hAnsi="Times New Roman" w:eastAsia="黑体" w:cs="Times New Roman"/>
          <w:b w:val="0"/>
          <w:color w:val="auto"/>
          <w:sz w:val="24"/>
          <w:szCs w:val="24"/>
          <w:highlight w:val="none"/>
        </w:rPr>
        <w:t xml:space="preserve"> </w:t>
      </w:r>
    </w:p>
    <w:p w14:paraId="0980B84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3.1.1 监理人受发包人委托，享有合同约定的权力。监理人在行使某项权力前需要经发包人事先批准而通用合同条款没有指明的，应在专用合同条款中指明。</w:t>
      </w:r>
    </w:p>
    <w:p w14:paraId="18CD8FE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3.1.2 监理人发出的任何指示应视为已得到发包人的批准，但监理人无权免除或变更合同约定的发包人和承包人的权利、义务和责任。</w:t>
      </w:r>
    </w:p>
    <w:p w14:paraId="726EF76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3.1.3 合同约定应由承包人承担的义务和责任，不因监理人对承包人提交文件的审查或批准，对工程、材料和设备的检查和检验，以及为实施监理作出的指示等职务行为而减轻或解除。</w:t>
      </w:r>
    </w:p>
    <w:p w14:paraId="294559F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53" w:name="_Toc4457"/>
      <w:bookmarkStart w:id="554" w:name="_Toc234832991"/>
      <w:bookmarkStart w:id="555" w:name="_Toc8512"/>
      <w:bookmarkStart w:id="556" w:name="_Toc8960"/>
      <w:bookmarkStart w:id="557" w:name="_Toc2593"/>
      <w:r>
        <w:rPr>
          <w:rFonts w:hint="default" w:ascii="Times New Roman" w:hAnsi="Times New Roman" w:eastAsia="黑体" w:cs="Times New Roman"/>
          <w:b w:val="0"/>
          <w:color w:val="auto"/>
          <w:sz w:val="24"/>
          <w:szCs w:val="24"/>
          <w:highlight w:val="none"/>
        </w:rPr>
        <w:t>3.2 总监理工程师</w:t>
      </w:r>
      <w:bookmarkEnd w:id="553"/>
      <w:bookmarkEnd w:id="554"/>
      <w:bookmarkEnd w:id="555"/>
      <w:bookmarkEnd w:id="556"/>
      <w:bookmarkEnd w:id="557"/>
    </w:p>
    <w:p w14:paraId="6A75FFB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发包人应在发出开工通知前将总监理工程师的任命通知承包人。总监理工程师更换时，应在调离14天前通知承包人。总监理工程师短期离开施工场地的，应委派代表代行其职责，并通知承包人。</w:t>
      </w:r>
    </w:p>
    <w:p w14:paraId="3EDA4BE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58" w:name="_Toc26577"/>
      <w:bookmarkStart w:id="559" w:name="_Toc234832992"/>
      <w:bookmarkStart w:id="560" w:name="_Toc28836"/>
      <w:bookmarkStart w:id="561" w:name="_Toc2208"/>
      <w:bookmarkStart w:id="562" w:name="_Toc25149"/>
      <w:r>
        <w:rPr>
          <w:rFonts w:hint="default" w:ascii="Times New Roman" w:hAnsi="Times New Roman" w:eastAsia="黑体" w:cs="Times New Roman"/>
          <w:b w:val="0"/>
          <w:color w:val="auto"/>
          <w:sz w:val="24"/>
          <w:szCs w:val="24"/>
          <w:highlight w:val="none"/>
        </w:rPr>
        <w:t>3.3 监理人员</w:t>
      </w:r>
      <w:bookmarkEnd w:id="558"/>
      <w:bookmarkEnd w:id="559"/>
      <w:bookmarkEnd w:id="560"/>
      <w:bookmarkEnd w:id="561"/>
      <w:bookmarkEnd w:id="562"/>
    </w:p>
    <w:p w14:paraId="772A1FD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3A20A95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3.3.2 监理人员对承包人的任何工作、工程或其采用的材料和工程设备未在约定的或合理的期限内提出否定意见的，视为已获批准，但不影响监理人在以后拒绝该项工作、工程、材料或工程设备的权利。</w:t>
      </w:r>
    </w:p>
    <w:p w14:paraId="71BC3B7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3.3.3 承包人对总监理工程师授权的监理人员发出的指示有疑问的，可向总监理工程师提出书面异议，总监理工程师应在48小时内对该指示予以确认、更改或撤销。</w:t>
      </w:r>
    </w:p>
    <w:p w14:paraId="2116BDE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3.3.4 除专用合同条款另有约定外，总监理工程师不应将第3.5款约定应由总监理工程师作出确定的权力授权或委托给其他监理人员。</w:t>
      </w:r>
    </w:p>
    <w:p w14:paraId="4A3AA38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63" w:name="_Toc1056"/>
      <w:bookmarkStart w:id="564" w:name="_Toc234832993"/>
      <w:bookmarkStart w:id="565" w:name="_Toc12482"/>
      <w:bookmarkStart w:id="566" w:name="_Toc31668"/>
      <w:bookmarkStart w:id="567" w:name="_Toc12190"/>
      <w:r>
        <w:rPr>
          <w:rFonts w:hint="default" w:ascii="Times New Roman" w:hAnsi="Times New Roman" w:eastAsia="黑体" w:cs="Times New Roman"/>
          <w:b w:val="0"/>
          <w:color w:val="auto"/>
          <w:sz w:val="24"/>
          <w:szCs w:val="24"/>
          <w:highlight w:val="none"/>
        </w:rPr>
        <w:t>3.4 监理人的指示</w:t>
      </w:r>
      <w:bookmarkEnd w:id="563"/>
      <w:bookmarkEnd w:id="564"/>
      <w:bookmarkEnd w:id="565"/>
      <w:bookmarkEnd w:id="566"/>
      <w:bookmarkEnd w:id="567"/>
    </w:p>
    <w:p w14:paraId="0D86498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3.4.1 监理人应按第3.1款的约定向承包人发出指示，监理人的指示应盖有监理人授权的施工场地机构章，并由总监理工程师或总监理工程师按第3.3.1项约定授权的监理人员签字。</w:t>
      </w:r>
    </w:p>
    <w:p w14:paraId="4AB4656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3.4.2 承包人收到监理人按第3.4.1项作出的指示后应遵照执行。指示构成变更的，应按第15条处理。</w:t>
      </w:r>
    </w:p>
    <w:p w14:paraId="29E8E35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1CFE5BC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3.4.4 除合同另有约定外，承包人只从总监理工程师或按第3.3.1项被授权的监理人员处取得指示。</w:t>
      </w:r>
    </w:p>
    <w:p w14:paraId="4E91DFF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3.4.5 由于监理人未能按合同约定发出指示、指示延误或指示错误而导致承包人费用增加和（或）工期延误的，由发包人承担赔偿责任。 </w:t>
      </w:r>
    </w:p>
    <w:p w14:paraId="1AA87CA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68" w:name="_Toc234832994"/>
      <w:bookmarkStart w:id="569" w:name="_Toc3027"/>
      <w:bookmarkStart w:id="570" w:name="_Toc13069"/>
      <w:bookmarkStart w:id="571" w:name="_Toc7716"/>
      <w:bookmarkStart w:id="572" w:name="_Toc9828"/>
      <w:r>
        <w:rPr>
          <w:rFonts w:hint="default" w:ascii="Times New Roman" w:hAnsi="Times New Roman" w:eastAsia="黑体" w:cs="Times New Roman"/>
          <w:b w:val="0"/>
          <w:color w:val="auto"/>
          <w:sz w:val="24"/>
          <w:szCs w:val="24"/>
          <w:highlight w:val="none"/>
        </w:rPr>
        <w:t>3.5商定或确定</w:t>
      </w:r>
      <w:bookmarkEnd w:id="568"/>
      <w:bookmarkEnd w:id="569"/>
      <w:bookmarkEnd w:id="570"/>
      <w:bookmarkEnd w:id="571"/>
      <w:bookmarkEnd w:id="572"/>
    </w:p>
    <w:p w14:paraId="0CD9BCE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3.5.1合同约定总监理工程师应按照本款对任何事项进行商定或确定时，总监理工程师应与合同当事人协商，尽量达成一致。不能达成一致的，总监理工程师应认真研究后审慎确定。</w:t>
      </w:r>
    </w:p>
    <w:p w14:paraId="1441FDA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3.5.2 总监理工程师应将商定或确定的事项通知合同当事人，并附详细依据。对总监理工程师的确定有异议的，</w:t>
      </w:r>
      <w:r>
        <w:rPr>
          <w:rFonts w:hint="default" w:ascii="Times New Roman" w:hAnsi="Times New Roman" w:cs="Times New Roman"/>
          <w:iCs/>
          <w:color w:val="auto"/>
          <w:sz w:val="24"/>
          <w:highlight w:val="none"/>
        </w:rPr>
        <w:t>构成争议，</w:t>
      </w:r>
      <w:r>
        <w:rPr>
          <w:rFonts w:hint="default" w:ascii="Times New Roman" w:hAnsi="Times New Roman" w:cs="Times New Roman"/>
          <w:color w:val="auto"/>
          <w:sz w:val="24"/>
          <w:highlight w:val="none"/>
        </w:rPr>
        <w:t>按照第24条的约定处理。在争议解决前，双方应暂按总监理工程师的确定执行，按照第24条的约定对总监理工程师的确定作出修改的，按修改后的结果执行。</w:t>
      </w:r>
    </w:p>
    <w:p w14:paraId="294A4B03">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573" w:name="_Toc234832995"/>
      <w:bookmarkStart w:id="574" w:name="_Toc6619"/>
      <w:bookmarkStart w:id="575" w:name="_Toc1630"/>
      <w:bookmarkStart w:id="576" w:name="_Toc30028"/>
      <w:bookmarkStart w:id="577" w:name="_Toc9721"/>
      <w:r>
        <w:rPr>
          <w:rFonts w:hint="default" w:ascii="Times New Roman" w:hAnsi="Times New Roman" w:eastAsia="黑体" w:cs="Times New Roman"/>
          <w:b w:val="0"/>
          <w:color w:val="auto"/>
          <w:sz w:val="28"/>
          <w:szCs w:val="28"/>
          <w:highlight w:val="none"/>
        </w:rPr>
        <w:t>4. 承包人</w:t>
      </w:r>
      <w:bookmarkEnd w:id="573"/>
      <w:bookmarkEnd w:id="574"/>
      <w:bookmarkEnd w:id="575"/>
      <w:bookmarkEnd w:id="576"/>
      <w:bookmarkEnd w:id="577"/>
    </w:p>
    <w:p w14:paraId="46332B2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78" w:name="_Toc234832996"/>
      <w:bookmarkStart w:id="579" w:name="_Toc25150"/>
      <w:bookmarkStart w:id="580" w:name="_Toc30908"/>
      <w:bookmarkStart w:id="581" w:name="_Toc21919"/>
      <w:bookmarkStart w:id="582" w:name="_Toc20434"/>
      <w:r>
        <w:rPr>
          <w:rFonts w:hint="default" w:ascii="Times New Roman" w:hAnsi="Times New Roman" w:eastAsia="黑体" w:cs="Times New Roman"/>
          <w:b w:val="0"/>
          <w:color w:val="auto"/>
          <w:sz w:val="24"/>
          <w:szCs w:val="24"/>
          <w:highlight w:val="none"/>
        </w:rPr>
        <w:t>4.1 承包人的一般义务</w:t>
      </w:r>
      <w:bookmarkEnd w:id="578"/>
      <w:bookmarkEnd w:id="579"/>
      <w:bookmarkEnd w:id="580"/>
      <w:bookmarkEnd w:id="581"/>
      <w:bookmarkEnd w:id="582"/>
    </w:p>
    <w:p w14:paraId="64908E3A">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4.1.1 </w:t>
      </w:r>
      <w:r>
        <w:rPr>
          <w:rFonts w:hint="default" w:ascii="Times New Roman" w:hAnsi="Times New Roman" w:eastAsia="黑体" w:cs="Times New Roman"/>
          <w:color w:val="auto"/>
          <w:sz w:val="24"/>
          <w:highlight w:val="none"/>
        </w:rPr>
        <w:t>遵守法律</w:t>
      </w:r>
    </w:p>
    <w:p w14:paraId="7124AF01">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承包人在履行合同过程中应遵守法律，并保证发包人免于承担因承包人违反法律而引起的任何责任。</w:t>
      </w:r>
    </w:p>
    <w:p w14:paraId="0A8D1B73">
      <w:pPr>
        <w:pageBreakBefore w:val="0"/>
        <w:kinsoku/>
        <w:wordWrap w:val="0"/>
        <w:bidi w:val="0"/>
        <w:spacing w:line="400" w:lineRule="atLeast"/>
        <w:ind w:firstLine="468" w:firstLineChars="195"/>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4.1.2 </w:t>
      </w:r>
      <w:r>
        <w:rPr>
          <w:rFonts w:hint="default" w:ascii="Times New Roman" w:hAnsi="Times New Roman" w:eastAsia="黑体" w:cs="Times New Roman"/>
          <w:color w:val="auto"/>
          <w:sz w:val="24"/>
          <w:highlight w:val="none"/>
        </w:rPr>
        <w:t>依法纳税</w:t>
      </w:r>
    </w:p>
    <w:p w14:paraId="0CB443DC">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承包人应按有关法律规定纳税，应缴纳的税金包括在合同价格内。</w:t>
      </w:r>
    </w:p>
    <w:p w14:paraId="583B0EF7">
      <w:pPr>
        <w:pageBreakBefore w:val="0"/>
        <w:kinsoku/>
        <w:wordWrap w:val="0"/>
        <w:bidi w:val="0"/>
        <w:spacing w:line="400" w:lineRule="atLeast"/>
        <w:ind w:firstLine="468" w:firstLineChars="195"/>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4.1.3 </w:t>
      </w:r>
      <w:r>
        <w:rPr>
          <w:rFonts w:hint="default" w:ascii="Times New Roman" w:hAnsi="Times New Roman" w:eastAsia="黑体" w:cs="Times New Roman"/>
          <w:color w:val="auto"/>
          <w:sz w:val="24"/>
          <w:highlight w:val="none"/>
        </w:rPr>
        <w:t>完成各项承包工作</w:t>
      </w:r>
    </w:p>
    <w:p w14:paraId="4D2281F7">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1D8EA959">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4.1.4 对施工作业和施工方法的完备性负责</w:t>
      </w:r>
    </w:p>
    <w:p w14:paraId="6CF6F7D9">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承包人应按合同约定的工作内容和施工进度要求，编制施工组织设计和施工措施计划，并对所有施工作业和施工方法的完备性和安全可靠性负责。</w:t>
      </w:r>
    </w:p>
    <w:p w14:paraId="14A814FC">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4.1.5</w:t>
      </w:r>
      <w:r>
        <w:rPr>
          <w:rFonts w:hint="default" w:ascii="Times New Roman" w:hAnsi="Times New Roman" w:eastAsia="黑体" w:cs="Times New Roman"/>
          <w:color w:val="auto"/>
          <w:sz w:val="24"/>
          <w:highlight w:val="none"/>
        </w:rPr>
        <w:t xml:space="preserve"> 保证工程施工和人员的安全</w:t>
      </w:r>
    </w:p>
    <w:p w14:paraId="5B7E3D6A">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承包人应按第9.2款约定采取施工安全措施，确保工程及其人员、材料、设备和设施的安全，防止因工程施工造成的人身伤害和财产损失。</w:t>
      </w:r>
    </w:p>
    <w:p w14:paraId="65C53520">
      <w:pPr>
        <w:pageBreakBefore w:val="0"/>
        <w:kinsoku/>
        <w:wordWrap w:val="0"/>
        <w:bidi w:val="0"/>
        <w:spacing w:line="400" w:lineRule="atLeast"/>
        <w:ind w:firstLine="468" w:firstLineChars="195"/>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4.1.6 </w:t>
      </w:r>
      <w:r>
        <w:rPr>
          <w:rFonts w:hint="default" w:ascii="Times New Roman" w:hAnsi="Times New Roman" w:eastAsia="黑体" w:cs="Times New Roman"/>
          <w:color w:val="auto"/>
          <w:sz w:val="24"/>
          <w:highlight w:val="none"/>
        </w:rPr>
        <w:t>负责施工场地及其周边环境与生态的保护工作</w:t>
      </w:r>
    </w:p>
    <w:p w14:paraId="1A0A8F83">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承包人应按照第9.4款约定负责施工场地及其周边环境与生态的保护工作。</w:t>
      </w:r>
    </w:p>
    <w:p w14:paraId="25D8FA38">
      <w:pPr>
        <w:pageBreakBefore w:val="0"/>
        <w:kinsoku/>
        <w:wordWrap w:val="0"/>
        <w:bidi w:val="0"/>
        <w:spacing w:line="400" w:lineRule="atLeast"/>
        <w:ind w:firstLine="468" w:firstLineChars="195"/>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4.1.7 </w:t>
      </w:r>
      <w:r>
        <w:rPr>
          <w:rFonts w:hint="default" w:ascii="Times New Roman" w:hAnsi="Times New Roman" w:eastAsia="黑体" w:cs="Times New Roman"/>
          <w:color w:val="auto"/>
          <w:sz w:val="24"/>
          <w:highlight w:val="none"/>
        </w:rPr>
        <w:t>避免施工对公众与他人的利益造成损害</w:t>
      </w:r>
    </w:p>
    <w:p w14:paraId="22217289">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4645942">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4.1.8 </w:t>
      </w:r>
      <w:r>
        <w:rPr>
          <w:rFonts w:hint="default" w:ascii="Times New Roman" w:hAnsi="Times New Roman" w:eastAsia="黑体" w:cs="Times New Roman"/>
          <w:color w:val="auto"/>
          <w:sz w:val="24"/>
          <w:highlight w:val="none"/>
        </w:rPr>
        <w:t>为他人提供方便</w:t>
      </w:r>
    </w:p>
    <w:p w14:paraId="077267FF">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承包人应按监理人的指示为他人在施工场地或附近实施与工程有关的其他各项工作提供可能的条件。除合同另有约定外，提供有关条件的内容和可能发生的费用，由监理人按第3.5款商定或确定。</w:t>
      </w:r>
    </w:p>
    <w:p w14:paraId="104AFBAB">
      <w:pPr>
        <w:pageBreakBefore w:val="0"/>
        <w:kinsoku/>
        <w:wordWrap w:val="0"/>
        <w:bidi w:val="0"/>
        <w:spacing w:line="400" w:lineRule="atLeast"/>
        <w:ind w:firstLine="468" w:firstLineChars="195"/>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4.1.9 </w:t>
      </w:r>
      <w:r>
        <w:rPr>
          <w:rFonts w:hint="default" w:ascii="Times New Roman" w:hAnsi="Times New Roman" w:eastAsia="黑体" w:cs="Times New Roman"/>
          <w:color w:val="auto"/>
          <w:sz w:val="24"/>
          <w:highlight w:val="none"/>
        </w:rPr>
        <w:t>工程的维护和照管</w:t>
      </w:r>
    </w:p>
    <w:p w14:paraId="1B86F42F">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工程接收证书颁发前，承包人应负责照管和维护工程。工程接收证书颁发时尚有部分未竣工工程的，承包人还应负责该未竣工工程的照管和维护工作，直至竣工后移交给发包人为止。</w:t>
      </w:r>
    </w:p>
    <w:p w14:paraId="4F84CC77">
      <w:pPr>
        <w:pageBreakBefore w:val="0"/>
        <w:kinsoku/>
        <w:wordWrap w:val="0"/>
        <w:bidi w:val="0"/>
        <w:spacing w:line="400" w:lineRule="atLeast"/>
        <w:ind w:firstLine="468" w:firstLineChars="195"/>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4.1.10 </w:t>
      </w:r>
      <w:r>
        <w:rPr>
          <w:rFonts w:hint="default" w:ascii="Times New Roman" w:hAnsi="Times New Roman" w:eastAsia="黑体" w:cs="Times New Roman"/>
          <w:color w:val="auto"/>
          <w:sz w:val="24"/>
          <w:highlight w:val="none"/>
        </w:rPr>
        <w:t>其他义务</w:t>
      </w:r>
    </w:p>
    <w:p w14:paraId="1D4044AF">
      <w:pPr>
        <w:pageBreakBefore w:val="0"/>
        <w:kinsoku/>
        <w:wordWrap w:val="0"/>
        <w:bidi w:val="0"/>
        <w:spacing w:line="400" w:lineRule="atLeast"/>
        <w:ind w:firstLine="468" w:firstLineChars="19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承包人应履行合同约定的其他义务。</w:t>
      </w:r>
    </w:p>
    <w:p w14:paraId="3C11884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83" w:name="_Toc11867"/>
      <w:bookmarkStart w:id="584" w:name="_Toc30774"/>
      <w:bookmarkStart w:id="585" w:name="_Toc15934"/>
      <w:bookmarkStart w:id="586" w:name="_Toc3711"/>
      <w:bookmarkStart w:id="587" w:name="_Toc234832997"/>
      <w:r>
        <w:rPr>
          <w:rFonts w:hint="default" w:ascii="Times New Roman" w:hAnsi="Times New Roman" w:eastAsia="黑体" w:cs="Times New Roman"/>
          <w:b w:val="0"/>
          <w:color w:val="auto"/>
          <w:sz w:val="24"/>
          <w:szCs w:val="24"/>
          <w:highlight w:val="none"/>
        </w:rPr>
        <w:t>4.2 履约担保</w:t>
      </w:r>
      <w:bookmarkEnd w:id="583"/>
      <w:bookmarkEnd w:id="584"/>
      <w:bookmarkEnd w:id="585"/>
      <w:bookmarkEnd w:id="586"/>
      <w:bookmarkEnd w:id="587"/>
    </w:p>
    <w:p w14:paraId="44BA95B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承包人应保证其履约担保在发包人颁发工程接收证书前一直有效。发包人应在工程接收证书颁发后28天内把履约担保退还给承包人。</w:t>
      </w:r>
    </w:p>
    <w:p w14:paraId="3630CE4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88" w:name="_Toc234832998"/>
      <w:bookmarkStart w:id="589" w:name="_Toc17914"/>
      <w:bookmarkStart w:id="590" w:name="_Toc3877"/>
      <w:bookmarkStart w:id="591" w:name="_Toc1459"/>
      <w:bookmarkStart w:id="592" w:name="_Toc24336"/>
      <w:r>
        <w:rPr>
          <w:rFonts w:hint="default" w:ascii="Times New Roman" w:hAnsi="Times New Roman" w:eastAsia="黑体" w:cs="Times New Roman"/>
          <w:b w:val="0"/>
          <w:color w:val="auto"/>
          <w:sz w:val="24"/>
          <w:szCs w:val="24"/>
          <w:highlight w:val="none"/>
        </w:rPr>
        <w:t>4.3 分包</w:t>
      </w:r>
      <w:bookmarkEnd w:id="588"/>
      <w:bookmarkEnd w:id="589"/>
      <w:bookmarkEnd w:id="590"/>
      <w:bookmarkEnd w:id="591"/>
      <w:bookmarkEnd w:id="592"/>
    </w:p>
    <w:p w14:paraId="01EE035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4.3.1 承包人不得将其承包的全部工程转包给第三人，或将其承包的全部工程肢解后以分包的名义转包给第三人。</w:t>
      </w:r>
    </w:p>
    <w:p w14:paraId="6C6B378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4.3.2 承包人不得将工程主体、关键性工作分包给第三人。除专用合同条款另有约定外，未经发包人同意，承包人不得将工程的其他部分或工作分包给第三人。</w:t>
      </w:r>
    </w:p>
    <w:p w14:paraId="1D445AD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4.3.3分包人的资格能力应与其分包工程的标准和规模相适应。</w:t>
      </w:r>
    </w:p>
    <w:p w14:paraId="5041B01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4.3.4按投标函附录约定分包工程的，承包人应向发包人和监理人提交分包合同副本。</w:t>
      </w:r>
    </w:p>
    <w:p w14:paraId="616D988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4.3.5承包人应与分包人就分包工程向发包人承担连带责任。</w:t>
      </w:r>
    </w:p>
    <w:p w14:paraId="3DDC7C2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93" w:name="_Toc4870"/>
      <w:bookmarkStart w:id="594" w:name="_Toc234832999"/>
      <w:bookmarkStart w:id="595" w:name="_Toc16004"/>
      <w:bookmarkStart w:id="596" w:name="_Toc32164"/>
      <w:bookmarkStart w:id="597" w:name="_Toc3204"/>
      <w:r>
        <w:rPr>
          <w:rFonts w:hint="default" w:ascii="Times New Roman" w:hAnsi="Times New Roman" w:eastAsia="黑体" w:cs="Times New Roman"/>
          <w:b w:val="0"/>
          <w:color w:val="auto"/>
          <w:sz w:val="24"/>
          <w:szCs w:val="24"/>
          <w:highlight w:val="none"/>
        </w:rPr>
        <w:t>4.4联合体</w:t>
      </w:r>
      <w:bookmarkEnd w:id="593"/>
      <w:bookmarkEnd w:id="594"/>
      <w:bookmarkEnd w:id="595"/>
      <w:bookmarkEnd w:id="596"/>
      <w:bookmarkEnd w:id="597"/>
    </w:p>
    <w:p w14:paraId="0167C91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4.4.1 联合体各方应共同与发包人签订合同协议书。联合体各方应为履行合同承担连带责任。</w:t>
      </w:r>
    </w:p>
    <w:p w14:paraId="448612D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4.4.2 </w:t>
      </w:r>
      <w:r>
        <w:rPr>
          <w:rFonts w:hint="default" w:ascii="Times New Roman" w:hAnsi="Times New Roman" w:cs="Times New Roman"/>
          <w:iCs/>
          <w:color w:val="auto"/>
          <w:sz w:val="24"/>
          <w:highlight w:val="none"/>
        </w:rPr>
        <w:t>联合体协议经发包人确认后作为合同附件。</w:t>
      </w:r>
      <w:r>
        <w:rPr>
          <w:rFonts w:hint="default" w:ascii="Times New Roman" w:hAnsi="Times New Roman" w:cs="Times New Roman"/>
          <w:color w:val="auto"/>
          <w:sz w:val="24"/>
          <w:highlight w:val="none"/>
        </w:rPr>
        <w:t>在履行合同过程中，未经发包人同意，不得修改联合体协议。</w:t>
      </w:r>
    </w:p>
    <w:p w14:paraId="1AA0BAB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4.4.3 联合体牵头人负责与发包人和监理人联系，并接受指示，负责组织联合体各成员全面履行合同。</w:t>
      </w:r>
    </w:p>
    <w:p w14:paraId="7FF2540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598" w:name="_Toc25555"/>
      <w:bookmarkStart w:id="599" w:name="_Toc30493"/>
      <w:bookmarkStart w:id="600" w:name="_Toc234833000"/>
      <w:bookmarkStart w:id="601" w:name="_Toc19688"/>
      <w:bookmarkStart w:id="602" w:name="_Toc29702"/>
      <w:r>
        <w:rPr>
          <w:rFonts w:hint="default" w:ascii="Times New Roman" w:hAnsi="Times New Roman" w:eastAsia="黑体" w:cs="Times New Roman"/>
          <w:b w:val="0"/>
          <w:color w:val="auto"/>
          <w:sz w:val="24"/>
          <w:szCs w:val="24"/>
          <w:highlight w:val="none"/>
        </w:rPr>
        <w:t>4.5 承包人项目经理</w:t>
      </w:r>
      <w:bookmarkEnd w:id="598"/>
      <w:bookmarkEnd w:id="599"/>
      <w:bookmarkEnd w:id="600"/>
      <w:bookmarkEnd w:id="601"/>
      <w:bookmarkEnd w:id="602"/>
    </w:p>
    <w:p w14:paraId="397D732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681D44C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48D5F24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4.5.3承包人为履行合同发出的一切函件均应盖有承包人授权的施工场地管理机构章，并由承包人项目经理或其授权代表签字。</w:t>
      </w:r>
    </w:p>
    <w:p w14:paraId="37417E4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4.5.4 承包人项目经理可以授权其下属人员履行其某项职责，但事先应将这些人员的姓名和授权范围通知监理人。</w:t>
      </w:r>
    </w:p>
    <w:p w14:paraId="69FF38A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03" w:name="_Toc32486"/>
      <w:bookmarkStart w:id="604" w:name="_Toc234833001"/>
      <w:bookmarkStart w:id="605" w:name="_Toc23442"/>
      <w:bookmarkStart w:id="606" w:name="_Toc1378"/>
      <w:bookmarkStart w:id="607" w:name="_Toc30705"/>
      <w:r>
        <w:rPr>
          <w:rFonts w:hint="default" w:ascii="Times New Roman" w:hAnsi="Times New Roman" w:eastAsia="黑体" w:cs="Times New Roman"/>
          <w:b w:val="0"/>
          <w:color w:val="auto"/>
          <w:sz w:val="24"/>
          <w:szCs w:val="24"/>
          <w:highlight w:val="none"/>
        </w:rPr>
        <w:t>4.6 承包人人员的管理</w:t>
      </w:r>
      <w:bookmarkEnd w:id="603"/>
      <w:bookmarkEnd w:id="604"/>
      <w:bookmarkEnd w:id="605"/>
      <w:bookmarkEnd w:id="606"/>
      <w:bookmarkEnd w:id="607"/>
    </w:p>
    <w:p w14:paraId="5A9F045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6585236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4.6.2 为完成合同约定的各项工作，承包人应向施工场地派遣或雇佣足够数量的下列人员：</w:t>
      </w:r>
    </w:p>
    <w:p w14:paraId="6A691B4B">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（1）具有相应资格的专业技工和合格的普工；</w:t>
      </w:r>
    </w:p>
    <w:p w14:paraId="3A679290">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（2）具有相应施工经验的技术人员；</w:t>
      </w:r>
    </w:p>
    <w:p w14:paraId="2A64019C">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（3）具有相应岗位资格的各级管理人员。</w:t>
      </w:r>
    </w:p>
    <w:p w14:paraId="2E1BA61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4.6.3 承包人安排在施工场地的主要管理人员和技术骨干应相对稳定。承包人更换主要管理人员和技术骨干时，应取得监理人的同意。</w:t>
      </w:r>
    </w:p>
    <w:p w14:paraId="39E8031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4.6.4 特殊岗位的工作人员均应持有相应的资格证明，监理人有权随时检查。监理人认为有必要时，可进行现场考核。</w:t>
      </w:r>
    </w:p>
    <w:p w14:paraId="2872D05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08" w:name="_Toc16860"/>
      <w:bookmarkStart w:id="609" w:name="_Toc29162"/>
      <w:bookmarkStart w:id="610" w:name="_Toc19924"/>
      <w:bookmarkStart w:id="611" w:name="_Toc25941"/>
      <w:bookmarkStart w:id="612" w:name="_Toc234833002"/>
      <w:r>
        <w:rPr>
          <w:rFonts w:hint="default" w:ascii="Times New Roman" w:hAnsi="Times New Roman" w:eastAsia="黑体" w:cs="Times New Roman"/>
          <w:b w:val="0"/>
          <w:color w:val="auto"/>
          <w:sz w:val="24"/>
          <w:szCs w:val="24"/>
          <w:highlight w:val="none"/>
        </w:rPr>
        <w:t>4.7 撤换承包人项目经理和其他人员</w:t>
      </w:r>
      <w:bookmarkEnd w:id="608"/>
      <w:bookmarkEnd w:id="609"/>
      <w:bookmarkEnd w:id="610"/>
      <w:bookmarkEnd w:id="611"/>
      <w:bookmarkEnd w:id="612"/>
    </w:p>
    <w:p w14:paraId="4D4D6D2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承包人应对其项目经理和其他人员进行有效管理。监理人要求撤换不能胜任本职工作、行为不端或玩忽职守的承包人项目经理和其他人员的，承包人应予以撤换。</w:t>
      </w:r>
    </w:p>
    <w:p w14:paraId="79BA112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13" w:name="_Toc234833003"/>
      <w:bookmarkStart w:id="614" w:name="_Toc9913"/>
      <w:bookmarkStart w:id="615" w:name="_Toc5844"/>
      <w:bookmarkStart w:id="616" w:name="_Toc514"/>
      <w:bookmarkStart w:id="617" w:name="_Toc2159"/>
      <w:r>
        <w:rPr>
          <w:rFonts w:hint="default" w:ascii="Times New Roman" w:hAnsi="Times New Roman" w:eastAsia="黑体" w:cs="Times New Roman"/>
          <w:b w:val="0"/>
          <w:color w:val="auto"/>
          <w:sz w:val="24"/>
          <w:szCs w:val="24"/>
          <w:highlight w:val="none"/>
        </w:rPr>
        <w:t>4.8 保障承包人人员的合法权益</w:t>
      </w:r>
      <w:bookmarkEnd w:id="613"/>
      <w:bookmarkEnd w:id="614"/>
      <w:bookmarkEnd w:id="615"/>
      <w:bookmarkEnd w:id="616"/>
      <w:bookmarkEnd w:id="617"/>
    </w:p>
    <w:p w14:paraId="0CAB056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4.8.1 承包人应与其雇佣的人员签订劳动合同，并按时发放工资。</w:t>
      </w:r>
    </w:p>
    <w:p w14:paraId="3C24CDE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4.8.2 承包人应按劳动法的规定安排工作时间，保证其雇佣人员享有休息和休假的权利。因工程施工的特殊需要占用休假日或延长工作时间的，应不超过法律规定的限度，并按法律规定给予补休或付酬。</w:t>
      </w:r>
    </w:p>
    <w:p w14:paraId="4DCAB6C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4.8.3 承包人应为其雇佣人员提供必要的食宿条件，以及符合环境保护和卫生要求的生活环境，在远离城镇的施工场地，还应配备必要的伤病防治和急救的医务人员与医疗设施。</w:t>
      </w:r>
    </w:p>
    <w:p w14:paraId="5A7AF67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21E343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4.8.5 承包人应按有关法律规定和合同约定，为其雇佣人员办理保险。</w:t>
      </w:r>
    </w:p>
    <w:p w14:paraId="6A3465A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4.8.6 承包人应负责处理其雇佣人员因工伤亡事故的善后事宜。</w:t>
      </w:r>
    </w:p>
    <w:p w14:paraId="30C2120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18" w:name="_Toc1107"/>
      <w:bookmarkStart w:id="619" w:name="_Toc234833004"/>
      <w:bookmarkStart w:id="620" w:name="_Toc29044"/>
      <w:bookmarkStart w:id="621" w:name="_Toc27171"/>
      <w:bookmarkStart w:id="622" w:name="_Toc5051"/>
      <w:r>
        <w:rPr>
          <w:rFonts w:hint="default" w:ascii="Times New Roman" w:hAnsi="Times New Roman" w:eastAsia="黑体" w:cs="Times New Roman"/>
          <w:b w:val="0"/>
          <w:color w:val="auto"/>
          <w:sz w:val="24"/>
          <w:szCs w:val="24"/>
          <w:highlight w:val="none"/>
        </w:rPr>
        <w:t>4.9 工程价款应专款专用</w:t>
      </w:r>
      <w:bookmarkEnd w:id="618"/>
      <w:bookmarkEnd w:id="619"/>
      <w:bookmarkEnd w:id="620"/>
      <w:bookmarkEnd w:id="621"/>
      <w:bookmarkEnd w:id="622"/>
    </w:p>
    <w:p w14:paraId="61EA0D48">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发包人按合同约定支付给承包人的各项价款应专用于合同工程。</w:t>
      </w:r>
    </w:p>
    <w:p w14:paraId="2227B53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23" w:name="_Toc234833005"/>
      <w:bookmarkStart w:id="624" w:name="_Toc9152"/>
      <w:bookmarkStart w:id="625" w:name="_Toc7089"/>
      <w:bookmarkStart w:id="626" w:name="_Toc28976"/>
      <w:bookmarkStart w:id="627" w:name="_Toc25811"/>
      <w:r>
        <w:rPr>
          <w:rFonts w:hint="default" w:ascii="Times New Roman" w:hAnsi="Times New Roman" w:eastAsia="黑体" w:cs="Times New Roman"/>
          <w:b w:val="0"/>
          <w:color w:val="auto"/>
          <w:sz w:val="24"/>
          <w:szCs w:val="24"/>
          <w:highlight w:val="none"/>
        </w:rPr>
        <w:t>4.10 承包人现场查勘</w:t>
      </w:r>
      <w:bookmarkEnd w:id="623"/>
      <w:bookmarkEnd w:id="624"/>
      <w:bookmarkEnd w:id="625"/>
      <w:bookmarkEnd w:id="626"/>
      <w:bookmarkEnd w:id="627"/>
      <w:r>
        <w:rPr>
          <w:rFonts w:hint="default" w:ascii="Times New Roman" w:hAnsi="Times New Roman" w:eastAsia="黑体" w:cs="Times New Roman"/>
          <w:b w:val="0"/>
          <w:color w:val="auto"/>
          <w:sz w:val="24"/>
          <w:szCs w:val="24"/>
          <w:highlight w:val="none"/>
        </w:rPr>
        <w:t xml:space="preserve">    </w:t>
      </w:r>
    </w:p>
    <w:p w14:paraId="1AD747B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4.10.1 发包人应将其持有的现场地质勘探资料、水文气象资料提供给承包人，并对其准确性负责。但承包人应对其阅读上述有关资料后所作出的解释和推断负责。</w:t>
      </w:r>
    </w:p>
    <w:p w14:paraId="1C8814E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09860BD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28" w:name="_Toc17320"/>
      <w:bookmarkStart w:id="629" w:name="_Toc22483"/>
      <w:bookmarkStart w:id="630" w:name="_Toc234833006"/>
      <w:bookmarkStart w:id="631" w:name="_Toc9021"/>
      <w:bookmarkStart w:id="632" w:name="_Toc13491"/>
      <w:r>
        <w:rPr>
          <w:rFonts w:hint="default" w:ascii="Times New Roman" w:hAnsi="Times New Roman" w:eastAsia="黑体" w:cs="Times New Roman"/>
          <w:b w:val="0"/>
          <w:color w:val="auto"/>
          <w:sz w:val="24"/>
          <w:szCs w:val="24"/>
          <w:highlight w:val="none"/>
        </w:rPr>
        <w:t>4.11 不利物质条件</w:t>
      </w:r>
      <w:bookmarkEnd w:id="628"/>
      <w:bookmarkEnd w:id="629"/>
      <w:bookmarkEnd w:id="630"/>
      <w:bookmarkEnd w:id="631"/>
      <w:bookmarkEnd w:id="632"/>
    </w:p>
    <w:p w14:paraId="2BB235D9">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4.11.1不利物质条件，除专用合同条款另有约定外，是指承包人在施工场地遇到的不可预见的自然物质条件、非自然的物质障碍和污染物，包括地下和水文条件，但不包括气候条件。</w:t>
      </w:r>
    </w:p>
    <w:p w14:paraId="352B6CB6">
      <w:pPr>
        <w:pageBreakBefore w:val="0"/>
        <w:kinsoku/>
        <w:wordWrap w:val="0"/>
        <w:bidi w:val="0"/>
        <w:spacing w:line="400" w:lineRule="atLeast"/>
        <w:ind w:firstLine="420"/>
        <w:rPr>
          <w:rFonts w:hint="default" w:ascii="Times New Roman" w:hAnsi="Times New Roman" w:cs="Times New Roman"/>
          <w:iCs/>
          <w:color w:val="auto"/>
          <w:sz w:val="24"/>
          <w:highlight w:val="none"/>
        </w:rPr>
      </w:pPr>
      <w:r>
        <w:rPr>
          <w:rFonts w:hint="default" w:ascii="Times New Roman" w:hAnsi="Times New Roman" w:cs="Times New Roman"/>
          <w:iCs/>
          <w:color w:val="auto"/>
          <w:sz w:val="24"/>
          <w:highlight w:val="none"/>
        </w:rPr>
        <w:t>4.11.2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0376E8E6">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633" w:name="_Toc25496"/>
      <w:bookmarkStart w:id="634" w:name="_Toc2987"/>
      <w:bookmarkStart w:id="635" w:name="_Toc234833007"/>
      <w:bookmarkStart w:id="636" w:name="_Toc17106"/>
      <w:bookmarkStart w:id="637" w:name="_Toc4965"/>
      <w:r>
        <w:rPr>
          <w:rFonts w:hint="default" w:ascii="Times New Roman" w:hAnsi="Times New Roman" w:eastAsia="黑体" w:cs="Times New Roman"/>
          <w:b w:val="0"/>
          <w:color w:val="auto"/>
          <w:sz w:val="28"/>
          <w:szCs w:val="28"/>
          <w:highlight w:val="none"/>
        </w:rPr>
        <w:t>5. 材料和工程设备</w:t>
      </w:r>
      <w:bookmarkEnd w:id="633"/>
      <w:bookmarkEnd w:id="634"/>
      <w:bookmarkEnd w:id="635"/>
      <w:bookmarkEnd w:id="636"/>
      <w:bookmarkEnd w:id="637"/>
    </w:p>
    <w:p w14:paraId="7CD8C1A5">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38" w:name="_Toc234833008"/>
      <w:bookmarkStart w:id="639" w:name="_Toc17077"/>
      <w:bookmarkStart w:id="640" w:name="_Toc4914"/>
      <w:bookmarkStart w:id="641" w:name="_Toc20835"/>
      <w:bookmarkStart w:id="642" w:name="_Toc28474"/>
      <w:r>
        <w:rPr>
          <w:rFonts w:hint="default" w:ascii="Times New Roman" w:hAnsi="Times New Roman" w:eastAsia="黑体" w:cs="Times New Roman"/>
          <w:b w:val="0"/>
          <w:color w:val="auto"/>
          <w:sz w:val="24"/>
          <w:szCs w:val="24"/>
          <w:highlight w:val="none"/>
        </w:rPr>
        <w:t>5.1 承包人提供的材料和工程设备</w:t>
      </w:r>
      <w:bookmarkEnd w:id="638"/>
      <w:bookmarkEnd w:id="639"/>
      <w:bookmarkEnd w:id="640"/>
      <w:bookmarkEnd w:id="641"/>
      <w:bookmarkEnd w:id="642"/>
    </w:p>
    <w:p w14:paraId="023EC79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5.1.1 除专用合同条款另有约定外，承包人提供的材料和工程设备均由承包人负责采购、运输和保管。承包人应对其采购的材料和工程设备负责。</w:t>
      </w:r>
    </w:p>
    <w:p w14:paraId="6364882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5.1.2 承包人应按专用合同条款的约定，将各项材料和工程设备的供货人及品种、规格、数量和供货时间等报送监理人审批。承包人应向监理</w:t>
      </w:r>
      <w:r>
        <w:rPr>
          <w:rFonts w:hint="default" w:ascii="Times New Roman" w:hAnsi="Times New Roman" w:cs="Times New Roman"/>
          <w:iCs/>
          <w:color w:val="auto"/>
          <w:sz w:val="24"/>
          <w:highlight w:val="none"/>
        </w:rPr>
        <w:t>人</w:t>
      </w:r>
      <w:r>
        <w:rPr>
          <w:rFonts w:hint="default" w:ascii="Times New Roman" w:hAnsi="Times New Roman" w:cs="Times New Roman"/>
          <w:color w:val="auto"/>
          <w:sz w:val="24"/>
          <w:highlight w:val="none"/>
        </w:rPr>
        <w:t>提交其负责提供的材料和工程设备的质量证明文件，并满足合同约定的质量标准。</w:t>
      </w:r>
    </w:p>
    <w:p w14:paraId="5F1B00E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422347A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43" w:name="_Toc5584"/>
      <w:bookmarkStart w:id="644" w:name="_Toc17398"/>
      <w:bookmarkStart w:id="645" w:name="_Toc11854"/>
      <w:bookmarkStart w:id="646" w:name="_Toc234833009"/>
      <w:bookmarkStart w:id="647" w:name="_Toc1587"/>
      <w:r>
        <w:rPr>
          <w:rFonts w:hint="default" w:ascii="Times New Roman" w:hAnsi="Times New Roman" w:eastAsia="黑体" w:cs="Times New Roman"/>
          <w:b w:val="0"/>
          <w:color w:val="auto"/>
          <w:sz w:val="24"/>
          <w:szCs w:val="24"/>
          <w:highlight w:val="none"/>
        </w:rPr>
        <w:t>5.2 发包人提供的材料和工程设备</w:t>
      </w:r>
      <w:bookmarkEnd w:id="643"/>
      <w:bookmarkEnd w:id="644"/>
      <w:bookmarkEnd w:id="645"/>
      <w:bookmarkEnd w:id="646"/>
      <w:bookmarkEnd w:id="647"/>
    </w:p>
    <w:p w14:paraId="4AA8AF2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5.2.1 发包人提供的材料和工程设备，应在专用合同条款中写明材料和工程设备的名称、规格、数量、价格、交货方式、交货地点和计划交货日期等。</w:t>
      </w:r>
    </w:p>
    <w:p w14:paraId="46496F7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5.2.2 承包人应根据合同进度计划的安排，向监理人报送要求发包人交货的日期计划。发包人应按照监理人与合同双方当事人</w:t>
      </w:r>
      <w:r>
        <w:rPr>
          <w:rFonts w:hint="default" w:ascii="Times New Roman" w:hAnsi="Times New Roman" w:cs="Times New Roman"/>
          <w:iCs/>
          <w:color w:val="auto"/>
          <w:sz w:val="24"/>
          <w:highlight w:val="none"/>
        </w:rPr>
        <w:t>商定</w:t>
      </w:r>
      <w:r>
        <w:rPr>
          <w:rFonts w:hint="default" w:ascii="Times New Roman" w:hAnsi="Times New Roman" w:cs="Times New Roman"/>
          <w:color w:val="auto"/>
          <w:sz w:val="24"/>
          <w:highlight w:val="none"/>
        </w:rPr>
        <w:t>的交货日期，向承包人提交材料和工程设备。</w:t>
      </w:r>
    </w:p>
    <w:p w14:paraId="57AF02C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1E19E8C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5.2.4 发包人要求向承包人提前交货的，承包人不得拒绝，但发包人应承担承包人由此增加的费用。 </w:t>
      </w:r>
    </w:p>
    <w:p w14:paraId="418071C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5.2.5 承包人要求更改交货日期或地点的，应事先报请监理人批准。由于承包人要求更改交货时间或地点所增加的费用和（或）工期延误由承包人承担。 </w:t>
      </w:r>
    </w:p>
    <w:p w14:paraId="156D5AE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142A3EE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48" w:name="_Toc3308"/>
      <w:bookmarkStart w:id="649" w:name="_Toc23205"/>
      <w:bookmarkStart w:id="650" w:name="_Toc234833010"/>
      <w:bookmarkStart w:id="651" w:name="_Toc16074"/>
      <w:bookmarkStart w:id="652" w:name="_Toc32393"/>
      <w:r>
        <w:rPr>
          <w:rFonts w:hint="default" w:ascii="Times New Roman" w:hAnsi="Times New Roman" w:eastAsia="黑体" w:cs="Times New Roman"/>
          <w:b w:val="0"/>
          <w:color w:val="auto"/>
          <w:sz w:val="24"/>
          <w:szCs w:val="24"/>
          <w:highlight w:val="none"/>
        </w:rPr>
        <w:t>5.3 材料和工程设备专用于合同工程</w:t>
      </w:r>
      <w:bookmarkEnd w:id="648"/>
      <w:bookmarkEnd w:id="649"/>
      <w:bookmarkEnd w:id="650"/>
      <w:bookmarkEnd w:id="651"/>
      <w:bookmarkEnd w:id="652"/>
    </w:p>
    <w:p w14:paraId="3916FA3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5.3.1运入施工场地的材料、工程设备，包括备品备件、安装专用工器具与随机资料，必须专用于合同工程，未经监理人同意，承包人不得运出施工场地或挪作他用。</w:t>
      </w:r>
    </w:p>
    <w:p w14:paraId="141C6C3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7C5A422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53" w:name="_Toc30003"/>
      <w:bookmarkStart w:id="654" w:name="_Toc16251"/>
      <w:bookmarkStart w:id="655" w:name="_Toc234833011"/>
      <w:bookmarkStart w:id="656" w:name="_Toc5084"/>
      <w:bookmarkStart w:id="657" w:name="_Toc25420"/>
      <w:r>
        <w:rPr>
          <w:rFonts w:hint="default" w:ascii="Times New Roman" w:hAnsi="Times New Roman" w:eastAsia="黑体" w:cs="Times New Roman"/>
          <w:b w:val="0"/>
          <w:color w:val="auto"/>
          <w:sz w:val="24"/>
          <w:szCs w:val="24"/>
          <w:highlight w:val="none"/>
        </w:rPr>
        <w:t>5.4 禁止使用不合格的材料和工程设备</w:t>
      </w:r>
      <w:bookmarkEnd w:id="653"/>
      <w:bookmarkEnd w:id="654"/>
      <w:bookmarkEnd w:id="655"/>
      <w:bookmarkEnd w:id="656"/>
      <w:bookmarkEnd w:id="657"/>
      <w:r>
        <w:rPr>
          <w:rFonts w:hint="default" w:ascii="Times New Roman" w:hAnsi="Times New Roman" w:eastAsia="黑体" w:cs="Times New Roman"/>
          <w:b w:val="0"/>
          <w:color w:val="auto"/>
          <w:sz w:val="24"/>
          <w:szCs w:val="24"/>
          <w:highlight w:val="none"/>
        </w:rPr>
        <w:t xml:space="preserve"> </w:t>
      </w:r>
    </w:p>
    <w:p w14:paraId="6C6C10E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5.4.1 监理人有权拒绝承包人提供的不合格材料或工程设备，并要求承包人立即进行更换。监理人应在更换后再次进行检查和检验，由此增加的费用和（或）工期延误由承包人承担。</w:t>
      </w:r>
    </w:p>
    <w:p w14:paraId="670BBBB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5.4.2 监理人发现承包人使用了不合格的材料和工程设备，应即时发出指示要求承包人立即改正，并禁止在工程中继续使用不合格的材料和工程设备。</w:t>
      </w:r>
    </w:p>
    <w:p w14:paraId="45505F2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5.4.3 发包人提供的材料或工程设备不符合合同要求的，承包人有权拒绝，并可要求发包人更换，由此增加的费用和（或）工期延误由发包人承担。</w:t>
      </w:r>
    </w:p>
    <w:p w14:paraId="439A63E4">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658" w:name="_Toc17211"/>
      <w:bookmarkStart w:id="659" w:name="_Toc26517"/>
      <w:bookmarkStart w:id="660" w:name="_Toc19538"/>
      <w:bookmarkStart w:id="661" w:name="_Toc234833012"/>
      <w:bookmarkStart w:id="662" w:name="_Toc29185"/>
      <w:r>
        <w:rPr>
          <w:rFonts w:hint="default" w:ascii="Times New Roman" w:hAnsi="Times New Roman" w:eastAsia="黑体" w:cs="Times New Roman"/>
          <w:b w:val="0"/>
          <w:color w:val="auto"/>
          <w:sz w:val="28"/>
          <w:szCs w:val="28"/>
          <w:highlight w:val="none"/>
        </w:rPr>
        <w:t>6. 施工设备和临时设施</w:t>
      </w:r>
      <w:bookmarkEnd w:id="658"/>
      <w:bookmarkEnd w:id="659"/>
      <w:bookmarkEnd w:id="660"/>
      <w:bookmarkEnd w:id="661"/>
      <w:bookmarkEnd w:id="662"/>
      <w:r>
        <w:rPr>
          <w:rFonts w:hint="default" w:ascii="Times New Roman" w:hAnsi="Times New Roman" w:eastAsia="黑体" w:cs="Times New Roman"/>
          <w:b w:val="0"/>
          <w:color w:val="auto"/>
          <w:sz w:val="28"/>
          <w:szCs w:val="28"/>
          <w:highlight w:val="none"/>
        </w:rPr>
        <w:t xml:space="preserve"> </w:t>
      </w:r>
    </w:p>
    <w:p w14:paraId="04B0455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63" w:name="_Toc12035"/>
      <w:bookmarkStart w:id="664" w:name="_Toc14244"/>
      <w:bookmarkStart w:id="665" w:name="_Toc4093"/>
      <w:bookmarkStart w:id="666" w:name="_Toc11446"/>
      <w:bookmarkStart w:id="667" w:name="_Toc234833013"/>
      <w:r>
        <w:rPr>
          <w:rFonts w:hint="default" w:ascii="Times New Roman" w:hAnsi="Times New Roman" w:eastAsia="黑体" w:cs="Times New Roman"/>
          <w:b w:val="0"/>
          <w:color w:val="auto"/>
          <w:sz w:val="24"/>
          <w:szCs w:val="24"/>
          <w:highlight w:val="none"/>
        </w:rPr>
        <w:t>6.1 承包人提供的施工设备和临时设施</w:t>
      </w:r>
      <w:bookmarkEnd w:id="663"/>
      <w:bookmarkEnd w:id="664"/>
      <w:bookmarkEnd w:id="665"/>
      <w:bookmarkEnd w:id="666"/>
      <w:bookmarkEnd w:id="667"/>
    </w:p>
    <w:p w14:paraId="065CDB5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6.1.1 承包人应按合同进度计划的要求，及时配置施工设备和修建临时设施。进入施工场地的承包人设备需经监理人核查后才能投入使用。承包人更换合同约定的承包人设备的，应报监理人批准。</w:t>
      </w:r>
    </w:p>
    <w:p w14:paraId="0AE085A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6.1.2 除专用合同条款另有约定外，承包人应自行承担修建临时设施的费用，需要临时占地的，应由发包人办理申请手续并承担相应费用。</w:t>
      </w:r>
    </w:p>
    <w:p w14:paraId="7C1E3B7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68" w:name="_Toc30109"/>
      <w:bookmarkStart w:id="669" w:name="_Toc4812"/>
      <w:bookmarkStart w:id="670" w:name="_Toc234833014"/>
      <w:bookmarkStart w:id="671" w:name="_Toc31129"/>
      <w:bookmarkStart w:id="672" w:name="_Toc25302"/>
      <w:r>
        <w:rPr>
          <w:rFonts w:hint="default" w:ascii="Times New Roman" w:hAnsi="Times New Roman" w:eastAsia="黑体" w:cs="Times New Roman"/>
          <w:b w:val="0"/>
          <w:color w:val="auto"/>
          <w:sz w:val="24"/>
          <w:szCs w:val="24"/>
          <w:highlight w:val="none"/>
        </w:rPr>
        <w:t>6.2 发包人提供的施工设备和临时设施</w:t>
      </w:r>
      <w:bookmarkEnd w:id="668"/>
      <w:bookmarkEnd w:id="669"/>
      <w:bookmarkEnd w:id="670"/>
      <w:bookmarkEnd w:id="671"/>
      <w:bookmarkEnd w:id="672"/>
    </w:p>
    <w:p w14:paraId="6047B07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发包人提供的施工设备或临时设施在专用合同条款中约定。</w:t>
      </w:r>
    </w:p>
    <w:p w14:paraId="09705FC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73" w:name="_Toc26083"/>
      <w:bookmarkStart w:id="674" w:name="_Toc1669"/>
      <w:bookmarkStart w:id="675" w:name="_Toc29190"/>
      <w:bookmarkStart w:id="676" w:name="_Toc234833015"/>
      <w:bookmarkStart w:id="677" w:name="_Toc7691"/>
      <w:r>
        <w:rPr>
          <w:rFonts w:hint="default" w:ascii="Times New Roman" w:hAnsi="Times New Roman" w:eastAsia="黑体" w:cs="Times New Roman"/>
          <w:b w:val="0"/>
          <w:color w:val="auto"/>
          <w:sz w:val="24"/>
          <w:szCs w:val="24"/>
          <w:highlight w:val="none"/>
        </w:rPr>
        <w:t>6.3 要求承包人增加或更换施工设备</w:t>
      </w:r>
      <w:bookmarkEnd w:id="673"/>
      <w:bookmarkEnd w:id="674"/>
      <w:bookmarkEnd w:id="675"/>
      <w:bookmarkEnd w:id="676"/>
      <w:bookmarkEnd w:id="677"/>
    </w:p>
    <w:p w14:paraId="34EA058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承包人使用的施工设备不能满足合同进度计划和（或）质量要求时，监理人有权要求承包人增加或更换施工设备，承包人应及时增加或更换，由此增加的费用和（或）工期延误由承包人承担。</w:t>
      </w:r>
    </w:p>
    <w:p w14:paraId="4D1357A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78" w:name="_Toc20359"/>
      <w:bookmarkStart w:id="679" w:name="_Toc19683"/>
      <w:bookmarkStart w:id="680" w:name="_Toc13599"/>
      <w:bookmarkStart w:id="681" w:name="_Toc18996"/>
      <w:bookmarkStart w:id="682" w:name="_Toc234833016"/>
      <w:r>
        <w:rPr>
          <w:rFonts w:hint="default" w:ascii="Times New Roman" w:hAnsi="Times New Roman" w:eastAsia="黑体" w:cs="Times New Roman"/>
          <w:b w:val="0"/>
          <w:color w:val="auto"/>
          <w:sz w:val="24"/>
          <w:szCs w:val="24"/>
          <w:highlight w:val="none"/>
        </w:rPr>
        <w:t>6.4 施工设备和临时设施专用于合同工程</w:t>
      </w:r>
      <w:bookmarkEnd w:id="678"/>
      <w:bookmarkEnd w:id="679"/>
      <w:bookmarkEnd w:id="680"/>
      <w:bookmarkEnd w:id="681"/>
      <w:bookmarkEnd w:id="682"/>
    </w:p>
    <w:p w14:paraId="2E8F8FC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6.4.1除合同另有约定外，运入施工场地的所有施工设备以及在施工场地建设的临时设施应专用于合同工程。未经监理人同意，不得将上述施工设备和临时设施中的任何部分运出施工场地或挪作他用。</w:t>
      </w:r>
    </w:p>
    <w:p w14:paraId="34EBAD6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6.4.2 经监理人同意，承包人可根据合同进度计划撤走闲置的施工设备。</w:t>
      </w:r>
    </w:p>
    <w:p w14:paraId="14AD3BBA">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683" w:name="_Toc7342"/>
      <w:bookmarkStart w:id="684" w:name="_Toc16465"/>
      <w:bookmarkStart w:id="685" w:name="_Toc234833017"/>
      <w:bookmarkStart w:id="686" w:name="_Toc18503"/>
      <w:bookmarkStart w:id="687" w:name="_Toc7239"/>
      <w:r>
        <w:rPr>
          <w:rFonts w:hint="default" w:ascii="Times New Roman" w:hAnsi="Times New Roman" w:eastAsia="黑体" w:cs="Times New Roman"/>
          <w:b w:val="0"/>
          <w:color w:val="auto"/>
          <w:sz w:val="28"/>
          <w:szCs w:val="28"/>
          <w:highlight w:val="none"/>
        </w:rPr>
        <w:t>7. 交通运输</w:t>
      </w:r>
      <w:bookmarkEnd w:id="683"/>
      <w:bookmarkEnd w:id="684"/>
      <w:bookmarkEnd w:id="685"/>
      <w:bookmarkEnd w:id="686"/>
      <w:bookmarkEnd w:id="687"/>
      <w:r>
        <w:rPr>
          <w:rFonts w:hint="default" w:ascii="Times New Roman" w:hAnsi="Times New Roman" w:eastAsia="黑体" w:cs="Times New Roman"/>
          <w:b w:val="0"/>
          <w:color w:val="auto"/>
          <w:sz w:val="28"/>
          <w:szCs w:val="28"/>
          <w:highlight w:val="none"/>
        </w:rPr>
        <w:t xml:space="preserve"> </w:t>
      </w:r>
    </w:p>
    <w:p w14:paraId="42F432A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88" w:name="_Toc234833018"/>
      <w:bookmarkStart w:id="689" w:name="_Toc2798"/>
      <w:bookmarkStart w:id="690" w:name="_Toc16812"/>
      <w:bookmarkStart w:id="691" w:name="_Toc26715"/>
      <w:bookmarkStart w:id="692" w:name="_Toc6489"/>
      <w:r>
        <w:rPr>
          <w:rFonts w:hint="default" w:ascii="Times New Roman" w:hAnsi="Times New Roman" w:eastAsia="黑体" w:cs="Times New Roman"/>
          <w:b w:val="0"/>
          <w:color w:val="auto"/>
          <w:sz w:val="24"/>
          <w:szCs w:val="24"/>
          <w:highlight w:val="none"/>
        </w:rPr>
        <w:t>7.1 道路通行权和场外设施</w:t>
      </w:r>
      <w:bookmarkEnd w:id="688"/>
      <w:bookmarkEnd w:id="689"/>
      <w:bookmarkEnd w:id="690"/>
      <w:bookmarkEnd w:id="691"/>
      <w:bookmarkEnd w:id="692"/>
    </w:p>
    <w:p w14:paraId="115D84EF">
      <w:pPr>
        <w:pageBreakBefore w:val="0"/>
        <w:kinsoku/>
        <w:wordWrap w:val="0"/>
        <w:bidi w:val="0"/>
        <w:spacing w:line="400" w:lineRule="atLeast"/>
        <w:ind w:firstLine="420"/>
        <w:rPr>
          <w:rFonts w:hint="default" w:ascii="Times New Roman" w:hAnsi="Times New Roman" w:cs="Times New Roman"/>
          <w:i/>
          <w:color w:val="auto"/>
          <w:sz w:val="24"/>
          <w:highlight w:val="none"/>
        </w:rPr>
      </w:pPr>
      <w:r>
        <w:rPr>
          <w:rFonts w:hint="default" w:ascii="Times New Roman" w:hAnsi="Times New Roman" w:cs="Times New Roman"/>
          <w:color w:val="auto"/>
          <w:sz w:val="24"/>
          <w:highlight w:val="none"/>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500BA1B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93" w:name="_Toc9056"/>
      <w:bookmarkStart w:id="694" w:name="_Toc234833019"/>
      <w:bookmarkStart w:id="695" w:name="_Toc9049"/>
      <w:bookmarkStart w:id="696" w:name="_Toc9296"/>
      <w:bookmarkStart w:id="697" w:name="_Toc18679"/>
      <w:r>
        <w:rPr>
          <w:rFonts w:hint="default" w:ascii="Times New Roman" w:hAnsi="Times New Roman" w:eastAsia="黑体" w:cs="Times New Roman"/>
          <w:b w:val="0"/>
          <w:color w:val="auto"/>
          <w:sz w:val="24"/>
          <w:szCs w:val="24"/>
          <w:highlight w:val="none"/>
        </w:rPr>
        <w:t>7.2 场内施工道路</w:t>
      </w:r>
      <w:bookmarkEnd w:id="693"/>
      <w:bookmarkEnd w:id="694"/>
      <w:bookmarkEnd w:id="695"/>
      <w:bookmarkEnd w:id="696"/>
      <w:bookmarkEnd w:id="697"/>
    </w:p>
    <w:p w14:paraId="3276FC9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7.2.1 除专用合同条款另有约定外，承包人应负责修建、维修、养护和管理施工所需的临时道路和交通设施，包括维修、养护和管理发包人提供的道路和交通设施，并承担相应费用。</w:t>
      </w:r>
    </w:p>
    <w:p w14:paraId="5F5CD17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7.2.2 除专用合同条款另有约定外，承包人修建的临时道路和交通设施应免费提供发包人和监理人使用。</w:t>
      </w:r>
    </w:p>
    <w:p w14:paraId="610E8F5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698" w:name="_Toc19305"/>
      <w:bookmarkStart w:id="699" w:name="_Toc21208"/>
      <w:bookmarkStart w:id="700" w:name="_Toc16389"/>
      <w:bookmarkStart w:id="701" w:name="_Toc234833020"/>
      <w:bookmarkStart w:id="702" w:name="_Toc31425"/>
      <w:r>
        <w:rPr>
          <w:rFonts w:hint="default" w:ascii="Times New Roman" w:hAnsi="Times New Roman" w:eastAsia="黑体" w:cs="Times New Roman"/>
          <w:b w:val="0"/>
          <w:color w:val="auto"/>
          <w:sz w:val="24"/>
          <w:szCs w:val="24"/>
          <w:highlight w:val="none"/>
        </w:rPr>
        <w:t>7.3 场外交通</w:t>
      </w:r>
      <w:bookmarkEnd w:id="698"/>
      <w:bookmarkEnd w:id="699"/>
      <w:bookmarkEnd w:id="700"/>
      <w:bookmarkEnd w:id="701"/>
      <w:bookmarkEnd w:id="702"/>
    </w:p>
    <w:p w14:paraId="33BB130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7.3.1 承包人车辆外出行驶所需的场外公共道路的通行费、养路费和税款等由承包人承担。</w:t>
      </w:r>
    </w:p>
    <w:p w14:paraId="4C38838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7.3.2 承包人应遵守有关交通法规，严格按照道路和桥梁的限制荷重安全行驶，并服从交通管理部门的检查和监督。</w:t>
      </w:r>
    </w:p>
    <w:p w14:paraId="3396B6C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03" w:name="_Toc29695"/>
      <w:bookmarkStart w:id="704" w:name="_Toc3057"/>
      <w:bookmarkStart w:id="705" w:name="_Toc234833021"/>
      <w:bookmarkStart w:id="706" w:name="_Toc15125"/>
      <w:bookmarkStart w:id="707" w:name="_Toc16025"/>
      <w:r>
        <w:rPr>
          <w:rFonts w:hint="default" w:ascii="Times New Roman" w:hAnsi="Times New Roman" w:eastAsia="黑体" w:cs="Times New Roman"/>
          <w:b w:val="0"/>
          <w:color w:val="auto"/>
          <w:sz w:val="24"/>
          <w:szCs w:val="24"/>
          <w:highlight w:val="none"/>
        </w:rPr>
        <w:t>7.4 超大件和超重件的运输</w:t>
      </w:r>
      <w:bookmarkEnd w:id="703"/>
      <w:bookmarkEnd w:id="704"/>
      <w:bookmarkEnd w:id="705"/>
      <w:bookmarkEnd w:id="706"/>
      <w:bookmarkEnd w:id="707"/>
    </w:p>
    <w:p w14:paraId="6F422D5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CD712BD">
      <w:pPr>
        <w:pageBreakBefore w:val="0"/>
        <w:kinsoku/>
        <w:wordWrap w:val="0"/>
        <w:bidi w:val="0"/>
        <w:spacing w:line="400" w:lineRule="atLeast"/>
        <w:rPr>
          <w:rFonts w:hint="default" w:ascii="Times New Roman" w:hAnsi="Times New Roman" w:cs="Times New Roman"/>
          <w:color w:val="auto"/>
          <w:sz w:val="24"/>
          <w:highlight w:val="none"/>
        </w:rPr>
      </w:pPr>
    </w:p>
    <w:p w14:paraId="066B8B2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08" w:name="_Toc234833022"/>
      <w:bookmarkStart w:id="709" w:name="_Toc340"/>
      <w:bookmarkStart w:id="710" w:name="_Toc9627"/>
      <w:bookmarkStart w:id="711" w:name="_Toc30531"/>
      <w:bookmarkStart w:id="712" w:name="_Toc5290"/>
      <w:r>
        <w:rPr>
          <w:rFonts w:hint="default" w:ascii="Times New Roman" w:hAnsi="Times New Roman" w:eastAsia="黑体" w:cs="Times New Roman"/>
          <w:b w:val="0"/>
          <w:color w:val="auto"/>
          <w:sz w:val="24"/>
          <w:szCs w:val="24"/>
          <w:highlight w:val="none"/>
        </w:rPr>
        <w:t>7.5 道路和桥梁的损坏责任</w:t>
      </w:r>
      <w:bookmarkEnd w:id="708"/>
      <w:bookmarkEnd w:id="709"/>
      <w:bookmarkEnd w:id="710"/>
      <w:bookmarkEnd w:id="711"/>
      <w:bookmarkEnd w:id="712"/>
    </w:p>
    <w:p w14:paraId="649C12C8">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因承包人运输造成施工场地内外公共道路和桥梁损坏的，由承包人承担修复损坏的全部费用和可能引起的赔偿。</w:t>
      </w:r>
    </w:p>
    <w:p w14:paraId="0FA1618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13" w:name="_Toc9650"/>
      <w:bookmarkStart w:id="714" w:name="_Toc234833023"/>
      <w:bookmarkStart w:id="715" w:name="_Toc30141"/>
      <w:bookmarkStart w:id="716" w:name="_Toc23109"/>
      <w:bookmarkStart w:id="717" w:name="_Toc25193"/>
      <w:r>
        <w:rPr>
          <w:rFonts w:hint="default" w:ascii="Times New Roman" w:hAnsi="Times New Roman" w:eastAsia="黑体" w:cs="Times New Roman"/>
          <w:b w:val="0"/>
          <w:color w:val="auto"/>
          <w:sz w:val="24"/>
          <w:szCs w:val="24"/>
          <w:highlight w:val="none"/>
        </w:rPr>
        <w:t>7.6 水路和航空运输</w:t>
      </w:r>
      <w:bookmarkEnd w:id="713"/>
      <w:bookmarkEnd w:id="714"/>
      <w:bookmarkEnd w:id="715"/>
      <w:bookmarkEnd w:id="716"/>
      <w:bookmarkEnd w:id="717"/>
    </w:p>
    <w:p w14:paraId="2AFDABC4">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本条上述各款的内容适用于水路运输和航空运输，其中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道路</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一词的涵义包括河道、航线、船闸、机场、码头、堤防以及水路或航空运输中其他相似结构物；</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车辆</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 xml:space="preserve">一词的涵义包括船舶和飞机等。 </w:t>
      </w:r>
    </w:p>
    <w:p w14:paraId="52692871">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718" w:name="_Toc24534"/>
      <w:bookmarkStart w:id="719" w:name="_Toc20896"/>
      <w:bookmarkStart w:id="720" w:name="_Toc19372"/>
      <w:bookmarkStart w:id="721" w:name="_Toc234833024"/>
      <w:bookmarkStart w:id="722" w:name="_Toc4669"/>
      <w:r>
        <w:rPr>
          <w:rFonts w:hint="default" w:ascii="Times New Roman" w:hAnsi="Times New Roman" w:eastAsia="黑体" w:cs="Times New Roman"/>
          <w:b w:val="0"/>
          <w:color w:val="auto"/>
          <w:sz w:val="28"/>
          <w:szCs w:val="28"/>
          <w:highlight w:val="none"/>
        </w:rPr>
        <w:t>8. 测量放线</w:t>
      </w:r>
      <w:bookmarkEnd w:id="718"/>
      <w:bookmarkEnd w:id="719"/>
      <w:bookmarkEnd w:id="720"/>
      <w:bookmarkEnd w:id="721"/>
      <w:bookmarkEnd w:id="722"/>
    </w:p>
    <w:p w14:paraId="33AECE3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23" w:name="_Toc22172"/>
      <w:bookmarkStart w:id="724" w:name="_Toc9189"/>
      <w:bookmarkStart w:id="725" w:name="_Toc10567"/>
      <w:bookmarkStart w:id="726" w:name="_Toc709"/>
      <w:bookmarkStart w:id="727" w:name="_Toc234833025"/>
      <w:r>
        <w:rPr>
          <w:rFonts w:hint="default" w:ascii="Times New Roman" w:hAnsi="Times New Roman" w:eastAsia="黑体" w:cs="Times New Roman"/>
          <w:b w:val="0"/>
          <w:color w:val="auto"/>
          <w:sz w:val="24"/>
          <w:szCs w:val="24"/>
          <w:highlight w:val="none"/>
        </w:rPr>
        <w:t>8.1 施工控制网</w:t>
      </w:r>
      <w:bookmarkEnd w:id="723"/>
      <w:bookmarkEnd w:id="724"/>
      <w:bookmarkEnd w:id="725"/>
      <w:bookmarkEnd w:id="726"/>
      <w:bookmarkEnd w:id="727"/>
    </w:p>
    <w:p w14:paraId="21DD545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422D1AE7">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8.1.2承包人应负责管理施工控制网点。施工控制网点丢失或损坏的，承包人应及时修复。承包人应承担施工控制网点的管理与修复费用，并在工程竣工后将施工控制网点移交发包人。</w:t>
      </w:r>
    </w:p>
    <w:p w14:paraId="21C3CB0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28" w:name="_Toc17769"/>
      <w:bookmarkStart w:id="729" w:name="_Toc23418"/>
      <w:bookmarkStart w:id="730" w:name="_Toc4204"/>
      <w:bookmarkStart w:id="731" w:name="_Toc25309"/>
      <w:bookmarkStart w:id="732" w:name="_Toc234833026"/>
      <w:r>
        <w:rPr>
          <w:rFonts w:hint="default" w:ascii="Times New Roman" w:hAnsi="Times New Roman" w:eastAsia="黑体" w:cs="Times New Roman"/>
          <w:b w:val="0"/>
          <w:color w:val="auto"/>
          <w:sz w:val="24"/>
          <w:szCs w:val="24"/>
          <w:highlight w:val="none"/>
        </w:rPr>
        <w:t>8.2 施工测量</w:t>
      </w:r>
      <w:bookmarkEnd w:id="728"/>
      <w:bookmarkEnd w:id="729"/>
      <w:bookmarkEnd w:id="730"/>
      <w:bookmarkEnd w:id="731"/>
      <w:bookmarkEnd w:id="732"/>
    </w:p>
    <w:p w14:paraId="10F2B8A5">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8.2.1承包人应负责施工过程中的全部施工测量放线工作，并配置合格的人员、仪器、设备和其他物品。</w:t>
      </w:r>
    </w:p>
    <w:p w14:paraId="6995EA0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8.2.2监理人可以指示承包人进行抽样复测，当复测中发现错误或出现超过合同约定的误差时，承包人应按监理人指示进行修正或补测，并承担相应的复测费用。</w:t>
      </w:r>
    </w:p>
    <w:p w14:paraId="1737729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33" w:name="_Toc234833027"/>
      <w:bookmarkStart w:id="734" w:name="_Toc27621"/>
      <w:bookmarkStart w:id="735" w:name="_Toc26654"/>
      <w:bookmarkStart w:id="736" w:name="_Toc10297"/>
      <w:bookmarkStart w:id="737" w:name="_Toc30617"/>
      <w:r>
        <w:rPr>
          <w:rFonts w:hint="default" w:ascii="Times New Roman" w:hAnsi="Times New Roman" w:eastAsia="黑体" w:cs="Times New Roman"/>
          <w:b w:val="0"/>
          <w:color w:val="auto"/>
          <w:sz w:val="24"/>
          <w:szCs w:val="24"/>
          <w:highlight w:val="none"/>
        </w:rPr>
        <w:t>8.3 基准资料错误的责任</w:t>
      </w:r>
      <w:bookmarkEnd w:id="733"/>
      <w:bookmarkEnd w:id="734"/>
      <w:bookmarkEnd w:id="735"/>
      <w:bookmarkEnd w:id="736"/>
      <w:bookmarkEnd w:id="737"/>
    </w:p>
    <w:p w14:paraId="15F0EE2E">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7E1783D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38" w:name="_Toc31976"/>
      <w:bookmarkStart w:id="739" w:name="_Toc1487"/>
      <w:bookmarkStart w:id="740" w:name="_Toc15727"/>
      <w:bookmarkStart w:id="741" w:name="_Toc21794"/>
      <w:bookmarkStart w:id="742" w:name="_Toc234833028"/>
      <w:r>
        <w:rPr>
          <w:rFonts w:hint="default" w:ascii="Times New Roman" w:hAnsi="Times New Roman" w:eastAsia="黑体" w:cs="Times New Roman"/>
          <w:b w:val="0"/>
          <w:color w:val="auto"/>
          <w:sz w:val="24"/>
          <w:szCs w:val="24"/>
          <w:highlight w:val="none"/>
        </w:rPr>
        <w:t>8.4 监理人使用施工控制网</w:t>
      </w:r>
      <w:bookmarkEnd w:id="738"/>
      <w:bookmarkEnd w:id="739"/>
      <w:bookmarkEnd w:id="740"/>
      <w:bookmarkEnd w:id="741"/>
      <w:bookmarkEnd w:id="742"/>
    </w:p>
    <w:p w14:paraId="63369B1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监理人需要使用施工控制网的，承包人应提供必要的协助，发包人不再为此支付费用。</w:t>
      </w:r>
    </w:p>
    <w:p w14:paraId="4FEB3031">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743" w:name="_Toc1730"/>
      <w:bookmarkStart w:id="744" w:name="_Toc24858"/>
      <w:bookmarkStart w:id="745" w:name="_Toc234833029"/>
      <w:bookmarkStart w:id="746" w:name="_Toc3624"/>
      <w:bookmarkStart w:id="747" w:name="_Toc19364"/>
      <w:r>
        <w:rPr>
          <w:rFonts w:hint="default" w:ascii="Times New Roman" w:hAnsi="Times New Roman" w:eastAsia="黑体" w:cs="Times New Roman"/>
          <w:b w:val="0"/>
          <w:color w:val="auto"/>
          <w:sz w:val="28"/>
          <w:szCs w:val="28"/>
          <w:highlight w:val="none"/>
        </w:rPr>
        <w:t>9. 施工安全、治安保卫和环境保护</w:t>
      </w:r>
      <w:bookmarkEnd w:id="743"/>
      <w:bookmarkEnd w:id="744"/>
      <w:bookmarkEnd w:id="745"/>
      <w:bookmarkEnd w:id="746"/>
      <w:bookmarkEnd w:id="747"/>
    </w:p>
    <w:p w14:paraId="5AB2265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48" w:name="_Toc5314"/>
      <w:bookmarkStart w:id="749" w:name="_Toc234833030"/>
      <w:bookmarkStart w:id="750" w:name="_Toc3769"/>
      <w:bookmarkStart w:id="751" w:name="_Toc8674"/>
      <w:bookmarkStart w:id="752" w:name="_Toc20223"/>
      <w:r>
        <w:rPr>
          <w:rFonts w:hint="default" w:ascii="Times New Roman" w:hAnsi="Times New Roman" w:eastAsia="黑体" w:cs="Times New Roman"/>
          <w:b w:val="0"/>
          <w:color w:val="auto"/>
          <w:sz w:val="24"/>
          <w:szCs w:val="24"/>
          <w:highlight w:val="none"/>
        </w:rPr>
        <w:t>9.1 发包人的施工安全责任</w:t>
      </w:r>
      <w:bookmarkEnd w:id="748"/>
      <w:bookmarkEnd w:id="749"/>
      <w:bookmarkEnd w:id="750"/>
      <w:bookmarkEnd w:id="751"/>
      <w:bookmarkEnd w:id="752"/>
    </w:p>
    <w:p w14:paraId="716AB2AF">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9.1.1发包人应按合同约定履行安全职责，授权监理人按合同约定的安全工作内容监督、检查承包人安全工作的实施，组织承包人和有关单位进行安全检查。</w:t>
      </w:r>
    </w:p>
    <w:p w14:paraId="7F6BE86C">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9.1.2发包人应对其现场机构雇佣的全部人员的工伤事故承担责任，但由于承包人原因造成发包人人员工伤的，应由承包人承担责任。</w:t>
      </w:r>
    </w:p>
    <w:p w14:paraId="27F5FBE5">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9.1.3发包人应负责赔偿以下各种情况造成的第三者人身伤亡和财产损失：</w:t>
      </w:r>
    </w:p>
    <w:p w14:paraId="7F13CBA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（1）工程或工程的任何部分对土地的占用所造成的第三者财产损失；</w:t>
      </w:r>
    </w:p>
    <w:p w14:paraId="586F192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（2）由于发包人原因在施工场地及其毗邻地带造成的第三者人身伤亡和财产损失。</w:t>
      </w:r>
    </w:p>
    <w:p w14:paraId="12344F8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53" w:name="_Toc26218"/>
      <w:bookmarkStart w:id="754" w:name="_Toc234833031"/>
      <w:bookmarkStart w:id="755" w:name="_Toc3730"/>
      <w:bookmarkStart w:id="756" w:name="_Toc16523"/>
      <w:bookmarkStart w:id="757" w:name="_Toc16709"/>
      <w:r>
        <w:rPr>
          <w:rFonts w:hint="default" w:ascii="Times New Roman" w:hAnsi="Times New Roman" w:eastAsia="黑体" w:cs="Times New Roman"/>
          <w:b w:val="0"/>
          <w:color w:val="auto"/>
          <w:sz w:val="24"/>
          <w:szCs w:val="24"/>
          <w:highlight w:val="none"/>
        </w:rPr>
        <w:t>9.2 承包人的施工安全责任</w:t>
      </w:r>
      <w:bookmarkEnd w:id="753"/>
      <w:bookmarkEnd w:id="754"/>
      <w:bookmarkEnd w:id="755"/>
      <w:bookmarkEnd w:id="756"/>
      <w:bookmarkEnd w:id="757"/>
    </w:p>
    <w:p w14:paraId="3C91A45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9.2.1 承包人应按合同约定履行安全职责,执行监理人有关安全工作的指示,并在专用合同条款约定的期限内，按合同约定的安全工作内容，编制施工安全措施计划报送监理人审批。</w:t>
      </w:r>
    </w:p>
    <w:p w14:paraId="65F6AF7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9.2.2 承包人应加强施工作业安全管理，特别应加强易燃、易爆材料、火工器材、有毒与腐蚀性材料和其他危险品的管理，以及对爆破作业和地下工程施工等危险作业的管理。</w:t>
      </w:r>
    </w:p>
    <w:p w14:paraId="22473A6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9.2.3 承包人应严格按照国家安全标准制定施工安全操作规程，配备必要的安全生产和劳动保护设施，加强对承包人人员的安全教育，并发放安全工作手册和劳动保护用具。</w:t>
      </w:r>
    </w:p>
    <w:p w14:paraId="2FEFE3B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9.2.4 承包人应按监理人的指示制定应对灾害的紧急预案，报送监理人审批。承包人还应按预案做好安全检查，配置必要的救助物资和器材，切实保护好有关人员的人身和财产安全。</w:t>
      </w:r>
    </w:p>
    <w:p w14:paraId="22D5DAB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6089D39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9.2.6 承包人应对其履行合同所雇佣的全部人员，包括分包人人员的工伤事故承担责任，但由于发包人原因造成承包人人员工伤事故的，应由发包人承担责任。</w:t>
      </w:r>
    </w:p>
    <w:p w14:paraId="07DA579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9.2.7 由于承包人原因在施工场地内及其毗邻地带造成的第三者人员伤亡和财产损失，由承包人负责赔偿。</w:t>
      </w:r>
    </w:p>
    <w:p w14:paraId="2341280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58" w:name="_Toc31111"/>
      <w:bookmarkStart w:id="759" w:name="_Toc24377"/>
      <w:bookmarkStart w:id="760" w:name="_Toc27835"/>
      <w:bookmarkStart w:id="761" w:name="_Toc234833032"/>
      <w:bookmarkStart w:id="762" w:name="_Toc21586"/>
      <w:r>
        <w:rPr>
          <w:rFonts w:hint="default" w:ascii="Times New Roman" w:hAnsi="Times New Roman" w:eastAsia="黑体" w:cs="Times New Roman"/>
          <w:b w:val="0"/>
          <w:color w:val="auto"/>
          <w:sz w:val="24"/>
          <w:szCs w:val="24"/>
          <w:highlight w:val="none"/>
        </w:rPr>
        <w:t>9.3 治安保卫</w:t>
      </w:r>
      <w:bookmarkEnd w:id="758"/>
      <w:bookmarkEnd w:id="759"/>
      <w:bookmarkEnd w:id="760"/>
      <w:bookmarkEnd w:id="761"/>
      <w:bookmarkEnd w:id="762"/>
    </w:p>
    <w:p w14:paraId="1C806A3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9.3.1 除合同另有约定外，发包人应与当地公安部门协商，在现场建立治安管理机构或联防组织，统一管理施工场地的治安保卫事项，履行合同工程的治安保卫职责。</w:t>
      </w:r>
    </w:p>
    <w:p w14:paraId="2EB9F37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9.3.2 发包人和承包人除应协助现场治安管理机构或联防组织维护施工场地的社会治安外，还应做好包括生活区在内的各自管辖区的治安保卫工作。</w:t>
      </w:r>
    </w:p>
    <w:p w14:paraId="3D5DF12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616FBAE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63" w:name="_Toc30186"/>
      <w:bookmarkStart w:id="764" w:name="_Toc269"/>
      <w:bookmarkStart w:id="765" w:name="_Toc30300"/>
      <w:bookmarkStart w:id="766" w:name="_Toc234833033"/>
      <w:bookmarkStart w:id="767" w:name="_Toc16001"/>
      <w:r>
        <w:rPr>
          <w:rFonts w:hint="default" w:ascii="Times New Roman" w:hAnsi="Times New Roman" w:eastAsia="黑体" w:cs="Times New Roman"/>
          <w:b w:val="0"/>
          <w:color w:val="auto"/>
          <w:sz w:val="24"/>
          <w:szCs w:val="24"/>
          <w:highlight w:val="none"/>
        </w:rPr>
        <w:t>9.4 环境保护</w:t>
      </w:r>
      <w:bookmarkEnd w:id="763"/>
      <w:bookmarkEnd w:id="764"/>
      <w:bookmarkEnd w:id="765"/>
      <w:bookmarkEnd w:id="766"/>
      <w:bookmarkEnd w:id="767"/>
    </w:p>
    <w:p w14:paraId="0D50F1D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9.4.1 承包人在施工过程中，应遵守有关环境保护的法律，履行合同约定的环境保护义务，并对违反法律和合同约定义务所造成的环境破坏、人身伤害和财产损失负责。</w:t>
      </w:r>
    </w:p>
    <w:p w14:paraId="6EDECC8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9.4.2 承包人应按合同约定的环保工作内容，编制施工环保措施计划，报送监理人审批。</w:t>
      </w:r>
    </w:p>
    <w:p w14:paraId="7D23F7D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6EA566B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9.4.4 承包人应按合同约定采取有效措施，对施工开挖的边坡及时进行支护,维护排水设施，并进行水土保护，避免因施工造成的地质灾害。</w:t>
      </w:r>
    </w:p>
    <w:p w14:paraId="3A0DF11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9.4.5 承包人应按国家饮用水管理标准定期对饮用水源进行监测，防止施工活动污染饮用水源。</w:t>
      </w:r>
    </w:p>
    <w:p w14:paraId="156A430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9.4.6 承包人应按合同约定，加强对噪声、粉尘、废气、废水和废油的控制，努力降低噪声，控制粉尘和废气浓度，做好废水和废油的治理和排放。</w:t>
      </w:r>
    </w:p>
    <w:p w14:paraId="5AE5FE1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68" w:name="_Toc5457"/>
      <w:bookmarkStart w:id="769" w:name="_Toc25938"/>
      <w:bookmarkStart w:id="770" w:name="_Toc26780"/>
      <w:bookmarkStart w:id="771" w:name="_Toc234833034"/>
      <w:bookmarkStart w:id="772" w:name="_Toc17129"/>
      <w:r>
        <w:rPr>
          <w:rFonts w:hint="default" w:ascii="Times New Roman" w:hAnsi="Times New Roman" w:eastAsia="黑体" w:cs="Times New Roman"/>
          <w:b w:val="0"/>
          <w:color w:val="auto"/>
          <w:sz w:val="24"/>
          <w:szCs w:val="24"/>
          <w:highlight w:val="none"/>
        </w:rPr>
        <w:t>9.5 事故处理</w:t>
      </w:r>
      <w:bookmarkEnd w:id="768"/>
      <w:bookmarkEnd w:id="769"/>
      <w:bookmarkEnd w:id="770"/>
      <w:bookmarkEnd w:id="771"/>
      <w:bookmarkEnd w:id="772"/>
    </w:p>
    <w:p w14:paraId="7B9750A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359C451">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773" w:name="_Toc32151"/>
      <w:bookmarkStart w:id="774" w:name="_Toc12198"/>
      <w:bookmarkStart w:id="775" w:name="_Toc234833035"/>
      <w:bookmarkStart w:id="776" w:name="_Toc30729"/>
      <w:bookmarkStart w:id="777" w:name="_Toc12821"/>
      <w:r>
        <w:rPr>
          <w:rFonts w:hint="default" w:ascii="Times New Roman" w:hAnsi="Times New Roman" w:eastAsia="黑体" w:cs="Times New Roman"/>
          <w:b w:val="0"/>
          <w:color w:val="auto"/>
          <w:sz w:val="28"/>
          <w:szCs w:val="28"/>
          <w:highlight w:val="none"/>
        </w:rPr>
        <w:t>10. 进度计划</w:t>
      </w:r>
      <w:bookmarkEnd w:id="773"/>
      <w:bookmarkEnd w:id="774"/>
      <w:bookmarkEnd w:id="775"/>
      <w:bookmarkEnd w:id="776"/>
      <w:bookmarkEnd w:id="777"/>
    </w:p>
    <w:p w14:paraId="4AE2F7F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78" w:name="_Toc234833036"/>
      <w:bookmarkStart w:id="779" w:name="_Toc24434"/>
      <w:bookmarkStart w:id="780" w:name="_Toc6712"/>
      <w:bookmarkStart w:id="781" w:name="_Toc9432"/>
      <w:bookmarkStart w:id="782" w:name="_Toc17150"/>
      <w:r>
        <w:rPr>
          <w:rFonts w:hint="default" w:ascii="Times New Roman" w:hAnsi="Times New Roman" w:eastAsia="黑体" w:cs="Times New Roman"/>
          <w:b w:val="0"/>
          <w:color w:val="auto"/>
          <w:sz w:val="24"/>
          <w:szCs w:val="24"/>
          <w:highlight w:val="none"/>
        </w:rPr>
        <w:t>10.1 合同进度计划</w:t>
      </w:r>
      <w:bookmarkEnd w:id="778"/>
      <w:bookmarkEnd w:id="779"/>
      <w:bookmarkEnd w:id="780"/>
      <w:bookmarkEnd w:id="781"/>
      <w:bookmarkEnd w:id="782"/>
    </w:p>
    <w:p w14:paraId="42F18C4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6147661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83" w:name="_Toc15025"/>
      <w:bookmarkStart w:id="784" w:name="_Toc23622"/>
      <w:bookmarkStart w:id="785" w:name="_Toc21458"/>
      <w:bookmarkStart w:id="786" w:name="_Toc1091"/>
      <w:bookmarkStart w:id="787" w:name="_Toc234833037"/>
      <w:r>
        <w:rPr>
          <w:rFonts w:hint="default" w:ascii="Times New Roman" w:hAnsi="Times New Roman" w:eastAsia="黑体" w:cs="Times New Roman"/>
          <w:b w:val="0"/>
          <w:color w:val="auto"/>
          <w:sz w:val="24"/>
          <w:szCs w:val="24"/>
          <w:highlight w:val="none"/>
        </w:rPr>
        <w:t>10.2 合同进度计划的修订</w:t>
      </w:r>
      <w:bookmarkEnd w:id="783"/>
      <w:bookmarkEnd w:id="784"/>
      <w:bookmarkEnd w:id="785"/>
      <w:bookmarkEnd w:id="786"/>
      <w:bookmarkEnd w:id="787"/>
    </w:p>
    <w:p w14:paraId="608311EE">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185F0293">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788" w:name="_Toc15582"/>
      <w:bookmarkStart w:id="789" w:name="_Toc31278"/>
      <w:bookmarkStart w:id="790" w:name="_Toc30089"/>
      <w:bookmarkStart w:id="791" w:name="_Toc1558"/>
      <w:bookmarkStart w:id="792" w:name="_Toc234833038"/>
      <w:r>
        <w:rPr>
          <w:rFonts w:hint="default" w:ascii="Times New Roman" w:hAnsi="Times New Roman" w:eastAsia="黑体" w:cs="Times New Roman"/>
          <w:b w:val="0"/>
          <w:color w:val="auto"/>
          <w:sz w:val="28"/>
          <w:szCs w:val="28"/>
          <w:highlight w:val="none"/>
        </w:rPr>
        <w:t>11. 开工和竣工</w:t>
      </w:r>
      <w:bookmarkEnd w:id="788"/>
      <w:bookmarkEnd w:id="789"/>
      <w:bookmarkEnd w:id="790"/>
      <w:bookmarkEnd w:id="791"/>
      <w:bookmarkEnd w:id="792"/>
    </w:p>
    <w:p w14:paraId="6DE2C1A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93" w:name="_Toc19831"/>
      <w:bookmarkStart w:id="794" w:name="_Toc234833039"/>
      <w:bookmarkStart w:id="795" w:name="_Toc12994"/>
      <w:bookmarkStart w:id="796" w:name="_Toc20810"/>
      <w:bookmarkStart w:id="797" w:name="_Toc196"/>
      <w:r>
        <w:rPr>
          <w:rFonts w:hint="default" w:ascii="Times New Roman" w:hAnsi="Times New Roman" w:eastAsia="黑体" w:cs="Times New Roman"/>
          <w:b w:val="0"/>
          <w:color w:val="auto"/>
          <w:sz w:val="24"/>
          <w:szCs w:val="24"/>
          <w:highlight w:val="none"/>
        </w:rPr>
        <w:t>11.1 开工</w:t>
      </w:r>
      <w:bookmarkEnd w:id="793"/>
      <w:bookmarkEnd w:id="794"/>
      <w:bookmarkEnd w:id="795"/>
      <w:bookmarkEnd w:id="796"/>
      <w:bookmarkEnd w:id="797"/>
    </w:p>
    <w:p w14:paraId="0E2D826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11.1.1 监理人应在开工日期7天前向承包人发出开工通知。监理人在发出开工通知前应获得发包人同意。工期自监理人发出的开工通知中载明的开工日期起计算。承包人应在开工日期后尽快施工。</w:t>
      </w:r>
    </w:p>
    <w:p w14:paraId="67D805B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29FAABF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798" w:name="_Toc9084"/>
      <w:bookmarkStart w:id="799" w:name="_Toc830"/>
      <w:bookmarkStart w:id="800" w:name="_Toc21663"/>
      <w:bookmarkStart w:id="801" w:name="_Toc10996"/>
      <w:bookmarkStart w:id="802" w:name="_Toc234833040"/>
      <w:r>
        <w:rPr>
          <w:rFonts w:hint="default" w:ascii="Times New Roman" w:hAnsi="Times New Roman" w:eastAsia="黑体" w:cs="Times New Roman"/>
          <w:b w:val="0"/>
          <w:color w:val="auto"/>
          <w:sz w:val="24"/>
          <w:szCs w:val="24"/>
          <w:highlight w:val="none"/>
        </w:rPr>
        <w:t>11.2竣工</w:t>
      </w:r>
      <w:bookmarkEnd w:id="798"/>
      <w:bookmarkEnd w:id="799"/>
      <w:bookmarkEnd w:id="800"/>
      <w:bookmarkEnd w:id="801"/>
      <w:bookmarkEnd w:id="802"/>
    </w:p>
    <w:p w14:paraId="1BBC04A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承包人应在第1.1.4.3目约定的期限内完成合同工程。实际竣工日期在接收证书中写明。</w:t>
      </w:r>
    </w:p>
    <w:p w14:paraId="6507789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03" w:name="_Toc234833041"/>
      <w:bookmarkStart w:id="804" w:name="_Toc27035"/>
      <w:bookmarkStart w:id="805" w:name="_Toc7100"/>
      <w:bookmarkStart w:id="806" w:name="_Toc18689"/>
      <w:bookmarkStart w:id="807" w:name="_Toc27799"/>
      <w:r>
        <w:rPr>
          <w:rFonts w:hint="default" w:ascii="Times New Roman" w:hAnsi="Times New Roman" w:eastAsia="黑体" w:cs="Times New Roman"/>
          <w:b w:val="0"/>
          <w:color w:val="auto"/>
          <w:sz w:val="24"/>
          <w:szCs w:val="24"/>
          <w:highlight w:val="none"/>
        </w:rPr>
        <w:t>11.3 发包人的工期延误</w:t>
      </w:r>
      <w:bookmarkEnd w:id="803"/>
      <w:bookmarkEnd w:id="804"/>
      <w:bookmarkEnd w:id="805"/>
      <w:bookmarkEnd w:id="806"/>
      <w:bookmarkEnd w:id="807"/>
    </w:p>
    <w:p w14:paraId="567DA8C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在履行合同过程中，由于发包人的下列原因造成工期延误的，承包人有权要求发包人延长工期和（或）增加费用，并支付合理利润。需要修订合同进度计划的，按照第10.2款的约定办理。</w:t>
      </w:r>
    </w:p>
    <w:p w14:paraId="6E6383E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（1）增加合同工作内容;</w:t>
      </w:r>
    </w:p>
    <w:p w14:paraId="3C319AA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（2）改变合同中任何一项工作的质量要求或其他特性；</w:t>
      </w:r>
    </w:p>
    <w:p w14:paraId="0F5F3DC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（3）发包人迟延提供材料、工程设备或变更交货地点的；</w:t>
      </w:r>
    </w:p>
    <w:p w14:paraId="3EF1761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（4）因发包人原因导致的暂停施工；</w:t>
      </w:r>
    </w:p>
    <w:p w14:paraId="0B1F205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（5）提供图纸延误；</w:t>
      </w:r>
    </w:p>
    <w:p w14:paraId="791B139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（6）未按合同约定及时支付预付款、进度款；</w:t>
      </w:r>
    </w:p>
    <w:p w14:paraId="69324A9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（7）发包人造成工期延误的其他原因。</w:t>
      </w:r>
    </w:p>
    <w:p w14:paraId="5E02930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08" w:name="_Toc234833042"/>
      <w:bookmarkStart w:id="809" w:name="_Toc22343"/>
      <w:bookmarkStart w:id="810" w:name="_Toc10516"/>
      <w:bookmarkStart w:id="811" w:name="_Toc21589"/>
      <w:bookmarkStart w:id="812" w:name="_Toc31357"/>
      <w:r>
        <w:rPr>
          <w:rFonts w:hint="default" w:ascii="Times New Roman" w:hAnsi="Times New Roman" w:eastAsia="黑体" w:cs="Times New Roman"/>
          <w:b w:val="0"/>
          <w:color w:val="auto"/>
          <w:sz w:val="24"/>
          <w:szCs w:val="24"/>
          <w:highlight w:val="none"/>
        </w:rPr>
        <w:t>11.4异常恶劣的气候条件</w:t>
      </w:r>
      <w:bookmarkEnd w:id="808"/>
      <w:bookmarkEnd w:id="809"/>
      <w:bookmarkEnd w:id="810"/>
      <w:bookmarkEnd w:id="811"/>
      <w:bookmarkEnd w:id="812"/>
    </w:p>
    <w:p w14:paraId="7844B8DB">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由于出现专用合同条款约定的异常恶劣气候的条件导致工期延误的，承包人有权要求发包人延长工期。</w:t>
      </w:r>
    </w:p>
    <w:p w14:paraId="1EAF9F5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13" w:name="_Toc234833043"/>
      <w:bookmarkStart w:id="814" w:name="_Toc23628"/>
      <w:bookmarkStart w:id="815" w:name="_Toc29531"/>
      <w:bookmarkStart w:id="816" w:name="_Toc27127"/>
      <w:bookmarkStart w:id="817" w:name="_Toc21931"/>
      <w:r>
        <w:rPr>
          <w:rFonts w:hint="default" w:ascii="Times New Roman" w:hAnsi="Times New Roman" w:eastAsia="黑体" w:cs="Times New Roman"/>
          <w:b w:val="0"/>
          <w:color w:val="auto"/>
          <w:sz w:val="24"/>
          <w:szCs w:val="24"/>
          <w:highlight w:val="none"/>
        </w:rPr>
        <w:t>11.5 承包人的工期延误</w:t>
      </w:r>
      <w:bookmarkEnd w:id="813"/>
      <w:bookmarkEnd w:id="814"/>
      <w:bookmarkEnd w:id="815"/>
      <w:bookmarkEnd w:id="816"/>
      <w:bookmarkEnd w:id="817"/>
    </w:p>
    <w:p w14:paraId="672A731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47E526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18" w:name="_Toc18576"/>
      <w:bookmarkStart w:id="819" w:name="_Toc234833044"/>
      <w:bookmarkStart w:id="820" w:name="_Toc25703"/>
      <w:bookmarkStart w:id="821" w:name="_Toc16451"/>
      <w:bookmarkStart w:id="822" w:name="_Toc4477"/>
      <w:r>
        <w:rPr>
          <w:rFonts w:hint="default" w:ascii="Times New Roman" w:hAnsi="Times New Roman" w:eastAsia="黑体" w:cs="Times New Roman"/>
          <w:b w:val="0"/>
          <w:color w:val="auto"/>
          <w:sz w:val="24"/>
          <w:szCs w:val="24"/>
          <w:highlight w:val="none"/>
        </w:rPr>
        <w:t>11.6 工期提前</w:t>
      </w:r>
      <w:bookmarkEnd w:id="818"/>
      <w:bookmarkEnd w:id="819"/>
      <w:bookmarkEnd w:id="820"/>
      <w:bookmarkEnd w:id="821"/>
      <w:bookmarkEnd w:id="822"/>
    </w:p>
    <w:p w14:paraId="4A54BA5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0E461744">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823" w:name="_Toc17617"/>
      <w:bookmarkStart w:id="824" w:name="_Toc234833045"/>
      <w:bookmarkStart w:id="825" w:name="_Toc29212"/>
      <w:bookmarkStart w:id="826" w:name="_Toc6904"/>
      <w:bookmarkStart w:id="827" w:name="_Toc23679"/>
      <w:r>
        <w:rPr>
          <w:rFonts w:hint="default" w:ascii="Times New Roman" w:hAnsi="Times New Roman" w:eastAsia="黑体" w:cs="Times New Roman"/>
          <w:b w:val="0"/>
          <w:color w:val="auto"/>
          <w:sz w:val="28"/>
          <w:szCs w:val="28"/>
          <w:highlight w:val="none"/>
        </w:rPr>
        <w:t>12. 暂停施工</w:t>
      </w:r>
      <w:bookmarkEnd w:id="823"/>
      <w:bookmarkEnd w:id="824"/>
      <w:bookmarkEnd w:id="825"/>
      <w:bookmarkEnd w:id="826"/>
      <w:bookmarkEnd w:id="827"/>
    </w:p>
    <w:p w14:paraId="6DEE422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28" w:name="_Toc234833046"/>
      <w:bookmarkStart w:id="829" w:name="_Toc27"/>
      <w:bookmarkStart w:id="830" w:name="_Toc4704"/>
      <w:bookmarkStart w:id="831" w:name="_Toc8685"/>
      <w:bookmarkStart w:id="832" w:name="_Toc18760"/>
      <w:r>
        <w:rPr>
          <w:rFonts w:hint="default" w:ascii="Times New Roman" w:hAnsi="Times New Roman" w:eastAsia="黑体" w:cs="Times New Roman"/>
          <w:b w:val="0"/>
          <w:color w:val="auto"/>
          <w:sz w:val="24"/>
          <w:szCs w:val="24"/>
          <w:highlight w:val="none"/>
        </w:rPr>
        <w:t>12.1 承包人暂停施工的责任</w:t>
      </w:r>
      <w:bookmarkEnd w:id="828"/>
      <w:bookmarkEnd w:id="829"/>
      <w:bookmarkEnd w:id="830"/>
      <w:bookmarkEnd w:id="831"/>
      <w:bookmarkEnd w:id="832"/>
    </w:p>
    <w:p w14:paraId="67D48EE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因下列暂停施工增加的费用和（或）工期延误由承包人承担：</w:t>
      </w:r>
    </w:p>
    <w:p w14:paraId="45DB313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（1）承包人违约引起的暂停施工；</w:t>
      </w:r>
    </w:p>
    <w:p w14:paraId="42573DB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（2）由于承包人原因为工程合理施工和安全保障所必需的暂停施工；</w:t>
      </w:r>
    </w:p>
    <w:p w14:paraId="6411277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（3）承包人擅自暂停施工；</w:t>
      </w:r>
    </w:p>
    <w:p w14:paraId="0232FB8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（4）承包人其他原因引起的暂停施工；</w:t>
      </w:r>
    </w:p>
    <w:p w14:paraId="2E0E2F8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（5）专用合同条款约定由承包人承担的其他暂停施工。</w:t>
      </w:r>
    </w:p>
    <w:p w14:paraId="31E72F1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33" w:name="_Toc23726"/>
      <w:bookmarkStart w:id="834" w:name="_Toc29989"/>
      <w:bookmarkStart w:id="835" w:name="_Toc234833047"/>
      <w:bookmarkStart w:id="836" w:name="_Toc18857"/>
      <w:bookmarkStart w:id="837" w:name="_Toc20625"/>
      <w:r>
        <w:rPr>
          <w:rFonts w:hint="default" w:ascii="Times New Roman" w:hAnsi="Times New Roman" w:eastAsia="黑体" w:cs="Times New Roman"/>
          <w:b w:val="0"/>
          <w:color w:val="auto"/>
          <w:sz w:val="24"/>
          <w:szCs w:val="24"/>
          <w:highlight w:val="none"/>
        </w:rPr>
        <w:t>12.2 发包人暂停施工的责任</w:t>
      </w:r>
      <w:bookmarkEnd w:id="833"/>
      <w:bookmarkEnd w:id="834"/>
      <w:bookmarkEnd w:id="835"/>
      <w:bookmarkEnd w:id="836"/>
      <w:bookmarkEnd w:id="837"/>
    </w:p>
    <w:p w14:paraId="2DB4327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由于发包人原因引起的暂停施工造成工期延误的，承包人有权要求发包人延长工期和（或）增加费用，并支付合理利润。</w:t>
      </w:r>
    </w:p>
    <w:p w14:paraId="0E428D0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38" w:name="_Toc3772"/>
      <w:bookmarkStart w:id="839" w:name="_Toc18672"/>
      <w:bookmarkStart w:id="840" w:name="_Toc234833048"/>
      <w:bookmarkStart w:id="841" w:name="_Toc15395"/>
      <w:bookmarkStart w:id="842" w:name="_Toc4773"/>
      <w:r>
        <w:rPr>
          <w:rFonts w:hint="default" w:ascii="Times New Roman" w:hAnsi="Times New Roman" w:eastAsia="黑体" w:cs="Times New Roman"/>
          <w:b w:val="0"/>
          <w:color w:val="auto"/>
          <w:sz w:val="24"/>
          <w:szCs w:val="24"/>
          <w:highlight w:val="none"/>
        </w:rPr>
        <w:t>12.3 监理人暂停施工指示</w:t>
      </w:r>
      <w:bookmarkEnd w:id="838"/>
      <w:bookmarkEnd w:id="839"/>
      <w:bookmarkEnd w:id="840"/>
      <w:bookmarkEnd w:id="841"/>
      <w:bookmarkEnd w:id="842"/>
    </w:p>
    <w:p w14:paraId="32492CB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12.3.1 监理人认为有必要时，可向承包人作出暂停施工的指示，承包人应按监理人指示暂停施工。不论由于何种原因引起的暂停施工，暂停施工期间承包人应负责妥善保护工程并提供安全保障。</w:t>
      </w:r>
    </w:p>
    <w:p w14:paraId="299B372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26FF69F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43" w:name="_Toc9838"/>
      <w:bookmarkStart w:id="844" w:name="_Toc11081"/>
      <w:bookmarkStart w:id="845" w:name="_Toc234833049"/>
      <w:bookmarkStart w:id="846" w:name="_Toc16137"/>
      <w:bookmarkStart w:id="847" w:name="_Toc1869"/>
      <w:r>
        <w:rPr>
          <w:rFonts w:hint="default" w:ascii="Times New Roman" w:hAnsi="Times New Roman" w:eastAsia="黑体" w:cs="Times New Roman"/>
          <w:b w:val="0"/>
          <w:color w:val="auto"/>
          <w:sz w:val="24"/>
          <w:szCs w:val="24"/>
          <w:highlight w:val="none"/>
        </w:rPr>
        <w:t>12.4 暂停施工后的复工</w:t>
      </w:r>
      <w:bookmarkEnd w:id="843"/>
      <w:bookmarkEnd w:id="844"/>
      <w:bookmarkEnd w:id="845"/>
      <w:bookmarkEnd w:id="846"/>
      <w:bookmarkEnd w:id="847"/>
    </w:p>
    <w:p w14:paraId="12E1B8F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12.4.1暂停施工后，监理人应与发包人和承包人协商，采取有效措施积极消除暂停施工的影响。当工程具备复工条件时，监理人应立即向承包人发出复工通知。承包人收到复工通知后，应在监理人指定的期限内复工。</w:t>
      </w:r>
    </w:p>
    <w:p w14:paraId="0F6E212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12.4.2承包人无故拖延和拒绝复工的，由此增加的费用和工期延误由承包人承担；因发包人原因无法按时复工的，承包人有权要求发包人延长工期和（或）增加费用，并支付合理利润。</w:t>
      </w:r>
    </w:p>
    <w:p w14:paraId="71DCDE8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48" w:name="_Toc12999"/>
      <w:bookmarkStart w:id="849" w:name="_Toc23504"/>
      <w:bookmarkStart w:id="850" w:name="_Toc11816"/>
      <w:bookmarkStart w:id="851" w:name="_Toc4186"/>
      <w:bookmarkStart w:id="852" w:name="_Toc234833050"/>
      <w:r>
        <w:rPr>
          <w:rFonts w:hint="default" w:ascii="Times New Roman" w:hAnsi="Times New Roman" w:eastAsia="黑体" w:cs="Times New Roman"/>
          <w:b w:val="0"/>
          <w:color w:val="auto"/>
          <w:sz w:val="24"/>
          <w:szCs w:val="24"/>
          <w:highlight w:val="none"/>
        </w:rPr>
        <w:t>12.5 暂停施工持续56天以上</w:t>
      </w:r>
      <w:bookmarkEnd w:id="848"/>
      <w:bookmarkEnd w:id="849"/>
      <w:bookmarkEnd w:id="850"/>
      <w:bookmarkEnd w:id="851"/>
      <w:bookmarkEnd w:id="852"/>
    </w:p>
    <w:p w14:paraId="54EF354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12.5.1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约定办理。</w:t>
      </w:r>
    </w:p>
    <w:p w14:paraId="7164377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12.5.2由于承包人责任引起的暂停施工，如承包人在收到监理人暂停施工指示后56天内不认真采取有效的复工措施，造成工期延误，可视为承包人违约，应按第22.1款的约定办理。</w:t>
      </w:r>
    </w:p>
    <w:p w14:paraId="56A9CA4F">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853" w:name="_Toc38"/>
      <w:bookmarkStart w:id="854" w:name="_Toc32763"/>
      <w:bookmarkStart w:id="855" w:name="_Toc11532"/>
      <w:bookmarkStart w:id="856" w:name="_Toc7813"/>
      <w:bookmarkStart w:id="857" w:name="_Toc234833051"/>
      <w:r>
        <w:rPr>
          <w:rFonts w:hint="default" w:ascii="Times New Roman" w:hAnsi="Times New Roman" w:eastAsia="黑体" w:cs="Times New Roman"/>
          <w:b w:val="0"/>
          <w:color w:val="auto"/>
          <w:sz w:val="28"/>
          <w:szCs w:val="28"/>
          <w:highlight w:val="none"/>
        </w:rPr>
        <w:t>13. 工程质量</w:t>
      </w:r>
      <w:bookmarkEnd w:id="853"/>
      <w:bookmarkEnd w:id="854"/>
      <w:bookmarkEnd w:id="855"/>
      <w:bookmarkEnd w:id="856"/>
      <w:bookmarkEnd w:id="857"/>
    </w:p>
    <w:p w14:paraId="3F0EB59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58" w:name="_Toc5217"/>
      <w:bookmarkStart w:id="859" w:name="_Toc25776"/>
      <w:bookmarkStart w:id="860" w:name="_Toc9818"/>
      <w:bookmarkStart w:id="861" w:name="_Toc9602"/>
      <w:bookmarkStart w:id="862" w:name="_Toc234833052"/>
      <w:r>
        <w:rPr>
          <w:rFonts w:hint="default" w:ascii="Times New Roman" w:hAnsi="Times New Roman" w:eastAsia="黑体" w:cs="Times New Roman"/>
          <w:b w:val="0"/>
          <w:color w:val="auto"/>
          <w:sz w:val="24"/>
          <w:szCs w:val="24"/>
          <w:highlight w:val="none"/>
        </w:rPr>
        <w:t>13.1 工程质量要求</w:t>
      </w:r>
      <w:bookmarkEnd w:id="858"/>
      <w:bookmarkEnd w:id="859"/>
      <w:bookmarkEnd w:id="860"/>
      <w:bookmarkEnd w:id="861"/>
      <w:bookmarkEnd w:id="862"/>
    </w:p>
    <w:p w14:paraId="6296A39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13.1.1 工程质量验收按合同约定验收标准执行。</w:t>
      </w:r>
    </w:p>
    <w:p w14:paraId="0F9B36A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13.1.2 因承包人原因造成工程质量达不到合同约定验收标准的，监理人有权要求承包人返工直至符合合同要求为止，由此造成的费用增加和（或）工期延误由承包人承担。</w:t>
      </w:r>
    </w:p>
    <w:p w14:paraId="4E00B32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13.1.3 因发包人原因造成工程质量达不到合同约定验收标准的，发包人应承担由于承包人返工造成的费用增加和（或）工期延误，并支付承包人合理利润。</w:t>
      </w:r>
    </w:p>
    <w:p w14:paraId="1071D1F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63" w:name="_Toc14900"/>
      <w:bookmarkStart w:id="864" w:name="_Toc32691"/>
      <w:bookmarkStart w:id="865" w:name="_Toc1504"/>
      <w:bookmarkStart w:id="866" w:name="_Toc234833053"/>
      <w:bookmarkStart w:id="867" w:name="_Toc20391"/>
      <w:r>
        <w:rPr>
          <w:rFonts w:hint="default" w:ascii="Times New Roman" w:hAnsi="Times New Roman" w:eastAsia="黑体" w:cs="Times New Roman"/>
          <w:b w:val="0"/>
          <w:color w:val="auto"/>
          <w:sz w:val="24"/>
          <w:szCs w:val="24"/>
          <w:highlight w:val="none"/>
        </w:rPr>
        <w:t>13.2 承包人的质量管理</w:t>
      </w:r>
      <w:bookmarkEnd w:id="863"/>
      <w:bookmarkEnd w:id="864"/>
      <w:bookmarkEnd w:id="865"/>
      <w:bookmarkEnd w:id="866"/>
      <w:bookmarkEnd w:id="867"/>
    </w:p>
    <w:p w14:paraId="1979C31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4FE32F3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13.2.2 承包人应加强对施工人员的质量教育和技术培训，定期考核施工人员的劳动技能，严格执行规范和操作规程。</w:t>
      </w:r>
    </w:p>
    <w:p w14:paraId="35D74DA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68" w:name="_Toc18930"/>
      <w:bookmarkStart w:id="869" w:name="_Toc630"/>
      <w:bookmarkStart w:id="870" w:name="_Toc234833054"/>
      <w:bookmarkStart w:id="871" w:name="_Toc23276"/>
      <w:bookmarkStart w:id="872" w:name="_Toc9790"/>
      <w:r>
        <w:rPr>
          <w:rFonts w:hint="default" w:ascii="Times New Roman" w:hAnsi="Times New Roman" w:eastAsia="黑体" w:cs="Times New Roman"/>
          <w:b w:val="0"/>
          <w:color w:val="auto"/>
          <w:sz w:val="24"/>
          <w:szCs w:val="24"/>
          <w:highlight w:val="none"/>
        </w:rPr>
        <w:t>13.3 承包人的质量检查</w:t>
      </w:r>
      <w:bookmarkEnd w:id="868"/>
      <w:bookmarkEnd w:id="869"/>
      <w:bookmarkEnd w:id="870"/>
      <w:bookmarkEnd w:id="871"/>
      <w:bookmarkEnd w:id="872"/>
    </w:p>
    <w:p w14:paraId="01C9D33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承包人应按合同约定对材料、工程设备以及工程的所有部位及其施工工艺进行全过程的质量检查和检验，并作详细记录，编制工程质量报表，报送监理人审查。</w:t>
      </w:r>
    </w:p>
    <w:p w14:paraId="670D699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73" w:name="_Toc23210"/>
      <w:bookmarkStart w:id="874" w:name="_Toc14050"/>
      <w:bookmarkStart w:id="875" w:name="_Toc30195"/>
      <w:bookmarkStart w:id="876" w:name="_Toc29172"/>
      <w:bookmarkStart w:id="877" w:name="_Toc234833055"/>
      <w:r>
        <w:rPr>
          <w:rFonts w:hint="default" w:ascii="Times New Roman" w:hAnsi="Times New Roman" w:eastAsia="黑体" w:cs="Times New Roman"/>
          <w:b w:val="0"/>
          <w:color w:val="auto"/>
          <w:sz w:val="24"/>
          <w:szCs w:val="24"/>
          <w:highlight w:val="none"/>
        </w:rPr>
        <w:t>13.4 监理人的质量检查</w:t>
      </w:r>
      <w:bookmarkEnd w:id="873"/>
      <w:bookmarkEnd w:id="874"/>
      <w:bookmarkEnd w:id="875"/>
      <w:bookmarkEnd w:id="876"/>
      <w:bookmarkEnd w:id="877"/>
    </w:p>
    <w:p w14:paraId="1C9FA19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33703F1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78" w:name="_Toc17119"/>
      <w:bookmarkStart w:id="879" w:name="_Toc21706"/>
      <w:bookmarkStart w:id="880" w:name="_Toc17194"/>
      <w:bookmarkStart w:id="881" w:name="_Toc25084"/>
      <w:bookmarkStart w:id="882" w:name="_Toc234833056"/>
      <w:r>
        <w:rPr>
          <w:rFonts w:hint="default" w:ascii="Times New Roman" w:hAnsi="Times New Roman" w:eastAsia="黑体" w:cs="Times New Roman"/>
          <w:b w:val="0"/>
          <w:color w:val="auto"/>
          <w:sz w:val="24"/>
          <w:szCs w:val="24"/>
          <w:highlight w:val="none"/>
        </w:rPr>
        <w:t>13.5 工程隐蔽部位覆盖前的检查</w:t>
      </w:r>
      <w:bookmarkEnd w:id="878"/>
      <w:bookmarkEnd w:id="879"/>
      <w:bookmarkEnd w:id="880"/>
      <w:bookmarkEnd w:id="881"/>
      <w:bookmarkEnd w:id="882"/>
    </w:p>
    <w:p w14:paraId="4941F484">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13.5.1 </w:t>
      </w:r>
      <w:r>
        <w:rPr>
          <w:rFonts w:hint="default" w:ascii="Times New Roman" w:hAnsi="Times New Roman" w:eastAsia="黑体" w:cs="Times New Roman"/>
          <w:color w:val="auto"/>
          <w:sz w:val="24"/>
          <w:highlight w:val="none"/>
        </w:rPr>
        <w:t xml:space="preserve">通知监理人检查 </w:t>
      </w:r>
    </w:p>
    <w:p w14:paraId="2FB9807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3020B614">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13.5.2</w:t>
      </w:r>
      <w:r>
        <w:rPr>
          <w:rFonts w:hint="default" w:ascii="Times New Roman" w:hAnsi="Times New Roman" w:eastAsia="黑体" w:cs="Times New Roman"/>
          <w:color w:val="auto"/>
          <w:sz w:val="24"/>
          <w:highlight w:val="none"/>
        </w:rPr>
        <w:t xml:space="preserve"> 监理人未到场检查</w:t>
      </w:r>
    </w:p>
    <w:p w14:paraId="266B15A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73611B3F">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13.5.3</w:t>
      </w:r>
      <w:r>
        <w:rPr>
          <w:rFonts w:hint="default" w:ascii="Times New Roman" w:hAnsi="Times New Roman" w:eastAsia="黑体" w:cs="Times New Roman"/>
          <w:color w:val="auto"/>
          <w:sz w:val="24"/>
          <w:highlight w:val="none"/>
        </w:rPr>
        <w:t xml:space="preserve"> 监理人重新检查</w:t>
      </w:r>
    </w:p>
    <w:p w14:paraId="441C817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按第13.5.1项或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596521D0">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13.5.4 </w:t>
      </w:r>
      <w:r>
        <w:rPr>
          <w:rFonts w:hint="default" w:ascii="Times New Roman" w:hAnsi="Times New Roman" w:eastAsia="黑体" w:cs="Times New Roman"/>
          <w:color w:val="auto"/>
          <w:sz w:val="24"/>
          <w:highlight w:val="none"/>
        </w:rPr>
        <w:t>承包人私自覆盖</w:t>
      </w:r>
    </w:p>
    <w:p w14:paraId="464FDB6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承包人未通知监理人到场检查，私自将工程隐蔽部位覆盖的，监理人有权指示承包人钻孔探测或揭开检查，由此增加的费用和（或）工期延误由承包人承担。</w:t>
      </w:r>
    </w:p>
    <w:p w14:paraId="65C5AFD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83" w:name="_Toc234833057"/>
      <w:bookmarkStart w:id="884" w:name="_Toc11615"/>
      <w:bookmarkStart w:id="885" w:name="_Toc30792"/>
      <w:bookmarkStart w:id="886" w:name="_Toc27575"/>
      <w:bookmarkStart w:id="887" w:name="_Toc29205"/>
      <w:r>
        <w:rPr>
          <w:rFonts w:hint="default" w:ascii="Times New Roman" w:hAnsi="Times New Roman" w:eastAsia="黑体" w:cs="Times New Roman"/>
          <w:b w:val="0"/>
          <w:color w:val="auto"/>
          <w:sz w:val="24"/>
          <w:szCs w:val="24"/>
          <w:highlight w:val="none"/>
        </w:rPr>
        <w:t>13.6 清除不合格工程</w:t>
      </w:r>
      <w:bookmarkEnd w:id="883"/>
      <w:bookmarkEnd w:id="884"/>
      <w:bookmarkEnd w:id="885"/>
      <w:bookmarkEnd w:id="886"/>
      <w:bookmarkEnd w:id="887"/>
    </w:p>
    <w:p w14:paraId="7911E5D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13.6.1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24E61B6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13.6.2由于发包人提供的材料或工程设备不合格造成的工程不合格，需要承包人采取措施补救的，发包人应承担由此增加的费用和（或）工期延误，并支付承包人合理利润。</w:t>
      </w:r>
    </w:p>
    <w:p w14:paraId="5089ED30">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888" w:name="_Toc17780"/>
      <w:bookmarkStart w:id="889" w:name="_Toc16816"/>
      <w:bookmarkStart w:id="890" w:name="_Toc26772"/>
      <w:bookmarkStart w:id="891" w:name="_Toc7865"/>
      <w:bookmarkStart w:id="892" w:name="_Toc234833058"/>
      <w:r>
        <w:rPr>
          <w:rFonts w:hint="default" w:ascii="Times New Roman" w:hAnsi="Times New Roman" w:eastAsia="黑体" w:cs="Times New Roman"/>
          <w:b w:val="0"/>
          <w:color w:val="auto"/>
          <w:sz w:val="28"/>
          <w:szCs w:val="28"/>
          <w:highlight w:val="none"/>
        </w:rPr>
        <w:t>14. 试验和检验</w:t>
      </w:r>
      <w:bookmarkEnd w:id="888"/>
      <w:bookmarkEnd w:id="889"/>
      <w:bookmarkEnd w:id="890"/>
      <w:bookmarkEnd w:id="891"/>
      <w:bookmarkEnd w:id="892"/>
    </w:p>
    <w:p w14:paraId="0C23A8B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93" w:name="_Toc7572"/>
      <w:bookmarkStart w:id="894" w:name="_Toc19607"/>
      <w:bookmarkStart w:id="895" w:name="_Toc23212"/>
      <w:bookmarkStart w:id="896" w:name="_Toc19299"/>
      <w:bookmarkStart w:id="897" w:name="_Toc234833059"/>
      <w:r>
        <w:rPr>
          <w:rFonts w:hint="default" w:ascii="Times New Roman" w:hAnsi="Times New Roman" w:eastAsia="黑体" w:cs="Times New Roman"/>
          <w:b w:val="0"/>
          <w:color w:val="auto"/>
          <w:sz w:val="24"/>
          <w:szCs w:val="24"/>
          <w:highlight w:val="none"/>
        </w:rPr>
        <w:t>14.1 材料、工程设备和工程的试验和检验</w:t>
      </w:r>
      <w:bookmarkEnd w:id="893"/>
      <w:bookmarkEnd w:id="894"/>
      <w:bookmarkEnd w:id="895"/>
      <w:bookmarkEnd w:id="896"/>
      <w:bookmarkEnd w:id="897"/>
    </w:p>
    <w:p w14:paraId="7DF95A0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8347DB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14.1.2 监理人未按合同约定派员参加试验和检验的，除监理人另有指示外，承包人可自行试验和检验，并应立即将试验和检验结果报送监理人，监理人应签字确认。</w:t>
      </w:r>
    </w:p>
    <w:p w14:paraId="6BF2CE8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2A3AD9B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898" w:name="_Toc9789"/>
      <w:bookmarkStart w:id="899" w:name="_Toc2015"/>
      <w:bookmarkStart w:id="900" w:name="_Toc9643"/>
      <w:bookmarkStart w:id="901" w:name="_Toc234833060"/>
      <w:bookmarkStart w:id="902" w:name="_Toc4179"/>
      <w:r>
        <w:rPr>
          <w:rFonts w:hint="default" w:ascii="Times New Roman" w:hAnsi="Times New Roman" w:eastAsia="黑体" w:cs="Times New Roman"/>
          <w:b w:val="0"/>
          <w:color w:val="auto"/>
          <w:sz w:val="24"/>
          <w:szCs w:val="24"/>
          <w:highlight w:val="none"/>
        </w:rPr>
        <w:t>14.2 现场材料试验</w:t>
      </w:r>
      <w:bookmarkEnd w:id="898"/>
      <w:bookmarkEnd w:id="899"/>
      <w:bookmarkEnd w:id="900"/>
      <w:bookmarkEnd w:id="901"/>
      <w:bookmarkEnd w:id="902"/>
    </w:p>
    <w:p w14:paraId="160A873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14.2.1 承包人根据合同约定或监理人指示进行的现场材料试验，应由承包人提供试验场所、试验人员、试验设备器材以及其他必要的试验条件。</w:t>
      </w:r>
    </w:p>
    <w:p w14:paraId="7A0F913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14.2.2 监理人在必要时可以使用承包人的试验场所、试验设备器材以及其他试验条件，进行以工程质量检查为目的的复核性材料试验，承包人应予以协助。</w:t>
      </w:r>
    </w:p>
    <w:p w14:paraId="3B94659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03" w:name="_Toc234833061"/>
      <w:bookmarkStart w:id="904" w:name="_Toc31625"/>
      <w:bookmarkStart w:id="905" w:name="_Toc505"/>
      <w:bookmarkStart w:id="906" w:name="_Toc19986"/>
      <w:bookmarkStart w:id="907" w:name="_Toc19643"/>
      <w:r>
        <w:rPr>
          <w:rFonts w:hint="default" w:ascii="Times New Roman" w:hAnsi="Times New Roman" w:eastAsia="黑体" w:cs="Times New Roman"/>
          <w:b w:val="0"/>
          <w:color w:val="auto"/>
          <w:sz w:val="24"/>
          <w:szCs w:val="24"/>
          <w:highlight w:val="none"/>
        </w:rPr>
        <w:t>14.3 现场工艺试验</w:t>
      </w:r>
      <w:bookmarkEnd w:id="903"/>
      <w:bookmarkEnd w:id="904"/>
      <w:bookmarkEnd w:id="905"/>
      <w:bookmarkEnd w:id="906"/>
      <w:bookmarkEnd w:id="907"/>
    </w:p>
    <w:p w14:paraId="29A2E74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26A60E52">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908" w:name="_Toc28048"/>
      <w:bookmarkStart w:id="909" w:name="_Toc234833062"/>
      <w:bookmarkStart w:id="910" w:name="_Toc17742"/>
      <w:bookmarkStart w:id="911" w:name="_Toc1929"/>
      <w:bookmarkStart w:id="912" w:name="_Toc32585"/>
      <w:r>
        <w:rPr>
          <w:rFonts w:hint="default" w:ascii="Times New Roman" w:hAnsi="Times New Roman" w:eastAsia="黑体" w:cs="Times New Roman"/>
          <w:b w:val="0"/>
          <w:color w:val="auto"/>
          <w:sz w:val="28"/>
          <w:szCs w:val="28"/>
          <w:highlight w:val="none"/>
        </w:rPr>
        <w:t>15. 变更</w:t>
      </w:r>
      <w:bookmarkEnd w:id="908"/>
      <w:bookmarkEnd w:id="909"/>
      <w:bookmarkEnd w:id="910"/>
      <w:bookmarkEnd w:id="911"/>
      <w:bookmarkEnd w:id="912"/>
    </w:p>
    <w:p w14:paraId="2992945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13" w:name="_Toc30228"/>
      <w:bookmarkStart w:id="914" w:name="_Toc20123"/>
      <w:bookmarkStart w:id="915" w:name="_Toc4605"/>
      <w:bookmarkStart w:id="916" w:name="_Toc234833063"/>
      <w:bookmarkStart w:id="917" w:name="_Toc23647"/>
      <w:r>
        <w:rPr>
          <w:rFonts w:hint="default" w:ascii="Times New Roman" w:hAnsi="Times New Roman" w:eastAsia="黑体" w:cs="Times New Roman"/>
          <w:b w:val="0"/>
          <w:color w:val="auto"/>
          <w:sz w:val="24"/>
          <w:szCs w:val="24"/>
          <w:highlight w:val="none"/>
        </w:rPr>
        <w:t>15.1 变更的范围和内容</w:t>
      </w:r>
      <w:bookmarkEnd w:id="913"/>
      <w:bookmarkEnd w:id="914"/>
      <w:bookmarkEnd w:id="915"/>
      <w:bookmarkEnd w:id="916"/>
      <w:bookmarkEnd w:id="917"/>
    </w:p>
    <w:p w14:paraId="54C0467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除专用合同条款另有约定外，在履行合同中发生以下情形之一，应按照本条规定进行变更。</w:t>
      </w:r>
    </w:p>
    <w:p w14:paraId="31FF782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（1）取消合同中任何一项工作，但被取消的工作不能转由发包人或其他人实施；</w:t>
      </w:r>
    </w:p>
    <w:p w14:paraId="2522330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（2）改变合同中任何一项工作的质量或其他特性；</w:t>
      </w:r>
    </w:p>
    <w:p w14:paraId="7E5EF13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（3）改变合同工程的基线、标高、位置或尺寸；</w:t>
      </w:r>
    </w:p>
    <w:p w14:paraId="10388B8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（4）改变合同中任何一项工作的施工时间或改变已批准的施工工艺或顺序；</w:t>
      </w:r>
    </w:p>
    <w:p w14:paraId="193B0FF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（5）为完成工程需要追加的额外工作。</w:t>
      </w:r>
    </w:p>
    <w:p w14:paraId="098A6CA9">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18" w:name="_Toc10482"/>
      <w:bookmarkStart w:id="919" w:name="_Toc15961"/>
      <w:bookmarkStart w:id="920" w:name="_Toc8053"/>
      <w:bookmarkStart w:id="921" w:name="_Toc234833064"/>
      <w:bookmarkStart w:id="922" w:name="_Toc24888"/>
      <w:r>
        <w:rPr>
          <w:rFonts w:hint="default" w:ascii="Times New Roman" w:hAnsi="Times New Roman" w:eastAsia="黑体" w:cs="Times New Roman"/>
          <w:b w:val="0"/>
          <w:color w:val="auto"/>
          <w:sz w:val="24"/>
          <w:szCs w:val="24"/>
          <w:highlight w:val="none"/>
        </w:rPr>
        <w:t>15.2 变更权</w:t>
      </w:r>
      <w:bookmarkEnd w:id="918"/>
      <w:bookmarkEnd w:id="919"/>
      <w:bookmarkEnd w:id="920"/>
      <w:bookmarkEnd w:id="921"/>
      <w:bookmarkEnd w:id="922"/>
    </w:p>
    <w:p w14:paraId="0BD3860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在履行合同过程中，经发包人同意，监理人可按第15.3款约定的变更程序向承包人作出变更指示，承包人应遵照执行。没有监理人的变更指示，承包人不得擅自变更。</w:t>
      </w:r>
    </w:p>
    <w:p w14:paraId="6DB461D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23" w:name="_Toc2613"/>
      <w:bookmarkStart w:id="924" w:name="_Toc30516"/>
      <w:bookmarkStart w:id="925" w:name="_Toc12919"/>
      <w:bookmarkStart w:id="926" w:name="_Toc234833065"/>
      <w:bookmarkStart w:id="927" w:name="_Toc29346"/>
      <w:r>
        <w:rPr>
          <w:rFonts w:hint="default" w:ascii="Times New Roman" w:hAnsi="Times New Roman" w:eastAsia="黑体" w:cs="Times New Roman"/>
          <w:b w:val="0"/>
          <w:color w:val="auto"/>
          <w:sz w:val="24"/>
          <w:szCs w:val="24"/>
          <w:highlight w:val="none"/>
        </w:rPr>
        <w:t>15.3 变更程序</w:t>
      </w:r>
      <w:bookmarkEnd w:id="923"/>
      <w:bookmarkEnd w:id="924"/>
      <w:bookmarkEnd w:id="925"/>
      <w:bookmarkEnd w:id="926"/>
      <w:bookmarkEnd w:id="927"/>
    </w:p>
    <w:p w14:paraId="69E37E46">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15.3.1 </w:t>
      </w:r>
      <w:r>
        <w:rPr>
          <w:rFonts w:hint="default" w:ascii="Times New Roman" w:hAnsi="Times New Roman" w:eastAsia="黑体" w:cs="Times New Roman"/>
          <w:color w:val="auto"/>
          <w:sz w:val="24"/>
          <w:highlight w:val="none"/>
        </w:rPr>
        <w:t>变更的提出</w:t>
      </w:r>
    </w:p>
    <w:p w14:paraId="10A78DB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w:t>
      </w:r>
    </w:p>
    <w:p w14:paraId="6895401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（2）在合同履行过程中，发生第15.1款约定情形的，监理人应按照第15.3.3项约定向承包人发出变更指示。</w:t>
      </w:r>
    </w:p>
    <w:p w14:paraId="124BD75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187BAED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（4）若承包人收到监理人的变更意向书后认为难以实施此项变更，应立即通知监理人，说明原因并附详细依据。监理人与承包人和发包人协商后确定撤销、改变或不改变原变更意向书。</w:t>
      </w:r>
    </w:p>
    <w:p w14:paraId="504C3C8F">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15.3.2 </w:t>
      </w:r>
      <w:r>
        <w:rPr>
          <w:rFonts w:hint="default" w:ascii="Times New Roman" w:hAnsi="Times New Roman" w:eastAsia="黑体" w:cs="Times New Roman"/>
          <w:color w:val="auto"/>
          <w:sz w:val="24"/>
          <w:highlight w:val="none"/>
        </w:rPr>
        <w:t>变更估价</w:t>
      </w:r>
    </w:p>
    <w:p w14:paraId="3E39A91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138B26B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（2）变更工作影响工期的，承包人应提出调整工期的具体细节。监理人认为有必要时，可要求承包人提交要求提前或延长工期的施工进度计划及相应施工措施等详细资料。</w:t>
      </w:r>
    </w:p>
    <w:p w14:paraId="46ABB78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（3）除专用合同条款对期限另有约定外，监理人收到承包人变更报价书后的14天内，根据第15.4款约定的估价原则，按照第3.5款商定或确定变更价格。</w:t>
      </w:r>
    </w:p>
    <w:p w14:paraId="207CDF14">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15.3.3</w:t>
      </w:r>
      <w:r>
        <w:rPr>
          <w:rFonts w:hint="default" w:ascii="Times New Roman" w:hAnsi="Times New Roman" w:eastAsia="黑体" w:cs="Times New Roman"/>
          <w:color w:val="auto"/>
          <w:sz w:val="24"/>
          <w:highlight w:val="none"/>
        </w:rPr>
        <w:t xml:space="preserve"> 变更指示</w:t>
      </w:r>
    </w:p>
    <w:p w14:paraId="1BB7868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（1）变更指示只能由监理人发出。</w:t>
      </w:r>
    </w:p>
    <w:p w14:paraId="0FDF5C2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（2）变更指示应说明变更的目的、范围、变更内容以及变更的工程量及其进度和技术要求，并附有关图纸和文件。承包人收到变更指示后，应按变更指示进行变更工作。</w:t>
      </w:r>
    </w:p>
    <w:p w14:paraId="5BDB9B4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28" w:name="_Toc25571"/>
      <w:bookmarkStart w:id="929" w:name="_Toc234833066"/>
      <w:bookmarkStart w:id="930" w:name="_Toc734"/>
      <w:bookmarkStart w:id="931" w:name="_Toc21464"/>
      <w:bookmarkStart w:id="932" w:name="_Toc2325"/>
      <w:r>
        <w:rPr>
          <w:rFonts w:hint="default" w:ascii="Times New Roman" w:hAnsi="Times New Roman" w:eastAsia="黑体" w:cs="Times New Roman"/>
          <w:b w:val="0"/>
          <w:color w:val="auto"/>
          <w:sz w:val="24"/>
          <w:szCs w:val="24"/>
          <w:highlight w:val="none"/>
        </w:rPr>
        <w:t>15.4 变更的估价原则</w:t>
      </w:r>
      <w:bookmarkEnd w:id="928"/>
      <w:bookmarkEnd w:id="929"/>
      <w:bookmarkEnd w:id="930"/>
      <w:bookmarkEnd w:id="931"/>
      <w:bookmarkEnd w:id="932"/>
      <w:r>
        <w:rPr>
          <w:rFonts w:hint="default" w:ascii="Times New Roman" w:hAnsi="Times New Roman" w:eastAsia="黑体" w:cs="Times New Roman"/>
          <w:b w:val="0"/>
          <w:color w:val="auto"/>
          <w:sz w:val="24"/>
          <w:szCs w:val="24"/>
          <w:highlight w:val="none"/>
        </w:rPr>
        <w:t xml:space="preserve"> </w:t>
      </w:r>
    </w:p>
    <w:p w14:paraId="05DD7820">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除专用合同条款另有约定外，因变更引起的价格调整按照本款约定处理。</w:t>
      </w:r>
    </w:p>
    <w:p w14:paraId="00A2EFE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15.4.1 已标价工程量清单中有适用于变更工作的子目的，采用该子目的单价。</w:t>
      </w:r>
    </w:p>
    <w:p w14:paraId="0D265EC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15.4.2 已标价工程量清单中无适用于变更工作的子目，但有类似子目的，可在合理范围内参照类似子目的单价，由监理人按第3.5款商定或确定变更工作的单价。</w:t>
      </w:r>
    </w:p>
    <w:p w14:paraId="342904E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15.4.3 已标价工程量清单中无适用或类似子目的单价，可按照成本加利润的原则，由监理人按第3.5款商定或确定变更工作的单价。</w:t>
      </w:r>
    </w:p>
    <w:p w14:paraId="1BDB109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33" w:name="_Toc10517"/>
      <w:bookmarkStart w:id="934" w:name="_Toc25619"/>
      <w:bookmarkStart w:id="935" w:name="_Toc5615"/>
      <w:bookmarkStart w:id="936" w:name="_Toc234833067"/>
      <w:bookmarkStart w:id="937" w:name="_Toc20188"/>
      <w:r>
        <w:rPr>
          <w:rFonts w:hint="default" w:ascii="Times New Roman" w:hAnsi="Times New Roman" w:eastAsia="黑体" w:cs="Times New Roman"/>
          <w:b w:val="0"/>
          <w:color w:val="auto"/>
          <w:sz w:val="24"/>
          <w:szCs w:val="24"/>
          <w:highlight w:val="none"/>
        </w:rPr>
        <w:t>15.5 承包人的合理化建议</w:t>
      </w:r>
      <w:bookmarkEnd w:id="933"/>
      <w:bookmarkEnd w:id="934"/>
      <w:bookmarkEnd w:id="935"/>
      <w:bookmarkEnd w:id="936"/>
      <w:bookmarkEnd w:id="937"/>
    </w:p>
    <w:p w14:paraId="1BD76E7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07F32BF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15.5.2 承包人提出的合理化建议降低了合同价格、缩短了工期或者提高了工程经济效益的，发包人可按国家有关规定在专用合同条款中约定给予奖励。</w:t>
      </w:r>
    </w:p>
    <w:p w14:paraId="0EF4922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38" w:name="_Toc27871"/>
      <w:bookmarkStart w:id="939" w:name="_Toc1051"/>
      <w:bookmarkStart w:id="940" w:name="_Toc15655"/>
      <w:bookmarkStart w:id="941" w:name="_Toc234833068"/>
      <w:bookmarkStart w:id="942" w:name="_Toc32232"/>
      <w:r>
        <w:rPr>
          <w:rFonts w:hint="default" w:ascii="Times New Roman" w:hAnsi="Times New Roman" w:eastAsia="黑体" w:cs="Times New Roman"/>
          <w:b w:val="0"/>
          <w:color w:val="auto"/>
          <w:sz w:val="24"/>
          <w:szCs w:val="24"/>
          <w:highlight w:val="none"/>
        </w:rPr>
        <w:t>15.6 暂列金额</w:t>
      </w:r>
      <w:bookmarkEnd w:id="938"/>
      <w:bookmarkEnd w:id="939"/>
      <w:bookmarkEnd w:id="940"/>
      <w:bookmarkEnd w:id="941"/>
      <w:bookmarkEnd w:id="942"/>
    </w:p>
    <w:p w14:paraId="22E0AE56">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暂列金额只能按照监理人的指示使用，并对合同价格进行相应调整。</w:t>
      </w:r>
    </w:p>
    <w:p w14:paraId="2206AE8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43" w:name="_Toc10060"/>
      <w:bookmarkStart w:id="944" w:name="_Toc25732"/>
      <w:bookmarkStart w:id="945" w:name="_Toc2062"/>
      <w:bookmarkStart w:id="946" w:name="_Toc234833069"/>
      <w:bookmarkStart w:id="947" w:name="_Toc4406"/>
      <w:r>
        <w:rPr>
          <w:rFonts w:hint="default" w:ascii="Times New Roman" w:hAnsi="Times New Roman" w:eastAsia="黑体" w:cs="Times New Roman"/>
          <w:b w:val="0"/>
          <w:color w:val="auto"/>
          <w:sz w:val="24"/>
          <w:szCs w:val="24"/>
          <w:highlight w:val="none"/>
        </w:rPr>
        <w:t>15.7 计日工</w:t>
      </w:r>
      <w:bookmarkEnd w:id="943"/>
      <w:bookmarkEnd w:id="944"/>
      <w:bookmarkEnd w:id="945"/>
      <w:bookmarkEnd w:id="946"/>
      <w:bookmarkEnd w:id="947"/>
    </w:p>
    <w:p w14:paraId="30744BF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15.7.1 发包人认为有必要时，由监理人通知承包人以计日工方式实施变更的零星工作。其价款按列入已标价工程量清单中的计日工计价子目及其单价进行计算。</w:t>
      </w:r>
    </w:p>
    <w:p w14:paraId="696B6B1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15.7.2 采用计日工计价的任何一项变更工作，应从暂列金额中支付，承包人应在该项变更的实施过程中，每天提交以下报表和有关凭证报送监理人审批：</w:t>
      </w:r>
    </w:p>
    <w:p w14:paraId="12A2C35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（1）工作名称、内容和数量；</w:t>
      </w:r>
    </w:p>
    <w:p w14:paraId="76182B4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（2）投入该工作所有人员的姓名、工种、级别和耗用工时；</w:t>
      </w:r>
    </w:p>
    <w:p w14:paraId="116DA82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（3）投入该工作的材料类别和数量；</w:t>
      </w:r>
    </w:p>
    <w:p w14:paraId="22C884E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（4）投入该工作的施工设备型号、台数和耗用台时；</w:t>
      </w:r>
    </w:p>
    <w:p w14:paraId="04ED1A9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（5）监理人要求提交的其他资料和凭证。</w:t>
      </w:r>
    </w:p>
    <w:p w14:paraId="4EFFC90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15.7.3 计日工由承包人汇总后，按第17.3.2项的约定列入进度付款申请单，由监理人复核并经发包人同意后列入进度付款。</w:t>
      </w:r>
    </w:p>
    <w:p w14:paraId="1C04B06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48" w:name="_Toc17561"/>
      <w:bookmarkStart w:id="949" w:name="_Toc13261"/>
      <w:bookmarkStart w:id="950" w:name="_Toc7315"/>
      <w:bookmarkStart w:id="951" w:name="_Toc234833070"/>
      <w:bookmarkStart w:id="952" w:name="_Toc19722"/>
      <w:r>
        <w:rPr>
          <w:rFonts w:hint="default" w:ascii="Times New Roman" w:hAnsi="Times New Roman" w:eastAsia="黑体" w:cs="Times New Roman"/>
          <w:b w:val="0"/>
          <w:color w:val="auto"/>
          <w:sz w:val="24"/>
          <w:szCs w:val="24"/>
          <w:highlight w:val="none"/>
        </w:rPr>
        <w:t>15.8暂估价</w:t>
      </w:r>
      <w:bookmarkEnd w:id="948"/>
      <w:bookmarkEnd w:id="949"/>
      <w:bookmarkEnd w:id="950"/>
      <w:bookmarkEnd w:id="951"/>
      <w:bookmarkEnd w:id="952"/>
    </w:p>
    <w:p w14:paraId="718F804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14:paraId="1319519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15.8.2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03D0556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15.8.3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2A4025D7">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953" w:name="_Toc7147"/>
      <w:bookmarkStart w:id="954" w:name="_Toc22564"/>
      <w:bookmarkStart w:id="955" w:name="_Toc15345"/>
      <w:bookmarkStart w:id="956" w:name="_Toc10500"/>
      <w:bookmarkStart w:id="957" w:name="_Toc234833071"/>
      <w:r>
        <w:rPr>
          <w:rFonts w:hint="default" w:ascii="Times New Roman" w:hAnsi="Times New Roman" w:eastAsia="黑体" w:cs="Times New Roman"/>
          <w:b w:val="0"/>
          <w:color w:val="auto"/>
          <w:sz w:val="28"/>
          <w:szCs w:val="28"/>
          <w:highlight w:val="none"/>
        </w:rPr>
        <w:t>16. 价格调整</w:t>
      </w:r>
      <w:bookmarkEnd w:id="953"/>
      <w:bookmarkEnd w:id="954"/>
      <w:bookmarkEnd w:id="955"/>
      <w:bookmarkEnd w:id="956"/>
      <w:bookmarkEnd w:id="957"/>
    </w:p>
    <w:p w14:paraId="39A938A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58" w:name="_Toc5119"/>
      <w:bookmarkStart w:id="959" w:name="_Toc28582"/>
      <w:bookmarkStart w:id="960" w:name="_Toc892"/>
      <w:bookmarkStart w:id="961" w:name="_Toc29053"/>
      <w:bookmarkStart w:id="962" w:name="_Toc234833072"/>
      <w:r>
        <w:rPr>
          <w:rFonts w:hint="default" w:ascii="Times New Roman" w:hAnsi="Times New Roman" w:eastAsia="黑体" w:cs="Times New Roman"/>
          <w:b w:val="0"/>
          <w:color w:val="auto"/>
          <w:sz w:val="24"/>
          <w:szCs w:val="24"/>
          <w:highlight w:val="none"/>
        </w:rPr>
        <w:t>16.1 物价波动引起的价格调整</w:t>
      </w:r>
      <w:bookmarkEnd w:id="958"/>
      <w:bookmarkEnd w:id="959"/>
      <w:bookmarkEnd w:id="960"/>
      <w:bookmarkEnd w:id="961"/>
      <w:bookmarkEnd w:id="962"/>
    </w:p>
    <w:p w14:paraId="44A3F073">
      <w:pPr>
        <w:pageBreakBefore w:val="0"/>
        <w:kinsoku/>
        <w:wordWrap w:val="0"/>
        <w:bidi w:val="0"/>
        <w:spacing w:before="480" w:after="240" w:line="380" w:lineRule="atLeast"/>
        <w:outlineLvl w:val="9"/>
        <w:rPr>
          <w:rFonts w:hint="eastAsia" w:ascii="Times New Roman" w:hAnsi="Times New Roman" w:cs="Times New Roman"/>
          <w:b/>
          <w:bCs/>
          <w:color w:val="auto"/>
          <w:sz w:val="24"/>
          <w:highlight w:val="yellow"/>
          <w:lang w:val="en-US" w:eastAsia="zh-CN"/>
        </w:rPr>
      </w:pPr>
      <w:bookmarkStart w:id="963" w:name="_Toc32220"/>
      <w:bookmarkStart w:id="964" w:name="_Toc234833074"/>
      <w:bookmarkStart w:id="965" w:name="_Toc2237"/>
      <w:bookmarkStart w:id="966" w:name="_Toc6207"/>
      <w:bookmarkStart w:id="967" w:name="_Toc11413"/>
      <w:r>
        <w:rPr>
          <w:rFonts w:hint="eastAsia" w:ascii="Times New Roman" w:hAnsi="Times New Roman" w:cs="Times New Roman"/>
          <w:b/>
          <w:bCs/>
          <w:color w:val="auto"/>
          <w:sz w:val="24"/>
          <w:highlight w:val="yellow"/>
          <w:lang w:val="en-US" w:eastAsia="zh-CN"/>
        </w:rPr>
        <w:t>合同期内不调价，因物价波动引起的价格调整本合同不予考虑。</w:t>
      </w:r>
    </w:p>
    <w:p w14:paraId="72C8D25D">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r>
        <w:rPr>
          <w:rFonts w:hint="default" w:ascii="Times New Roman" w:hAnsi="Times New Roman" w:eastAsia="黑体" w:cs="Times New Roman"/>
          <w:b w:val="0"/>
          <w:color w:val="auto"/>
          <w:sz w:val="28"/>
          <w:szCs w:val="28"/>
          <w:highlight w:val="none"/>
        </w:rPr>
        <w:t>17. 计量与支付</w:t>
      </w:r>
      <w:bookmarkEnd w:id="963"/>
      <w:bookmarkEnd w:id="964"/>
      <w:bookmarkEnd w:id="965"/>
      <w:bookmarkEnd w:id="966"/>
      <w:bookmarkEnd w:id="967"/>
    </w:p>
    <w:p w14:paraId="204483D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68" w:name="_Toc12856"/>
      <w:bookmarkStart w:id="969" w:name="_Toc29292"/>
      <w:bookmarkStart w:id="970" w:name="_Toc21036"/>
      <w:bookmarkStart w:id="971" w:name="_Toc11688"/>
      <w:bookmarkStart w:id="972" w:name="_Toc234833075"/>
      <w:r>
        <w:rPr>
          <w:rFonts w:hint="default" w:ascii="Times New Roman" w:hAnsi="Times New Roman" w:eastAsia="黑体" w:cs="Times New Roman"/>
          <w:b w:val="0"/>
          <w:color w:val="auto"/>
          <w:sz w:val="24"/>
          <w:szCs w:val="24"/>
          <w:highlight w:val="none"/>
        </w:rPr>
        <w:t>17.1 计量</w:t>
      </w:r>
      <w:bookmarkEnd w:id="968"/>
      <w:bookmarkEnd w:id="969"/>
      <w:bookmarkEnd w:id="970"/>
      <w:bookmarkEnd w:id="971"/>
      <w:bookmarkEnd w:id="972"/>
      <w:r>
        <w:rPr>
          <w:rFonts w:hint="default" w:ascii="Times New Roman" w:hAnsi="Times New Roman" w:eastAsia="黑体" w:cs="Times New Roman"/>
          <w:b w:val="0"/>
          <w:color w:val="auto"/>
          <w:sz w:val="24"/>
          <w:szCs w:val="24"/>
          <w:highlight w:val="none"/>
        </w:rPr>
        <w:t xml:space="preserve"> </w:t>
      </w:r>
    </w:p>
    <w:p w14:paraId="727A76DF">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17.1.1 </w:t>
      </w:r>
      <w:r>
        <w:rPr>
          <w:rFonts w:hint="default" w:ascii="Times New Roman" w:hAnsi="Times New Roman" w:eastAsia="黑体" w:cs="Times New Roman"/>
          <w:color w:val="auto"/>
          <w:sz w:val="24"/>
          <w:highlight w:val="none"/>
        </w:rPr>
        <w:t>计量单位</w:t>
      </w:r>
    </w:p>
    <w:p w14:paraId="7318B2F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计量采用国家法定的计量单位。</w:t>
      </w:r>
    </w:p>
    <w:p w14:paraId="725F12AF">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17.1.2 </w:t>
      </w:r>
      <w:r>
        <w:rPr>
          <w:rFonts w:hint="default" w:ascii="Times New Roman" w:hAnsi="Times New Roman" w:eastAsia="黑体" w:cs="Times New Roman"/>
          <w:color w:val="auto"/>
          <w:sz w:val="24"/>
          <w:highlight w:val="none"/>
        </w:rPr>
        <w:t>计量方法</w:t>
      </w:r>
    </w:p>
    <w:p w14:paraId="01E6FAC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工程量清单中的工程量计算规则应按有关国家标准、行业标准的规定，并在合同中约定执行。</w:t>
      </w:r>
    </w:p>
    <w:p w14:paraId="61CAEA89">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17.1.3 </w:t>
      </w:r>
      <w:r>
        <w:rPr>
          <w:rFonts w:hint="default" w:ascii="Times New Roman" w:hAnsi="Times New Roman" w:eastAsia="黑体" w:cs="Times New Roman"/>
          <w:color w:val="auto"/>
          <w:sz w:val="24"/>
          <w:highlight w:val="none"/>
        </w:rPr>
        <w:t>计量周期</w:t>
      </w:r>
    </w:p>
    <w:p w14:paraId="19520847">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除专用合同条款另有约定外，单价子目已完成工程量按月计量，总价子目的计量周期按批准的支付分解报告确定。 </w:t>
      </w:r>
    </w:p>
    <w:p w14:paraId="75406791">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17.1.4 </w:t>
      </w:r>
      <w:r>
        <w:rPr>
          <w:rFonts w:hint="default" w:ascii="Times New Roman" w:hAnsi="Times New Roman" w:eastAsia="黑体" w:cs="Times New Roman"/>
          <w:color w:val="auto"/>
          <w:sz w:val="24"/>
          <w:highlight w:val="none"/>
        </w:rPr>
        <w:t>单价子目的计量</w:t>
      </w:r>
    </w:p>
    <w:p w14:paraId="18EBA62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（1）已标价工程量清单中的单价子目工程量为估算工程量。结算工程量是承包人实际完成的，并按合同约定的计量方法进行计量的工程量。</w:t>
      </w:r>
    </w:p>
    <w:p w14:paraId="5819390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（2）承包人对已完成的工程进行计量，向监理人提交进度付款申请单、已完成工程量报表和有关计量资料。</w:t>
      </w:r>
    </w:p>
    <w:p w14:paraId="62B1074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25B8208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（4）监理人认为有必要时，可通知承包人共同进行联合测量、计量，承包人应遵照执行。</w:t>
      </w:r>
    </w:p>
    <w:p w14:paraId="0C87375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3AC74CF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（6）监理人应在收到承包人提交的工程量报表后的7天内进行复核，监理人未在约定时间内复核的，承包人提交的工程量报表中的工程量视为承包人实际完成的工程量，据此计算工程价款。</w:t>
      </w:r>
    </w:p>
    <w:p w14:paraId="067C90B7">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17.1.5 </w:t>
      </w:r>
      <w:r>
        <w:rPr>
          <w:rFonts w:hint="default" w:ascii="Times New Roman" w:hAnsi="Times New Roman" w:eastAsia="黑体" w:cs="Times New Roman"/>
          <w:color w:val="auto"/>
          <w:sz w:val="24"/>
          <w:highlight w:val="none"/>
        </w:rPr>
        <w:t>总价子目的计量</w:t>
      </w:r>
    </w:p>
    <w:p w14:paraId="181DBE0A">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除专用合同条款另有约定外，总价子目的分解和计量按照下述约定进行。</w:t>
      </w:r>
    </w:p>
    <w:p w14:paraId="5BE24190">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（1）总价子目的计量和支付应以总价为基础，不因第16.1款中的因素而进行调整。承包人实际完成的工程量，是进行工程目标管理和控制进度支付的依据。</w:t>
      </w:r>
    </w:p>
    <w:p w14:paraId="1F152005">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569B6CA4">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（3）监理人对承包人提交的上述资料进行复核，以确定分阶段实际完成的工程量和工程形象目标。对其有异议的，可要求承包人按第8.2款约定进行共同复核和抽样复测。</w:t>
      </w:r>
    </w:p>
    <w:p w14:paraId="3E71D304">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（4）除按照第15条约定的变更外，总价子目的工程量是承包人用于结算的最终工程量。</w:t>
      </w:r>
    </w:p>
    <w:p w14:paraId="393A4215">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73" w:name="_Toc10349"/>
      <w:bookmarkStart w:id="974" w:name="_Toc234833076"/>
      <w:bookmarkStart w:id="975" w:name="_Toc28011"/>
      <w:bookmarkStart w:id="976" w:name="_Toc28845"/>
      <w:bookmarkStart w:id="977" w:name="_Toc16552"/>
      <w:r>
        <w:rPr>
          <w:rFonts w:hint="default" w:ascii="Times New Roman" w:hAnsi="Times New Roman" w:eastAsia="黑体" w:cs="Times New Roman"/>
          <w:b w:val="0"/>
          <w:color w:val="auto"/>
          <w:sz w:val="24"/>
          <w:szCs w:val="24"/>
          <w:highlight w:val="none"/>
        </w:rPr>
        <w:t>17.2 预付款</w:t>
      </w:r>
      <w:bookmarkEnd w:id="973"/>
      <w:bookmarkEnd w:id="974"/>
      <w:bookmarkEnd w:id="975"/>
      <w:bookmarkEnd w:id="976"/>
      <w:bookmarkEnd w:id="977"/>
    </w:p>
    <w:p w14:paraId="00ED02A7">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17.2.1</w:t>
      </w:r>
      <w:r>
        <w:rPr>
          <w:rFonts w:hint="default" w:ascii="Times New Roman" w:hAnsi="Times New Roman" w:eastAsia="黑体" w:cs="Times New Roman"/>
          <w:color w:val="auto"/>
          <w:sz w:val="24"/>
          <w:highlight w:val="none"/>
        </w:rPr>
        <w:t>预付款</w:t>
      </w:r>
    </w:p>
    <w:p w14:paraId="654474B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预付款用于承包人为合同工程施工购置材料、工程设备、施工设备、修建临时设施以及组织施工队伍进场等。预付款的额度和预付办法在专用合同条款中约定。预付款必须专用于合同工程。</w:t>
      </w:r>
    </w:p>
    <w:p w14:paraId="7E78ACF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17.2.2 </w:t>
      </w:r>
      <w:r>
        <w:rPr>
          <w:rFonts w:hint="default" w:ascii="Times New Roman" w:hAnsi="Times New Roman" w:eastAsia="黑体" w:cs="Times New Roman"/>
          <w:color w:val="auto"/>
          <w:sz w:val="24"/>
          <w:highlight w:val="none"/>
        </w:rPr>
        <w:t>预付款保函</w:t>
      </w:r>
    </w:p>
    <w:p w14:paraId="46C6383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除专用合同条款另有约定外，承包人应在收到预付款的同时向发包人提交预付款保函，预付款保函的担保金额应与预付款金额相同。保函的担保金额可根据预付款扣回的金额相应递减。</w:t>
      </w:r>
    </w:p>
    <w:p w14:paraId="70949EC2">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17.2.3 </w:t>
      </w:r>
      <w:r>
        <w:rPr>
          <w:rFonts w:hint="default" w:ascii="Times New Roman" w:hAnsi="Times New Roman" w:eastAsia="黑体" w:cs="Times New Roman"/>
          <w:color w:val="auto"/>
          <w:sz w:val="24"/>
          <w:highlight w:val="none"/>
        </w:rPr>
        <w:t>预付款的扣回与还清</w:t>
      </w:r>
    </w:p>
    <w:p w14:paraId="625F849E">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预付款在进度付款中扣回，扣回办法在专用合同条款中约定。在颁发工程接收证书前，由于不可抗力或其他原因解除合同时，预付款尚未扣清的，尚未扣清的预付款余额应作为承包人的到期应付款。</w:t>
      </w:r>
    </w:p>
    <w:p w14:paraId="2EB34BF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78" w:name="_Toc20532"/>
      <w:bookmarkStart w:id="979" w:name="_Toc13844"/>
      <w:bookmarkStart w:id="980" w:name="_Toc26397"/>
      <w:bookmarkStart w:id="981" w:name="_Toc7717"/>
      <w:bookmarkStart w:id="982" w:name="_Toc234833077"/>
      <w:r>
        <w:rPr>
          <w:rFonts w:hint="default" w:ascii="Times New Roman" w:hAnsi="Times New Roman" w:eastAsia="黑体" w:cs="Times New Roman"/>
          <w:b w:val="0"/>
          <w:color w:val="auto"/>
          <w:sz w:val="24"/>
          <w:szCs w:val="24"/>
          <w:highlight w:val="none"/>
        </w:rPr>
        <w:t>17.3 工程进度付款</w:t>
      </w:r>
      <w:bookmarkEnd w:id="978"/>
      <w:bookmarkEnd w:id="979"/>
      <w:bookmarkEnd w:id="980"/>
      <w:bookmarkEnd w:id="981"/>
      <w:bookmarkEnd w:id="982"/>
    </w:p>
    <w:p w14:paraId="3A2B0E8E">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17.3.1 </w:t>
      </w:r>
      <w:r>
        <w:rPr>
          <w:rFonts w:hint="default" w:ascii="Times New Roman" w:hAnsi="Times New Roman" w:eastAsia="黑体" w:cs="Times New Roman"/>
          <w:color w:val="auto"/>
          <w:sz w:val="24"/>
          <w:highlight w:val="none"/>
        </w:rPr>
        <w:t>付款周期</w:t>
      </w:r>
    </w:p>
    <w:p w14:paraId="7076DC47">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付款周期同计量周期。</w:t>
      </w:r>
    </w:p>
    <w:p w14:paraId="2C0FF543">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17.3.2 </w:t>
      </w:r>
      <w:r>
        <w:rPr>
          <w:rFonts w:hint="default" w:ascii="Times New Roman" w:hAnsi="Times New Roman" w:eastAsia="黑体" w:cs="Times New Roman"/>
          <w:color w:val="auto"/>
          <w:sz w:val="24"/>
          <w:highlight w:val="none"/>
        </w:rPr>
        <w:t>进度付款申请单</w:t>
      </w:r>
    </w:p>
    <w:p w14:paraId="2025A88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7FEA9062">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（1）截至本次付款周期末已实施工程的价款；</w:t>
      </w:r>
    </w:p>
    <w:p w14:paraId="4CA0EB0F">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（2）根据第15条应增加和扣减的变更金额；</w:t>
      </w:r>
    </w:p>
    <w:p w14:paraId="26C4B27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（3）根据第23条应增加和扣减的索赔金额；</w:t>
      </w:r>
    </w:p>
    <w:p w14:paraId="09A8D15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（4）根据第17.2款约定应支付的预付款和扣减的返还预付款；</w:t>
      </w:r>
    </w:p>
    <w:p w14:paraId="3BE5EEE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（5）根据第17.4.1项约定应扣减的质量保证金；</w:t>
      </w:r>
    </w:p>
    <w:p w14:paraId="1B991495">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（6）根据合同应增加和扣减的其他金额。</w:t>
      </w:r>
    </w:p>
    <w:p w14:paraId="2BCEFDC1">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17.3.3 </w:t>
      </w:r>
      <w:r>
        <w:rPr>
          <w:rFonts w:hint="default" w:ascii="Times New Roman" w:hAnsi="Times New Roman" w:eastAsia="黑体" w:cs="Times New Roman"/>
          <w:color w:val="auto"/>
          <w:sz w:val="24"/>
          <w:highlight w:val="none"/>
        </w:rPr>
        <w:t>进度付款证书和支付时间</w:t>
      </w:r>
    </w:p>
    <w:p w14:paraId="4B7190E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384D1EF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（2）发包人应在监理人收到进度付款申请单后的28天内，将进度应付款支付给承包人。发包人不按期支付的，按专用合同条款的约定支付逾期付款违约金。</w:t>
      </w:r>
    </w:p>
    <w:p w14:paraId="6D3F929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（3）监理人出具进度付款证书，不应视为监理人已同意、批准或接受了承包人完成的该部分工作。</w:t>
      </w:r>
    </w:p>
    <w:p w14:paraId="036DFCC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（4）进度付款涉及政府投资资金的，按照国库集中支付等国家相关规定和专用合同条款的约定办理。</w:t>
      </w:r>
    </w:p>
    <w:p w14:paraId="45C099B0">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br w:type="page"/>
      </w:r>
      <w:r>
        <w:rPr>
          <w:rFonts w:hint="default" w:ascii="Times New Roman" w:hAnsi="Times New Roman" w:cs="Times New Roman"/>
          <w:color w:val="auto"/>
          <w:sz w:val="24"/>
          <w:highlight w:val="none"/>
        </w:rPr>
        <w:t>17.3.4</w:t>
      </w:r>
      <w:r>
        <w:rPr>
          <w:rFonts w:hint="default" w:ascii="Times New Roman" w:hAnsi="Times New Roman" w:eastAsia="黑体" w:cs="Times New Roman"/>
          <w:color w:val="auto"/>
          <w:sz w:val="24"/>
          <w:highlight w:val="none"/>
        </w:rPr>
        <w:t xml:space="preserve"> 工程进度付款的修正</w:t>
      </w:r>
    </w:p>
    <w:p w14:paraId="0F34982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1F32D14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83" w:name="_Toc2545"/>
      <w:bookmarkStart w:id="984" w:name="_Toc10469"/>
      <w:bookmarkStart w:id="985" w:name="_Toc30905"/>
      <w:bookmarkStart w:id="986" w:name="_Toc234833078"/>
      <w:bookmarkStart w:id="987" w:name="_Toc27494"/>
      <w:r>
        <w:rPr>
          <w:rFonts w:hint="default" w:ascii="Times New Roman" w:hAnsi="Times New Roman" w:eastAsia="黑体" w:cs="Times New Roman"/>
          <w:b w:val="0"/>
          <w:color w:val="auto"/>
          <w:sz w:val="24"/>
          <w:szCs w:val="24"/>
          <w:highlight w:val="none"/>
        </w:rPr>
        <w:t>17.4 质量保证金</w:t>
      </w:r>
      <w:bookmarkEnd w:id="983"/>
      <w:bookmarkEnd w:id="984"/>
      <w:bookmarkEnd w:id="985"/>
      <w:bookmarkEnd w:id="986"/>
      <w:bookmarkEnd w:id="987"/>
    </w:p>
    <w:p w14:paraId="03F4F4B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6752C88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44B73B7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17.4.3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352012F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88" w:name="_Toc23313"/>
      <w:bookmarkStart w:id="989" w:name="_Toc234833079"/>
      <w:bookmarkStart w:id="990" w:name="_Toc9754"/>
      <w:bookmarkStart w:id="991" w:name="_Toc26637"/>
      <w:bookmarkStart w:id="992" w:name="_Toc26619"/>
      <w:r>
        <w:rPr>
          <w:rFonts w:hint="default" w:ascii="Times New Roman" w:hAnsi="Times New Roman" w:eastAsia="黑体" w:cs="Times New Roman"/>
          <w:b w:val="0"/>
          <w:color w:val="auto"/>
          <w:sz w:val="24"/>
          <w:szCs w:val="24"/>
          <w:highlight w:val="none"/>
        </w:rPr>
        <w:t>17.5 竣工结算</w:t>
      </w:r>
      <w:bookmarkEnd w:id="988"/>
      <w:bookmarkEnd w:id="989"/>
      <w:bookmarkEnd w:id="990"/>
      <w:bookmarkEnd w:id="991"/>
      <w:bookmarkEnd w:id="992"/>
    </w:p>
    <w:p w14:paraId="127A43FA">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17.5.1 </w:t>
      </w:r>
      <w:r>
        <w:rPr>
          <w:rFonts w:hint="default" w:ascii="Times New Roman" w:hAnsi="Times New Roman" w:eastAsia="黑体" w:cs="Times New Roman"/>
          <w:color w:val="auto"/>
          <w:sz w:val="24"/>
          <w:highlight w:val="none"/>
        </w:rPr>
        <w:t>竣工付款申请单</w:t>
      </w:r>
    </w:p>
    <w:p w14:paraId="58EED9F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5286DAE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（2）监理人对竣工付款申请单有异议的，有权要求承包人进行修正和提供补充资料。经监理人和承包人协商后，由承包人向监理人提交修正后的竣工付款申请单。</w:t>
      </w:r>
    </w:p>
    <w:p w14:paraId="5E2E2551">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17.5.2 </w:t>
      </w:r>
      <w:r>
        <w:rPr>
          <w:rFonts w:hint="default" w:ascii="Times New Roman" w:hAnsi="Times New Roman" w:eastAsia="黑体" w:cs="Times New Roman"/>
          <w:color w:val="auto"/>
          <w:sz w:val="24"/>
          <w:highlight w:val="none"/>
        </w:rPr>
        <w:t>竣工付款证书及支付时间</w:t>
      </w:r>
    </w:p>
    <w:p w14:paraId="4E60B58E">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17CB5D89">
      <w:pPr>
        <w:pageBreakBefore w:val="0"/>
        <w:kinsoku/>
        <w:wordWrap w:val="0"/>
        <w:bidi w:val="0"/>
        <w:spacing w:line="400" w:lineRule="atLeast"/>
        <w:ind w:firstLine="6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（2）发包人应在监理人出具竣工付款证书后的14天内，将应支付款支付给承包人。发包人不按期支付的，按第17.3.3（2）目的约定，将逾期付款违约金支付给承包人。</w:t>
      </w:r>
    </w:p>
    <w:p w14:paraId="02BEF905">
      <w:pPr>
        <w:pageBreakBefore w:val="0"/>
        <w:kinsoku/>
        <w:wordWrap w:val="0"/>
        <w:bidi w:val="0"/>
        <w:spacing w:line="400" w:lineRule="atLeast"/>
        <w:ind w:firstLine="6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（3）承包人对发包人签认的竣工付款证书有异议的，发包人可出具竣工付款申请单中承包人已同意部分的临时付款证书。存在争议的部分，按第24条的约定办理。</w:t>
      </w:r>
    </w:p>
    <w:p w14:paraId="60BB46BE">
      <w:pPr>
        <w:pageBreakBefore w:val="0"/>
        <w:kinsoku/>
        <w:wordWrap w:val="0"/>
        <w:bidi w:val="0"/>
        <w:spacing w:line="400" w:lineRule="atLeast"/>
        <w:ind w:firstLine="6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（4）竣工付款涉及政府投资资金的，按第17.3.3（4）目的约定办理。</w:t>
      </w:r>
    </w:p>
    <w:p w14:paraId="0260CD69">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993" w:name="_Toc234833080"/>
      <w:bookmarkStart w:id="994" w:name="_Toc1613"/>
      <w:bookmarkStart w:id="995" w:name="_Toc4427"/>
      <w:bookmarkStart w:id="996" w:name="_Toc3447"/>
      <w:bookmarkStart w:id="997" w:name="_Toc13815"/>
      <w:r>
        <w:rPr>
          <w:rFonts w:hint="default" w:ascii="Times New Roman" w:hAnsi="Times New Roman" w:eastAsia="黑体" w:cs="Times New Roman"/>
          <w:b w:val="0"/>
          <w:color w:val="auto"/>
          <w:sz w:val="24"/>
          <w:szCs w:val="24"/>
          <w:highlight w:val="none"/>
        </w:rPr>
        <w:t>17.6 最终结清</w:t>
      </w:r>
      <w:bookmarkEnd w:id="993"/>
      <w:bookmarkEnd w:id="994"/>
      <w:bookmarkEnd w:id="995"/>
      <w:bookmarkEnd w:id="996"/>
      <w:bookmarkEnd w:id="997"/>
    </w:p>
    <w:p w14:paraId="63F2C50B">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17.6.1 </w:t>
      </w:r>
      <w:r>
        <w:rPr>
          <w:rFonts w:hint="default" w:ascii="Times New Roman" w:hAnsi="Times New Roman" w:eastAsia="黑体" w:cs="Times New Roman"/>
          <w:color w:val="auto"/>
          <w:sz w:val="24"/>
          <w:highlight w:val="none"/>
        </w:rPr>
        <w:t>最终结清申请单</w:t>
      </w:r>
    </w:p>
    <w:p w14:paraId="4D55263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（1）缺陷责任期终止证书签发后，承包人可按专用合同条款约定的份数和期限向监理人提交最终结清申请单，并提供相关证明材料。</w:t>
      </w:r>
    </w:p>
    <w:p w14:paraId="33834F6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（2）发包人对最终结清申请单内容有异议的，有权要求承包人进行修正和提供补充资料，由承包人向监理人提交修正后的最终结清申请单。</w:t>
      </w:r>
    </w:p>
    <w:p w14:paraId="49EA1AF2">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17.6.2 </w:t>
      </w:r>
      <w:r>
        <w:rPr>
          <w:rFonts w:hint="default" w:ascii="Times New Roman" w:hAnsi="Times New Roman" w:eastAsia="黑体" w:cs="Times New Roman"/>
          <w:color w:val="auto"/>
          <w:sz w:val="24"/>
          <w:highlight w:val="none"/>
        </w:rPr>
        <w:t>最终结清证书和支付时间</w:t>
      </w:r>
      <w:r>
        <w:rPr>
          <w:rFonts w:hint="default" w:ascii="Times New Roman" w:hAnsi="Times New Roman" w:cs="Times New Roman"/>
          <w:color w:val="auto"/>
          <w:sz w:val="24"/>
          <w:highlight w:val="none"/>
        </w:rPr>
        <w:t xml:space="preserve"> </w:t>
      </w:r>
    </w:p>
    <w:p w14:paraId="499093D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单已经监理人核查同意；发包人未在约定时间内审核又未提出具体意见的，监理人提出应支付给承包人的价款视为已经发包人同意。</w:t>
      </w:r>
    </w:p>
    <w:p w14:paraId="578BC13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（2）发包人应在监理人出具最终结清证书后的14天内，将应支付款支付给承包人。发包人不按期支付的，按第17.3.3（2）目的约定，将逾期付款违约金支付给承包人。</w:t>
      </w:r>
    </w:p>
    <w:p w14:paraId="737F4C3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（3）承包人对发包人签认的最终结清证书有异议的，按第24条的约定办理。</w:t>
      </w:r>
    </w:p>
    <w:p w14:paraId="75C219C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（4）最终结清付款涉及政府投资资金的，按第17.3.3（4）目的约定办理。</w:t>
      </w:r>
    </w:p>
    <w:p w14:paraId="403D776F">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998" w:name="_Toc29576"/>
      <w:bookmarkStart w:id="999" w:name="_Toc31279"/>
      <w:bookmarkStart w:id="1000" w:name="_Toc234833081"/>
      <w:bookmarkStart w:id="1001" w:name="_Toc1653"/>
      <w:bookmarkStart w:id="1002" w:name="_Toc13751"/>
      <w:r>
        <w:rPr>
          <w:rFonts w:hint="default" w:ascii="Times New Roman" w:hAnsi="Times New Roman" w:eastAsia="黑体" w:cs="Times New Roman"/>
          <w:b w:val="0"/>
          <w:color w:val="auto"/>
          <w:sz w:val="28"/>
          <w:szCs w:val="28"/>
          <w:highlight w:val="none"/>
        </w:rPr>
        <w:t>18. 竣工验收</w:t>
      </w:r>
      <w:bookmarkEnd w:id="998"/>
      <w:bookmarkEnd w:id="999"/>
      <w:bookmarkEnd w:id="1000"/>
      <w:bookmarkEnd w:id="1001"/>
      <w:bookmarkEnd w:id="1002"/>
    </w:p>
    <w:p w14:paraId="47F85CF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03" w:name="_Toc11287"/>
      <w:bookmarkStart w:id="1004" w:name="_Toc10071"/>
      <w:bookmarkStart w:id="1005" w:name="_Toc14256"/>
      <w:bookmarkStart w:id="1006" w:name="_Toc11052"/>
      <w:bookmarkStart w:id="1007" w:name="_Toc234833082"/>
      <w:r>
        <w:rPr>
          <w:rFonts w:hint="default" w:ascii="Times New Roman" w:hAnsi="Times New Roman" w:eastAsia="黑体" w:cs="Times New Roman"/>
          <w:b w:val="0"/>
          <w:color w:val="auto"/>
          <w:sz w:val="24"/>
          <w:szCs w:val="24"/>
          <w:highlight w:val="none"/>
        </w:rPr>
        <w:t>18.1 竣工验收的含义</w:t>
      </w:r>
      <w:bookmarkEnd w:id="1003"/>
      <w:bookmarkEnd w:id="1004"/>
      <w:bookmarkEnd w:id="1005"/>
      <w:bookmarkEnd w:id="1006"/>
      <w:bookmarkEnd w:id="1007"/>
    </w:p>
    <w:p w14:paraId="2E019D0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18.1.1 竣工验收指承包人完成了全部合同工作后，发包人按合同要求进行的验收。</w:t>
      </w:r>
    </w:p>
    <w:p w14:paraId="6B1208F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18.1.2 国家验收是政府有关部门根据法律、规范、规程和政策要求，针对发包人全面组织实施的整个工程正式交付投运前的验收。</w:t>
      </w:r>
    </w:p>
    <w:p w14:paraId="02149DF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21D8900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08" w:name="_Toc3760"/>
      <w:bookmarkStart w:id="1009" w:name="_Toc234833083"/>
      <w:bookmarkStart w:id="1010" w:name="_Toc9365"/>
      <w:bookmarkStart w:id="1011" w:name="_Toc11221"/>
      <w:bookmarkStart w:id="1012" w:name="_Toc25249"/>
      <w:r>
        <w:rPr>
          <w:rFonts w:hint="default" w:ascii="Times New Roman" w:hAnsi="Times New Roman" w:eastAsia="黑体" w:cs="Times New Roman"/>
          <w:b w:val="0"/>
          <w:color w:val="auto"/>
          <w:sz w:val="24"/>
          <w:szCs w:val="24"/>
          <w:highlight w:val="none"/>
        </w:rPr>
        <w:t>18.2 竣工验收申请报告</w:t>
      </w:r>
      <w:bookmarkEnd w:id="1008"/>
      <w:bookmarkEnd w:id="1009"/>
      <w:bookmarkEnd w:id="1010"/>
      <w:bookmarkEnd w:id="1011"/>
      <w:bookmarkEnd w:id="1012"/>
    </w:p>
    <w:p w14:paraId="592279A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当工程具备以下条件时，承包人即可向监理人报送竣工验收申请报告：</w:t>
      </w:r>
    </w:p>
    <w:p w14:paraId="630DF89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（1）除监理人同意列入缺陷责任期内完成的尾工（甩项）工程和缺陷修补工作外，合同范围内的全部单位工程以及有关工作，包括合同要求的试验、试运行以及检验和验收均已完成，并符合合同要求；</w:t>
      </w:r>
    </w:p>
    <w:p w14:paraId="114A1B4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（2）已按合同约定的内容和份数备齐了符合要求的竣工资料； </w:t>
      </w:r>
    </w:p>
    <w:p w14:paraId="2DA3CA5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（3）已按监理人的要求编制了在缺陷责任期内完成的尾工（甩项）工程和缺陷修补工作清单以及相应施工计划；</w:t>
      </w:r>
    </w:p>
    <w:p w14:paraId="1C02A34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（4）监理人要求在竣工验收前应完成的其他工作；</w:t>
      </w:r>
    </w:p>
    <w:p w14:paraId="203F026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（5）监理人要求提交的竣工验收资料清单。</w:t>
      </w:r>
    </w:p>
    <w:p w14:paraId="01D4D46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13" w:name="_Toc25904"/>
      <w:bookmarkStart w:id="1014" w:name="_Toc18269"/>
      <w:bookmarkStart w:id="1015" w:name="_Toc30208"/>
      <w:bookmarkStart w:id="1016" w:name="_Toc11295"/>
      <w:bookmarkStart w:id="1017" w:name="_Toc234833084"/>
      <w:r>
        <w:rPr>
          <w:rFonts w:hint="default" w:ascii="Times New Roman" w:hAnsi="Times New Roman" w:eastAsia="黑体" w:cs="Times New Roman"/>
          <w:b w:val="0"/>
          <w:color w:val="auto"/>
          <w:sz w:val="24"/>
          <w:szCs w:val="24"/>
          <w:highlight w:val="none"/>
        </w:rPr>
        <w:t>18.3 验收</w:t>
      </w:r>
      <w:bookmarkEnd w:id="1013"/>
      <w:bookmarkEnd w:id="1014"/>
      <w:bookmarkEnd w:id="1015"/>
      <w:bookmarkEnd w:id="1016"/>
      <w:bookmarkEnd w:id="1017"/>
    </w:p>
    <w:p w14:paraId="4C245ED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监理人收到承包人按第18.2款约定提交的竣工验收申请报告后，应审查申请报告的各项内容，并按以下不同情况进行处理。</w:t>
      </w:r>
    </w:p>
    <w:p w14:paraId="5230F45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10A8EC8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18.3.2 监理人审查后认为已具备竣工验收条件的，应在收到竣工验收申请报告后的28天内提请发包人进行工程验收。</w:t>
      </w:r>
    </w:p>
    <w:p w14:paraId="1E15255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18.3.3发包人经过验收后同意接收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10474BB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280D85F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18.3.5 除专用合同条款另有约定外，经验收合格工程的实际竣工日期，以提交竣工验收申请报告的日期为准，并在工程接收证书中写明。</w:t>
      </w:r>
    </w:p>
    <w:p w14:paraId="44C3592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18.3.6 发包人在收到承包人竣工验收申请报告56天后未进行验收的，视为验收合格，实际竣工日期以提交竣工验收申请报告的日期为准，但发包人由于不可抗力不能进行验收的除外。</w:t>
      </w:r>
    </w:p>
    <w:p w14:paraId="003365D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18" w:name="_Toc11780"/>
      <w:bookmarkStart w:id="1019" w:name="_Toc11852"/>
      <w:bookmarkStart w:id="1020" w:name="_Toc21157"/>
      <w:bookmarkStart w:id="1021" w:name="_Toc7791"/>
      <w:bookmarkStart w:id="1022" w:name="_Toc234833085"/>
      <w:r>
        <w:rPr>
          <w:rFonts w:hint="default" w:ascii="Times New Roman" w:hAnsi="Times New Roman" w:eastAsia="黑体" w:cs="Times New Roman"/>
          <w:b w:val="0"/>
          <w:color w:val="auto"/>
          <w:sz w:val="24"/>
          <w:szCs w:val="24"/>
          <w:highlight w:val="none"/>
        </w:rPr>
        <w:t>18.4 单位工程验收</w:t>
      </w:r>
      <w:bookmarkEnd w:id="1018"/>
      <w:bookmarkEnd w:id="1019"/>
      <w:bookmarkEnd w:id="1020"/>
      <w:bookmarkEnd w:id="1021"/>
      <w:bookmarkEnd w:id="1022"/>
    </w:p>
    <w:p w14:paraId="1FB1D70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18.4.1</w:t>
      </w:r>
      <w:r>
        <w:rPr>
          <w:rFonts w:hint="default" w:ascii="Times New Roman" w:hAnsi="Times New Roman" w:cs="Times New Roman"/>
          <w:color w:val="auto"/>
          <w:sz w:val="24"/>
          <w:highlight w:val="none"/>
        </w:rPr>
        <w:t>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7C3BCDA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18.4.2发包人在全部工程竣工前，使用已接收的单位工程导致承包人费用增加的，发包人应承担由此增加的费用和（或）工期延误，并支付承包人合理利润。</w:t>
      </w:r>
    </w:p>
    <w:p w14:paraId="4D1D0AE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23" w:name="_Toc28737"/>
      <w:bookmarkStart w:id="1024" w:name="_Toc15835"/>
      <w:bookmarkStart w:id="1025" w:name="_Toc28198"/>
      <w:bookmarkStart w:id="1026" w:name="_Toc2444"/>
      <w:bookmarkStart w:id="1027" w:name="_Toc234833086"/>
      <w:r>
        <w:rPr>
          <w:rFonts w:hint="default" w:ascii="Times New Roman" w:hAnsi="Times New Roman" w:eastAsia="黑体" w:cs="Times New Roman"/>
          <w:b w:val="0"/>
          <w:color w:val="auto"/>
          <w:sz w:val="24"/>
          <w:szCs w:val="24"/>
          <w:highlight w:val="none"/>
        </w:rPr>
        <w:t>18.5施工期运行</w:t>
      </w:r>
      <w:bookmarkEnd w:id="1023"/>
      <w:bookmarkEnd w:id="1024"/>
      <w:bookmarkEnd w:id="1025"/>
      <w:bookmarkEnd w:id="1026"/>
      <w:bookmarkEnd w:id="1027"/>
    </w:p>
    <w:p w14:paraId="74D3673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6B0605A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18.5.2 在施工期运行中发现工程或工程设备损坏或存在缺陷的，由承包人按第19.2款约定进行修复。</w:t>
      </w:r>
    </w:p>
    <w:p w14:paraId="0684EF5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28" w:name="_Toc19050"/>
      <w:bookmarkStart w:id="1029" w:name="_Toc27512"/>
      <w:bookmarkStart w:id="1030" w:name="_Toc234833087"/>
      <w:bookmarkStart w:id="1031" w:name="_Toc21844"/>
      <w:bookmarkStart w:id="1032" w:name="_Toc17390"/>
      <w:r>
        <w:rPr>
          <w:rFonts w:hint="default" w:ascii="Times New Roman" w:hAnsi="Times New Roman" w:eastAsia="黑体" w:cs="Times New Roman"/>
          <w:b w:val="0"/>
          <w:color w:val="auto"/>
          <w:sz w:val="24"/>
          <w:szCs w:val="24"/>
          <w:highlight w:val="none"/>
        </w:rPr>
        <w:t>18.6 试运行</w:t>
      </w:r>
      <w:bookmarkEnd w:id="1028"/>
      <w:bookmarkEnd w:id="1029"/>
      <w:bookmarkEnd w:id="1030"/>
      <w:bookmarkEnd w:id="1031"/>
      <w:bookmarkEnd w:id="1032"/>
    </w:p>
    <w:p w14:paraId="5AB597B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18.6.1</w:t>
      </w:r>
      <w:r>
        <w:rPr>
          <w:rFonts w:hint="default" w:ascii="Times New Roman" w:hAnsi="Times New Roman" w:cs="Times New Roman"/>
          <w:b/>
          <w:color w:val="auto"/>
          <w:sz w:val="24"/>
          <w:highlight w:val="none"/>
        </w:rPr>
        <w:t xml:space="preserve"> </w:t>
      </w:r>
      <w:r>
        <w:rPr>
          <w:rFonts w:hint="default" w:ascii="Times New Roman" w:hAnsi="Times New Roman" w:cs="Times New Roman"/>
          <w:color w:val="auto"/>
          <w:sz w:val="24"/>
          <w:highlight w:val="none"/>
        </w:rPr>
        <w:t>除专用合同条款另有约定外，承包人应按专用合同条款约定进行工程及工程设备试运行，负责提供试运行所需的人员、器材和必要的条件，并承担全部试运行费用。</w:t>
      </w:r>
    </w:p>
    <w:p w14:paraId="1334138F">
      <w:pPr>
        <w:pageBreakBefore w:val="0"/>
        <w:kinsoku/>
        <w:wordWrap w:val="0"/>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18.6.2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3B2B031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33" w:name="_Toc22550"/>
      <w:bookmarkStart w:id="1034" w:name="_Toc13521"/>
      <w:bookmarkStart w:id="1035" w:name="_Toc14071"/>
      <w:bookmarkStart w:id="1036" w:name="_Toc234833088"/>
      <w:bookmarkStart w:id="1037" w:name="_Toc26314"/>
      <w:r>
        <w:rPr>
          <w:rFonts w:hint="default" w:ascii="Times New Roman" w:hAnsi="Times New Roman" w:eastAsia="黑体" w:cs="Times New Roman"/>
          <w:b w:val="0"/>
          <w:color w:val="auto"/>
          <w:sz w:val="24"/>
          <w:szCs w:val="24"/>
          <w:highlight w:val="none"/>
        </w:rPr>
        <w:t>18.7 竣工清场</w:t>
      </w:r>
      <w:bookmarkEnd w:id="1033"/>
      <w:bookmarkEnd w:id="1034"/>
      <w:bookmarkEnd w:id="1035"/>
      <w:bookmarkEnd w:id="1036"/>
      <w:bookmarkEnd w:id="1037"/>
    </w:p>
    <w:p w14:paraId="3EF7051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18.7.1除合同另有约定外，工程接收证书颁发后，承包人应按以下要求对施工场地进行清理，直至监理人检验合格为止。竣工清场费用由承包人承担。</w:t>
      </w:r>
    </w:p>
    <w:p w14:paraId="68B13437">
      <w:pPr>
        <w:pageBreakBefore w:val="0"/>
        <w:kinsoku/>
        <w:wordWrap w:val="0"/>
        <w:bidi w:val="0"/>
        <w:spacing w:line="400" w:lineRule="atLeast"/>
        <w:ind w:firstLine="650" w:firstLineChars="27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（1）施工场地内残留的垃圾已全部清除出场；</w:t>
      </w:r>
    </w:p>
    <w:p w14:paraId="4995E939">
      <w:pPr>
        <w:pageBreakBefore w:val="0"/>
        <w:kinsoku/>
        <w:wordWrap w:val="0"/>
        <w:bidi w:val="0"/>
        <w:spacing w:line="400" w:lineRule="atLeast"/>
        <w:ind w:firstLine="650" w:firstLineChars="27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（2）临时工程已拆除，场地已按合同要求进行清理、平整或复原；</w:t>
      </w:r>
    </w:p>
    <w:p w14:paraId="0D9BF89B">
      <w:pPr>
        <w:pageBreakBefore w:val="0"/>
        <w:kinsoku/>
        <w:wordWrap w:val="0"/>
        <w:bidi w:val="0"/>
        <w:spacing w:line="400" w:lineRule="atLeast"/>
        <w:ind w:firstLine="650" w:firstLineChars="27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（3）按合同约定应撤离的承包人设备和剩余的材料，包括废弃的施工设备和材料，已按计划撤离施工场地；</w:t>
      </w:r>
    </w:p>
    <w:p w14:paraId="72337644">
      <w:pPr>
        <w:pageBreakBefore w:val="0"/>
        <w:kinsoku/>
        <w:wordWrap w:val="0"/>
        <w:bidi w:val="0"/>
        <w:spacing w:line="400" w:lineRule="atLeast"/>
        <w:ind w:firstLine="650" w:firstLineChars="27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（4）工程建筑物周边及其附近道路、河道的施工堆积物，已按监理人指示全部清理；</w:t>
      </w:r>
    </w:p>
    <w:p w14:paraId="3FFC2404">
      <w:pPr>
        <w:pageBreakBefore w:val="0"/>
        <w:kinsoku/>
        <w:wordWrap w:val="0"/>
        <w:bidi w:val="0"/>
        <w:spacing w:line="400" w:lineRule="atLeast"/>
        <w:ind w:firstLine="650" w:firstLineChars="27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（5）监理人指示的其他场地清理工作已全部完成。</w:t>
      </w:r>
    </w:p>
    <w:p w14:paraId="418DADA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18.7.2承包人未按监理人的要求恢复临时占地，或者场地清理未达到合同约定的，发包人有权委托其他人恢复或清理，所发生的金额从拟支付给承包人的款项中扣除。</w:t>
      </w:r>
    </w:p>
    <w:p w14:paraId="6F61887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38" w:name="_Toc14033"/>
      <w:bookmarkStart w:id="1039" w:name="_Toc234833089"/>
      <w:bookmarkStart w:id="1040" w:name="_Toc7517"/>
      <w:bookmarkStart w:id="1041" w:name="_Toc23526"/>
      <w:bookmarkStart w:id="1042" w:name="_Toc5042"/>
      <w:r>
        <w:rPr>
          <w:rFonts w:hint="default" w:ascii="Times New Roman" w:hAnsi="Times New Roman" w:eastAsia="黑体" w:cs="Times New Roman"/>
          <w:b w:val="0"/>
          <w:color w:val="auto"/>
          <w:sz w:val="24"/>
          <w:szCs w:val="24"/>
          <w:highlight w:val="none"/>
        </w:rPr>
        <w:t>18.8施工队伍的撤离</w:t>
      </w:r>
      <w:bookmarkEnd w:id="1038"/>
      <w:bookmarkEnd w:id="1039"/>
      <w:bookmarkEnd w:id="1040"/>
      <w:bookmarkEnd w:id="1041"/>
      <w:bookmarkEnd w:id="1042"/>
    </w:p>
    <w:p w14:paraId="657F2D0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3F11D359">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043" w:name="_Toc2492"/>
      <w:bookmarkStart w:id="1044" w:name="_Toc11982"/>
      <w:bookmarkStart w:id="1045" w:name="_Toc234833090"/>
      <w:bookmarkStart w:id="1046" w:name="_Toc2434"/>
      <w:bookmarkStart w:id="1047" w:name="_Toc7332"/>
      <w:r>
        <w:rPr>
          <w:rFonts w:hint="default" w:ascii="Times New Roman" w:hAnsi="Times New Roman" w:eastAsia="黑体" w:cs="Times New Roman"/>
          <w:b w:val="0"/>
          <w:color w:val="auto"/>
          <w:sz w:val="28"/>
          <w:szCs w:val="28"/>
          <w:highlight w:val="none"/>
        </w:rPr>
        <w:t>19. 缺陷责任与保修责任</w:t>
      </w:r>
      <w:bookmarkEnd w:id="1043"/>
      <w:bookmarkEnd w:id="1044"/>
      <w:bookmarkEnd w:id="1045"/>
      <w:bookmarkEnd w:id="1046"/>
      <w:bookmarkEnd w:id="1047"/>
    </w:p>
    <w:p w14:paraId="25C0925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48" w:name="_Toc28348"/>
      <w:bookmarkStart w:id="1049" w:name="_Toc26824"/>
      <w:bookmarkStart w:id="1050" w:name="_Toc234833091"/>
      <w:bookmarkStart w:id="1051" w:name="_Toc29823"/>
      <w:bookmarkStart w:id="1052" w:name="_Toc21347"/>
      <w:r>
        <w:rPr>
          <w:rFonts w:hint="default" w:ascii="Times New Roman" w:hAnsi="Times New Roman" w:eastAsia="黑体" w:cs="Times New Roman"/>
          <w:b w:val="0"/>
          <w:color w:val="auto"/>
          <w:sz w:val="24"/>
          <w:szCs w:val="24"/>
          <w:highlight w:val="none"/>
        </w:rPr>
        <w:t>19.1 缺陷责任期的起算时间</w:t>
      </w:r>
      <w:bookmarkEnd w:id="1048"/>
      <w:bookmarkEnd w:id="1049"/>
      <w:bookmarkEnd w:id="1050"/>
      <w:bookmarkEnd w:id="1051"/>
      <w:bookmarkEnd w:id="1052"/>
    </w:p>
    <w:p w14:paraId="3F5CC00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缺陷责任期自实际竣工日期起计算。在全部工程竣工验收前，已经发包人提前验收的单位工程，其缺陷责任期的起算日期相应提前。</w:t>
      </w:r>
    </w:p>
    <w:p w14:paraId="5BFA693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53" w:name="_Toc28619"/>
      <w:bookmarkStart w:id="1054" w:name="_Toc17874"/>
      <w:bookmarkStart w:id="1055" w:name="_Toc18931"/>
      <w:bookmarkStart w:id="1056" w:name="_Toc23702"/>
      <w:bookmarkStart w:id="1057" w:name="_Toc234833092"/>
      <w:r>
        <w:rPr>
          <w:rFonts w:hint="default" w:ascii="Times New Roman" w:hAnsi="Times New Roman" w:eastAsia="黑体" w:cs="Times New Roman"/>
          <w:b w:val="0"/>
          <w:color w:val="auto"/>
          <w:sz w:val="24"/>
          <w:szCs w:val="24"/>
          <w:highlight w:val="none"/>
        </w:rPr>
        <w:t>19.2 缺陷责任</w:t>
      </w:r>
      <w:bookmarkEnd w:id="1053"/>
      <w:bookmarkEnd w:id="1054"/>
      <w:bookmarkEnd w:id="1055"/>
      <w:bookmarkEnd w:id="1056"/>
      <w:bookmarkEnd w:id="1057"/>
    </w:p>
    <w:p w14:paraId="235A568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19.2.1 承包人应在缺陷责任期内对已交付使用的工程承担缺陷责任。</w:t>
      </w:r>
    </w:p>
    <w:p w14:paraId="3E27A5C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5FF325C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280AA66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19.2.4 承包人不能在合理时间内修复缺陷的，发包人可自行修复或委托其他人修复，所需费用和利润的承担，按第19.2.3项约定办理。</w:t>
      </w:r>
    </w:p>
    <w:p w14:paraId="40E1F6C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58" w:name="_Toc234833093"/>
      <w:bookmarkStart w:id="1059" w:name="_Toc28473"/>
      <w:bookmarkStart w:id="1060" w:name="_Toc4363"/>
      <w:bookmarkStart w:id="1061" w:name="_Toc10617"/>
      <w:bookmarkStart w:id="1062" w:name="_Toc26044"/>
      <w:r>
        <w:rPr>
          <w:rFonts w:hint="default" w:ascii="Times New Roman" w:hAnsi="Times New Roman" w:eastAsia="黑体" w:cs="Times New Roman"/>
          <w:b w:val="0"/>
          <w:color w:val="auto"/>
          <w:sz w:val="24"/>
          <w:szCs w:val="24"/>
          <w:highlight w:val="none"/>
        </w:rPr>
        <w:t>19.3 缺陷责任期的延长</w:t>
      </w:r>
      <w:bookmarkEnd w:id="1058"/>
      <w:bookmarkEnd w:id="1059"/>
      <w:bookmarkEnd w:id="1060"/>
      <w:bookmarkEnd w:id="1061"/>
      <w:bookmarkEnd w:id="1062"/>
    </w:p>
    <w:p w14:paraId="073A6B2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由于承包人原因造成某项缺陷或损坏使某项工程或工程设备不能按原定目标使用而需要再次检查、检验和修复的，发包人有权要求承包人相应延长缺陷责任期，但缺陷责任期最长不超过2年。</w:t>
      </w:r>
    </w:p>
    <w:p w14:paraId="2E3F2CA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63" w:name="_Toc234833094"/>
      <w:bookmarkStart w:id="1064" w:name="_Toc722"/>
      <w:bookmarkStart w:id="1065" w:name="_Toc10764"/>
      <w:bookmarkStart w:id="1066" w:name="_Toc7466"/>
      <w:bookmarkStart w:id="1067" w:name="_Toc15365"/>
      <w:r>
        <w:rPr>
          <w:rFonts w:hint="default" w:ascii="Times New Roman" w:hAnsi="Times New Roman" w:eastAsia="黑体" w:cs="Times New Roman"/>
          <w:b w:val="0"/>
          <w:color w:val="auto"/>
          <w:sz w:val="24"/>
          <w:szCs w:val="24"/>
          <w:highlight w:val="none"/>
        </w:rPr>
        <w:t>19.4 进一步试验和试运行</w:t>
      </w:r>
      <w:bookmarkEnd w:id="1063"/>
      <w:bookmarkEnd w:id="1064"/>
      <w:bookmarkEnd w:id="1065"/>
      <w:bookmarkEnd w:id="1066"/>
      <w:bookmarkEnd w:id="1067"/>
    </w:p>
    <w:p w14:paraId="58124DDA">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任何一项缺陷或损坏修复后，经检查证明其影响了工程或工程设备的使用性能，承包人应重新进行合同约定的试验和试运行，试验和试运行的全部费用应由责任方承担。</w:t>
      </w:r>
    </w:p>
    <w:p w14:paraId="10D4A31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68" w:name="_Toc13723"/>
      <w:bookmarkStart w:id="1069" w:name="_Toc234833095"/>
      <w:bookmarkStart w:id="1070" w:name="_Toc31117"/>
      <w:bookmarkStart w:id="1071" w:name="_Toc5095"/>
      <w:bookmarkStart w:id="1072" w:name="_Toc1336"/>
      <w:r>
        <w:rPr>
          <w:rFonts w:hint="default" w:ascii="Times New Roman" w:hAnsi="Times New Roman" w:eastAsia="黑体" w:cs="Times New Roman"/>
          <w:b w:val="0"/>
          <w:color w:val="auto"/>
          <w:sz w:val="24"/>
          <w:szCs w:val="24"/>
          <w:highlight w:val="none"/>
        </w:rPr>
        <w:t>19.5 承包人的进入权</w:t>
      </w:r>
      <w:bookmarkEnd w:id="1068"/>
      <w:bookmarkEnd w:id="1069"/>
      <w:bookmarkEnd w:id="1070"/>
      <w:bookmarkEnd w:id="1071"/>
      <w:bookmarkEnd w:id="1072"/>
      <w:r>
        <w:rPr>
          <w:rFonts w:hint="default" w:ascii="Times New Roman" w:hAnsi="Times New Roman" w:eastAsia="黑体" w:cs="Times New Roman"/>
          <w:b w:val="0"/>
          <w:color w:val="auto"/>
          <w:sz w:val="24"/>
          <w:szCs w:val="24"/>
          <w:highlight w:val="none"/>
        </w:rPr>
        <w:t xml:space="preserve"> </w:t>
      </w:r>
    </w:p>
    <w:p w14:paraId="4BF3E410">
      <w:pPr>
        <w:pageBreakBefore w:val="0"/>
        <w:kinsoku/>
        <w:wordWrap w:val="0"/>
        <w:bidi w:val="0"/>
        <w:spacing w:line="400" w:lineRule="atLeast"/>
        <w:ind w:firstLine="43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缺陷责任期内承包人为缺陷修复工作需要，有权进入工程现场，但应遵守发包人的保安和保密规定。</w:t>
      </w:r>
    </w:p>
    <w:p w14:paraId="357172E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73" w:name="_Toc2337"/>
      <w:bookmarkStart w:id="1074" w:name="_Toc10078"/>
      <w:bookmarkStart w:id="1075" w:name="_Toc12330"/>
      <w:bookmarkStart w:id="1076" w:name="_Toc20655"/>
      <w:bookmarkStart w:id="1077" w:name="_Toc234833096"/>
      <w:r>
        <w:rPr>
          <w:rFonts w:hint="default" w:ascii="Times New Roman" w:hAnsi="Times New Roman" w:eastAsia="黑体" w:cs="Times New Roman"/>
          <w:b w:val="0"/>
          <w:color w:val="auto"/>
          <w:sz w:val="24"/>
          <w:szCs w:val="24"/>
          <w:highlight w:val="none"/>
        </w:rPr>
        <w:t>19.6 缺陷责任期终止证书</w:t>
      </w:r>
      <w:bookmarkEnd w:id="1073"/>
      <w:bookmarkEnd w:id="1074"/>
      <w:bookmarkEnd w:id="1075"/>
      <w:bookmarkEnd w:id="1076"/>
      <w:bookmarkEnd w:id="1077"/>
    </w:p>
    <w:p w14:paraId="349503D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在第1.1.4.5目约定的缺陷责任期，包括根据第19.3款延长的期限终止后14天内，由监理人向承包人出具经发包人签认的缺陷责任期终止证书，并退还剩余的质量保证金。</w:t>
      </w:r>
    </w:p>
    <w:p w14:paraId="2BBC7E8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78" w:name="_Toc19867"/>
      <w:bookmarkStart w:id="1079" w:name="_Toc19327"/>
      <w:bookmarkStart w:id="1080" w:name="_Toc234833097"/>
      <w:bookmarkStart w:id="1081" w:name="_Toc7127"/>
      <w:bookmarkStart w:id="1082" w:name="_Toc21869"/>
      <w:r>
        <w:rPr>
          <w:rFonts w:hint="default" w:ascii="Times New Roman" w:hAnsi="Times New Roman" w:eastAsia="黑体" w:cs="Times New Roman"/>
          <w:b w:val="0"/>
          <w:color w:val="auto"/>
          <w:sz w:val="24"/>
          <w:szCs w:val="24"/>
          <w:highlight w:val="none"/>
        </w:rPr>
        <w:t>19.7 保修责任</w:t>
      </w:r>
      <w:bookmarkEnd w:id="1078"/>
      <w:bookmarkEnd w:id="1079"/>
      <w:bookmarkEnd w:id="1080"/>
      <w:bookmarkEnd w:id="1081"/>
      <w:bookmarkEnd w:id="1082"/>
    </w:p>
    <w:p w14:paraId="4948082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6F0D8DD3">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083" w:name="_Toc31666"/>
      <w:bookmarkStart w:id="1084" w:name="_Toc19060"/>
      <w:bookmarkStart w:id="1085" w:name="_Toc234833098"/>
      <w:bookmarkStart w:id="1086" w:name="_Toc13061"/>
      <w:bookmarkStart w:id="1087" w:name="_Toc12018"/>
      <w:r>
        <w:rPr>
          <w:rFonts w:hint="default" w:ascii="Times New Roman" w:hAnsi="Times New Roman" w:eastAsia="黑体" w:cs="Times New Roman"/>
          <w:b w:val="0"/>
          <w:color w:val="auto"/>
          <w:sz w:val="28"/>
          <w:szCs w:val="28"/>
          <w:highlight w:val="none"/>
        </w:rPr>
        <w:t>20. 保险</w:t>
      </w:r>
      <w:bookmarkEnd w:id="1083"/>
      <w:bookmarkEnd w:id="1084"/>
      <w:bookmarkEnd w:id="1085"/>
      <w:bookmarkEnd w:id="1086"/>
      <w:bookmarkEnd w:id="1087"/>
    </w:p>
    <w:p w14:paraId="34F0A0D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88" w:name="_Toc2070"/>
      <w:bookmarkStart w:id="1089" w:name="_Toc234833099"/>
      <w:bookmarkStart w:id="1090" w:name="_Toc4841"/>
      <w:bookmarkStart w:id="1091" w:name="_Toc1058"/>
      <w:bookmarkStart w:id="1092" w:name="_Toc1238"/>
      <w:r>
        <w:rPr>
          <w:rFonts w:hint="default" w:ascii="Times New Roman" w:hAnsi="Times New Roman" w:eastAsia="黑体" w:cs="Times New Roman"/>
          <w:b w:val="0"/>
          <w:color w:val="auto"/>
          <w:sz w:val="24"/>
          <w:szCs w:val="24"/>
          <w:highlight w:val="none"/>
        </w:rPr>
        <w:t>20.1工程保险</w:t>
      </w:r>
      <w:bookmarkEnd w:id="1088"/>
      <w:bookmarkEnd w:id="1089"/>
      <w:bookmarkEnd w:id="1090"/>
      <w:bookmarkEnd w:id="1091"/>
      <w:bookmarkEnd w:id="1092"/>
    </w:p>
    <w:p w14:paraId="5F6DDDE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4BF2961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93" w:name="_Toc20291"/>
      <w:bookmarkStart w:id="1094" w:name="_Toc10723"/>
      <w:bookmarkStart w:id="1095" w:name="_Toc21060"/>
      <w:bookmarkStart w:id="1096" w:name="_Toc234833100"/>
      <w:bookmarkStart w:id="1097" w:name="_Toc30523"/>
      <w:r>
        <w:rPr>
          <w:rFonts w:hint="default" w:ascii="Times New Roman" w:hAnsi="Times New Roman" w:eastAsia="黑体" w:cs="Times New Roman"/>
          <w:b w:val="0"/>
          <w:color w:val="auto"/>
          <w:sz w:val="24"/>
          <w:szCs w:val="24"/>
          <w:highlight w:val="none"/>
        </w:rPr>
        <w:t>20.2人员工伤事故的保险</w:t>
      </w:r>
      <w:bookmarkEnd w:id="1093"/>
      <w:bookmarkEnd w:id="1094"/>
      <w:bookmarkEnd w:id="1095"/>
      <w:bookmarkEnd w:id="1096"/>
      <w:bookmarkEnd w:id="1097"/>
    </w:p>
    <w:p w14:paraId="4FA30A6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20.2.1 </w:t>
      </w:r>
      <w:r>
        <w:rPr>
          <w:rFonts w:hint="default" w:ascii="Times New Roman" w:hAnsi="Times New Roman" w:eastAsia="黑体" w:cs="Times New Roman"/>
          <w:color w:val="auto"/>
          <w:sz w:val="24"/>
          <w:highlight w:val="none"/>
        </w:rPr>
        <w:t>承包人员工伤事故的保险</w:t>
      </w:r>
    </w:p>
    <w:p w14:paraId="5583240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承包人应依照有关法律规定参加工伤保险，为其履行合同所雇用的全部人员，缴纳工伤保险费，并要求其分包人也进行此项保险。</w:t>
      </w:r>
    </w:p>
    <w:p w14:paraId="22228C4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20.2.2</w:t>
      </w:r>
      <w:r>
        <w:rPr>
          <w:rFonts w:hint="default" w:ascii="Times New Roman" w:hAnsi="Times New Roman" w:eastAsia="黑体" w:cs="Times New Roman"/>
          <w:color w:val="auto"/>
          <w:sz w:val="24"/>
          <w:highlight w:val="none"/>
        </w:rPr>
        <w:t>发包人员工伤事故的保险</w:t>
      </w:r>
    </w:p>
    <w:p w14:paraId="4E638B8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发包人应依照有关法律规定参加工伤保险，为其现场机构雇用的全部人员，缴纳工伤保险费，并要求其监理人也进行此项保险。</w:t>
      </w:r>
    </w:p>
    <w:p w14:paraId="5EBA8C7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098" w:name="_Toc14046"/>
      <w:bookmarkStart w:id="1099" w:name="_Toc18737"/>
      <w:bookmarkStart w:id="1100" w:name="_Toc11127"/>
      <w:bookmarkStart w:id="1101" w:name="_Toc20449"/>
      <w:bookmarkStart w:id="1102" w:name="_Toc234833101"/>
      <w:r>
        <w:rPr>
          <w:rFonts w:hint="default" w:ascii="Times New Roman" w:hAnsi="Times New Roman" w:eastAsia="黑体" w:cs="Times New Roman"/>
          <w:b w:val="0"/>
          <w:color w:val="auto"/>
          <w:sz w:val="24"/>
          <w:szCs w:val="24"/>
          <w:highlight w:val="none"/>
        </w:rPr>
        <w:t>20.3 人身意外伤害险</w:t>
      </w:r>
      <w:bookmarkEnd w:id="1098"/>
      <w:bookmarkEnd w:id="1099"/>
      <w:bookmarkEnd w:id="1100"/>
      <w:bookmarkEnd w:id="1101"/>
      <w:bookmarkEnd w:id="1102"/>
    </w:p>
    <w:p w14:paraId="40D559C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20.3.1发包人应在整个施工期间为其现场机构雇用的全部人员，投保人身意外伤害险，缴纳保险费，并要求其监理人也进行此项保险。</w:t>
      </w:r>
    </w:p>
    <w:p w14:paraId="3261E6B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20.3.2 承包人应在整个施工期间为其现场机构雇用的全部人员，投保人身意外伤害险，缴纳保险费，并要求其分包人也进行此项保险。</w:t>
      </w:r>
    </w:p>
    <w:p w14:paraId="7CEF050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03" w:name="_Toc542"/>
      <w:bookmarkStart w:id="1104" w:name="_Toc234833102"/>
      <w:bookmarkStart w:id="1105" w:name="_Toc27566"/>
      <w:bookmarkStart w:id="1106" w:name="_Toc23644"/>
      <w:bookmarkStart w:id="1107" w:name="_Toc26139"/>
      <w:r>
        <w:rPr>
          <w:rFonts w:hint="default" w:ascii="Times New Roman" w:hAnsi="Times New Roman" w:eastAsia="黑体" w:cs="Times New Roman"/>
          <w:b w:val="0"/>
          <w:color w:val="auto"/>
          <w:sz w:val="24"/>
          <w:szCs w:val="24"/>
          <w:highlight w:val="none"/>
        </w:rPr>
        <w:t>20.4 第三者责任险</w:t>
      </w:r>
      <w:bookmarkEnd w:id="1103"/>
      <w:bookmarkEnd w:id="1104"/>
      <w:bookmarkEnd w:id="1105"/>
      <w:bookmarkEnd w:id="1106"/>
      <w:bookmarkEnd w:id="1107"/>
    </w:p>
    <w:p w14:paraId="5BDF56FD">
      <w:pPr>
        <w:pageBreakBefore w:val="0"/>
        <w:kinsoku/>
        <w:wordWrap w:val="0"/>
        <w:bidi w:val="0"/>
        <w:spacing w:line="400" w:lineRule="atLeast"/>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20.4.1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7EBB49A">
      <w:pPr>
        <w:pageBreakBefore w:val="0"/>
        <w:kinsoku/>
        <w:wordWrap w:val="0"/>
        <w:bidi w:val="0"/>
        <w:spacing w:line="400" w:lineRule="atLeast"/>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20.4.2 在缺陷责任期终止证书颁发前，承包人应以承包人和发包人的共同名义，投保第20.4.1项约定的第三者责任险，其保险费率、保险金额等有关内容在专用合同条款中约定。</w:t>
      </w:r>
    </w:p>
    <w:p w14:paraId="02DDB5C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08" w:name="_Toc15956"/>
      <w:bookmarkStart w:id="1109" w:name="_Toc27726"/>
      <w:bookmarkStart w:id="1110" w:name="_Toc17223"/>
      <w:bookmarkStart w:id="1111" w:name="_Toc11738"/>
      <w:bookmarkStart w:id="1112" w:name="_Toc234833103"/>
      <w:r>
        <w:rPr>
          <w:rFonts w:hint="default" w:ascii="Times New Roman" w:hAnsi="Times New Roman" w:eastAsia="黑体" w:cs="Times New Roman"/>
          <w:b w:val="0"/>
          <w:color w:val="auto"/>
          <w:sz w:val="24"/>
          <w:szCs w:val="24"/>
          <w:highlight w:val="none"/>
        </w:rPr>
        <w:t>20.5 其他保险</w:t>
      </w:r>
      <w:bookmarkEnd w:id="1108"/>
      <w:bookmarkEnd w:id="1109"/>
      <w:bookmarkEnd w:id="1110"/>
      <w:bookmarkEnd w:id="1111"/>
      <w:bookmarkEnd w:id="1112"/>
    </w:p>
    <w:p w14:paraId="7643DB08">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除专用合同条款另有约定外，承包人应为其施工设备、进场的材料和工程设备等办理保险。</w:t>
      </w:r>
    </w:p>
    <w:p w14:paraId="18D19D7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13" w:name="_Toc234833104"/>
      <w:bookmarkStart w:id="1114" w:name="_Toc6798"/>
      <w:bookmarkStart w:id="1115" w:name="_Toc1822"/>
      <w:bookmarkStart w:id="1116" w:name="_Toc25129"/>
      <w:bookmarkStart w:id="1117" w:name="_Toc16557"/>
      <w:r>
        <w:rPr>
          <w:rFonts w:hint="default" w:ascii="Times New Roman" w:hAnsi="Times New Roman" w:eastAsia="黑体" w:cs="Times New Roman"/>
          <w:b w:val="0"/>
          <w:color w:val="auto"/>
          <w:sz w:val="24"/>
          <w:szCs w:val="24"/>
          <w:highlight w:val="none"/>
        </w:rPr>
        <w:t>20.6 对各项保险的一般要求</w:t>
      </w:r>
      <w:bookmarkEnd w:id="1113"/>
      <w:bookmarkEnd w:id="1114"/>
      <w:bookmarkEnd w:id="1115"/>
      <w:bookmarkEnd w:id="1116"/>
      <w:bookmarkEnd w:id="1117"/>
    </w:p>
    <w:p w14:paraId="4212942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20.6.1 </w:t>
      </w:r>
      <w:r>
        <w:rPr>
          <w:rFonts w:hint="default" w:ascii="Times New Roman" w:hAnsi="Times New Roman" w:eastAsia="黑体" w:cs="Times New Roman"/>
          <w:color w:val="auto"/>
          <w:sz w:val="24"/>
          <w:highlight w:val="none"/>
        </w:rPr>
        <w:t>保险凭证</w:t>
      </w:r>
    </w:p>
    <w:p w14:paraId="686A4AE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承包人应在专用合同条款约定的期限内向发包人提交各项保险生效的证据和保险单副本，保险单必须与专用合同条款约定的条件保持一致。</w:t>
      </w:r>
    </w:p>
    <w:p w14:paraId="1B4DC653">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20.6.2</w:t>
      </w:r>
      <w:r>
        <w:rPr>
          <w:rFonts w:hint="default" w:ascii="Times New Roman" w:hAnsi="Times New Roman" w:eastAsia="黑体" w:cs="Times New Roman"/>
          <w:color w:val="auto"/>
          <w:sz w:val="24"/>
          <w:highlight w:val="none"/>
        </w:rPr>
        <w:t>保险合同条款的变动</w:t>
      </w:r>
    </w:p>
    <w:p w14:paraId="51C652B7">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承包人需要变动保险合同条款时，应事先征得发包人同意，并通知监理人。保险人作出变动的，承包人应在收到保险人通知后立即通知发包人和监理人。</w:t>
      </w:r>
    </w:p>
    <w:p w14:paraId="3ED862B7">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20.6.3 </w:t>
      </w:r>
      <w:r>
        <w:rPr>
          <w:rFonts w:hint="default" w:ascii="Times New Roman" w:hAnsi="Times New Roman" w:eastAsia="黑体" w:cs="Times New Roman"/>
          <w:color w:val="auto"/>
          <w:sz w:val="24"/>
          <w:highlight w:val="none"/>
        </w:rPr>
        <w:t>持续保险</w:t>
      </w:r>
    </w:p>
    <w:p w14:paraId="6AE898C5">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承包人应与保险人保持联系，使保险人能够随时了解工程实施中的变动，并确保按保险合同条款要求持续保险。</w:t>
      </w:r>
    </w:p>
    <w:p w14:paraId="71B843D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20.6.4 </w:t>
      </w:r>
      <w:r>
        <w:rPr>
          <w:rFonts w:hint="default" w:ascii="Times New Roman" w:hAnsi="Times New Roman" w:eastAsia="黑体" w:cs="Times New Roman"/>
          <w:color w:val="auto"/>
          <w:sz w:val="24"/>
          <w:highlight w:val="none"/>
        </w:rPr>
        <w:t>保险金不足的补偿</w:t>
      </w:r>
    </w:p>
    <w:p w14:paraId="7F26BB0F">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保险金不足以补偿损失的，应由承包人和（或）发包人按合同约定负责补偿。</w:t>
      </w:r>
    </w:p>
    <w:p w14:paraId="522DCAC2">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20.6.5 </w:t>
      </w:r>
      <w:r>
        <w:rPr>
          <w:rFonts w:hint="default" w:ascii="Times New Roman" w:hAnsi="Times New Roman" w:eastAsia="黑体" w:cs="Times New Roman"/>
          <w:color w:val="auto"/>
          <w:sz w:val="24"/>
          <w:highlight w:val="none"/>
        </w:rPr>
        <w:t>未按约定投保的补救</w:t>
      </w:r>
    </w:p>
    <w:p w14:paraId="667EB286">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（1）由于负有投保义务的一方当事人未按合同约定办理保险，或未能使保险持续有效的，另一方当事人可代为办理，所需费用由对方当事人承担。</w:t>
      </w:r>
    </w:p>
    <w:p w14:paraId="7772D04A">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（2）由于负有投保义务的一方当事人未按合同约定办理某项保险，导致受益人未能得到保险人的赔偿，原应从该项保险得到的保险金应由负有投保义务的一方当事人支付。</w:t>
      </w:r>
    </w:p>
    <w:p w14:paraId="27DBFE0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20.6.6</w:t>
      </w:r>
      <w:r>
        <w:rPr>
          <w:rFonts w:hint="default" w:ascii="Times New Roman" w:hAnsi="Times New Roman" w:eastAsia="黑体" w:cs="Times New Roman"/>
          <w:color w:val="auto"/>
          <w:sz w:val="24"/>
          <w:highlight w:val="none"/>
        </w:rPr>
        <w:t>报告义务</w:t>
      </w:r>
    </w:p>
    <w:p w14:paraId="214E172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当保险事故发生时，投保人应按照保险单规定的条件和期限及时向保险人报告。</w:t>
      </w:r>
    </w:p>
    <w:p w14:paraId="70C7A5D4">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118" w:name="_Toc234833105"/>
      <w:bookmarkStart w:id="1119" w:name="_Toc5907"/>
      <w:bookmarkStart w:id="1120" w:name="_Toc25184"/>
      <w:bookmarkStart w:id="1121" w:name="_Toc1585"/>
      <w:bookmarkStart w:id="1122" w:name="_Toc27736"/>
      <w:r>
        <w:rPr>
          <w:rFonts w:hint="default" w:ascii="Times New Roman" w:hAnsi="Times New Roman" w:eastAsia="黑体" w:cs="Times New Roman"/>
          <w:b w:val="0"/>
          <w:color w:val="auto"/>
          <w:sz w:val="28"/>
          <w:szCs w:val="28"/>
          <w:highlight w:val="none"/>
        </w:rPr>
        <w:t>21. 不可抗力</w:t>
      </w:r>
      <w:bookmarkEnd w:id="1118"/>
      <w:bookmarkEnd w:id="1119"/>
      <w:bookmarkEnd w:id="1120"/>
      <w:bookmarkEnd w:id="1121"/>
      <w:bookmarkEnd w:id="1122"/>
    </w:p>
    <w:p w14:paraId="78DD96F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23" w:name="_Toc965"/>
      <w:bookmarkStart w:id="1124" w:name="_Toc11379"/>
      <w:bookmarkStart w:id="1125" w:name="_Toc234833106"/>
      <w:bookmarkStart w:id="1126" w:name="_Toc16484"/>
      <w:bookmarkStart w:id="1127" w:name="_Toc30030"/>
      <w:r>
        <w:rPr>
          <w:rFonts w:hint="default" w:ascii="Times New Roman" w:hAnsi="Times New Roman" w:eastAsia="黑体" w:cs="Times New Roman"/>
          <w:b w:val="0"/>
          <w:color w:val="auto"/>
          <w:sz w:val="24"/>
          <w:szCs w:val="24"/>
          <w:highlight w:val="none"/>
        </w:rPr>
        <w:t>21.1 不可抗力的确认</w:t>
      </w:r>
      <w:bookmarkEnd w:id="1123"/>
      <w:bookmarkEnd w:id="1124"/>
      <w:bookmarkEnd w:id="1125"/>
      <w:bookmarkEnd w:id="1126"/>
      <w:bookmarkEnd w:id="1127"/>
    </w:p>
    <w:p w14:paraId="2F04EF5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45F0321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052DC1F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28" w:name="_Toc18922"/>
      <w:bookmarkStart w:id="1129" w:name="_Toc234833107"/>
      <w:bookmarkStart w:id="1130" w:name="_Toc4694"/>
      <w:bookmarkStart w:id="1131" w:name="_Toc29589"/>
      <w:bookmarkStart w:id="1132" w:name="_Toc22207"/>
      <w:r>
        <w:rPr>
          <w:rFonts w:hint="default" w:ascii="Times New Roman" w:hAnsi="Times New Roman" w:eastAsia="黑体" w:cs="Times New Roman"/>
          <w:b w:val="0"/>
          <w:color w:val="auto"/>
          <w:sz w:val="24"/>
          <w:szCs w:val="24"/>
          <w:highlight w:val="none"/>
        </w:rPr>
        <w:t>21.2 不可抗力的通知</w:t>
      </w:r>
      <w:bookmarkEnd w:id="1128"/>
      <w:bookmarkEnd w:id="1129"/>
      <w:bookmarkEnd w:id="1130"/>
      <w:bookmarkEnd w:id="1131"/>
      <w:bookmarkEnd w:id="1132"/>
    </w:p>
    <w:p w14:paraId="03B10C2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21.2.1 合同一方当事人遇到不可抗力事件，使其履行合同义务受到阻碍时，应立即通知合同另一方当事人和监理人，书面说明不可抗力和受阻碍的详细情况，并提供必要的证明。</w:t>
      </w:r>
    </w:p>
    <w:p w14:paraId="4601E96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21.2.2 如不可抗力持续发生，合同一方当事人应及时向合同另一方当事人和监理人提交中间报告，说明不可抗力和履行合同受阻的情况，并于不可抗力事件结束后28天内提交最终报告及有关资料。</w:t>
      </w:r>
    </w:p>
    <w:p w14:paraId="33A6469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33" w:name="_Toc1838"/>
      <w:bookmarkStart w:id="1134" w:name="_Toc23687"/>
      <w:bookmarkStart w:id="1135" w:name="_Toc15417"/>
      <w:bookmarkStart w:id="1136" w:name="_Toc15055"/>
      <w:bookmarkStart w:id="1137" w:name="_Toc234833108"/>
      <w:r>
        <w:rPr>
          <w:rFonts w:hint="default" w:ascii="Times New Roman" w:hAnsi="Times New Roman" w:eastAsia="黑体" w:cs="Times New Roman"/>
          <w:b w:val="0"/>
          <w:color w:val="auto"/>
          <w:sz w:val="24"/>
          <w:szCs w:val="24"/>
          <w:highlight w:val="none"/>
        </w:rPr>
        <w:t>21.3 不可抗力后果及其处理</w:t>
      </w:r>
      <w:bookmarkEnd w:id="1133"/>
      <w:bookmarkEnd w:id="1134"/>
      <w:bookmarkEnd w:id="1135"/>
      <w:bookmarkEnd w:id="1136"/>
      <w:bookmarkEnd w:id="1137"/>
    </w:p>
    <w:p w14:paraId="0A202425">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21.3.1 </w:t>
      </w:r>
      <w:r>
        <w:rPr>
          <w:rFonts w:hint="default" w:ascii="Times New Roman" w:hAnsi="Times New Roman" w:eastAsia="黑体" w:cs="Times New Roman"/>
          <w:color w:val="auto"/>
          <w:sz w:val="24"/>
          <w:highlight w:val="none"/>
        </w:rPr>
        <w:t>不可抗力造成损害的责任</w:t>
      </w:r>
    </w:p>
    <w:p w14:paraId="058BC8C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除专用合同条款另有约定外，不可抗力导致的人员伤亡、财产损失、费用增加和（或）工期延误等后果，由合同双方按以下原则承担：</w:t>
      </w:r>
    </w:p>
    <w:p w14:paraId="6C7DEA0E">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（1）永久工程，包括已运至施工场地的材料和工程设备的损害，以及因工程损害造成的第三者人员伤亡和财产损失由发包人承担；</w:t>
      </w:r>
    </w:p>
    <w:p w14:paraId="6CB659A3">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（2）承包人设备的损坏由承包人承担；</w:t>
      </w:r>
    </w:p>
    <w:p w14:paraId="13F135E3">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（3）发包人和承包人各自承担其人员伤亡和其他财产损失</w:t>
      </w:r>
      <w:r>
        <w:rPr>
          <w:rFonts w:hint="eastAsia" w:cs="Times New Roman"/>
          <w:color w:val="auto"/>
          <w:sz w:val="24"/>
          <w:highlight w:val="none"/>
          <w:lang w:eastAsia="zh-CN"/>
        </w:rPr>
        <w:t>及相关费用</w:t>
      </w:r>
      <w:r>
        <w:rPr>
          <w:rFonts w:hint="default" w:ascii="Times New Roman" w:hAnsi="Times New Roman" w:cs="Times New Roman"/>
          <w:color w:val="auto"/>
          <w:sz w:val="24"/>
          <w:highlight w:val="none"/>
        </w:rPr>
        <w:t>；</w:t>
      </w:r>
    </w:p>
    <w:p w14:paraId="3D514FDD">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（4）承包人的停工损失由承包人承担，但停工期间应监理人要求照管工程和清理、修复工程的金额由发包人承担；</w:t>
      </w:r>
    </w:p>
    <w:p w14:paraId="2008BFDB">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（5）不能按期竣工的，应合理延长工期，承包人不需支付逾期竣工违约金。发包人要求赶工的，承包人应采取赶工措施，赶工费用由发包人承担。</w:t>
      </w:r>
    </w:p>
    <w:p w14:paraId="1D1BC28A">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21.3.2 </w:t>
      </w:r>
      <w:r>
        <w:rPr>
          <w:rFonts w:hint="default" w:ascii="Times New Roman" w:hAnsi="Times New Roman" w:eastAsia="黑体" w:cs="Times New Roman"/>
          <w:color w:val="auto"/>
          <w:sz w:val="24"/>
          <w:highlight w:val="none"/>
        </w:rPr>
        <w:t>延迟履行期间发生的不可抗力</w:t>
      </w:r>
    </w:p>
    <w:p w14:paraId="0D094BF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合同一方当事人延迟履行，在延迟履行期间发生不可抗力的，不免除其责任。</w:t>
      </w:r>
    </w:p>
    <w:p w14:paraId="44E3F047">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21.3.3 </w:t>
      </w:r>
      <w:r>
        <w:rPr>
          <w:rFonts w:hint="default" w:ascii="Times New Roman" w:hAnsi="Times New Roman" w:eastAsia="黑体" w:cs="Times New Roman"/>
          <w:color w:val="auto"/>
          <w:sz w:val="24"/>
          <w:highlight w:val="none"/>
        </w:rPr>
        <w:t>避免和减少不可抗力损失</w:t>
      </w:r>
    </w:p>
    <w:p w14:paraId="00B2D41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不可抗力发生后，发包人和承包人均应采取措施尽量避免和减少损失的扩大，任何一方没有采取有效措施导致损失扩大的，应对扩大的损失承担责任。</w:t>
      </w:r>
    </w:p>
    <w:p w14:paraId="67F603B3">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21.3.4 </w:t>
      </w:r>
      <w:r>
        <w:rPr>
          <w:rFonts w:hint="default" w:ascii="Times New Roman" w:hAnsi="Times New Roman" w:eastAsia="黑体" w:cs="Times New Roman"/>
          <w:color w:val="auto"/>
          <w:sz w:val="24"/>
          <w:highlight w:val="none"/>
        </w:rPr>
        <w:t>因不可抗力解除合同</w:t>
      </w:r>
    </w:p>
    <w:p w14:paraId="6D5E3AC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1E94B6C0">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138" w:name="_Toc10830"/>
      <w:bookmarkStart w:id="1139" w:name="_Toc13366"/>
      <w:bookmarkStart w:id="1140" w:name="_Toc234833109"/>
      <w:bookmarkStart w:id="1141" w:name="_Toc12831"/>
      <w:bookmarkStart w:id="1142" w:name="_Toc18084"/>
      <w:r>
        <w:rPr>
          <w:rFonts w:hint="default" w:ascii="Times New Roman" w:hAnsi="Times New Roman" w:eastAsia="黑体" w:cs="Times New Roman"/>
          <w:b w:val="0"/>
          <w:color w:val="auto"/>
          <w:sz w:val="28"/>
          <w:szCs w:val="28"/>
          <w:highlight w:val="none"/>
        </w:rPr>
        <w:t>22. 违约</w:t>
      </w:r>
      <w:bookmarkEnd w:id="1138"/>
      <w:bookmarkEnd w:id="1139"/>
      <w:bookmarkEnd w:id="1140"/>
      <w:bookmarkEnd w:id="1141"/>
      <w:bookmarkEnd w:id="1142"/>
    </w:p>
    <w:p w14:paraId="54C5655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43" w:name="_Toc234833110"/>
      <w:bookmarkStart w:id="1144" w:name="_Toc8987"/>
      <w:bookmarkStart w:id="1145" w:name="_Toc18327"/>
      <w:bookmarkStart w:id="1146" w:name="_Toc723"/>
      <w:bookmarkStart w:id="1147" w:name="_Toc13969"/>
      <w:r>
        <w:rPr>
          <w:rFonts w:hint="default" w:ascii="Times New Roman" w:hAnsi="Times New Roman" w:eastAsia="黑体" w:cs="Times New Roman"/>
          <w:b w:val="0"/>
          <w:color w:val="auto"/>
          <w:sz w:val="24"/>
          <w:szCs w:val="24"/>
          <w:highlight w:val="none"/>
        </w:rPr>
        <w:t>22.1 承包人违约</w:t>
      </w:r>
      <w:bookmarkEnd w:id="1143"/>
      <w:bookmarkEnd w:id="1144"/>
      <w:bookmarkEnd w:id="1145"/>
      <w:bookmarkEnd w:id="1146"/>
      <w:bookmarkEnd w:id="1147"/>
    </w:p>
    <w:p w14:paraId="3EE5977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22.1.1 </w:t>
      </w:r>
      <w:r>
        <w:rPr>
          <w:rFonts w:hint="default" w:ascii="Times New Roman" w:hAnsi="Times New Roman" w:eastAsia="黑体" w:cs="Times New Roman"/>
          <w:color w:val="auto"/>
          <w:sz w:val="24"/>
          <w:highlight w:val="none"/>
        </w:rPr>
        <w:t>承包人违约的情形</w:t>
      </w:r>
    </w:p>
    <w:p w14:paraId="5DAC778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在履行合同过程中发生的下列情况属承包人违约：</w:t>
      </w:r>
    </w:p>
    <w:p w14:paraId="6522D1A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（1）承包人违反第1.8款或第4.3款的约定，私自将合同的全部或部分权利转让给其他人，或私自将合同的全部或部分义务转移给其他人；</w:t>
      </w:r>
    </w:p>
    <w:p w14:paraId="494CEE0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（2）承包人违反第5.3款或第6.4款的约定，未经监理人批准，私自将已按合同约定进入施工场地的施工设备、临时设施或材料撤离施工场地；</w:t>
      </w:r>
    </w:p>
    <w:p w14:paraId="7B83B8B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（3）承包人违反第5.4款的约定使用了不合格材料或工程设备，工程质量达不到标准要求，又拒绝清除不合格工程；</w:t>
      </w:r>
    </w:p>
    <w:p w14:paraId="300E402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（4）承包人未能按合同进度计划及时完成合同约定的工作，已造成或预期造成工期延误；</w:t>
      </w:r>
    </w:p>
    <w:p w14:paraId="3D4103F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（5）承包人在缺陷责任期内，未能对工程接收证书所列的缺陷清单的内容或缺陷责任期内发生的缺陷进行修复，而又拒绝按监理人指示再进行修补；</w:t>
      </w:r>
    </w:p>
    <w:p w14:paraId="056F3CA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（6）承包人无法继续履行或明确表示不履行或实质上已停止履行合同；</w:t>
      </w:r>
    </w:p>
    <w:p w14:paraId="3529148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（7）承包人不按合同约定履行义务的其他情况。</w:t>
      </w:r>
    </w:p>
    <w:p w14:paraId="2963CC90">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22.1.2 </w:t>
      </w:r>
      <w:r>
        <w:rPr>
          <w:rFonts w:hint="default" w:ascii="Times New Roman" w:hAnsi="Times New Roman" w:eastAsia="黑体" w:cs="Times New Roman"/>
          <w:color w:val="auto"/>
          <w:sz w:val="24"/>
          <w:highlight w:val="none"/>
        </w:rPr>
        <w:t>对承包人违约的处理</w:t>
      </w:r>
    </w:p>
    <w:p w14:paraId="29A771D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（1）承包人发生第22.1.1（6）目约定的违约情况时，发包人可通知承包人立即解除合同，并按有关法律处理。</w:t>
      </w:r>
    </w:p>
    <w:p w14:paraId="6B411C3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（2）承包人发生除第22.1.1（6）目约定以外的其他违约情况时，监理人可向承包人发出整改通知，要求其在指定的期限内改正。承包人应承担其违约所引起的费用增加和（或）工期延误。</w:t>
      </w:r>
    </w:p>
    <w:p w14:paraId="5EEF5DF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（3）经检查证明承包人已采取了有效措施纠正违约行为，具备复工条件的，可由监理人签发复工通知复工。</w:t>
      </w:r>
    </w:p>
    <w:p w14:paraId="3D60C691">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22.1.3 </w:t>
      </w:r>
      <w:r>
        <w:rPr>
          <w:rFonts w:hint="default" w:ascii="Times New Roman" w:hAnsi="Times New Roman" w:eastAsia="黑体" w:cs="Times New Roman"/>
          <w:color w:val="auto"/>
          <w:sz w:val="24"/>
          <w:highlight w:val="none"/>
        </w:rPr>
        <w:t>承包人违约解除合同</w:t>
      </w:r>
    </w:p>
    <w:p w14:paraId="12AFB2E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160913FE">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22.1.4 </w:t>
      </w:r>
      <w:r>
        <w:rPr>
          <w:rFonts w:hint="default" w:ascii="Times New Roman" w:hAnsi="Times New Roman" w:eastAsia="黑体" w:cs="Times New Roman"/>
          <w:color w:val="auto"/>
          <w:sz w:val="24"/>
          <w:highlight w:val="none"/>
        </w:rPr>
        <w:t>合同解除后的估价、付款和结清</w:t>
      </w:r>
    </w:p>
    <w:p w14:paraId="3AF047C2">
      <w:pPr>
        <w:pageBreakBefore w:val="0"/>
        <w:tabs>
          <w:tab w:val="left" w:pos="540"/>
        </w:tabs>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（1）合同解除后，监理人按第3.5款商定或确定承包人实际完成工作的价值，以及承包人已提供的材料、施工设备、工程设备和临时工程等的价值。 </w:t>
      </w:r>
    </w:p>
    <w:p w14:paraId="7F59461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（2）合同解除后，发包人应暂停对承包人的一切付款，查清各项付款和已扣款金额，包括承包人应支付的违约金。 </w:t>
      </w:r>
    </w:p>
    <w:p w14:paraId="77867D39">
      <w:pPr>
        <w:pageBreakBefore w:val="0"/>
        <w:tabs>
          <w:tab w:val="left" w:pos="720"/>
        </w:tabs>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（3）合同解除后，发包人应按第23.4款的约定向承包人索赔由于解除合同给发包人造成的损失。</w:t>
      </w:r>
    </w:p>
    <w:p w14:paraId="146D5F9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（4）合同双方确认上述往来款项后，出具最终结清付款证书，结清全部合同款项。</w:t>
      </w:r>
    </w:p>
    <w:p w14:paraId="5415F7E2">
      <w:pPr>
        <w:pageBreakBefore w:val="0"/>
        <w:kinsoku/>
        <w:wordWrap w:val="0"/>
        <w:bidi w:val="0"/>
        <w:spacing w:line="400" w:lineRule="atLeast"/>
        <w:ind w:right="25" w:rightChars="12"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（5）发包人和承包人未能就解除合同后的结清达成一致而形成争议的，按第24条的约定办理。</w:t>
      </w:r>
    </w:p>
    <w:p w14:paraId="5F6EAB2F">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22.1.5 </w:t>
      </w:r>
      <w:r>
        <w:rPr>
          <w:rFonts w:hint="default" w:ascii="Times New Roman" w:hAnsi="Times New Roman" w:eastAsia="黑体" w:cs="Times New Roman"/>
          <w:color w:val="auto"/>
          <w:sz w:val="24"/>
          <w:highlight w:val="none"/>
        </w:rPr>
        <w:t>协议利益的转让</w:t>
      </w:r>
    </w:p>
    <w:p w14:paraId="4FB7379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因承包人违约解除合同的，发包人有权要求承包人将其为实施合同而签订的材料和设备的订货协议或任何服务协议利益转让给发包人，并在解除合同后的14天内，依法办理转让手续。 </w:t>
      </w:r>
    </w:p>
    <w:p w14:paraId="4D611CB0">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22.1.6 </w:t>
      </w:r>
      <w:r>
        <w:rPr>
          <w:rFonts w:hint="default" w:ascii="Times New Roman" w:hAnsi="Times New Roman" w:eastAsia="黑体" w:cs="Times New Roman"/>
          <w:color w:val="auto"/>
          <w:sz w:val="24"/>
          <w:highlight w:val="none"/>
        </w:rPr>
        <w:t>紧急情况下无能力或不愿进行抢救</w:t>
      </w:r>
    </w:p>
    <w:p w14:paraId="7BA8764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1086DE9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48" w:name="_Toc17071"/>
      <w:bookmarkStart w:id="1149" w:name="_Toc18762"/>
      <w:bookmarkStart w:id="1150" w:name="_Toc18188"/>
      <w:bookmarkStart w:id="1151" w:name="_Toc234833111"/>
      <w:bookmarkStart w:id="1152" w:name="_Toc31447"/>
      <w:r>
        <w:rPr>
          <w:rFonts w:hint="default" w:ascii="Times New Roman" w:hAnsi="Times New Roman" w:eastAsia="黑体" w:cs="Times New Roman"/>
          <w:b w:val="0"/>
          <w:color w:val="auto"/>
          <w:sz w:val="24"/>
          <w:szCs w:val="24"/>
          <w:highlight w:val="none"/>
        </w:rPr>
        <w:t>22.2 发包人违约</w:t>
      </w:r>
      <w:bookmarkEnd w:id="1148"/>
      <w:bookmarkEnd w:id="1149"/>
      <w:bookmarkEnd w:id="1150"/>
      <w:bookmarkEnd w:id="1151"/>
      <w:bookmarkEnd w:id="1152"/>
    </w:p>
    <w:p w14:paraId="7F05902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22.2.1</w:t>
      </w:r>
      <w:r>
        <w:rPr>
          <w:rFonts w:hint="default" w:ascii="Times New Roman" w:hAnsi="Times New Roman" w:eastAsia="黑体" w:cs="Times New Roman"/>
          <w:color w:val="auto"/>
          <w:sz w:val="24"/>
          <w:highlight w:val="none"/>
        </w:rPr>
        <w:t>发包人违约的情形</w:t>
      </w:r>
    </w:p>
    <w:p w14:paraId="567D3CA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在履行合同过程中发生的下列情形，属发包人违约：</w:t>
      </w:r>
    </w:p>
    <w:p w14:paraId="0E1CCF6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（1）发包人未能按合同约定支付预付款或合同价款，或拖延、拒绝批准付款申请和支付凭证，导致付款延误的； </w:t>
      </w:r>
    </w:p>
    <w:p w14:paraId="00819A36">
      <w:pPr>
        <w:pageBreakBefore w:val="0"/>
        <w:tabs>
          <w:tab w:val="left" w:pos="720"/>
        </w:tabs>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（2）发包人原因造成停工的；</w:t>
      </w:r>
    </w:p>
    <w:p w14:paraId="03C59FD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（3）监理人无正当理由没有在约定期限内发出复工指示，导致承包人无法复工的；</w:t>
      </w:r>
    </w:p>
    <w:p w14:paraId="6DB5F6B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（4）发包人无法继续履行或明确表示不履行或实质上已停止履行合同的；</w:t>
      </w:r>
    </w:p>
    <w:p w14:paraId="01A45B79">
      <w:pPr>
        <w:pageBreakBefore w:val="0"/>
        <w:tabs>
          <w:tab w:val="left" w:pos="720"/>
        </w:tabs>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（5）发包人不履行合同约定其他义务的。</w:t>
      </w:r>
    </w:p>
    <w:p w14:paraId="3C2B380D">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22.2.2 </w:t>
      </w:r>
      <w:r>
        <w:rPr>
          <w:rFonts w:hint="default" w:ascii="Times New Roman" w:hAnsi="Times New Roman" w:eastAsia="黑体" w:cs="Times New Roman"/>
          <w:color w:val="auto"/>
          <w:sz w:val="24"/>
          <w:highlight w:val="none"/>
        </w:rPr>
        <w:t>承包人有权暂停施工</w:t>
      </w:r>
    </w:p>
    <w:p w14:paraId="22D0586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1DE93D62">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22.2.3 </w:t>
      </w:r>
      <w:r>
        <w:rPr>
          <w:rFonts w:hint="default" w:ascii="Times New Roman" w:hAnsi="Times New Roman" w:eastAsia="黑体" w:cs="Times New Roman"/>
          <w:color w:val="auto"/>
          <w:sz w:val="24"/>
          <w:highlight w:val="none"/>
        </w:rPr>
        <w:t>发包人违约解除合同</w:t>
      </w:r>
      <w:r>
        <w:rPr>
          <w:rFonts w:hint="default" w:ascii="Times New Roman" w:hAnsi="Times New Roman" w:cs="Times New Roman"/>
          <w:color w:val="auto"/>
          <w:sz w:val="24"/>
          <w:highlight w:val="none"/>
        </w:rPr>
        <w:t xml:space="preserve"> </w:t>
      </w:r>
    </w:p>
    <w:p w14:paraId="48CBDC5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（1）发生第22.2.1（4）目的违约情况时，承包人可书面通知发包人解除合同。   </w:t>
      </w:r>
    </w:p>
    <w:p w14:paraId="642FA440">
      <w:pPr>
        <w:pageBreakBefore w:val="0"/>
        <w:tabs>
          <w:tab w:val="left" w:pos="720"/>
          <w:tab w:val="left" w:pos="900"/>
        </w:tabs>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（2）承包人按第22.2.2项暂停施工28天后，发包人仍不纠正违约行为的，承包人可向发包人发出解除合同通知。但承包人的这一行动不免除发包人承担的违约责任，也不影响承包人根据合同约定享有的索赔权利。</w:t>
      </w:r>
    </w:p>
    <w:p w14:paraId="4C5872C1">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22.2.4</w:t>
      </w:r>
      <w:r>
        <w:rPr>
          <w:rFonts w:hint="default" w:ascii="Times New Roman" w:hAnsi="Times New Roman" w:eastAsia="黑体" w:cs="Times New Roman"/>
          <w:color w:val="auto"/>
          <w:sz w:val="24"/>
          <w:highlight w:val="none"/>
        </w:rPr>
        <w:t xml:space="preserve"> 解除合同后的付款</w:t>
      </w:r>
    </w:p>
    <w:p w14:paraId="2AEF169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因发包人违约解除合同的，发包人应在解除合同后28天内向承包人支付下列金额，承包人应在此期限内及时向发包人提交要求支付下列金额的有关资料和凭证：</w:t>
      </w:r>
    </w:p>
    <w:p w14:paraId="12BDD34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（1）合同解除日以前所完成工作的价款；</w:t>
      </w:r>
    </w:p>
    <w:p w14:paraId="5BAE909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（2）承包人为该工程施工订购并已付款的材料、工程设备和其他物品的金额。发包人付还后，该材料、工程设备和其他物品归发包人所有；</w:t>
      </w:r>
    </w:p>
    <w:p w14:paraId="7AAEFD7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（3）承包人为完成工程所发生的，而发包人未支付的金额；</w:t>
      </w:r>
    </w:p>
    <w:p w14:paraId="35AFAE0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（4）承包人撤离施工场地以及遣散承包人人员的金额；</w:t>
      </w:r>
    </w:p>
    <w:p w14:paraId="61932DC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（5）由于解除合同应赔偿的承包人损失；</w:t>
      </w:r>
    </w:p>
    <w:p w14:paraId="6F6FBD3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（6）按合同约定在合同解除日前应支付给承包人的其他金额。</w:t>
      </w:r>
    </w:p>
    <w:p w14:paraId="0719C03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发包人应按本项约定支付上述金额并退还质量保证金和履约担保，但有权要求承包人支付应偿还给发包人的各项金额。</w:t>
      </w:r>
    </w:p>
    <w:p w14:paraId="2966C9B3">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22.2.5 解除合同后的承包人撤离</w:t>
      </w:r>
    </w:p>
    <w:p w14:paraId="273017FA">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7B6BBD7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53" w:name="_Toc234833112"/>
      <w:bookmarkStart w:id="1154" w:name="_Toc5779"/>
      <w:bookmarkStart w:id="1155" w:name="_Toc1197"/>
      <w:bookmarkStart w:id="1156" w:name="_Toc27072"/>
      <w:bookmarkStart w:id="1157" w:name="_Toc5244"/>
      <w:r>
        <w:rPr>
          <w:rFonts w:hint="default" w:ascii="Times New Roman" w:hAnsi="Times New Roman" w:eastAsia="黑体" w:cs="Times New Roman"/>
          <w:b w:val="0"/>
          <w:color w:val="auto"/>
          <w:sz w:val="24"/>
          <w:szCs w:val="24"/>
          <w:highlight w:val="none"/>
        </w:rPr>
        <w:t>22.3第三人造成的违约</w:t>
      </w:r>
      <w:bookmarkEnd w:id="1153"/>
      <w:bookmarkEnd w:id="1154"/>
      <w:bookmarkEnd w:id="1155"/>
      <w:bookmarkEnd w:id="1156"/>
      <w:bookmarkEnd w:id="1157"/>
    </w:p>
    <w:p w14:paraId="20C9FF9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在履行合同过程中，一方当事人因第三人的原因造成违约的，应当向对方当事人承担违约责任。一方当事人和第三人之间的纠纷，依照法律规定或者按照约定解决。</w:t>
      </w:r>
    </w:p>
    <w:p w14:paraId="6CBD143C">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158" w:name="_Toc15487"/>
      <w:bookmarkStart w:id="1159" w:name="_Toc27731"/>
      <w:bookmarkStart w:id="1160" w:name="_Toc29983"/>
      <w:bookmarkStart w:id="1161" w:name="_Toc234833113"/>
      <w:bookmarkStart w:id="1162" w:name="_Toc20829"/>
      <w:r>
        <w:rPr>
          <w:rFonts w:hint="default" w:ascii="Times New Roman" w:hAnsi="Times New Roman" w:eastAsia="黑体" w:cs="Times New Roman"/>
          <w:b w:val="0"/>
          <w:color w:val="auto"/>
          <w:sz w:val="28"/>
          <w:szCs w:val="28"/>
          <w:highlight w:val="none"/>
        </w:rPr>
        <w:t>23. 索赔</w:t>
      </w:r>
      <w:bookmarkEnd w:id="1158"/>
      <w:bookmarkEnd w:id="1159"/>
      <w:bookmarkEnd w:id="1160"/>
      <w:bookmarkEnd w:id="1161"/>
      <w:bookmarkEnd w:id="1162"/>
    </w:p>
    <w:p w14:paraId="2B585605">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63" w:name="_Toc31146"/>
      <w:bookmarkStart w:id="1164" w:name="_Toc3879"/>
      <w:bookmarkStart w:id="1165" w:name="_Toc234833114"/>
      <w:bookmarkStart w:id="1166" w:name="_Toc24590"/>
      <w:bookmarkStart w:id="1167" w:name="_Toc8289"/>
      <w:r>
        <w:rPr>
          <w:rFonts w:hint="default" w:ascii="Times New Roman" w:hAnsi="Times New Roman" w:eastAsia="黑体" w:cs="Times New Roman"/>
          <w:b w:val="0"/>
          <w:color w:val="auto"/>
          <w:sz w:val="24"/>
          <w:szCs w:val="24"/>
          <w:highlight w:val="none"/>
        </w:rPr>
        <w:t>23.1 承包人索赔的提出</w:t>
      </w:r>
      <w:bookmarkEnd w:id="1163"/>
      <w:bookmarkEnd w:id="1164"/>
      <w:bookmarkEnd w:id="1165"/>
      <w:bookmarkEnd w:id="1166"/>
      <w:bookmarkEnd w:id="1167"/>
    </w:p>
    <w:p w14:paraId="4282021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根据合同约定，承包人认为有权得到追加付款和（或）延长工期的，应按以下程序向发包人提出索赔：</w:t>
      </w:r>
    </w:p>
    <w:p w14:paraId="55FE95B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FAE215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（2）承包人应在发出索赔意向通知书后28天内，向监理人正式递交索赔通知书。索赔通知书应详细说明索赔理由以及要求追加的付款金额和（或）延长的工期，并附必要的记录和证明材料；</w:t>
      </w:r>
    </w:p>
    <w:p w14:paraId="188B9F3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（3）索赔事件具有连续影响的，承包人应按合理时间间隔继续递交延续索赔通知，说明连续影响的实际情况和记录，列出累计的追加付款金额和（或）工期延长天数；</w:t>
      </w:r>
    </w:p>
    <w:p w14:paraId="2DD336D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（4）在索赔事件影响结束后的28天内，承包人应向监理人递交最终索赔通知书，说明最终要求索赔的追加付款金额和延长的工期，并附必要的记录和证明材料。</w:t>
      </w:r>
    </w:p>
    <w:p w14:paraId="700909C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68" w:name="_Toc31313"/>
      <w:bookmarkStart w:id="1169" w:name="_Toc234833115"/>
      <w:bookmarkStart w:id="1170" w:name="_Toc17762"/>
      <w:bookmarkStart w:id="1171" w:name="_Toc18819"/>
      <w:bookmarkStart w:id="1172" w:name="_Toc3967"/>
      <w:r>
        <w:rPr>
          <w:rFonts w:hint="default" w:ascii="Times New Roman" w:hAnsi="Times New Roman" w:eastAsia="黑体" w:cs="Times New Roman"/>
          <w:b w:val="0"/>
          <w:color w:val="auto"/>
          <w:sz w:val="24"/>
          <w:szCs w:val="24"/>
          <w:highlight w:val="none"/>
        </w:rPr>
        <w:t>23.2 承包人索赔处理程序</w:t>
      </w:r>
      <w:bookmarkEnd w:id="1168"/>
      <w:bookmarkEnd w:id="1169"/>
      <w:bookmarkEnd w:id="1170"/>
      <w:bookmarkEnd w:id="1171"/>
      <w:bookmarkEnd w:id="1172"/>
    </w:p>
    <w:p w14:paraId="7A33A5C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（1）监理人收到承包人提交的索赔通知书后，应及时审查索赔通知书的内容、查验承包人的记录和证明材料，必要时监理人可要求承包人提交全部原始记录副本。</w:t>
      </w:r>
    </w:p>
    <w:p w14:paraId="6B9A133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（2）监理人应按第3.5款商定或确定追加的付款和（或）延长的工期，并在收到上述索赔通知书或有关索赔的进一步证明材料后的42天内，将索赔处理结果答复承包人。</w:t>
      </w:r>
    </w:p>
    <w:p w14:paraId="1610C3B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（3）承包人接受索赔处理结果的，发包人应在作出索赔处理结果答复后28天内完成赔付。承包人不接受索赔处理结果的，按第24条的约定办理。</w:t>
      </w:r>
    </w:p>
    <w:p w14:paraId="0A19B57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73" w:name="_Toc25742"/>
      <w:bookmarkStart w:id="1174" w:name="_Toc3852"/>
      <w:bookmarkStart w:id="1175" w:name="_Toc19947"/>
      <w:bookmarkStart w:id="1176" w:name="_Toc234833116"/>
      <w:bookmarkStart w:id="1177" w:name="_Toc616"/>
      <w:r>
        <w:rPr>
          <w:rFonts w:hint="default" w:ascii="Times New Roman" w:hAnsi="Times New Roman" w:eastAsia="黑体" w:cs="Times New Roman"/>
          <w:b w:val="0"/>
          <w:color w:val="auto"/>
          <w:sz w:val="24"/>
          <w:szCs w:val="24"/>
          <w:highlight w:val="none"/>
        </w:rPr>
        <w:t>23.3 承包人提出索赔的期限</w:t>
      </w:r>
      <w:bookmarkEnd w:id="1173"/>
      <w:bookmarkEnd w:id="1174"/>
      <w:bookmarkEnd w:id="1175"/>
      <w:bookmarkEnd w:id="1176"/>
      <w:bookmarkEnd w:id="1177"/>
    </w:p>
    <w:p w14:paraId="417B4C0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23.3.1 承包人按第17.5款的约定接受了竣工付款证书后，应被认为已无权再提出在合同工程接收证书颁发前所发生的任何索赔。</w:t>
      </w:r>
    </w:p>
    <w:p w14:paraId="2F3CE24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23.3.2 承包人按第17.6款的约定提交的最终结清申请单中，只限于提出工程接收证书颁发后发生的索赔。提出索赔的期限自接受最终结清证书时终止。</w:t>
      </w:r>
    </w:p>
    <w:p w14:paraId="5153B9F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78" w:name="_Toc2347"/>
      <w:bookmarkStart w:id="1179" w:name="_Toc9765"/>
      <w:bookmarkStart w:id="1180" w:name="_Toc6220"/>
      <w:bookmarkStart w:id="1181" w:name="_Toc6508"/>
      <w:bookmarkStart w:id="1182" w:name="_Toc234833117"/>
      <w:r>
        <w:rPr>
          <w:rFonts w:hint="default" w:ascii="Times New Roman" w:hAnsi="Times New Roman" w:eastAsia="黑体" w:cs="Times New Roman"/>
          <w:b w:val="0"/>
          <w:color w:val="auto"/>
          <w:sz w:val="24"/>
          <w:szCs w:val="24"/>
          <w:highlight w:val="none"/>
        </w:rPr>
        <w:t>23.4 发包人的索赔</w:t>
      </w:r>
      <w:bookmarkEnd w:id="1178"/>
      <w:bookmarkEnd w:id="1179"/>
      <w:bookmarkEnd w:id="1180"/>
      <w:bookmarkEnd w:id="1181"/>
      <w:bookmarkEnd w:id="1182"/>
      <w:r>
        <w:rPr>
          <w:rFonts w:hint="default" w:ascii="Times New Roman" w:hAnsi="Times New Roman" w:eastAsia="黑体" w:cs="Times New Roman"/>
          <w:b w:val="0"/>
          <w:color w:val="auto"/>
          <w:sz w:val="24"/>
          <w:szCs w:val="24"/>
          <w:highlight w:val="none"/>
        </w:rPr>
        <w:t xml:space="preserve">                            </w:t>
      </w:r>
    </w:p>
    <w:p w14:paraId="64284C1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17C5E67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03B86DD1">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183" w:name="_Toc234833118"/>
      <w:bookmarkStart w:id="1184" w:name="_Toc30654"/>
      <w:bookmarkStart w:id="1185" w:name="_Toc15563"/>
      <w:bookmarkStart w:id="1186" w:name="_Toc31922"/>
      <w:bookmarkStart w:id="1187" w:name="_Toc27984"/>
      <w:r>
        <w:rPr>
          <w:rFonts w:hint="default" w:ascii="Times New Roman" w:hAnsi="Times New Roman" w:eastAsia="黑体" w:cs="Times New Roman"/>
          <w:b w:val="0"/>
          <w:color w:val="auto"/>
          <w:sz w:val="28"/>
          <w:szCs w:val="28"/>
          <w:highlight w:val="none"/>
        </w:rPr>
        <w:t>24. 争议的解决</w:t>
      </w:r>
      <w:bookmarkEnd w:id="1183"/>
      <w:bookmarkEnd w:id="1184"/>
      <w:bookmarkEnd w:id="1185"/>
      <w:bookmarkEnd w:id="1186"/>
      <w:bookmarkEnd w:id="1187"/>
    </w:p>
    <w:p w14:paraId="02657DF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88" w:name="_Toc21148"/>
      <w:bookmarkStart w:id="1189" w:name="_Toc30045"/>
      <w:bookmarkStart w:id="1190" w:name="_Toc234833119"/>
      <w:bookmarkStart w:id="1191" w:name="_Toc1723"/>
      <w:bookmarkStart w:id="1192" w:name="_Toc32049"/>
      <w:r>
        <w:rPr>
          <w:rFonts w:hint="default" w:ascii="Times New Roman" w:hAnsi="Times New Roman" w:eastAsia="黑体" w:cs="Times New Roman"/>
          <w:b w:val="0"/>
          <w:color w:val="auto"/>
          <w:sz w:val="24"/>
          <w:szCs w:val="24"/>
          <w:highlight w:val="none"/>
        </w:rPr>
        <w:t>24.1 争议的解决方式</w:t>
      </w:r>
      <w:bookmarkEnd w:id="1188"/>
      <w:bookmarkEnd w:id="1189"/>
      <w:bookmarkEnd w:id="1190"/>
      <w:bookmarkEnd w:id="1191"/>
      <w:bookmarkEnd w:id="1192"/>
    </w:p>
    <w:p w14:paraId="4958A10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5D23E46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（1）向约定的仲裁委员会申请仲裁；</w:t>
      </w:r>
    </w:p>
    <w:p w14:paraId="194B9E4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（2）向有管辖权的人民法院提起诉讼。</w:t>
      </w:r>
    </w:p>
    <w:p w14:paraId="4A27868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93" w:name="_Toc234833120"/>
      <w:bookmarkStart w:id="1194" w:name="_Toc28189"/>
      <w:bookmarkStart w:id="1195" w:name="_Toc21235"/>
      <w:bookmarkStart w:id="1196" w:name="_Toc4677"/>
      <w:bookmarkStart w:id="1197" w:name="_Toc25861"/>
      <w:r>
        <w:rPr>
          <w:rFonts w:hint="default" w:ascii="Times New Roman" w:hAnsi="Times New Roman" w:eastAsia="黑体" w:cs="Times New Roman"/>
          <w:b w:val="0"/>
          <w:color w:val="auto"/>
          <w:sz w:val="24"/>
          <w:szCs w:val="24"/>
          <w:highlight w:val="none"/>
        </w:rPr>
        <w:t>24.2 友好解决</w:t>
      </w:r>
      <w:bookmarkEnd w:id="1193"/>
      <w:bookmarkEnd w:id="1194"/>
      <w:bookmarkEnd w:id="1195"/>
      <w:bookmarkEnd w:id="1196"/>
      <w:bookmarkEnd w:id="1197"/>
    </w:p>
    <w:p w14:paraId="77EFDF4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在提请争议评审、仲裁或者诉讼前，以及在争议评审、仲裁或诉讼过程中，发包人和承包人均可共同努力友好协商解决争议。</w:t>
      </w:r>
    </w:p>
    <w:p w14:paraId="272E168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198" w:name="_Toc234833121"/>
      <w:bookmarkStart w:id="1199" w:name="_Toc17586"/>
      <w:bookmarkStart w:id="1200" w:name="_Toc24796"/>
      <w:bookmarkStart w:id="1201" w:name="_Toc20198"/>
      <w:bookmarkStart w:id="1202" w:name="_Toc28601"/>
      <w:r>
        <w:rPr>
          <w:rFonts w:hint="default" w:ascii="Times New Roman" w:hAnsi="Times New Roman" w:eastAsia="黑体" w:cs="Times New Roman"/>
          <w:b w:val="0"/>
          <w:color w:val="auto"/>
          <w:sz w:val="24"/>
          <w:szCs w:val="24"/>
          <w:highlight w:val="none"/>
        </w:rPr>
        <w:t>24.3 争议评审</w:t>
      </w:r>
      <w:bookmarkEnd w:id="1198"/>
      <w:bookmarkEnd w:id="1199"/>
      <w:bookmarkEnd w:id="1200"/>
      <w:bookmarkEnd w:id="1201"/>
      <w:bookmarkEnd w:id="1202"/>
    </w:p>
    <w:p w14:paraId="5949811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24.3.1采用争议评审的，发包人和承包人应在开工日后的28天内或在争议发生后，协商成立争议评审组。争议评审组由有合同管理和工程实践经验的专家组成。</w:t>
      </w:r>
    </w:p>
    <w:p w14:paraId="6F95AA5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24.3.2 合同双方的争议，应首先由申请人向争议评审组提交一份详细的评审申请报告，并附必要的文件、图纸和证明材料，申请人还应将上述报告的副本同时提交给被申请人和监理人。</w:t>
      </w:r>
    </w:p>
    <w:p w14:paraId="6DBBDD7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24.3.3 被申请人在收到申请人评审申请报告副本后的28天内，向争议评审组提交一份答辩报告，并附证明材料。被申请人应将答辩报告的副本同时提交给申请人和监理人。</w:t>
      </w:r>
    </w:p>
    <w:p w14:paraId="788241C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24.3.4 除专用合同条款另有约定外，争议评审组在收到合同双方报告后的14天内，邀请双方代表和有关人员举行调查会，向双方调查争议细节；必要时争议评审组可要求双方进一步提供补充材料。</w:t>
      </w:r>
    </w:p>
    <w:p w14:paraId="1D7682B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7D69482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24.3.6 发包人和承包人接受评审意见的，由监理人根据评审意见拟定执行协议，经争议双方签字后作为合同的补充文件，并遵照执行。</w:t>
      </w:r>
    </w:p>
    <w:p w14:paraId="6517848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63A17220">
      <w:pPr>
        <w:pageBreakBefore w:val="0"/>
        <w:kinsoku/>
        <w:wordWrap w:val="0"/>
        <w:bidi w:val="0"/>
        <w:spacing w:line="440" w:lineRule="exact"/>
        <w:ind w:firstLine="392" w:firstLineChars="196"/>
        <w:rPr>
          <w:rFonts w:hint="default" w:ascii="Times New Roman" w:hAnsi="Times New Roman" w:cs="Times New Roman"/>
          <w:color w:val="auto"/>
          <w:sz w:val="20"/>
          <w:szCs w:val="20"/>
          <w:highlight w:val="none"/>
        </w:rPr>
      </w:pPr>
    </w:p>
    <w:p w14:paraId="2B7737F4">
      <w:pPr>
        <w:pageBreakBefore w:val="0"/>
        <w:kinsoku/>
        <w:wordWrap w:val="0"/>
        <w:bidi w:val="0"/>
        <w:spacing w:line="440" w:lineRule="exact"/>
        <w:ind w:firstLine="392" w:firstLineChars="196"/>
        <w:rPr>
          <w:rFonts w:hint="default" w:ascii="Times New Roman" w:hAnsi="Times New Roman" w:cs="Times New Roman"/>
          <w:color w:val="auto"/>
          <w:sz w:val="20"/>
          <w:szCs w:val="20"/>
          <w:highlight w:val="none"/>
        </w:rPr>
      </w:pPr>
    </w:p>
    <w:p w14:paraId="4C072821">
      <w:pPr>
        <w:pageBreakBefore w:val="0"/>
        <w:kinsoku/>
        <w:wordWrap w:val="0"/>
        <w:bidi w:val="0"/>
        <w:spacing w:line="440" w:lineRule="exact"/>
        <w:ind w:firstLine="392" w:firstLineChars="196"/>
        <w:rPr>
          <w:rFonts w:hint="default" w:ascii="Times New Roman" w:hAnsi="Times New Roman" w:cs="Times New Roman"/>
          <w:color w:val="auto"/>
          <w:sz w:val="20"/>
          <w:szCs w:val="20"/>
          <w:highlight w:val="none"/>
        </w:rPr>
      </w:pPr>
    </w:p>
    <w:p w14:paraId="21F66B35">
      <w:pPr>
        <w:pageBreakBefore w:val="0"/>
        <w:kinsoku/>
        <w:wordWrap w:val="0"/>
        <w:bidi w:val="0"/>
        <w:spacing w:before="240" w:after="240" w:line="380" w:lineRule="atLeast"/>
        <w:outlineLvl w:val="9"/>
        <w:rPr>
          <w:rFonts w:hint="default" w:ascii="Times New Roman" w:hAnsi="Times New Roman" w:cs="Times New Roman"/>
          <w:color w:val="auto"/>
          <w:sz w:val="20"/>
          <w:szCs w:val="20"/>
          <w:highlight w:val="none"/>
        </w:rPr>
      </w:pPr>
    </w:p>
    <w:p w14:paraId="25A7DB48">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z w:val="32"/>
          <w:szCs w:val="32"/>
          <w:highlight w:val="none"/>
        </w:rPr>
        <w:br w:type="page"/>
      </w:r>
      <w:bookmarkStart w:id="1203" w:name="_Toc234833122"/>
    </w:p>
    <w:p w14:paraId="721916B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631FBC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366F8E8">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BFE297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7B980F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878E918">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C43440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2C7AA1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B8F37A8">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0FC867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C488CDE">
      <w:pPr>
        <w:pStyle w:val="2"/>
        <w:pageBreakBefore w:val="0"/>
        <w:kinsoku/>
        <w:wordWrap w:val="0"/>
        <w:bidi w:val="0"/>
        <w:spacing w:before="240" w:after="240" w:line="380" w:lineRule="atLeast"/>
        <w:jc w:val="center"/>
        <w:outlineLvl w:val="1"/>
        <w:rPr>
          <w:rFonts w:hint="default" w:ascii="Times New Roman" w:hAnsi="Times New Roman" w:eastAsia="黑体" w:cs="Times New Roman"/>
          <w:b w:val="0"/>
          <w:color w:val="auto"/>
          <w:sz w:val="42"/>
          <w:szCs w:val="42"/>
          <w:highlight w:val="none"/>
        </w:rPr>
      </w:pPr>
      <w:bookmarkStart w:id="1204" w:name="_Toc9532"/>
      <w:bookmarkStart w:id="1205" w:name="_Toc21883"/>
      <w:bookmarkStart w:id="1206" w:name="_Toc22779"/>
      <w:r>
        <w:rPr>
          <w:rFonts w:hint="default" w:ascii="Times New Roman" w:hAnsi="Times New Roman" w:eastAsia="黑体" w:cs="Times New Roman"/>
          <w:b w:val="0"/>
          <w:color w:val="auto"/>
          <w:sz w:val="42"/>
          <w:szCs w:val="42"/>
          <w:highlight w:val="none"/>
        </w:rPr>
        <w:t>第二节  专用合同条款</w:t>
      </w:r>
      <w:bookmarkEnd w:id="1203"/>
      <w:bookmarkEnd w:id="1204"/>
      <w:bookmarkEnd w:id="1205"/>
      <w:bookmarkEnd w:id="1206"/>
    </w:p>
    <w:p w14:paraId="2E88ABE7">
      <w:pPr>
        <w:pStyle w:val="2"/>
        <w:pageBreakBefore w:val="0"/>
        <w:kinsoku/>
        <w:wordWrap w:val="0"/>
        <w:bidi w:val="0"/>
        <w:spacing w:before="240" w:after="240" w:line="380" w:lineRule="atLeast"/>
        <w:jc w:val="center"/>
        <w:outlineLvl w:val="2"/>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b w:val="0"/>
          <w:color w:val="auto"/>
          <w:sz w:val="32"/>
          <w:szCs w:val="32"/>
          <w:highlight w:val="none"/>
        </w:rPr>
        <w:br w:type="page"/>
      </w:r>
      <w:bookmarkStart w:id="1207" w:name="_Toc29088"/>
      <w:bookmarkStart w:id="1208" w:name="_Toc3511"/>
      <w:bookmarkStart w:id="1209" w:name="_Toc22882"/>
      <w:bookmarkStart w:id="1210" w:name="_Toc234833123"/>
      <w:r>
        <w:rPr>
          <w:rFonts w:hint="default" w:ascii="Times New Roman" w:hAnsi="Times New Roman" w:eastAsia="黑体" w:cs="Times New Roman"/>
          <w:b w:val="0"/>
          <w:color w:val="auto"/>
          <w:sz w:val="32"/>
          <w:szCs w:val="32"/>
          <w:highlight w:val="none"/>
        </w:rPr>
        <w:t>A. 公路工程专用合同条款</w:t>
      </w:r>
      <w:bookmarkEnd w:id="1207"/>
      <w:bookmarkEnd w:id="1208"/>
      <w:bookmarkEnd w:id="1209"/>
      <w:bookmarkEnd w:id="1210"/>
    </w:p>
    <w:p w14:paraId="24563CA8">
      <w:pPr>
        <w:pageBreakBefore w:val="0"/>
        <w:kinsoku/>
        <w:wordWrap w:val="0"/>
        <w:bidi w:val="0"/>
        <w:spacing w:before="240" w:after="240" w:line="380" w:lineRule="atLeast"/>
        <w:outlineLvl w:val="9"/>
        <w:rPr>
          <w:rFonts w:hint="default" w:ascii="Times New Roman" w:hAnsi="Times New Roman" w:eastAsia="黑体" w:cs="Times New Roman"/>
          <w:b w:val="0"/>
          <w:color w:val="auto"/>
          <w:sz w:val="24"/>
          <w:szCs w:val="24"/>
          <w:highlight w:val="none"/>
        </w:rPr>
      </w:pPr>
    </w:p>
    <w:p w14:paraId="11B6F42F">
      <w:pPr>
        <w:pStyle w:val="2"/>
        <w:pageBreakBefore w:val="0"/>
        <w:kinsoku/>
        <w:wordWrap w:val="0"/>
        <w:bidi w:val="0"/>
        <w:spacing w:before="240" w:after="240" w:line="380" w:lineRule="atLeast"/>
        <w:outlineLvl w:val="2"/>
        <w:rPr>
          <w:rFonts w:hint="default" w:ascii="Times New Roman" w:hAnsi="Times New Roman" w:eastAsia="黑体" w:cs="Times New Roman"/>
          <w:b w:val="0"/>
          <w:color w:val="auto"/>
          <w:sz w:val="28"/>
          <w:szCs w:val="28"/>
          <w:highlight w:val="none"/>
        </w:rPr>
      </w:pPr>
      <w:bookmarkStart w:id="1211" w:name="_Toc8680"/>
      <w:bookmarkStart w:id="1212" w:name="_Toc8341"/>
      <w:bookmarkStart w:id="1213" w:name="_Toc12763"/>
      <w:bookmarkStart w:id="1214" w:name="_Toc234833124"/>
      <w:bookmarkStart w:id="1215" w:name="_Toc18793"/>
      <w:r>
        <w:rPr>
          <w:rFonts w:hint="default" w:ascii="Times New Roman" w:hAnsi="Times New Roman" w:eastAsia="黑体" w:cs="Times New Roman"/>
          <w:b w:val="0"/>
          <w:color w:val="auto"/>
          <w:sz w:val="28"/>
          <w:szCs w:val="28"/>
          <w:highlight w:val="none"/>
        </w:rPr>
        <w:t>1. 一般约定</w:t>
      </w:r>
      <w:bookmarkEnd w:id="1211"/>
      <w:bookmarkEnd w:id="1212"/>
      <w:bookmarkEnd w:id="1213"/>
      <w:bookmarkEnd w:id="1214"/>
      <w:bookmarkEnd w:id="1215"/>
      <w:r>
        <w:rPr>
          <w:rFonts w:hint="default" w:ascii="Times New Roman" w:hAnsi="Times New Roman" w:eastAsia="黑体" w:cs="Times New Roman"/>
          <w:b w:val="0"/>
          <w:color w:val="auto"/>
          <w:sz w:val="28"/>
          <w:szCs w:val="28"/>
          <w:highlight w:val="none"/>
        </w:rPr>
        <w:tab/>
      </w:r>
    </w:p>
    <w:p w14:paraId="75C8DC3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16" w:name="_Toc16083"/>
      <w:bookmarkStart w:id="1217" w:name="_Toc31844"/>
      <w:bookmarkStart w:id="1218" w:name="_Toc12594"/>
      <w:bookmarkStart w:id="1219" w:name="_Toc234833125"/>
      <w:bookmarkStart w:id="1220" w:name="_Toc9796"/>
      <w:r>
        <w:rPr>
          <w:rFonts w:hint="default" w:ascii="Times New Roman" w:hAnsi="Times New Roman" w:eastAsia="黑体" w:cs="Times New Roman"/>
          <w:b w:val="0"/>
          <w:color w:val="auto"/>
          <w:sz w:val="24"/>
          <w:szCs w:val="24"/>
          <w:highlight w:val="none"/>
        </w:rPr>
        <w:t>1.1</w:t>
      </w:r>
      <w:r>
        <w:rPr>
          <w:rFonts w:hint="default" w:ascii="Times New Roman" w:hAnsi="Times New Roman" w:eastAsia="黑体" w:cs="Times New Roman"/>
          <w:b w:val="0"/>
          <w:color w:val="auto"/>
          <w:sz w:val="24"/>
          <w:szCs w:val="24"/>
          <w:highlight w:val="none"/>
        </w:rPr>
        <w:tab/>
      </w:r>
      <w:r>
        <w:rPr>
          <w:rFonts w:hint="default" w:ascii="Times New Roman" w:hAnsi="Times New Roman" w:eastAsia="黑体" w:cs="Times New Roman"/>
          <w:b w:val="0"/>
          <w:color w:val="auto"/>
          <w:sz w:val="24"/>
          <w:szCs w:val="24"/>
          <w:highlight w:val="none"/>
        </w:rPr>
        <w:t>词语定义</w:t>
      </w:r>
      <w:bookmarkEnd w:id="1216"/>
      <w:bookmarkEnd w:id="1217"/>
      <w:bookmarkEnd w:id="1218"/>
      <w:bookmarkEnd w:id="1219"/>
      <w:bookmarkEnd w:id="1220"/>
    </w:p>
    <w:p w14:paraId="47572812">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1.1.1 </w:t>
      </w:r>
      <w:r>
        <w:rPr>
          <w:rFonts w:hint="default" w:ascii="Times New Roman" w:hAnsi="Times New Roman" w:eastAsia="黑体" w:cs="Times New Roman"/>
          <w:color w:val="auto"/>
          <w:sz w:val="24"/>
          <w:highlight w:val="none"/>
        </w:rPr>
        <w:t>合同</w:t>
      </w:r>
    </w:p>
    <w:p w14:paraId="1A01BFBF">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第1.1.1.6目细化为：</w:t>
      </w:r>
    </w:p>
    <w:p w14:paraId="62D18CB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技术规范：指本合同所约定的技术标准和要求，是合同文件的组成部分。通用合同条款中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技术标准和要求</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44C68A01">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第1.1.1.8目细化为：</w:t>
      </w:r>
    </w:p>
    <w:p w14:paraId="364C8EAF">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已标价工程量清单：指构成合同文件组成部分的已标明价格、经算术性错误修正及其他错误修正（如有）且承包人已确认的最终的工程量清单，包括工程量清单说明、投标报价说明、计日工说明、其他说明及工程量清单各项表格（工程量清单表5.1～表5.5）。</w:t>
      </w:r>
    </w:p>
    <w:p w14:paraId="28DF3C13">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本项补充第1.1.1.10目：</w:t>
      </w:r>
    </w:p>
    <w:p w14:paraId="54D5744D">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1.1.1.10 补遗书：指发出招标文件之后由招标人向已取得招标文件的投标人发出的、编号的对招标文件所作的澄清、修改书。</w:t>
      </w:r>
    </w:p>
    <w:p w14:paraId="6AE3E609">
      <w:pPr>
        <w:pageBreakBefore w:val="0"/>
        <w:kinsoku/>
        <w:wordWrap w:val="0"/>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1.1.2 </w:t>
      </w:r>
      <w:r>
        <w:rPr>
          <w:rFonts w:hint="default" w:ascii="Times New Roman" w:hAnsi="Times New Roman" w:eastAsia="黑体" w:cs="Times New Roman"/>
          <w:color w:val="auto"/>
          <w:sz w:val="24"/>
          <w:highlight w:val="none"/>
        </w:rPr>
        <w:t>合同当事人和人员</w:t>
      </w:r>
    </w:p>
    <w:p w14:paraId="08A3FA6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本项补充第1.1.2.8目：</w:t>
      </w:r>
    </w:p>
    <w:p w14:paraId="4AFD41A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1.1.2.8 承包人项目总工：指由承包人书面委派常驻现场负责管理本合同工程的总工程师或技术总负责人。</w:t>
      </w:r>
    </w:p>
    <w:p w14:paraId="3624B8D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1.1.3 </w:t>
      </w:r>
      <w:r>
        <w:rPr>
          <w:rFonts w:hint="default" w:ascii="Times New Roman" w:hAnsi="Times New Roman" w:eastAsia="黑体" w:cs="Times New Roman"/>
          <w:color w:val="auto"/>
          <w:sz w:val="24"/>
          <w:highlight w:val="none"/>
        </w:rPr>
        <w:t>工程和设备</w:t>
      </w:r>
    </w:p>
    <w:p w14:paraId="6DBCFE3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第1.1.3.4目细化为：</w:t>
      </w:r>
    </w:p>
    <w:p w14:paraId="186293F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单位工程：指在建设项目中，根据签订的合同，具有独立施工条件的工程。</w:t>
      </w:r>
    </w:p>
    <w:p w14:paraId="471EE0F4">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第1.1.3.10目细化为： </w:t>
      </w:r>
    </w:p>
    <w:p w14:paraId="5F40A405">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永久占地：指为实施本合同工程而需要的一切永久占用的土地，包括公路两侧路权范围内的用地。</w:t>
      </w:r>
    </w:p>
    <w:p w14:paraId="737117D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第1.1.3.11目细化为：</w:t>
      </w:r>
    </w:p>
    <w:p w14:paraId="2CEDCDD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临时占地：指为实施本合同工程而需要的一切临时占用的土地，包括施工所用的临时支线、便道、便桥和现场的临时出入通道，以及生产（办公）、生活等临时设施用地等。</w:t>
      </w:r>
    </w:p>
    <w:p w14:paraId="15603802">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本项补充第1.1.3.12目、第1.1.3.13目：</w:t>
      </w:r>
    </w:p>
    <w:p w14:paraId="32FD3067">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1.1.3.12 分部工程：指在单位工程中，按结构部位、路段长度及施工特点或施工任务划分的若干个工程。</w:t>
      </w:r>
    </w:p>
    <w:p w14:paraId="1666486D">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1.1.3.13 分项工程：指在分部工程中，按不同的施工方法、材料、工序及路段长度等划分的若干个工程。</w:t>
      </w:r>
    </w:p>
    <w:p w14:paraId="24B192D4">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bookmarkStart w:id="1221" w:name="OLE_LINK18"/>
      <w:r>
        <w:rPr>
          <w:rFonts w:hint="default" w:ascii="Times New Roman" w:hAnsi="Times New Roman" w:cs="Times New Roman"/>
          <w:color w:val="auto"/>
          <w:sz w:val="24"/>
          <w:highlight w:val="none"/>
        </w:rPr>
        <w:t xml:space="preserve">1.1.6 </w:t>
      </w:r>
      <w:r>
        <w:rPr>
          <w:rFonts w:hint="default" w:ascii="Times New Roman" w:hAnsi="Times New Roman" w:eastAsia="黑体" w:cs="Times New Roman"/>
          <w:color w:val="auto"/>
          <w:sz w:val="24"/>
          <w:highlight w:val="none"/>
        </w:rPr>
        <w:t>其他</w:t>
      </w:r>
    </w:p>
    <w:p w14:paraId="789F93F3">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本项补充第1.1.6.2目～第1.1.6.9目：</w:t>
      </w:r>
    </w:p>
    <w:p w14:paraId="265882DA">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1.1.6.2 竣工验收：指《公路工程竣（交）工验收办法》中的竣工验收。通用合同条款中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国家验收</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6E777206">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1.1.6.3交工：指《公路工程竣（交）工验收办法》中的交工。通用合同条款中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竣工</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03406B49">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1.1.6.4交工验收：指《公路工程竣（交）工验收办法》中的交工验收。通用合同条款中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竣工验收</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p w14:paraId="5C8D9ABD">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1.1.6.5交工验收证书：指《公路工程竣（交）工验收办法》中的交工验收证书。通用合同条款中</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工程接收证书</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一词具有相同含义。</w:t>
      </w:r>
    </w:p>
    <w:bookmarkEnd w:id="1221"/>
    <w:p w14:paraId="6D80FAAA">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1.1.6.6转包：指承包人违反法律和不履行合同规定的责任和义务，将中标工程全部委托或以专业分包的名义将中标工程肢解后全部委托给其他施工企业施工的行为。</w:t>
      </w:r>
    </w:p>
    <w:p w14:paraId="28A53ABF">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1.1.6.7专业分包：指承包人与具有相应资格的施工企业签订专业分包合同，由分包人承担承包人委托的分部工程、分项工程或适合专业化队伍施工的其他工程，整体结算，并能独立控制工程质量、施工进度、材料采购、生产安全的施工行为。</w:t>
      </w:r>
    </w:p>
    <w:p w14:paraId="6F7ACD7E">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1.1.6.8劳务分包：指承包人与具有施工劳务资质的劳务企业签订劳务分包合同，由劳务企业提供劳务人员及机具，由承包人统一组织施工、统一控制工程质量、施工进度、材料采购、生产安全的施工行为。</w:t>
      </w:r>
    </w:p>
    <w:p w14:paraId="51E95718">
      <w:pPr>
        <w:pageBreakBefore w:val="0"/>
        <w:kinsoku/>
        <w:wordWrap w:val="0"/>
        <w:bidi w:val="0"/>
        <w:spacing w:line="400" w:lineRule="atLeas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1.1.6.9雇用民工：指承包人与具有相应劳动能力的自然人签订劳动合同，由承包人统一组织管理，从事分项工程施工或配套工程施工的行为。</w:t>
      </w:r>
    </w:p>
    <w:p w14:paraId="31F09AE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22" w:name="_Toc20079"/>
      <w:bookmarkStart w:id="1223" w:name="_Toc18641"/>
      <w:bookmarkStart w:id="1224" w:name="_Toc234833126"/>
      <w:bookmarkStart w:id="1225" w:name="_Toc1907"/>
      <w:bookmarkStart w:id="1226" w:name="_Toc27402"/>
      <w:r>
        <w:rPr>
          <w:rFonts w:hint="default" w:ascii="Times New Roman" w:hAnsi="Times New Roman" w:eastAsia="黑体" w:cs="Times New Roman"/>
          <w:b w:val="0"/>
          <w:color w:val="auto"/>
          <w:sz w:val="24"/>
          <w:szCs w:val="24"/>
          <w:highlight w:val="none"/>
        </w:rPr>
        <w:t>1.4 合同文件的优先顺序</w:t>
      </w:r>
      <w:bookmarkEnd w:id="1222"/>
      <w:bookmarkEnd w:id="1223"/>
      <w:bookmarkEnd w:id="1224"/>
      <w:bookmarkEnd w:id="1225"/>
      <w:bookmarkEnd w:id="1226"/>
    </w:p>
    <w:p w14:paraId="7848B25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33911936">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组成合同的各项文件应互相解释，互为说明。除项目专用合同条款另有约定外，解释合同文件的优先顺序如下：</w:t>
      </w:r>
    </w:p>
    <w:p w14:paraId="1E7E994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（1）合同协议书及各种合同附件（含评标期间和合同谈判过程中的澄清文件和补充资料）；</w:t>
      </w:r>
    </w:p>
    <w:p w14:paraId="5CE20837">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（2）中标通知书；</w:t>
      </w:r>
    </w:p>
    <w:p w14:paraId="378C67E1">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（3）投标函及投标函附录；</w:t>
      </w:r>
    </w:p>
    <w:p w14:paraId="72597E6F">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（4）项目专用合同条款；</w:t>
      </w:r>
    </w:p>
    <w:p w14:paraId="1BD42EDC">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（5）公路工程专用合同条款；</w:t>
      </w:r>
    </w:p>
    <w:p w14:paraId="38E2068C">
      <w:pPr>
        <w:pageBreakBefore w:val="0"/>
        <w:kinsoku/>
        <w:wordWrap w:val="0"/>
        <w:bidi w:val="0"/>
        <w:spacing w:line="400" w:lineRule="atLeast"/>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（6）通用合同条款；</w:t>
      </w:r>
    </w:p>
    <w:p w14:paraId="1B9E274F">
      <w:pPr>
        <w:pageBreakBefore w:val="0"/>
        <w:kinsoku/>
        <w:wordWrap w:val="0"/>
        <w:bidi w:val="0"/>
        <w:spacing w:line="400" w:lineRule="atLeast"/>
        <w:ind w:firstLine="48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（7）工程量清单计量规则；</w:t>
      </w:r>
    </w:p>
    <w:p w14:paraId="6640C51A">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（8）技术规范；</w:t>
      </w:r>
    </w:p>
    <w:p w14:paraId="412A4B69">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（9）图纸；</w:t>
      </w:r>
    </w:p>
    <w:p w14:paraId="318CB041">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（10）已标价工程量清单；</w:t>
      </w:r>
    </w:p>
    <w:p w14:paraId="7488938D">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（11）承包人有关人员、设备投入的承诺及投标文件中的施工组织设计；</w:t>
      </w:r>
    </w:p>
    <w:p w14:paraId="76982719">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（12）其他合同文件。</w:t>
      </w:r>
    </w:p>
    <w:p w14:paraId="006C598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27" w:name="_Toc13917"/>
      <w:bookmarkStart w:id="1228" w:name="_Toc28459"/>
      <w:bookmarkStart w:id="1229" w:name="_Toc17521"/>
      <w:bookmarkStart w:id="1230" w:name="_Toc7187"/>
      <w:bookmarkStart w:id="1231" w:name="_Toc234833127"/>
      <w:r>
        <w:rPr>
          <w:rFonts w:hint="default" w:ascii="Times New Roman" w:hAnsi="Times New Roman" w:eastAsia="黑体" w:cs="Times New Roman"/>
          <w:b w:val="0"/>
          <w:color w:val="auto"/>
          <w:sz w:val="24"/>
          <w:szCs w:val="24"/>
          <w:highlight w:val="none"/>
        </w:rPr>
        <w:t>1.5 合同协议书</w:t>
      </w:r>
      <w:bookmarkEnd w:id="1227"/>
      <w:bookmarkEnd w:id="1228"/>
      <w:bookmarkEnd w:id="1229"/>
      <w:bookmarkEnd w:id="1230"/>
      <w:bookmarkEnd w:id="1231"/>
    </w:p>
    <w:p w14:paraId="518771CD">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52CBDA4E">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制备本合同文件的费用由发包人承担。在合同协议书签订并生效之前，投标函和中标通知书将对双方具有约束力。</w:t>
      </w:r>
    </w:p>
    <w:p w14:paraId="60A66909">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32" w:name="_Toc234833128"/>
      <w:bookmarkStart w:id="1233" w:name="_Toc21351"/>
      <w:bookmarkStart w:id="1234" w:name="_Toc12395"/>
      <w:bookmarkStart w:id="1235" w:name="_Toc2156"/>
      <w:bookmarkStart w:id="1236" w:name="_Toc5981"/>
      <w:r>
        <w:rPr>
          <w:rFonts w:hint="default" w:ascii="Times New Roman" w:hAnsi="Times New Roman" w:eastAsia="黑体" w:cs="Times New Roman"/>
          <w:b w:val="0"/>
          <w:color w:val="auto"/>
          <w:sz w:val="24"/>
          <w:szCs w:val="24"/>
          <w:highlight w:val="none"/>
        </w:rPr>
        <w:t>1.6 图纸和承包人文件</w:t>
      </w:r>
      <w:bookmarkEnd w:id="1232"/>
      <w:bookmarkEnd w:id="1233"/>
      <w:bookmarkEnd w:id="1234"/>
      <w:bookmarkEnd w:id="1235"/>
      <w:bookmarkEnd w:id="1236"/>
    </w:p>
    <w:p w14:paraId="167CC64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1.6.1 </w:t>
      </w:r>
      <w:r>
        <w:rPr>
          <w:rFonts w:hint="default" w:ascii="Times New Roman" w:hAnsi="Times New Roman" w:eastAsia="黑体" w:cs="Times New Roman"/>
          <w:color w:val="auto"/>
          <w:sz w:val="24"/>
          <w:highlight w:val="none"/>
        </w:rPr>
        <w:t>图纸的提供</w:t>
      </w:r>
    </w:p>
    <w:p w14:paraId="47509B1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7D38EF0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工期延误的，按第11.3款的约定办理。</w:t>
      </w:r>
    </w:p>
    <w:p w14:paraId="2E2726EB">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1.6.2</w:t>
      </w:r>
      <w:r>
        <w:rPr>
          <w:rFonts w:hint="default" w:ascii="Times New Roman" w:hAnsi="Times New Roman" w:eastAsia="黑体" w:cs="Times New Roman"/>
          <w:color w:val="auto"/>
          <w:sz w:val="24"/>
          <w:highlight w:val="none"/>
        </w:rPr>
        <w:t xml:space="preserve"> 承包人提供的文件</w:t>
      </w:r>
    </w:p>
    <w:p w14:paraId="58F4E19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0EE0007F">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有下列情形之一的，承包人应免费向监理人提交相关部分工程的施工图纸3份，并附必要的计算书、技术资料，或施工工艺图、设备安装图及安装设备的使用和维护手册各2份供监理人批准。</w:t>
      </w:r>
    </w:p>
    <w:p w14:paraId="0A569E6C">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（1）为使第1.6.1项所述的施工图纸适合于经施工测量后的纵、横断面；</w:t>
      </w:r>
    </w:p>
    <w:p w14:paraId="72A2CFB3">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（2）为使第1.6.1项所述的施工图纸适合于现场具体地形；</w:t>
      </w:r>
    </w:p>
    <w:p w14:paraId="41B00E5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（3）为使第1.6.1项所述的施工图纸适合于因尺寸与位置变化而引起局部变更；</w:t>
      </w:r>
    </w:p>
    <w:p w14:paraId="54191E96">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（4）由于合同要求与施工需要。</w:t>
      </w:r>
    </w:p>
    <w:p w14:paraId="017C861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此类图纸应按监理人规定的格式和图幅绘制。监理人在收到由承包人绘制的上述工程、工艺图纸、计算书和有关技术资料后14天内应予批准或提出修改要求，承包人应按监理人提出的要求作出修改，重新向监理人提交，监理人应在7天内批准或提出进一步的修改意见。</w:t>
      </w:r>
    </w:p>
    <w:p w14:paraId="213F7901">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1.6.4 </w:t>
      </w:r>
      <w:r>
        <w:rPr>
          <w:rFonts w:hint="default" w:ascii="Times New Roman" w:hAnsi="Times New Roman" w:eastAsia="黑体" w:cs="Times New Roman"/>
          <w:color w:val="auto"/>
          <w:sz w:val="24"/>
          <w:highlight w:val="none"/>
        </w:rPr>
        <w:t>图纸的错误</w:t>
      </w:r>
    </w:p>
    <w:p w14:paraId="537CD63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65C7F57E">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241A2E5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37" w:name="_Toc234833129"/>
      <w:bookmarkStart w:id="1238" w:name="_Toc5360"/>
      <w:bookmarkStart w:id="1239" w:name="_Toc16791"/>
      <w:bookmarkStart w:id="1240" w:name="_Toc23783"/>
      <w:bookmarkStart w:id="1241" w:name="_Toc29704"/>
      <w:r>
        <w:rPr>
          <w:rFonts w:hint="default" w:ascii="Times New Roman" w:hAnsi="Times New Roman" w:eastAsia="黑体" w:cs="Times New Roman"/>
          <w:b w:val="0"/>
          <w:color w:val="auto"/>
          <w:sz w:val="24"/>
          <w:szCs w:val="24"/>
          <w:highlight w:val="none"/>
        </w:rPr>
        <w:t>1.9 严禁贿赂</w:t>
      </w:r>
      <w:bookmarkEnd w:id="1237"/>
      <w:bookmarkEnd w:id="1238"/>
      <w:bookmarkEnd w:id="1239"/>
      <w:bookmarkEnd w:id="1240"/>
      <w:bookmarkEnd w:id="1241"/>
    </w:p>
    <w:p w14:paraId="7CEE833E">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0B94175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w:t>
      </w:r>
      <w:r>
        <w:rPr>
          <w:rFonts w:hint="eastAsia" w:cs="Times New Roman"/>
          <w:color w:val="auto"/>
          <w:sz w:val="24"/>
          <w:highlight w:val="none"/>
          <w:lang w:eastAsia="zh-CN"/>
        </w:rPr>
        <w:t>予以</w:t>
      </w:r>
      <w:r>
        <w:rPr>
          <w:rFonts w:hint="default" w:ascii="Times New Roman" w:hAnsi="Times New Roman" w:cs="Times New Roman"/>
          <w:color w:val="auto"/>
          <w:sz w:val="24"/>
          <w:highlight w:val="none"/>
        </w:rPr>
        <w:t>赔偿。情节严重者，发包人有权终止承包人在本合同项下的承包。</w:t>
      </w:r>
    </w:p>
    <w:p w14:paraId="76DE953B">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242" w:name="_Toc234833130"/>
      <w:bookmarkStart w:id="1243" w:name="_Toc15632"/>
      <w:bookmarkStart w:id="1244" w:name="_Toc21468"/>
      <w:bookmarkStart w:id="1245" w:name="_Toc3220"/>
      <w:bookmarkStart w:id="1246" w:name="_Toc1766"/>
      <w:r>
        <w:rPr>
          <w:rFonts w:hint="default" w:ascii="Times New Roman" w:hAnsi="Times New Roman" w:eastAsia="黑体" w:cs="Times New Roman"/>
          <w:b w:val="0"/>
          <w:color w:val="auto"/>
          <w:sz w:val="28"/>
          <w:szCs w:val="28"/>
          <w:highlight w:val="none"/>
        </w:rPr>
        <w:t>2. 发包人义务</w:t>
      </w:r>
      <w:bookmarkEnd w:id="1242"/>
      <w:bookmarkEnd w:id="1243"/>
      <w:bookmarkEnd w:id="1244"/>
      <w:bookmarkEnd w:id="1245"/>
      <w:bookmarkEnd w:id="1246"/>
    </w:p>
    <w:p w14:paraId="40EB457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47" w:name="_Toc21651"/>
      <w:bookmarkStart w:id="1248" w:name="_Toc14471"/>
      <w:bookmarkStart w:id="1249" w:name="_Toc8131"/>
      <w:bookmarkStart w:id="1250" w:name="_Toc234833131"/>
      <w:bookmarkStart w:id="1251" w:name="_Toc27735"/>
      <w:r>
        <w:rPr>
          <w:rFonts w:hint="default" w:ascii="Times New Roman" w:hAnsi="Times New Roman" w:eastAsia="黑体" w:cs="Times New Roman"/>
          <w:b w:val="0"/>
          <w:color w:val="auto"/>
          <w:sz w:val="24"/>
          <w:szCs w:val="24"/>
          <w:highlight w:val="none"/>
        </w:rPr>
        <w:t>2.3 提供施工场地</w:t>
      </w:r>
      <w:bookmarkEnd w:id="1247"/>
      <w:bookmarkEnd w:id="1248"/>
      <w:bookmarkEnd w:id="1249"/>
      <w:bookmarkEnd w:id="1250"/>
      <w:bookmarkEnd w:id="1251"/>
    </w:p>
    <w:p w14:paraId="666C7DA5">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23225FDC">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以使承包人能够连续不间断地施工。由于承包人施工考虑不周或措施不当等原因而造成的超计划占地或拆迁等所发生的征用和赔偿费用，应由承包人承担。</w:t>
      </w:r>
    </w:p>
    <w:p w14:paraId="01D21412">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73D147BA">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252" w:name="_Toc17755"/>
      <w:bookmarkStart w:id="1253" w:name="_Toc25338"/>
      <w:bookmarkStart w:id="1254" w:name="_Toc18127"/>
      <w:bookmarkStart w:id="1255" w:name="_Toc234833132"/>
      <w:bookmarkStart w:id="1256" w:name="_Toc18195"/>
      <w:r>
        <w:rPr>
          <w:rFonts w:hint="default" w:ascii="Times New Roman" w:hAnsi="Times New Roman" w:eastAsia="黑体" w:cs="Times New Roman"/>
          <w:b w:val="0"/>
          <w:color w:val="auto"/>
          <w:sz w:val="28"/>
          <w:szCs w:val="28"/>
          <w:highlight w:val="none"/>
        </w:rPr>
        <w:t>3. 监理人</w:t>
      </w:r>
      <w:bookmarkEnd w:id="1252"/>
      <w:bookmarkEnd w:id="1253"/>
      <w:bookmarkEnd w:id="1254"/>
      <w:bookmarkEnd w:id="1255"/>
      <w:bookmarkEnd w:id="1256"/>
    </w:p>
    <w:p w14:paraId="7B1A522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57" w:name="_Toc31502"/>
      <w:bookmarkStart w:id="1258" w:name="_Toc234833133"/>
      <w:bookmarkStart w:id="1259" w:name="_Toc17494"/>
      <w:bookmarkStart w:id="1260" w:name="_Toc10320"/>
      <w:bookmarkStart w:id="1261" w:name="_Toc19048"/>
      <w:r>
        <w:rPr>
          <w:rFonts w:hint="default" w:ascii="Times New Roman" w:hAnsi="Times New Roman" w:eastAsia="黑体" w:cs="Times New Roman"/>
          <w:b w:val="0"/>
          <w:color w:val="auto"/>
          <w:sz w:val="24"/>
          <w:szCs w:val="24"/>
          <w:highlight w:val="none"/>
        </w:rPr>
        <w:t>3.1 监理人的职责和权力</w:t>
      </w:r>
      <w:bookmarkEnd w:id="1257"/>
      <w:bookmarkEnd w:id="1258"/>
      <w:bookmarkEnd w:id="1259"/>
      <w:bookmarkEnd w:id="1260"/>
      <w:bookmarkEnd w:id="1261"/>
      <w:r>
        <w:rPr>
          <w:rFonts w:hint="default" w:ascii="Times New Roman" w:hAnsi="Times New Roman" w:eastAsia="黑体" w:cs="Times New Roman"/>
          <w:b w:val="0"/>
          <w:color w:val="auto"/>
          <w:sz w:val="24"/>
          <w:szCs w:val="24"/>
          <w:highlight w:val="none"/>
        </w:rPr>
        <w:t xml:space="preserve"> </w:t>
      </w:r>
    </w:p>
    <w:p w14:paraId="1A8FA0C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第3.1.1项补充：</w:t>
      </w:r>
    </w:p>
    <w:p w14:paraId="441D8C2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监理人在行使下列权力前需要经发包人事先批准：</w:t>
      </w:r>
    </w:p>
    <w:p w14:paraId="4085837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（1）根据第4.3款，同意分包本工程的某些非关键性工作或者适合专业化队伍施工的专项工程；</w:t>
      </w:r>
    </w:p>
    <w:p w14:paraId="4DCDD04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（2）确定第4.11款下产生的费用增加额；</w:t>
      </w:r>
    </w:p>
    <w:p w14:paraId="6A23987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（3）根据第11.1款、第12.3款、第12.4款发布开工通知、暂停施工指示或复工通知；</w:t>
      </w:r>
    </w:p>
    <w:p w14:paraId="6122BDC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（4）决定第11.3款、第11.4款下的工期延长；</w:t>
      </w:r>
    </w:p>
    <w:p w14:paraId="618E3BD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（5）审查批准技术方案或设计的变更；</w:t>
      </w:r>
    </w:p>
    <w:p w14:paraId="000B53C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（6）根据第15.3款发出的变更指示，其单项工程变更或累计变更涉及的金额超过了项目专用合同条款数据表中规定的金额； </w:t>
      </w:r>
    </w:p>
    <w:p w14:paraId="4DC6962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（7）确定第15.4款下变更工作的单价；</w:t>
      </w:r>
    </w:p>
    <w:p w14:paraId="00EFCC3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（8）按照第15.6款决定有关暂列金额的使用； </w:t>
      </w:r>
    </w:p>
    <w:p w14:paraId="0595929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（9）确定第15.8款下的暂估价金额；</w:t>
      </w:r>
    </w:p>
    <w:p w14:paraId="6ACD81D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（10）确定第23.1款下的索赔额。</w:t>
      </w:r>
    </w:p>
    <w:p w14:paraId="21EEEDA6">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3.5款商定或确定。</w:t>
      </w:r>
    </w:p>
    <w:p w14:paraId="253D03B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62" w:name="_Toc234833134"/>
      <w:bookmarkStart w:id="1263" w:name="_Toc24088"/>
      <w:bookmarkStart w:id="1264" w:name="_Toc22142"/>
      <w:bookmarkStart w:id="1265" w:name="_Toc11325"/>
      <w:bookmarkStart w:id="1266" w:name="_Toc5389"/>
      <w:r>
        <w:rPr>
          <w:rFonts w:hint="default" w:ascii="Times New Roman" w:hAnsi="Times New Roman" w:eastAsia="黑体" w:cs="Times New Roman"/>
          <w:b w:val="0"/>
          <w:color w:val="auto"/>
          <w:sz w:val="24"/>
          <w:szCs w:val="24"/>
          <w:highlight w:val="none"/>
        </w:rPr>
        <w:t>3.5商定或确定</w:t>
      </w:r>
      <w:bookmarkEnd w:id="1262"/>
      <w:bookmarkEnd w:id="1263"/>
      <w:bookmarkEnd w:id="1264"/>
      <w:bookmarkEnd w:id="1265"/>
      <w:bookmarkEnd w:id="1266"/>
    </w:p>
    <w:p w14:paraId="40F40AA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第3.5.1项补充：</w:t>
      </w:r>
    </w:p>
    <w:p w14:paraId="6F0CF80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如果这项商定或确定导致费用增加和（或）工期延长，或者涉及确定变更工程的价格，则总监理工程师在发出通知前，应征得发包人的同意。</w:t>
      </w:r>
    </w:p>
    <w:p w14:paraId="1B5D50A5">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267" w:name="_Toc8992"/>
      <w:bookmarkStart w:id="1268" w:name="_Toc234833135"/>
      <w:bookmarkStart w:id="1269" w:name="_Toc11613"/>
      <w:bookmarkStart w:id="1270" w:name="_Toc9107"/>
      <w:bookmarkStart w:id="1271" w:name="_Toc32621"/>
      <w:r>
        <w:rPr>
          <w:rFonts w:hint="default" w:ascii="Times New Roman" w:hAnsi="Times New Roman" w:eastAsia="黑体" w:cs="Times New Roman"/>
          <w:b w:val="0"/>
          <w:color w:val="auto"/>
          <w:sz w:val="28"/>
          <w:szCs w:val="28"/>
          <w:highlight w:val="none"/>
        </w:rPr>
        <w:t>4. 承包人</w:t>
      </w:r>
      <w:bookmarkEnd w:id="1267"/>
      <w:bookmarkEnd w:id="1268"/>
      <w:bookmarkEnd w:id="1269"/>
      <w:bookmarkEnd w:id="1270"/>
      <w:bookmarkEnd w:id="1271"/>
    </w:p>
    <w:p w14:paraId="090EA9D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72" w:name="_Toc9712"/>
      <w:bookmarkStart w:id="1273" w:name="_Toc10533"/>
      <w:bookmarkStart w:id="1274" w:name="_Toc1637"/>
      <w:bookmarkStart w:id="1275" w:name="_Toc234833136"/>
      <w:bookmarkStart w:id="1276" w:name="_Toc31924"/>
      <w:r>
        <w:rPr>
          <w:rFonts w:hint="default" w:ascii="Times New Roman" w:hAnsi="Times New Roman" w:eastAsia="黑体" w:cs="Times New Roman"/>
          <w:b w:val="0"/>
          <w:color w:val="auto"/>
          <w:sz w:val="24"/>
          <w:szCs w:val="24"/>
          <w:highlight w:val="none"/>
        </w:rPr>
        <w:t>4.1 承包人的一般义务</w:t>
      </w:r>
      <w:bookmarkEnd w:id="1272"/>
      <w:bookmarkEnd w:id="1273"/>
      <w:bookmarkEnd w:id="1274"/>
      <w:bookmarkEnd w:id="1275"/>
      <w:bookmarkEnd w:id="1276"/>
    </w:p>
    <w:p w14:paraId="6CA5197F">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4.1.9 </w:t>
      </w:r>
      <w:r>
        <w:rPr>
          <w:rFonts w:hint="default" w:ascii="Times New Roman" w:hAnsi="Times New Roman" w:eastAsia="黑体" w:cs="Times New Roman"/>
          <w:color w:val="auto"/>
          <w:sz w:val="24"/>
          <w:highlight w:val="none"/>
        </w:rPr>
        <w:t xml:space="preserve">工程的维护和照管 </w:t>
      </w:r>
    </w:p>
    <w:p w14:paraId="28F5983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3468240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5D51B3B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承包人负责照管与维护期间，如果本工程或材料、设备等发生损失或损害，除不可抗力原因之外，承包人均应自费弥补，并达到合同要求。承包人还应对按第19条规定而实施作业过程中由承包人造成的对工程的任何损失或损害负责。</w:t>
      </w:r>
    </w:p>
    <w:p w14:paraId="68CDD88D">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4.1.10 </w:t>
      </w:r>
      <w:r>
        <w:rPr>
          <w:rFonts w:hint="default" w:ascii="Times New Roman" w:hAnsi="Times New Roman" w:eastAsia="黑体" w:cs="Times New Roman"/>
          <w:color w:val="auto"/>
          <w:sz w:val="24"/>
          <w:highlight w:val="none"/>
        </w:rPr>
        <w:t>其他义务</w:t>
      </w:r>
    </w:p>
    <w:p w14:paraId="628D19A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7B89F41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临时占地由承包人向当地政府土地管理部门申请，并办理租用手续，承包人按有关规定直接支付其费用，发包人对此将予以协调。</w:t>
      </w:r>
    </w:p>
    <w:p w14:paraId="58B7F8D7">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临时占地范围包括承包人驻地的办公室、食堂、宿舍、道路和机械设备停放场、材料堆放场地、弃土场、预制场、拌和场、仓库、进场临时道路、临时便道、便桥等。承包人应在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临时占地计划表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第100章中由承包人按总额报价。</w:t>
      </w:r>
    </w:p>
    <w:p w14:paraId="44E824B3">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25FB3E87">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09DAF8B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1C7F319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承包人的项目经理部是民工工资支付行为的主体，承包人的项目经理是民工工资支付的责任人。项目经理部要建立全体民工花名册和工资支付表，确保将工资直接发放给</w:t>
      </w:r>
      <w:r>
        <w:rPr>
          <w:rFonts w:hint="eastAsia" w:cs="Times New Roman"/>
          <w:color w:val="auto"/>
          <w:sz w:val="24"/>
          <w:highlight w:val="none"/>
          <w:lang w:eastAsia="zh-CN"/>
        </w:rPr>
        <w:t>农民工</w:t>
      </w:r>
      <w:r>
        <w:rPr>
          <w:rFonts w:hint="default" w:ascii="Times New Roman" w:hAnsi="Times New Roman" w:cs="Times New Roman"/>
          <w:color w:val="auto"/>
          <w:sz w:val="24"/>
          <w:highlight w:val="none"/>
        </w:rPr>
        <w:t>本人，或委托银行发放民工工资，严禁发放给</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包工头</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或其他不具备用工主体资格的组织和个人。</w:t>
      </w:r>
    </w:p>
    <w:p w14:paraId="0E19298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工资支付表应如实记录支付单位、支付时间、支付对象、支付数额、支付对象的身份证号和签字等信息。民工花名册和工资支付表应报监理人备查。</w:t>
      </w:r>
    </w:p>
    <w:p w14:paraId="6D24D49D">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w:t>
      </w:r>
      <w:r>
        <w:rPr>
          <w:rFonts w:hint="eastAsia" w:cs="Times New Roman"/>
          <w:color w:val="auto"/>
          <w:sz w:val="24"/>
          <w:highlight w:val="none"/>
          <w:lang w:eastAsia="zh-CN"/>
        </w:rPr>
        <w:t>的农</w:t>
      </w:r>
      <w:r>
        <w:rPr>
          <w:rFonts w:hint="default" w:ascii="Times New Roman" w:hAnsi="Times New Roman" w:cs="Times New Roman"/>
          <w:color w:val="auto"/>
          <w:sz w:val="24"/>
          <w:highlight w:val="none"/>
        </w:rPr>
        <w:t>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14F81A5E">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（5）承包人应严格执行招标文</w:t>
      </w:r>
      <w:r>
        <w:rPr>
          <w:rFonts w:hint="eastAsia" w:cs="Times New Roman"/>
          <w:color w:val="auto"/>
          <w:sz w:val="24"/>
          <w:highlight w:val="none"/>
          <w:lang w:eastAsia="zh-CN"/>
        </w:rPr>
        <w:t>件和</w:t>
      </w:r>
      <w:r>
        <w:rPr>
          <w:rFonts w:hint="default" w:ascii="Times New Roman" w:hAnsi="Times New Roman" w:cs="Times New Roman"/>
          <w:color w:val="auto"/>
          <w:sz w:val="24"/>
          <w:highlight w:val="none"/>
        </w:rPr>
        <w:t>技术规范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第100章中。</w:t>
      </w:r>
    </w:p>
    <w:p w14:paraId="416140FF">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（6）承包人应履行项目专用合同条款约定的其他义务。</w:t>
      </w:r>
    </w:p>
    <w:p w14:paraId="6128629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77" w:name="_Toc16581"/>
      <w:bookmarkStart w:id="1278" w:name="_Toc5952"/>
      <w:bookmarkStart w:id="1279" w:name="_Toc19692"/>
      <w:bookmarkStart w:id="1280" w:name="_Toc29645"/>
      <w:bookmarkStart w:id="1281" w:name="_Toc234833137"/>
      <w:r>
        <w:rPr>
          <w:rFonts w:hint="default" w:ascii="Times New Roman" w:hAnsi="Times New Roman" w:eastAsia="黑体" w:cs="Times New Roman"/>
          <w:b w:val="0"/>
          <w:color w:val="auto"/>
          <w:sz w:val="24"/>
          <w:szCs w:val="24"/>
          <w:highlight w:val="none"/>
        </w:rPr>
        <w:t>4.2 履约保证金</w:t>
      </w:r>
      <w:bookmarkEnd w:id="1277"/>
      <w:bookmarkEnd w:id="1278"/>
      <w:bookmarkEnd w:id="1279"/>
      <w:bookmarkEnd w:id="1280"/>
    </w:p>
    <w:p w14:paraId="01047A9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6B9D8B7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承包人应保证其履约保证金在发包人签发交工验收证书且承包人按照合同约定缴纳质量保证金前一直有效。发包人应在收到承包人缴纳的质量保证金后28天内将履约保证金退还给承包人。</w:t>
      </w:r>
    </w:p>
    <w:p w14:paraId="29D9F7B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承包人拒绝按照本合同约定缴纳质量保证金的，发包人有权从交工付款证书中扣留相应金额作为质量保证金，或者直接将履约保证金金额用于保证承包人在缺陷责任期内履行缺陷修复义务。</w:t>
      </w:r>
    </w:p>
    <w:p w14:paraId="2DA8F60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82" w:name="_Toc32680"/>
      <w:bookmarkStart w:id="1283" w:name="_Toc31152"/>
      <w:bookmarkStart w:id="1284" w:name="_Toc25400"/>
      <w:bookmarkStart w:id="1285" w:name="_Toc1237"/>
      <w:r>
        <w:rPr>
          <w:rFonts w:hint="default" w:ascii="Times New Roman" w:hAnsi="Times New Roman" w:eastAsia="黑体" w:cs="Times New Roman"/>
          <w:b w:val="0"/>
          <w:color w:val="auto"/>
          <w:sz w:val="24"/>
          <w:szCs w:val="24"/>
          <w:highlight w:val="none"/>
        </w:rPr>
        <w:t>4.3 分包</w:t>
      </w:r>
      <w:bookmarkEnd w:id="1281"/>
      <w:bookmarkEnd w:id="1282"/>
      <w:bookmarkEnd w:id="1283"/>
      <w:bookmarkEnd w:id="1284"/>
      <w:bookmarkEnd w:id="1285"/>
    </w:p>
    <w:p w14:paraId="7773ADE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第4.3.2项～第4.3.4项细化为：</w:t>
      </w:r>
    </w:p>
    <w:p w14:paraId="1EDDAA8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4.3.2 承包人不得将《辽宁省公路工程施工分包管理实施细则》（辽交公路规〔2025〕1号）规定的负面清单所列主体和关键性工作分包给第三人。经发包人同意，承包人可将工程的其他部分或工作分包给第三人。分包包括专业分包和劳务分包。</w:t>
      </w:r>
    </w:p>
    <w:p w14:paraId="104D2E3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4.3.3 专业分包</w:t>
      </w:r>
    </w:p>
    <w:p w14:paraId="51CD425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在工程施工过程中，承包人进行专业分包必须遵守以下规定：</w:t>
      </w:r>
    </w:p>
    <w:p w14:paraId="4F9AAD3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（1）允许专业分包的工程范围仅限于《辽宁省公路工程施工分包管理实施细则》（辽交公路规〔2025〕1号）</w:t>
      </w:r>
      <w:r>
        <w:rPr>
          <w:rFonts w:hint="eastAsia" w:cs="Times New Roman"/>
          <w:color w:val="auto"/>
          <w:sz w:val="24"/>
          <w:highlight w:val="none"/>
          <w:lang w:val="en-US" w:eastAsia="zh-CN"/>
        </w:rPr>
        <w:t>规定的负面清单以外的部分单位工程、分部工程或者分项工程</w:t>
      </w:r>
      <w:r>
        <w:rPr>
          <w:rFonts w:hint="default" w:ascii="Times New Roman" w:hAnsi="Times New Roman" w:cs="Times New Roman"/>
          <w:color w:val="auto"/>
          <w:sz w:val="24"/>
          <w:highlight w:val="none"/>
        </w:rPr>
        <w:t>。</w:t>
      </w:r>
    </w:p>
    <w:p w14:paraId="6CC4D71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（2）专业分包人的资格能力（含安全生产能力）应与其分包工程的标准和规模相适应，且应当具备如下条件：</w:t>
      </w:r>
    </w:p>
    <w:p w14:paraId="06E7082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 具有经依法登记的法人资格；</w:t>
      </w:r>
    </w:p>
    <w:p w14:paraId="44427A1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b. 具有从事类似工程经验的管理与技术人员； </w:t>
      </w:r>
    </w:p>
    <w:p w14:paraId="637546EB">
      <w:pPr>
        <w:pageBreakBefore w:val="0"/>
        <w:kinsoku/>
        <w:wordWrap w:val="0"/>
        <w:bidi w:val="0"/>
        <w:spacing w:line="400" w:lineRule="atLeast"/>
        <w:ind w:firstLine="480" w:firstLineChars="200"/>
        <w:rPr>
          <w:rFonts w:hint="eastAsia" w:cs="Times New Roman"/>
          <w:color w:val="auto"/>
          <w:sz w:val="24"/>
          <w:highlight w:val="none"/>
          <w:lang w:eastAsia="zh-CN"/>
        </w:rPr>
      </w:pPr>
      <w:r>
        <w:rPr>
          <w:rFonts w:hint="default" w:ascii="Times New Roman" w:hAnsi="Times New Roman" w:cs="Times New Roman"/>
          <w:color w:val="auto"/>
          <w:sz w:val="24"/>
          <w:highlight w:val="none"/>
        </w:rPr>
        <w:t>c. 具有（自有或者租赁）分包工程所需的施工设备和辅助设施</w:t>
      </w:r>
      <w:r>
        <w:rPr>
          <w:rFonts w:hint="eastAsia" w:cs="Times New Roman"/>
          <w:color w:val="auto"/>
          <w:sz w:val="24"/>
          <w:highlight w:val="none"/>
          <w:lang w:eastAsia="zh-CN"/>
        </w:rPr>
        <w:t>；</w:t>
      </w:r>
    </w:p>
    <w:p w14:paraId="7366BE00">
      <w:pPr>
        <w:pageBreakBefore w:val="0"/>
        <w:kinsoku/>
        <w:wordWrap w:val="0"/>
        <w:bidi w:val="0"/>
        <w:spacing w:line="400" w:lineRule="atLeast"/>
        <w:ind w:firstLine="480" w:firstLineChars="200"/>
        <w:rPr>
          <w:rFonts w:hint="eastAsia" w:cs="Times New Roman"/>
          <w:color w:val="auto"/>
          <w:sz w:val="24"/>
          <w:highlight w:val="none"/>
          <w:lang w:val="en-US" w:eastAsia="zh-CN"/>
        </w:rPr>
      </w:pPr>
      <w:r>
        <w:rPr>
          <w:rFonts w:hint="eastAsia" w:cs="Times New Roman"/>
          <w:color w:val="auto"/>
          <w:sz w:val="24"/>
          <w:highlight w:val="none"/>
          <w:lang w:val="en-US" w:eastAsia="zh-CN"/>
        </w:rPr>
        <w:t>d.单位工程设有资质要求的，单位工程及所含分部工程、分项工程的分包人，应当具备国家规定的相应专业承包资质条件;</w:t>
      </w:r>
    </w:p>
    <w:p w14:paraId="1389F25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eastAsia" w:cs="Times New Roman"/>
          <w:color w:val="auto"/>
          <w:sz w:val="24"/>
          <w:highlight w:val="none"/>
          <w:lang w:val="en-US" w:eastAsia="zh-CN"/>
        </w:rPr>
        <w:t>e.其他单位工程及所含分部工程、分项工程的分包人，应当具备发包人确定的资格条件，但不得违反法律法规等相关规定</w:t>
      </w:r>
      <w:r>
        <w:rPr>
          <w:rFonts w:hint="default" w:ascii="Times New Roman" w:hAnsi="Times New Roman" w:cs="Times New Roman"/>
          <w:color w:val="auto"/>
          <w:sz w:val="24"/>
          <w:highlight w:val="none"/>
        </w:rPr>
        <w:t>。</w:t>
      </w:r>
    </w:p>
    <w:p w14:paraId="44F63DB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承包人应向监理人提交专业分包人的资格能力证明材料，经监理人审查并报发包人批准后，可以将相应专业工程分包给该专业分包人。</w:t>
      </w:r>
    </w:p>
    <w:p w14:paraId="20EFD44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（3）专业分包工程不得再次分包。</w:t>
      </w:r>
    </w:p>
    <w:p w14:paraId="231AE8F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3E345BC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55D6CCA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承包人应当建立健全相关分包管理制度和台账，对专业分包工程的质量、安全、进度和专业分包人的行为等实施全过程管理，按照合同约定对专业分包工程的实施向发包人负责，并承担赔偿责任。专业分包合同不免除承包合同中规定的承包人的责任或者义务。</w:t>
      </w:r>
    </w:p>
    <w:p w14:paraId="27A0BC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（7）专业分包人应当依据专业分包合同的约定，组织分包工程的施工，并对分包工程的质量、安全和进度等实施有效控制。专业分包人对其分包的工程向承包人负责，并就所分包的工程向发包人承担连带责任。</w:t>
      </w:r>
    </w:p>
    <w:p w14:paraId="516A4FB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0381F43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违反上述规定之一者属违规分包。</w:t>
      </w:r>
    </w:p>
    <w:p w14:paraId="40C1E71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4.3.4 劳务分包</w:t>
      </w:r>
    </w:p>
    <w:p w14:paraId="5E7E3F3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在工程施工过程中，承包人进行劳务分包必须遵守以下规定：</w:t>
      </w:r>
    </w:p>
    <w:p w14:paraId="1F842B2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（1）劳务分包人应具有施工劳务资质。</w:t>
      </w:r>
    </w:p>
    <w:p w14:paraId="7B07252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605DE77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雇用的劳务作业应加入到承包人的施工班组统一管理。有关施工质量、施工安全、施工进度、环境保护、技术方案、试验检测、材料保管与供应、机械设备等都必须由承包人管理与调配，不得以包代管。</w:t>
      </w:r>
    </w:p>
    <w:p w14:paraId="191F725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（4）承包人应当对劳务分包人员进行安全培训和管理，劳务分包人不得将其分包的劳务作业再次分包。</w:t>
      </w:r>
    </w:p>
    <w:p w14:paraId="0E54800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违反上述规定之一者属违规分包。</w:t>
      </w:r>
    </w:p>
    <w:p w14:paraId="3DC2FCC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本款补充第4.3.6项、第4.3.7项：</w:t>
      </w:r>
    </w:p>
    <w:p w14:paraId="2429430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4.3.6 发包人对承包人与分包人之间的法律与经济纠纷不承担任何责任和义务。</w:t>
      </w:r>
    </w:p>
    <w:p w14:paraId="1AD73A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4.3.7 本项目的各项分包工作均应遵守《公路工程施工分包管理办法》的有关规定。</w:t>
      </w:r>
    </w:p>
    <w:p w14:paraId="452A9CA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86" w:name="_Toc234833138"/>
      <w:bookmarkStart w:id="1287" w:name="_Toc32168"/>
      <w:bookmarkStart w:id="1288" w:name="_Toc13827"/>
      <w:bookmarkStart w:id="1289" w:name="_Toc29289"/>
      <w:bookmarkStart w:id="1290" w:name="_Toc29009"/>
      <w:r>
        <w:rPr>
          <w:rFonts w:hint="default" w:ascii="Times New Roman" w:hAnsi="Times New Roman" w:eastAsia="黑体" w:cs="Times New Roman"/>
          <w:b w:val="0"/>
          <w:color w:val="auto"/>
          <w:sz w:val="24"/>
          <w:szCs w:val="24"/>
          <w:highlight w:val="none"/>
        </w:rPr>
        <w:t>4.4联合体</w:t>
      </w:r>
      <w:bookmarkEnd w:id="1286"/>
      <w:bookmarkEnd w:id="1287"/>
      <w:bookmarkEnd w:id="1288"/>
      <w:bookmarkEnd w:id="1289"/>
      <w:bookmarkEnd w:id="1290"/>
    </w:p>
    <w:p w14:paraId="6912B47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本款补充第4.4.4项：</w:t>
      </w:r>
    </w:p>
    <w:p w14:paraId="4889E9B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4.4.4未经发包人事先同意，联合体的组成与结构不得变动。</w:t>
      </w:r>
    </w:p>
    <w:p w14:paraId="55B307E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91" w:name="_Toc13104"/>
      <w:bookmarkStart w:id="1292" w:name="_Toc234833139"/>
      <w:bookmarkStart w:id="1293" w:name="_Toc13791"/>
      <w:bookmarkStart w:id="1294" w:name="_Toc12253"/>
      <w:bookmarkStart w:id="1295" w:name="_Toc2858"/>
      <w:r>
        <w:rPr>
          <w:rFonts w:hint="default" w:ascii="Times New Roman" w:hAnsi="Times New Roman" w:eastAsia="黑体" w:cs="Times New Roman"/>
          <w:b w:val="0"/>
          <w:color w:val="auto"/>
          <w:sz w:val="24"/>
          <w:szCs w:val="24"/>
          <w:highlight w:val="none"/>
        </w:rPr>
        <w:t>4.6 承包人人员的管理</w:t>
      </w:r>
      <w:bookmarkEnd w:id="1291"/>
      <w:bookmarkEnd w:id="1292"/>
      <w:bookmarkEnd w:id="1293"/>
      <w:bookmarkEnd w:id="1294"/>
      <w:bookmarkEnd w:id="1295"/>
    </w:p>
    <w:p w14:paraId="1E972DF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第4.6.3项细化为：</w:t>
      </w:r>
    </w:p>
    <w:p w14:paraId="6134BB8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221DC0E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本款补充第4.6.5项：</w:t>
      </w:r>
    </w:p>
    <w:p w14:paraId="657825B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4.6.5 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此增加的费用和（或）工期延误由承包人承担。</w:t>
      </w:r>
    </w:p>
    <w:p w14:paraId="4428441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296" w:name="_Toc234833140"/>
      <w:bookmarkStart w:id="1297" w:name="_Toc3046"/>
      <w:bookmarkStart w:id="1298" w:name="_Toc16403"/>
      <w:bookmarkStart w:id="1299" w:name="_Toc20923"/>
      <w:bookmarkStart w:id="1300" w:name="_Toc6774"/>
      <w:r>
        <w:rPr>
          <w:rFonts w:hint="default" w:ascii="Times New Roman" w:hAnsi="Times New Roman" w:eastAsia="黑体" w:cs="Times New Roman"/>
          <w:b w:val="0"/>
          <w:color w:val="auto"/>
          <w:sz w:val="24"/>
          <w:szCs w:val="24"/>
          <w:highlight w:val="none"/>
        </w:rPr>
        <w:t>4.7 撤换承包人项目经理和其他人员</w:t>
      </w:r>
      <w:bookmarkEnd w:id="1296"/>
      <w:bookmarkEnd w:id="1297"/>
      <w:bookmarkEnd w:id="1298"/>
      <w:bookmarkEnd w:id="1299"/>
      <w:bookmarkEnd w:id="1300"/>
    </w:p>
    <w:p w14:paraId="7519513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6BE6D62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22797695">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01" w:name="_Toc4005"/>
      <w:bookmarkStart w:id="1302" w:name="_Toc6730"/>
      <w:bookmarkStart w:id="1303" w:name="_Toc22693"/>
      <w:bookmarkStart w:id="1304" w:name="_Toc234833141"/>
      <w:bookmarkStart w:id="1305" w:name="_Toc5979"/>
      <w:r>
        <w:rPr>
          <w:rFonts w:hint="default" w:ascii="Times New Roman" w:hAnsi="Times New Roman" w:eastAsia="黑体" w:cs="Times New Roman"/>
          <w:b w:val="0"/>
          <w:color w:val="auto"/>
          <w:sz w:val="24"/>
          <w:szCs w:val="24"/>
          <w:highlight w:val="none"/>
        </w:rPr>
        <w:t>4.9 工程价款应专款专用</w:t>
      </w:r>
      <w:bookmarkEnd w:id="1301"/>
      <w:bookmarkEnd w:id="1302"/>
      <w:bookmarkEnd w:id="1303"/>
      <w:bookmarkEnd w:id="1304"/>
      <w:bookmarkEnd w:id="1305"/>
    </w:p>
    <w:p w14:paraId="2563858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314D077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3D7A18C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06" w:name="_Toc234833142"/>
      <w:bookmarkStart w:id="1307" w:name="_Toc2824"/>
      <w:bookmarkStart w:id="1308" w:name="_Toc14913"/>
      <w:bookmarkStart w:id="1309" w:name="_Toc5299"/>
      <w:bookmarkStart w:id="1310" w:name="_Toc23321"/>
      <w:r>
        <w:rPr>
          <w:rFonts w:hint="default" w:ascii="Times New Roman" w:hAnsi="Times New Roman" w:eastAsia="黑体" w:cs="Times New Roman"/>
          <w:b w:val="0"/>
          <w:color w:val="auto"/>
          <w:sz w:val="24"/>
          <w:szCs w:val="24"/>
          <w:highlight w:val="none"/>
        </w:rPr>
        <w:t>4.10 承包人现场查勘</w:t>
      </w:r>
      <w:bookmarkEnd w:id="1306"/>
      <w:bookmarkEnd w:id="1307"/>
      <w:bookmarkEnd w:id="1308"/>
      <w:bookmarkEnd w:id="1309"/>
      <w:bookmarkEnd w:id="1310"/>
      <w:r>
        <w:rPr>
          <w:rFonts w:hint="default" w:ascii="Times New Roman" w:hAnsi="Times New Roman" w:eastAsia="黑体" w:cs="Times New Roman"/>
          <w:b w:val="0"/>
          <w:color w:val="auto"/>
          <w:sz w:val="24"/>
          <w:szCs w:val="24"/>
          <w:highlight w:val="none"/>
        </w:rPr>
        <w:t xml:space="preserve">    </w:t>
      </w:r>
    </w:p>
    <w:p w14:paraId="36DF5A3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第4.10.1项细化为：</w:t>
      </w:r>
      <w:r>
        <w:rPr>
          <w:rStyle w:val="47"/>
          <w:rFonts w:hint="default" w:ascii="Times New Roman" w:hAnsi="Times New Roman" w:cs="Times New Roman"/>
          <w:color w:val="auto"/>
          <w:sz w:val="24"/>
          <w:highlight w:val="none"/>
        </w:rPr>
        <w:footnoteReference w:id="32"/>
      </w:r>
    </w:p>
    <w:p w14:paraId="2CE4F6F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52CD05F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11" w:name="_Toc29003"/>
      <w:bookmarkStart w:id="1312" w:name="_Toc234833143"/>
      <w:bookmarkStart w:id="1313" w:name="_Toc29737"/>
      <w:bookmarkStart w:id="1314" w:name="_Toc26327"/>
      <w:bookmarkStart w:id="1315" w:name="_Toc15362"/>
      <w:r>
        <w:rPr>
          <w:rFonts w:hint="default" w:ascii="Times New Roman" w:hAnsi="Times New Roman" w:eastAsia="黑体" w:cs="Times New Roman"/>
          <w:b w:val="0"/>
          <w:color w:val="auto"/>
          <w:sz w:val="24"/>
          <w:szCs w:val="24"/>
          <w:highlight w:val="none"/>
        </w:rPr>
        <w:t>4.11 不利物质条件</w:t>
      </w:r>
      <w:bookmarkEnd w:id="1311"/>
      <w:bookmarkEnd w:id="1312"/>
      <w:bookmarkEnd w:id="1313"/>
      <w:bookmarkEnd w:id="1314"/>
      <w:bookmarkEnd w:id="1315"/>
    </w:p>
    <w:p w14:paraId="067ED4F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第4.11.2项细化为：</w:t>
      </w:r>
    </w:p>
    <w:p w14:paraId="4F96AD1C">
      <w:pPr>
        <w:pageBreakBefore w:val="0"/>
        <w:kinsoku/>
        <w:wordWrap w:val="0"/>
        <w:bidi w:val="0"/>
        <w:spacing w:line="400" w:lineRule="atLeast"/>
        <w:ind w:firstLine="420"/>
        <w:rPr>
          <w:rFonts w:hint="default" w:ascii="Times New Roman" w:hAnsi="Times New Roman" w:cs="Times New Roman"/>
          <w:iCs/>
          <w:color w:val="auto"/>
          <w:sz w:val="24"/>
          <w:highlight w:val="none"/>
        </w:rPr>
      </w:pPr>
      <w:r>
        <w:rPr>
          <w:rFonts w:hint="default" w:ascii="Times New Roman" w:hAnsi="Times New Roman" w:cs="Times New Roman"/>
          <w:iCs/>
          <w:color w:val="auto"/>
          <w:sz w:val="24"/>
          <w:highlight w:val="none"/>
        </w:rPr>
        <w:t>4.11.2 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6B417FF4">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本款补充第4.11.3项：</w:t>
      </w:r>
    </w:p>
    <w:p w14:paraId="44149F92">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4.11.3 可预见的不利物质条件</w:t>
      </w:r>
    </w:p>
    <w:p w14:paraId="2FB0E3B0">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（1）对于项目专用合同条款中已经明确指出的不利物质条件无论承包人是否有其经历和经验均视为承包人在接受合同时已预见其影响，并已在签约合同价中计入因其影响而可能发生的一切费用。</w:t>
      </w:r>
    </w:p>
    <w:p w14:paraId="02AD7561">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（2）对于项目专用合同条款未明确指出，但是在不利物质条件发生之前，监理人已经指示承包人有可能发生，但承包人未能及时采取有效措施，而导致的损失和后果均由承包人承担。</w:t>
      </w:r>
    </w:p>
    <w:p w14:paraId="2C5DF6A5">
      <w:pPr>
        <w:pageBreakBefore w:val="0"/>
        <w:kinsoku/>
        <w:wordWrap w:val="0"/>
        <w:bidi w:val="0"/>
        <w:spacing w:line="400" w:lineRule="atLeast"/>
        <w:rPr>
          <w:rFonts w:hint="default" w:ascii="Times New Roman" w:hAnsi="Times New Roman" w:cs="Times New Roman"/>
          <w:color w:val="auto"/>
          <w:sz w:val="24"/>
          <w:highlight w:val="none"/>
        </w:rPr>
      </w:pPr>
    </w:p>
    <w:p w14:paraId="34717765">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补充第4.12款、第4.13款：</w:t>
      </w:r>
    </w:p>
    <w:p w14:paraId="65703BE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16" w:name="_Toc30842"/>
      <w:bookmarkStart w:id="1317" w:name="_Toc234833144"/>
      <w:bookmarkStart w:id="1318" w:name="_Toc4142"/>
      <w:bookmarkStart w:id="1319" w:name="_Toc6244"/>
      <w:bookmarkStart w:id="1320" w:name="_Toc13171"/>
      <w:r>
        <w:rPr>
          <w:rFonts w:hint="default" w:ascii="Times New Roman" w:hAnsi="Times New Roman" w:eastAsia="黑体" w:cs="Times New Roman"/>
          <w:b w:val="0"/>
          <w:color w:val="auto"/>
          <w:sz w:val="24"/>
          <w:szCs w:val="24"/>
          <w:highlight w:val="none"/>
        </w:rPr>
        <w:t>4.12 投标文件的完备性</w:t>
      </w:r>
      <w:bookmarkEnd w:id="1316"/>
      <w:bookmarkEnd w:id="1317"/>
      <w:bookmarkEnd w:id="1318"/>
      <w:bookmarkEnd w:id="1319"/>
      <w:bookmarkEnd w:id="1320"/>
    </w:p>
    <w:p w14:paraId="2342347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36353F1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21" w:name="_Toc31801"/>
      <w:bookmarkStart w:id="1322" w:name="_Toc4019"/>
      <w:bookmarkStart w:id="1323" w:name="_Toc18033"/>
      <w:bookmarkStart w:id="1324" w:name="_Toc14467"/>
      <w:r>
        <w:rPr>
          <w:rFonts w:hint="default" w:ascii="Times New Roman" w:hAnsi="Times New Roman" w:eastAsia="黑体" w:cs="Times New Roman"/>
          <w:b w:val="0"/>
          <w:color w:val="auto"/>
          <w:sz w:val="24"/>
          <w:szCs w:val="24"/>
          <w:highlight w:val="none"/>
        </w:rPr>
        <w:t>4.13 开展党建工作要求</w:t>
      </w:r>
      <w:bookmarkEnd w:id="1321"/>
      <w:bookmarkEnd w:id="1322"/>
      <w:bookmarkEnd w:id="1323"/>
      <w:bookmarkEnd w:id="1324"/>
    </w:p>
    <w:p w14:paraId="2C15DFB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对于政府投资的国家高速公路项目，或承包人为国有控股或参股企业的，承包人应按规定在项目现场设立基层党组织。不满足上述情形的，承包人应创造条件使党员能够参加党组织生活并接受相应管理。</w:t>
      </w:r>
    </w:p>
    <w:p w14:paraId="40C611A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0042E63D">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325" w:name="_Toc234833145"/>
      <w:bookmarkStart w:id="1326" w:name="_Toc17097"/>
      <w:bookmarkStart w:id="1327" w:name="_Toc26645"/>
      <w:bookmarkStart w:id="1328" w:name="_Toc21286"/>
      <w:bookmarkStart w:id="1329" w:name="_Toc29830"/>
      <w:r>
        <w:rPr>
          <w:rFonts w:hint="default" w:ascii="Times New Roman" w:hAnsi="Times New Roman" w:eastAsia="黑体" w:cs="Times New Roman"/>
          <w:b w:val="0"/>
          <w:color w:val="auto"/>
          <w:sz w:val="28"/>
          <w:szCs w:val="28"/>
          <w:highlight w:val="none"/>
        </w:rPr>
        <w:t>5. 材料和工程设备</w:t>
      </w:r>
      <w:bookmarkEnd w:id="1325"/>
      <w:bookmarkEnd w:id="1326"/>
      <w:bookmarkEnd w:id="1327"/>
      <w:bookmarkEnd w:id="1328"/>
      <w:bookmarkEnd w:id="1329"/>
    </w:p>
    <w:p w14:paraId="0BB1280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30" w:name="_Toc6846"/>
      <w:bookmarkStart w:id="1331" w:name="_Toc25319"/>
      <w:bookmarkStart w:id="1332" w:name="_Toc25834"/>
      <w:bookmarkStart w:id="1333" w:name="_Toc234833146"/>
      <w:bookmarkStart w:id="1334" w:name="_Toc24736"/>
      <w:r>
        <w:rPr>
          <w:rFonts w:hint="default" w:ascii="Times New Roman" w:hAnsi="Times New Roman" w:eastAsia="黑体" w:cs="Times New Roman"/>
          <w:b w:val="0"/>
          <w:color w:val="auto"/>
          <w:sz w:val="24"/>
          <w:szCs w:val="24"/>
          <w:highlight w:val="none"/>
        </w:rPr>
        <w:t>5.2 发包人提供的材料和工程设备</w:t>
      </w:r>
      <w:bookmarkEnd w:id="1330"/>
      <w:bookmarkEnd w:id="1331"/>
      <w:bookmarkEnd w:id="1332"/>
      <w:bookmarkEnd w:id="1333"/>
      <w:bookmarkEnd w:id="1334"/>
    </w:p>
    <w:p w14:paraId="45A68A6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第5.2.3项补充：</w:t>
      </w:r>
    </w:p>
    <w:p w14:paraId="35890C2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2339B1D1">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335" w:name="_Toc11578"/>
      <w:bookmarkStart w:id="1336" w:name="_Toc234833147"/>
      <w:bookmarkStart w:id="1337" w:name="_Toc11315"/>
      <w:bookmarkStart w:id="1338" w:name="_Toc7033"/>
      <w:bookmarkStart w:id="1339" w:name="_Toc19827"/>
      <w:r>
        <w:rPr>
          <w:rFonts w:hint="default" w:ascii="Times New Roman" w:hAnsi="Times New Roman" w:eastAsia="黑体" w:cs="Times New Roman"/>
          <w:b w:val="0"/>
          <w:color w:val="auto"/>
          <w:sz w:val="28"/>
          <w:szCs w:val="28"/>
          <w:highlight w:val="none"/>
        </w:rPr>
        <w:t>6. 施工设备和临时设施</w:t>
      </w:r>
      <w:bookmarkEnd w:id="1335"/>
      <w:bookmarkEnd w:id="1336"/>
      <w:bookmarkEnd w:id="1337"/>
      <w:bookmarkEnd w:id="1338"/>
      <w:bookmarkEnd w:id="1339"/>
      <w:r>
        <w:rPr>
          <w:rFonts w:hint="default" w:ascii="Times New Roman" w:hAnsi="Times New Roman" w:eastAsia="黑体" w:cs="Times New Roman"/>
          <w:b w:val="0"/>
          <w:color w:val="auto"/>
          <w:sz w:val="28"/>
          <w:szCs w:val="28"/>
          <w:highlight w:val="none"/>
        </w:rPr>
        <w:t xml:space="preserve"> </w:t>
      </w:r>
    </w:p>
    <w:p w14:paraId="7F97711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40" w:name="_Toc26020"/>
      <w:bookmarkStart w:id="1341" w:name="_Toc234833148"/>
      <w:bookmarkStart w:id="1342" w:name="_Toc13056"/>
      <w:bookmarkStart w:id="1343" w:name="_Toc24822"/>
      <w:bookmarkStart w:id="1344" w:name="_Toc24564"/>
      <w:r>
        <w:rPr>
          <w:rFonts w:hint="default" w:ascii="Times New Roman" w:hAnsi="Times New Roman" w:eastAsia="黑体" w:cs="Times New Roman"/>
          <w:b w:val="0"/>
          <w:color w:val="auto"/>
          <w:sz w:val="24"/>
          <w:szCs w:val="24"/>
          <w:highlight w:val="none"/>
        </w:rPr>
        <w:t>6.1 承包人提供的施工设备和临时设施</w:t>
      </w:r>
      <w:bookmarkEnd w:id="1340"/>
      <w:bookmarkEnd w:id="1341"/>
      <w:bookmarkEnd w:id="1342"/>
      <w:bookmarkEnd w:id="1343"/>
      <w:bookmarkEnd w:id="1344"/>
    </w:p>
    <w:p w14:paraId="3D151922">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第6.1.2项约定为：</w:t>
      </w:r>
    </w:p>
    <w:p w14:paraId="40EB37D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承包人应自行承担修建临时设施的费用，需要临时占地的，应由承包人按第4.1.10项（1）目的规定办理。</w:t>
      </w:r>
    </w:p>
    <w:p w14:paraId="1A1CC01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45" w:name="_Toc17575"/>
      <w:bookmarkStart w:id="1346" w:name="_Toc234833149"/>
      <w:bookmarkStart w:id="1347" w:name="_Toc10697"/>
      <w:bookmarkStart w:id="1348" w:name="_Toc15629"/>
      <w:bookmarkStart w:id="1349" w:name="_Toc28402"/>
      <w:r>
        <w:rPr>
          <w:rFonts w:hint="default" w:ascii="Times New Roman" w:hAnsi="Times New Roman" w:eastAsia="黑体" w:cs="Times New Roman"/>
          <w:b w:val="0"/>
          <w:color w:val="auto"/>
          <w:sz w:val="24"/>
          <w:szCs w:val="24"/>
          <w:highlight w:val="none"/>
        </w:rPr>
        <w:t>6.3 要求承包人增加或更换施工设备</w:t>
      </w:r>
      <w:bookmarkEnd w:id="1345"/>
      <w:bookmarkEnd w:id="1346"/>
      <w:bookmarkEnd w:id="1347"/>
      <w:bookmarkEnd w:id="1348"/>
      <w:bookmarkEnd w:id="1349"/>
    </w:p>
    <w:p w14:paraId="52170AA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5332427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085776B5">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350" w:name="_Toc13743"/>
      <w:bookmarkStart w:id="1351" w:name="_Toc234833150"/>
      <w:bookmarkStart w:id="1352" w:name="_Toc30626"/>
      <w:bookmarkStart w:id="1353" w:name="_Toc28894"/>
      <w:bookmarkStart w:id="1354" w:name="_Toc31348"/>
      <w:r>
        <w:rPr>
          <w:rFonts w:hint="default" w:ascii="Times New Roman" w:hAnsi="Times New Roman" w:eastAsia="黑体" w:cs="Times New Roman"/>
          <w:b w:val="0"/>
          <w:color w:val="auto"/>
          <w:sz w:val="28"/>
          <w:szCs w:val="28"/>
          <w:highlight w:val="none"/>
        </w:rPr>
        <w:t>7. 交通运输</w:t>
      </w:r>
      <w:bookmarkEnd w:id="1350"/>
      <w:bookmarkEnd w:id="1351"/>
      <w:bookmarkEnd w:id="1352"/>
      <w:bookmarkEnd w:id="1353"/>
      <w:bookmarkEnd w:id="1354"/>
      <w:r>
        <w:rPr>
          <w:rFonts w:hint="default" w:ascii="Times New Roman" w:hAnsi="Times New Roman" w:eastAsia="黑体" w:cs="Times New Roman"/>
          <w:b w:val="0"/>
          <w:color w:val="auto"/>
          <w:sz w:val="28"/>
          <w:szCs w:val="28"/>
          <w:highlight w:val="none"/>
        </w:rPr>
        <w:t xml:space="preserve"> </w:t>
      </w:r>
    </w:p>
    <w:p w14:paraId="4368E3A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55" w:name="_Toc234833151"/>
      <w:bookmarkStart w:id="1356" w:name="_Toc9360"/>
      <w:bookmarkStart w:id="1357" w:name="_Toc23400"/>
      <w:bookmarkStart w:id="1358" w:name="_Toc24391"/>
      <w:bookmarkStart w:id="1359" w:name="_Toc3580"/>
      <w:r>
        <w:rPr>
          <w:rFonts w:hint="default" w:ascii="Times New Roman" w:hAnsi="Times New Roman" w:eastAsia="黑体" w:cs="Times New Roman"/>
          <w:b w:val="0"/>
          <w:color w:val="auto"/>
          <w:sz w:val="24"/>
          <w:szCs w:val="24"/>
          <w:highlight w:val="none"/>
        </w:rPr>
        <w:t>7.1 道路通行权和场外设施</w:t>
      </w:r>
      <w:bookmarkEnd w:id="1355"/>
      <w:bookmarkEnd w:id="1356"/>
      <w:bookmarkEnd w:id="1357"/>
      <w:bookmarkEnd w:id="1358"/>
      <w:bookmarkEnd w:id="1359"/>
    </w:p>
    <w:p w14:paraId="0A3E8767">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15C67C5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34747C56">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360" w:name="_Toc13868"/>
      <w:bookmarkStart w:id="1361" w:name="_Toc234833152"/>
      <w:bookmarkStart w:id="1362" w:name="_Toc31528"/>
      <w:bookmarkStart w:id="1363" w:name="_Toc6333"/>
      <w:bookmarkStart w:id="1364" w:name="_Toc5379"/>
      <w:r>
        <w:rPr>
          <w:rFonts w:hint="default" w:ascii="Times New Roman" w:hAnsi="Times New Roman" w:eastAsia="黑体" w:cs="Times New Roman"/>
          <w:b w:val="0"/>
          <w:color w:val="auto"/>
          <w:sz w:val="28"/>
          <w:szCs w:val="28"/>
          <w:highlight w:val="none"/>
        </w:rPr>
        <w:t>8. 测量放线</w:t>
      </w:r>
      <w:bookmarkEnd w:id="1360"/>
      <w:bookmarkEnd w:id="1361"/>
      <w:bookmarkEnd w:id="1362"/>
      <w:bookmarkEnd w:id="1363"/>
      <w:bookmarkEnd w:id="1364"/>
    </w:p>
    <w:p w14:paraId="34B789B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65" w:name="_Toc234833153"/>
      <w:bookmarkStart w:id="1366" w:name="_Toc6917"/>
      <w:bookmarkStart w:id="1367" w:name="_Toc26436"/>
      <w:bookmarkStart w:id="1368" w:name="_Toc14863"/>
      <w:bookmarkStart w:id="1369" w:name="_Toc26266"/>
      <w:r>
        <w:rPr>
          <w:rFonts w:hint="default" w:ascii="Times New Roman" w:hAnsi="Times New Roman" w:eastAsia="黑体" w:cs="Times New Roman"/>
          <w:b w:val="0"/>
          <w:color w:val="auto"/>
          <w:sz w:val="24"/>
          <w:szCs w:val="24"/>
          <w:highlight w:val="none"/>
        </w:rPr>
        <w:t>8.4 监理人使用施工控制网</w:t>
      </w:r>
      <w:bookmarkEnd w:id="1365"/>
      <w:bookmarkEnd w:id="1366"/>
      <w:bookmarkEnd w:id="1367"/>
      <w:bookmarkEnd w:id="1368"/>
      <w:bookmarkEnd w:id="1369"/>
    </w:p>
    <w:p w14:paraId="7AD1FB72">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4FC8B68D">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经监理人批准，其他相关承包人也可免费使用施工控制网。</w:t>
      </w:r>
    </w:p>
    <w:p w14:paraId="52F0E3E0">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370" w:name="_Toc22517"/>
      <w:bookmarkStart w:id="1371" w:name="_Toc234833154"/>
      <w:bookmarkStart w:id="1372" w:name="_Toc31525"/>
      <w:bookmarkStart w:id="1373" w:name="_Toc13649"/>
      <w:bookmarkStart w:id="1374" w:name="_Toc18932"/>
      <w:r>
        <w:rPr>
          <w:rFonts w:hint="default" w:ascii="Times New Roman" w:hAnsi="Times New Roman" w:eastAsia="黑体" w:cs="Times New Roman"/>
          <w:b w:val="0"/>
          <w:color w:val="auto"/>
          <w:sz w:val="28"/>
          <w:szCs w:val="28"/>
          <w:highlight w:val="none"/>
        </w:rPr>
        <w:t>9. 施工安全、治安保卫和环境保护</w:t>
      </w:r>
      <w:bookmarkEnd w:id="1370"/>
      <w:bookmarkEnd w:id="1371"/>
      <w:bookmarkEnd w:id="1372"/>
      <w:bookmarkEnd w:id="1373"/>
      <w:bookmarkEnd w:id="1374"/>
    </w:p>
    <w:p w14:paraId="7965977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75" w:name="_Toc13960"/>
      <w:bookmarkStart w:id="1376" w:name="_Toc15856"/>
      <w:bookmarkStart w:id="1377" w:name="_Toc234833155"/>
      <w:bookmarkStart w:id="1378" w:name="_Toc22581"/>
      <w:bookmarkStart w:id="1379" w:name="_Toc12442"/>
      <w:r>
        <w:rPr>
          <w:rFonts w:hint="default" w:ascii="Times New Roman" w:hAnsi="Times New Roman" w:eastAsia="黑体" w:cs="Times New Roman"/>
          <w:b w:val="0"/>
          <w:color w:val="auto"/>
          <w:sz w:val="24"/>
          <w:szCs w:val="24"/>
          <w:highlight w:val="none"/>
        </w:rPr>
        <w:t>9.2 承包人的施工安全责任</w:t>
      </w:r>
      <w:bookmarkEnd w:id="1375"/>
      <w:bookmarkEnd w:id="1376"/>
      <w:bookmarkEnd w:id="1377"/>
      <w:bookmarkEnd w:id="1378"/>
      <w:bookmarkEnd w:id="1379"/>
    </w:p>
    <w:p w14:paraId="7130684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第9.2.1项细化为：</w:t>
      </w:r>
    </w:p>
    <w:p w14:paraId="70D783F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24892E9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1B69863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本项目需要编制专项施工方案的工程包括但不限于以下内容：</w:t>
      </w:r>
    </w:p>
    <w:p w14:paraId="09D667D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（1）不良地质条件下有潜在危险性的土方、石方开挖；</w:t>
      </w:r>
    </w:p>
    <w:p w14:paraId="2DFC788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（2）滑坡和高边坡处理；</w:t>
      </w:r>
    </w:p>
    <w:p w14:paraId="0E33ABA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（3）桩基础、挡墙基础、深水基础及围堰工程；</w:t>
      </w:r>
    </w:p>
    <w:p w14:paraId="592D5FB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（4）桥梁工程中的梁、拱、柱等构件施工等；</w:t>
      </w:r>
    </w:p>
    <w:p w14:paraId="6C87D87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（5）隧道工程中的不良地质隧道、高瓦斯隧道等；</w:t>
      </w:r>
    </w:p>
    <w:p w14:paraId="61EFFD4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（6）水上工程中的打桩船作业、施工船作业、外海孤岛作业、边通航边施工作业等；</w:t>
      </w:r>
    </w:p>
    <w:p w14:paraId="1DF32BE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（7）水下工程中的水下焊接、混凝土浇筑、爆破工程等；</w:t>
      </w:r>
    </w:p>
    <w:p w14:paraId="3569031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（8）爆破工程；</w:t>
      </w:r>
    </w:p>
    <w:p w14:paraId="2A94DD5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（9）大型临时工程中的大型支架、模板、便桥的架设与拆除；桥梁、码头的加固与拆除；</w:t>
      </w:r>
    </w:p>
    <w:p w14:paraId="4825E11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（10）其他危险性较大的工程。</w:t>
      </w:r>
    </w:p>
    <w:p w14:paraId="3397DEF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监理人和发包人在检查中发现有安全问题或有违反安全管理规章制度的情况时，可视为承包人违约，应按第22.1款的规定办理。</w:t>
      </w:r>
    </w:p>
    <w:p w14:paraId="49E3EBCA">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第9.2.5项细化为：</w:t>
      </w:r>
    </w:p>
    <w:p w14:paraId="45D2CE2D">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项目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60D7E78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本款补充第9.2.8项~第9.2.11项：</w:t>
      </w:r>
    </w:p>
    <w:p w14:paraId="27BD533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9.2.8 承包人应充分关注和保障所有在现场工作的人员的安全，采取以下有效措施，使现场和本合同工程的实施保持有条不紊，以免使上述人员的安全受到威胁。</w:t>
      </w:r>
    </w:p>
    <w:p w14:paraId="2C2B950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（1）按《公路水运工程安全生产监督管理办法》规定的最低数量和资质条件配备专职安全生产管理人员；</w:t>
      </w:r>
    </w:p>
    <w:p w14:paraId="1D283EF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3A4E0FC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（3）所有施工机具设备和高空作业设备均应定期检查，并有安全员的签字记录；</w:t>
      </w:r>
    </w:p>
    <w:p w14:paraId="3E40C79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（4）根据本合同各单位工程的施工特点，严格执行《公路水运工程安全生产监督管理办法》《公路工程施工安全技术规范》等有关规定。</w:t>
      </w:r>
    </w:p>
    <w:p w14:paraId="70DB6F5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9.2.9 为了保护本合同工程免遭损坏，或为了现场附近和过往群众的安全与方便，在确有必要的时候和地方，或当监理人或有关主管部门要求时，承包人应自费提供照明、警卫、护栅、警告标志等安全防护设施。</w:t>
      </w:r>
    </w:p>
    <w:p w14:paraId="6BF5D82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9.2.10 在通航水域施工时，承包人应与当地主管部门取得联系，设置必要的导航标志，及时发布航行通告，确保施工水域安全。</w:t>
      </w:r>
    </w:p>
    <w:p w14:paraId="1CF4A42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9.2.11 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06C6DCD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80" w:name="_Toc23200"/>
      <w:bookmarkStart w:id="1381" w:name="_Toc3892"/>
      <w:bookmarkStart w:id="1382" w:name="_Toc234833156"/>
      <w:bookmarkStart w:id="1383" w:name="_Toc22668"/>
      <w:bookmarkStart w:id="1384" w:name="_Toc4067"/>
      <w:r>
        <w:rPr>
          <w:rFonts w:hint="default" w:ascii="Times New Roman" w:hAnsi="Times New Roman" w:eastAsia="黑体" w:cs="Times New Roman"/>
          <w:b w:val="0"/>
          <w:color w:val="auto"/>
          <w:sz w:val="24"/>
          <w:szCs w:val="24"/>
          <w:highlight w:val="none"/>
        </w:rPr>
        <w:t>9.4 环境保护</w:t>
      </w:r>
      <w:bookmarkEnd w:id="1380"/>
      <w:bookmarkEnd w:id="1381"/>
      <w:bookmarkEnd w:id="1382"/>
      <w:bookmarkEnd w:id="1383"/>
      <w:bookmarkEnd w:id="1384"/>
    </w:p>
    <w:p w14:paraId="1DE105C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本款补充第9.4.7项~第9.4.11项：</w:t>
      </w:r>
    </w:p>
    <w:p w14:paraId="7F2FA0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9.4.7 承包人应切实执行技术规范中有关环境保护方面的条款和规定。</w:t>
      </w:r>
    </w:p>
    <w:p w14:paraId="4CEED21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6E3090B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（2）对于公路施工中粉尘污染的主要污染源――灰土拌和、施工车辆和筑路机械运行及运输产生的扬尘，应采取有效措施减轻其对施工现场的大气污染，保护人民健康，如：</w:t>
      </w:r>
    </w:p>
    <w:p w14:paraId="03B047D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 拌和设备应有较好的密封，或有防尘设备。</w:t>
      </w:r>
    </w:p>
    <w:p w14:paraId="668D502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 施工通道、沥青混凝土拌和站及灰土拌和站应经常进行洒水降尘。</w:t>
      </w:r>
    </w:p>
    <w:p w14:paraId="430E311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 路面施工应注意保持水分，以免扬尘。</w:t>
      </w:r>
    </w:p>
    <w:p w14:paraId="246E10F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 隧道出渣和桥梁钻孔灌注桩施工时排出的泥浆要进行妥善处理，严禁向河流或农田排放。</w:t>
      </w:r>
    </w:p>
    <w:p w14:paraId="54452A9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（3）采取可靠措施保证原有交通的正常通行，维持沿线村镇的居民饮水、农田灌溉、生产生活用电及通信等管线的正常使用。</w:t>
      </w:r>
    </w:p>
    <w:p w14:paraId="6F2141F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9.4.8 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6AAF2BA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9.4.9在施工期间，承包人应随时保持现场整洁，施工设备和材料、工程设备应整齐妥善存放和储存，废料与垃圾及不再需要的临时设施应及时从现场清除、拆除并运走。</w:t>
      </w:r>
    </w:p>
    <w:p w14:paraId="7CEAB8C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9.4.10 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7A551A6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填、随压，要完善施工中的临时排水系统，加强施工便道的管理。取（弃）土场必须先挡后弃，严禁在指定的取（弃）土场以外的地方乱挖乱弃。</w:t>
      </w:r>
    </w:p>
    <w:p w14:paraId="4FE42A1F">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385" w:name="_Toc31300"/>
      <w:bookmarkStart w:id="1386" w:name="_Toc14910"/>
      <w:bookmarkStart w:id="1387" w:name="_Toc2443"/>
      <w:bookmarkStart w:id="1388" w:name="_Toc4201"/>
      <w:bookmarkStart w:id="1389" w:name="_Toc234833157"/>
      <w:r>
        <w:rPr>
          <w:rFonts w:hint="default" w:ascii="Times New Roman" w:hAnsi="Times New Roman" w:eastAsia="黑体" w:cs="Times New Roman"/>
          <w:b w:val="0"/>
          <w:color w:val="auto"/>
          <w:sz w:val="28"/>
          <w:szCs w:val="28"/>
          <w:highlight w:val="none"/>
        </w:rPr>
        <w:t>10. 进度计划</w:t>
      </w:r>
      <w:bookmarkEnd w:id="1385"/>
      <w:bookmarkEnd w:id="1386"/>
      <w:bookmarkEnd w:id="1387"/>
      <w:bookmarkEnd w:id="1388"/>
      <w:bookmarkEnd w:id="1389"/>
    </w:p>
    <w:p w14:paraId="1298D08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90" w:name="_Toc30665"/>
      <w:bookmarkStart w:id="1391" w:name="_Toc13304"/>
      <w:bookmarkStart w:id="1392" w:name="_Toc234833158"/>
      <w:bookmarkStart w:id="1393" w:name="_Toc31463"/>
      <w:bookmarkStart w:id="1394" w:name="_Toc19701"/>
      <w:r>
        <w:rPr>
          <w:rFonts w:hint="default" w:ascii="Times New Roman" w:hAnsi="Times New Roman" w:eastAsia="黑体" w:cs="Times New Roman"/>
          <w:b w:val="0"/>
          <w:color w:val="auto"/>
          <w:sz w:val="24"/>
          <w:szCs w:val="24"/>
          <w:highlight w:val="none"/>
        </w:rPr>
        <w:t>10.1 合同进度计划</w:t>
      </w:r>
      <w:bookmarkEnd w:id="1390"/>
      <w:bookmarkEnd w:id="1391"/>
      <w:bookmarkEnd w:id="1392"/>
      <w:bookmarkEnd w:id="1393"/>
      <w:bookmarkEnd w:id="1394"/>
    </w:p>
    <w:p w14:paraId="58247C4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57342A0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承包人编制施工方案说明的内容见项目专用合同条款。</w:t>
      </w:r>
    </w:p>
    <w:p w14:paraId="3F82086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承包人向监理人报送施工进度计划和施工方案说明的期限：签订合同协议书后28天之内。</w:t>
      </w:r>
    </w:p>
    <w:p w14:paraId="006F13B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监理人应在14天内对承包人施工进度计划和施工方案说明予以批复或提出修改意见。</w:t>
      </w:r>
    </w:p>
    <w:p w14:paraId="48840D9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合同进度计划应按照关键线路网络图和主要工作横道图两种形式分别编绘，并应包括每月预计完成的工作量和形象进度。</w:t>
      </w:r>
    </w:p>
    <w:p w14:paraId="4E837A2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395" w:name="_Toc16914"/>
      <w:bookmarkStart w:id="1396" w:name="_Toc22600"/>
      <w:bookmarkStart w:id="1397" w:name="_Toc234833159"/>
      <w:bookmarkStart w:id="1398" w:name="_Toc6817"/>
      <w:bookmarkStart w:id="1399" w:name="_Toc24615"/>
      <w:r>
        <w:rPr>
          <w:rFonts w:hint="default" w:ascii="Times New Roman" w:hAnsi="Times New Roman" w:eastAsia="黑体" w:cs="Times New Roman"/>
          <w:b w:val="0"/>
          <w:color w:val="auto"/>
          <w:sz w:val="24"/>
          <w:szCs w:val="24"/>
          <w:highlight w:val="none"/>
        </w:rPr>
        <w:t>10.2 合同进度计划的修订</w:t>
      </w:r>
      <w:bookmarkEnd w:id="1395"/>
      <w:bookmarkEnd w:id="1396"/>
      <w:bookmarkEnd w:id="1397"/>
      <w:bookmarkEnd w:id="1398"/>
      <w:bookmarkEnd w:id="1399"/>
    </w:p>
    <w:p w14:paraId="74795DDB">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46E0F1E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承包人提交合同进度计划修订申请报告，并附有关措施和相关资料的期限：实际进度发生滞后的当月25日前。</w:t>
      </w:r>
    </w:p>
    <w:p w14:paraId="095AB73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监理人批复修订合同进度计划的期限：收到修订合同进度计划后14天内。</w:t>
      </w:r>
    </w:p>
    <w:p w14:paraId="73D9D3FC">
      <w:pPr>
        <w:pageBreakBefore w:val="0"/>
        <w:kinsoku/>
        <w:wordWrap w:val="0"/>
        <w:bidi w:val="0"/>
        <w:spacing w:before="240" w:beforeLines="100"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本条补充第10.3款、第10.4款：</w:t>
      </w:r>
    </w:p>
    <w:p w14:paraId="123727D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00" w:name="_Toc12343"/>
      <w:bookmarkStart w:id="1401" w:name="_Toc234833160"/>
      <w:bookmarkStart w:id="1402" w:name="_Toc6499"/>
      <w:bookmarkStart w:id="1403" w:name="_Toc5845"/>
      <w:bookmarkStart w:id="1404" w:name="_Toc638"/>
      <w:r>
        <w:rPr>
          <w:rFonts w:hint="default" w:ascii="Times New Roman" w:hAnsi="Times New Roman" w:eastAsia="黑体" w:cs="Times New Roman"/>
          <w:b w:val="0"/>
          <w:color w:val="auto"/>
          <w:sz w:val="24"/>
          <w:szCs w:val="24"/>
          <w:highlight w:val="none"/>
        </w:rPr>
        <w:t>10.3 年度施工计划</w:t>
      </w:r>
      <w:bookmarkEnd w:id="1400"/>
      <w:bookmarkEnd w:id="1401"/>
      <w:bookmarkEnd w:id="1402"/>
      <w:bookmarkEnd w:id="1403"/>
      <w:bookmarkEnd w:id="1404"/>
    </w:p>
    <w:p w14:paraId="726155CF">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15949EA1">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05" w:name="_Toc234833161"/>
      <w:bookmarkStart w:id="1406" w:name="_Toc26059"/>
      <w:bookmarkStart w:id="1407" w:name="_Toc20652"/>
      <w:bookmarkStart w:id="1408" w:name="_Toc3557"/>
      <w:bookmarkStart w:id="1409" w:name="_Toc28266"/>
      <w:r>
        <w:rPr>
          <w:rFonts w:hint="default" w:ascii="Times New Roman" w:hAnsi="Times New Roman" w:eastAsia="黑体" w:cs="Times New Roman"/>
          <w:b w:val="0"/>
          <w:color w:val="auto"/>
          <w:sz w:val="24"/>
          <w:szCs w:val="24"/>
          <w:highlight w:val="none"/>
        </w:rPr>
        <w:t>10.4 合同用款计划</w:t>
      </w:r>
      <w:bookmarkEnd w:id="1405"/>
      <w:bookmarkEnd w:id="1406"/>
      <w:bookmarkEnd w:id="1407"/>
      <w:bookmarkEnd w:id="1408"/>
      <w:bookmarkEnd w:id="1409"/>
    </w:p>
    <w:p w14:paraId="207DE3DC">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727FFB7D">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410" w:name="_Toc29145"/>
      <w:bookmarkStart w:id="1411" w:name="_Toc234833162"/>
      <w:bookmarkStart w:id="1412" w:name="_Toc16858"/>
      <w:bookmarkStart w:id="1413" w:name="_Toc24381"/>
      <w:bookmarkStart w:id="1414" w:name="_Toc5080"/>
      <w:r>
        <w:rPr>
          <w:rFonts w:hint="default" w:ascii="Times New Roman" w:hAnsi="Times New Roman" w:eastAsia="黑体" w:cs="Times New Roman"/>
          <w:b w:val="0"/>
          <w:color w:val="auto"/>
          <w:sz w:val="28"/>
          <w:szCs w:val="28"/>
          <w:highlight w:val="none"/>
        </w:rPr>
        <w:t>11. 开工和交工</w:t>
      </w:r>
      <w:bookmarkEnd w:id="1410"/>
      <w:bookmarkEnd w:id="1411"/>
      <w:bookmarkEnd w:id="1412"/>
      <w:bookmarkEnd w:id="1413"/>
      <w:bookmarkEnd w:id="1414"/>
    </w:p>
    <w:p w14:paraId="29D159F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15" w:name="_Toc21034"/>
      <w:bookmarkStart w:id="1416" w:name="_Toc234833163"/>
      <w:bookmarkStart w:id="1417" w:name="_Toc211"/>
      <w:bookmarkStart w:id="1418" w:name="_Toc23342"/>
      <w:bookmarkStart w:id="1419" w:name="_Toc17449"/>
      <w:r>
        <w:rPr>
          <w:rFonts w:hint="default" w:ascii="Times New Roman" w:hAnsi="Times New Roman" w:eastAsia="黑体" w:cs="Times New Roman"/>
          <w:b w:val="0"/>
          <w:color w:val="auto"/>
          <w:sz w:val="24"/>
          <w:szCs w:val="24"/>
          <w:highlight w:val="none"/>
        </w:rPr>
        <w:t>11.1 开工</w:t>
      </w:r>
      <w:bookmarkEnd w:id="1415"/>
      <w:bookmarkEnd w:id="1416"/>
      <w:bookmarkEnd w:id="1417"/>
      <w:bookmarkEnd w:id="1418"/>
      <w:bookmarkEnd w:id="1419"/>
    </w:p>
    <w:p w14:paraId="55CD5D9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第11.1.2项补充：</w:t>
      </w:r>
    </w:p>
    <w:p w14:paraId="5104DB0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承包人应在分部工程开工前14天向监理人提交分部工程开工报审表，若承包人的开工准备、工作计划和质量控制方法是可接受的且已获得批准，则经监理人书面同意，分部工程才能开工。</w:t>
      </w:r>
    </w:p>
    <w:p w14:paraId="68FF5B2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20" w:name="_Toc234833164"/>
      <w:bookmarkStart w:id="1421" w:name="_Toc2188"/>
      <w:bookmarkStart w:id="1422" w:name="_Toc4642"/>
      <w:bookmarkStart w:id="1423" w:name="_Toc8362"/>
      <w:bookmarkStart w:id="1424" w:name="_Toc26339"/>
      <w:r>
        <w:rPr>
          <w:rFonts w:hint="default" w:ascii="Times New Roman" w:hAnsi="Times New Roman" w:eastAsia="黑体" w:cs="Times New Roman"/>
          <w:b w:val="0"/>
          <w:color w:val="auto"/>
          <w:sz w:val="24"/>
          <w:szCs w:val="24"/>
          <w:highlight w:val="none"/>
        </w:rPr>
        <w:t>11.3 发包人的工期延误</w:t>
      </w:r>
      <w:bookmarkEnd w:id="1420"/>
      <w:bookmarkEnd w:id="1421"/>
      <w:bookmarkEnd w:id="1422"/>
      <w:bookmarkEnd w:id="1423"/>
      <w:bookmarkEnd w:id="1424"/>
    </w:p>
    <w:p w14:paraId="0814DA5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1E2B855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即使由于上述原因造成工期延误，如果受影响的工程并非处在工程施工进度网络计划的关键线路上，则承包人无权要求延长总工期。</w:t>
      </w:r>
    </w:p>
    <w:p w14:paraId="4381DFD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25" w:name="_Toc26694"/>
      <w:bookmarkStart w:id="1426" w:name="_Toc16417"/>
      <w:bookmarkStart w:id="1427" w:name="_Toc2448"/>
      <w:bookmarkStart w:id="1428" w:name="_Toc234833165"/>
      <w:bookmarkStart w:id="1429" w:name="_Toc3372"/>
      <w:r>
        <w:rPr>
          <w:rFonts w:hint="default" w:ascii="Times New Roman" w:hAnsi="Times New Roman" w:eastAsia="黑体" w:cs="Times New Roman"/>
          <w:b w:val="0"/>
          <w:color w:val="auto"/>
          <w:sz w:val="24"/>
          <w:szCs w:val="24"/>
          <w:highlight w:val="none"/>
        </w:rPr>
        <w:t>11.4异常恶劣的气候条件</w:t>
      </w:r>
      <w:bookmarkEnd w:id="1425"/>
      <w:bookmarkEnd w:id="1426"/>
      <w:bookmarkEnd w:id="1427"/>
      <w:bookmarkEnd w:id="1428"/>
      <w:bookmarkEnd w:id="1429"/>
    </w:p>
    <w:p w14:paraId="272C7B5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7058FFA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异常气候是指项目所在地30年以上一遇的罕见气候现象（包括</w:t>
      </w: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HYPERLINK "http://baike.baidu.com/view/8193.htm" \t "_blank"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t>温度</w:t>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、降水、降雪、风等）。异常恶劣的气候条件在项目专用合同条款中作具体约定。</w:t>
      </w:r>
    </w:p>
    <w:p w14:paraId="7A6ECBB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30" w:name="_Toc7083"/>
      <w:bookmarkStart w:id="1431" w:name="_Toc19354"/>
      <w:bookmarkStart w:id="1432" w:name="_Toc234833166"/>
      <w:bookmarkStart w:id="1433" w:name="_Toc13242"/>
      <w:bookmarkStart w:id="1434" w:name="_Toc6870"/>
      <w:r>
        <w:rPr>
          <w:rFonts w:hint="default" w:ascii="Times New Roman" w:hAnsi="Times New Roman" w:eastAsia="黑体" w:cs="Times New Roman"/>
          <w:b w:val="0"/>
          <w:color w:val="auto"/>
          <w:sz w:val="24"/>
          <w:szCs w:val="24"/>
          <w:highlight w:val="none"/>
        </w:rPr>
        <w:t>11.5 承包人的工期延误</w:t>
      </w:r>
      <w:bookmarkEnd w:id="1430"/>
      <w:bookmarkEnd w:id="1431"/>
      <w:bookmarkEnd w:id="1432"/>
      <w:bookmarkEnd w:id="1433"/>
      <w:bookmarkEnd w:id="1434"/>
    </w:p>
    <w:p w14:paraId="5B33518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215A8C6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应严格执行监理人批准的合同进度计划，对工作量计划和形象进度计划分别控制。除第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1C15CDE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0B57BAF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交工违约金累计金额最高不超过项目专用合同条款数据表中写明的限额。发包人可以从应付或到期应付给承包人的任何款项中或采用其他方法扣除此违约金。</w:t>
      </w:r>
    </w:p>
    <w:p w14:paraId="759A959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（4）承包人支付逾期交工违约金，不免除承包人完成工程及修补缺陷的义务。</w:t>
      </w:r>
    </w:p>
    <w:p w14:paraId="7AFA065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4AE0A01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35" w:name="_Toc8201"/>
      <w:bookmarkStart w:id="1436" w:name="_Toc21733"/>
      <w:bookmarkStart w:id="1437" w:name="_Toc234833167"/>
      <w:bookmarkStart w:id="1438" w:name="_Toc5977"/>
      <w:bookmarkStart w:id="1439" w:name="_Toc25459"/>
      <w:r>
        <w:rPr>
          <w:rFonts w:hint="default" w:ascii="Times New Roman" w:hAnsi="Times New Roman" w:eastAsia="黑体" w:cs="Times New Roman"/>
          <w:b w:val="0"/>
          <w:color w:val="auto"/>
          <w:sz w:val="24"/>
          <w:szCs w:val="24"/>
          <w:highlight w:val="none"/>
        </w:rPr>
        <w:t>11.6 工期提前</w:t>
      </w:r>
      <w:bookmarkEnd w:id="1435"/>
      <w:bookmarkEnd w:id="1436"/>
      <w:bookmarkEnd w:id="1437"/>
      <w:bookmarkEnd w:id="1438"/>
      <w:bookmarkEnd w:id="1439"/>
    </w:p>
    <w:p w14:paraId="0D6DBD7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318147A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发包人不得随意要求承包人提前交工，承包人也不得随意提出提前交工的建议。如遇特殊情况，确需将工期提前的，发包人和承包人必须采取有效措施，确保工程质量。</w:t>
      </w:r>
    </w:p>
    <w:p w14:paraId="3F17C93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6A48E1B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p>
    <w:p w14:paraId="503D92E6">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本条补充第11.7款：</w:t>
      </w:r>
    </w:p>
    <w:p w14:paraId="518EEC3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40" w:name="_Toc14155"/>
      <w:bookmarkStart w:id="1441" w:name="_Toc234833168"/>
      <w:bookmarkStart w:id="1442" w:name="_Toc11965"/>
      <w:bookmarkStart w:id="1443" w:name="_Toc29501"/>
      <w:bookmarkStart w:id="1444" w:name="_Toc31771"/>
      <w:r>
        <w:rPr>
          <w:rFonts w:hint="default" w:ascii="Times New Roman" w:hAnsi="Times New Roman" w:eastAsia="黑体" w:cs="Times New Roman"/>
          <w:b w:val="0"/>
          <w:color w:val="auto"/>
          <w:sz w:val="24"/>
          <w:szCs w:val="24"/>
          <w:highlight w:val="none"/>
        </w:rPr>
        <w:t>11.7 工作时间的限制</w:t>
      </w:r>
      <w:bookmarkEnd w:id="1440"/>
      <w:bookmarkEnd w:id="1441"/>
      <w:bookmarkEnd w:id="1442"/>
      <w:bookmarkEnd w:id="1443"/>
      <w:bookmarkEnd w:id="1444"/>
    </w:p>
    <w:p w14:paraId="5E0CA9F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承包人在夜间或国家规定的节假日进行永久工程的施工，应向监理人报告，以便监理人履行监理职责和义务。</w:t>
      </w:r>
    </w:p>
    <w:p w14:paraId="6308F3F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但是，为了抢救生命或保护财产，或为了工程的安全、质量而不可避免地短暂作业，则不必事先向监理人报告。但承包人应在事后立即向监理人报告。</w:t>
      </w:r>
    </w:p>
    <w:p w14:paraId="72A1801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本款规定不适用于习惯上或施工本身要求实行连续生产的作业。</w:t>
      </w:r>
    </w:p>
    <w:p w14:paraId="4EA6739F">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445" w:name="_Toc234833169"/>
      <w:bookmarkStart w:id="1446" w:name="_Toc10404"/>
      <w:bookmarkStart w:id="1447" w:name="_Toc10095"/>
      <w:bookmarkStart w:id="1448" w:name="_Toc21568"/>
      <w:bookmarkStart w:id="1449" w:name="_Toc32362"/>
      <w:r>
        <w:rPr>
          <w:rFonts w:hint="default" w:ascii="Times New Roman" w:hAnsi="Times New Roman" w:eastAsia="黑体" w:cs="Times New Roman"/>
          <w:b w:val="0"/>
          <w:color w:val="auto"/>
          <w:sz w:val="28"/>
          <w:szCs w:val="28"/>
          <w:highlight w:val="none"/>
        </w:rPr>
        <w:t>12. 暂停施工</w:t>
      </w:r>
      <w:bookmarkEnd w:id="1445"/>
      <w:bookmarkEnd w:id="1446"/>
      <w:bookmarkEnd w:id="1447"/>
      <w:bookmarkEnd w:id="1448"/>
      <w:bookmarkEnd w:id="1449"/>
    </w:p>
    <w:p w14:paraId="280CB3C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50" w:name="_Toc19976"/>
      <w:bookmarkStart w:id="1451" w:name="_Toc26479"/>
      <w:bookmarkStart w:id="1452" w:name="_Toc686"/>
      <w:bookmarkStart w:id="1453" w:name="_Toc24281"/>
      <w:bookmarkStart w:id="1454" w:name="_Toc234833170"/>
      <w:r>
        <w:rPr>
          <w:rFonts w:hint="default" w:ascii="Times New Roman" w:hAnsi="Times New Roman" w:eastAsia="黑体" w:cs="Times New Roman"/>
          <w:b w:val="0"/>
          <w:color w:val="auto"/>
          <w:sz w:val="24"/>
          <w:szCs w:val="24"/>
          <w:highlight w:val="none"/>
        </w:rPr>
        <w:t>12.1 承包人暂停施工的责任</w:t>
      </w:r>
      <w:bookmarkEnd w:id="1450"/>
      <w:bookmarkEnd w:id="1451"/>
      <w:bookmarkEnd w:id="1452"/>
      <w:bookmarkEnd w:id="1453"/>
      <w:bookmarkEnd w:id="1454"/>
    </w:p>
    <w:p w14:paraId="42630C7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本款第（5）项细化为：</w:t>
      </w:r>
    </w:p>
    <w:p w14:paraId="47FAFC4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（5）现场气候条件导致的必要停工（第11.4款约定的异常恶劣的气候条件除外）；</w:t>
      </w:r>
    </w:p>
    <w:p w14:paraId="5137DCF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（6）项目专用合同条款可能约定的由承包人承担的其他暂停施工。</w:t>
      </w:r>
    </w:p>
    <w:p w14:paraId="29C08411">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455" w:name="_Toc6010"/>
      <w:bookmarkStart w:id="1456" w:name="_Toc139"/>
      <w:bookmarkStart w:id="1457" w:name="_Toc12288"/>
      <w:bookmarkStart w:id="1458" w:name="_Toc234833171"/>
      <w:bookmarkStart w:id="1459" w:name="_Toc22379"/>
      <w:r>
        <w:rPr>
          <w:rFonts w:hint="default" w:ascii="Times New Roman" w:hAnsi="Times New Roman" w:eastAsia="黑体" w:cs="Times New Roman"/>
          <w:b w:val="0"/>
          <w:color w:val="auto"/>
          <w:sz w:val="28"/>
          <w:szCs w:val="28"/>
          <w:highlight w:val="none"/>
        </w:rPr>
        <w:t>13. 工程质量</w:t>
      </w:r>
      <w:bookmarkEnd w:id="1455"/>
      <w:bookmarkEnd w:id="1456"/>
      <w:bookmarkEnd w:id="1457"/>
      <w:bookmarkEnd w:id="1458"/>
      <w:bookmarkEnd w:id="1459"/>
    </w:p>
    <w:p w14:paraId="59855FDF">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60" w:name="_Toc21819"/>
      <w:bookmarkStart w:id="1461" w:name="_Toc234833172"/>
      <w:bookmarkStart w:id="1462" w:name="_Toc30210"/>
      <w:bookmarkStart w:id="1463" w:name="_Toc25773"/>
      <w:bookmarkStart w:id="1464" w:name="_Toc14295"/>
      <w:r>
        <w:rPr>
          <w:rFonts w:hint="default" w:ascii="Times New Roman" w:hAnsi="Times New Roman" w:eastAsia="黑体" w:cs="Times New Roman"/>
          <w:b w:val="0"/>
          <w:color w:val="auto"/>
          <w:sz w:val="24"/>
          <w:szCs w:val="24"/>
          <w:highlight w:val="none"/>
        </w:rPr>
        <w:t>13.1 工程质量要求</w:t>
      </w:r>
      <w:bookmarkEnd w:id="1460"/>
      <w:bookmarkEnd w:id="1461"/>
      <w:bookmarkEnd w:id="1462"/>
      <w:bookmarkEnd w:id="1463"/>
      <w:bookmarkEnd w:id="1464"/>
    </w:p>
    <w:p w14:paraId="0A1699D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第13.1.1项约定为：</w:t>
      </w:r>
    </w:p>
    <w:p w14:paraId="392B936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工程质量验收按技术规范及《公路工程质量检验评定标准》执行。</w:t>
      </w:r>
    </w:p>
    <w:p w14:paraId="17AC763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本款补充第13.1.4项、第13.1.5项：</w:t>
      </w:r>
    </w:p>
    <w:p w14:paraId="40497F7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13.1.4 发包人和承包人应严格遵守《关于严格落实公路工程质量责任制的若干意见》的相关规定，认真执行工程质量责任登记制度并</w:t>
      </w:r>
      <w:r>
        <w:rPr>
          <w:rFonts w:hint="default" w:ascii="Times New Roman" w:hAnsi="Times New Roman" w:cs="Times New Roman"/>
          <w:color w:val="auto"/>
          <w:kern w:val="0"/>
          <w:sz w:val="24"/>
          <w:highlight w:val="none"/>
        </w:rPr>
        <w:t>按要求填写工程质量责任登记表</w:t>
      </w:r>
      <w:r>
        <w:rPr>
          <w:rFonts w:hint="default" w:ascii="Times New Roman" w:hAnsi="Times New Roman" w:cs="Times New Roman"/>
          <w:color w:val="auto"/>
          <w:sz w:val="24"/>
          <w:highlight w:val="none"/>
        </w:rPr>
        <w:t>。</w:t>
      </w:r>
    </w:p>
    <w:p w14:paraId="1AFE4F5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13.1.5 本项目严格执行质量责任追究制度。质量事故处理实行</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四不放过</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原则：事故原因调查不清不放过；事故责任者没有受到教育不放过；没有防范措施不放过；相关责任人没受到处理不放过。</w:t>
      </w:r>
    </w:p>
    <w:p w14:paraId="711D01B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65" w:name="_Toc19759"/>
      <w:bookmarkStart w:id="1466" w:name="_Toc8253"/>
      <w:bookmarkStart w:id="1467" w:name="_Toc17602"/>
      <w:bookmarkStart w:id="1468" w:name="_Toc1003"/>
      <w:bookmarkStart w:id="1469" w:name="_Toc234833173"/>
      <w:r>
        <w:rPr>
          <w:rFonts w:hint="default" w:ascii="Times New Roman" w:hAnsi="Times New Roman" w:eastAsia="黑体" w:cs="Times New Roman"/>
          <w:b w:val="0"/>
          <w:color w:val="auto"/>
          <w:sz w:val="24"/>
          <w:szCs w:val="24"/>
          <w:highlight w:val="none"/>
        </w:rPr>
        <w:t>13.2 承包人的质量管理</w:t>
      </w:r>
      <w:bookmarkEnd w:id="1465"/>
      <w:bookmarkEnd w:id="1466"/>
      <w:bookmarkEnd w:id="1467"/>
      <w:bookmarkEnd w:id="1468"/>
      <w:bookmarkEnd w:id="1469"/>
    </w:p>
    <w:p w14:paraId="3752630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第13.2.1项补充：</w:t>
      </w:r>
    </w:p>
    <w:p w14:paraId="0D40EC1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承包人提交工程质量保证措施文件的期限：签订合同协议书后28天之内。</w:t>
      </w:r>
    </w:p>
    <w:p w14:paraId="0C296B4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本款补充第13.2.3项~第13.2.10项：</w:t>
      </w:r>
    </w:p>
    <w:p w14:paraId="5C9427E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13.2.3 公路工程施行质量责任终身制。承包人应当书面明确相应的项目负责人和质量负责人。承包人的相关人员按照国家法律法规和有关规定在工程合理使用年限内承担相应的质量责任。</w:t>
      </w:r>
    </w:p>
    <w:p w14:paraId="1526773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13.2.4 承包人应当建立健全工程质量保证体系，制定质量管理制度，强化工程质量管理措施，完善工程质量目标保障机制；严格遵守国家有关法律、法规和规章，严格执行公路工程强制性技术标准、各类技术规范及规程，全面履行工程合同义务。</w:t>
      </w:r>
    </w:p>
    <w:p w14:paraId="52FB932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13.2.5 承包人对工程施工质量负责，应当按合同约定设立现场质量管理机构、配备工程技术人员和质量管理人员，落实工程施工质量责任制。</w:t>
      </w:r>
    </w:p>
    <w:p w14:paraId="2C11CE4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13.2.6 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418F348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13.2.7 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5A46B9F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13.2.8 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49AD94A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13.2.9 承包人应当依法规范分包行为，并对承担的工程质量负总责，分包单位对分包合同范围内的工程质量负责。</w:t>
      </w:r>
    </w:p>
    <w:p w14:paraId="12F0861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13.2.10 承包人驻工程现场机构应在现场驻地和重要的分部、分项工程施工现场设置明显的工程质量责任登记表公示牌。</w:t>
      </w:r>
    </w:p>
    <w:p w14:paraId="7100286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70" w:name="_Toc17725"/>
      <w:bookmarkStart w:id="1471" w:name="_Toc20957"/>
      <w:bookmarkStart w:id="1472" w:name="_Toc1148"/>
      <w:bookmarkStart w:id="1473" w:name="_Toc21708"/>
      <w:bookmarkStart w:id="1474" w:name="_Toc234833174"/>
      <w:r>
        <w:rPr>
          <w:rFonts w:hint="default" w:ascii="Times New Roman" w:hAnsi="Times New Roman" w:eastAsia="黑体" w:cs="Times New Roman"/>
          <w:b w:val="0"/>
          <w:color w:val="auto"/>
          <w:sz w:val="24"/>
          <w:szCs w:val="24"/>
          <w:highlight w:val="none"/>
        </w:rPr>
        <w:t>13.4 监理人的质量检查</w:t>
      </w:r>
      <w:bookmarkEnd w:id="1470"/>
      <w:bookmarkEnd w:id="1471"/>
      <w:bookmarkEnd w:id="1472"/>
      <w:bookmarkEnd w:id="1473"/>
      <w:bookmarkEnd w:id="1474"/>
    </w:p>
    <w:p w14:paraId="2AB1596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16D3041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监理人及其委派的检验人员，应能进入工程现场，以及材料或工程设备的制造、加工或制配的车间和场所，包括不属于承包人的车间或场所进行检查，承包人应为此提供便利和协助。</w:t>
      </w:r>
    </w:p>
    <w:p w14:paraId="5D0A7DD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监理人可以将材料或工程设备的检查和检验委托给一家独立的有质量检验认证资格的检验单位。该独立检验单位的检验结果应视为监理人完成的。监理人应将这种委托的通知书不少于7天前交给承包人。</w:t>
      </w:r>
    </w:p>
    <w:p w14:paraId="63CD8BC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75" w:name="_Toc24829"/>
      <w:bookmarkStart w:id="1476" w:name="_Toc234833175"/>
      <w:bookmarkStart w:id="1477" w:name="_Toc31604"/>
      <w:bookmarkStart w:id="1478" w:name="_Toc16459"/>
      <w:bookmarkStart w:id="1479" w:name="_Toc25352"/>
      <w:r>
        <w:rPr>
          <w:rFonts w:hint="default" w:ascii="Times New Roman" w:hAnsi="Times New Roman" w:eastAsia="黑体" w:cs="Times New Roman"/>
          <w:b w:val="0"/>
          <w:color w:val="auto"/>
          <w:sz w:val="24"/>
          <w:szCs w:val="24"/>
          <w:highlight w:val="none"/>
        </w:rPr>
        <w:t>13.5 工程隐蔽部位覆盖前的检查</w:t>
      </w:r>
      <w:bookmarkEnd w:id="1475"/>
      <w:bookmarkEnd w:id="1476"/>
      <w:bookmarkEnd w:id="1477"/>
      <w:bookmarkEnd w:id="1478"/>
      <w:bookmarkEnd w:id="1479"/>
    </w:p>
    <w:p w14:paraId="574E02D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第13.5.1项补充：</w:t>
      </w:r>
    </w:p>
    <w:p w14:paraId="04C2069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当监理人有指令时，承包人应对重要隐蔽工程进行拍摄或照相并应保证监理人有充分的机会对将要覆盖或掩蔽的工程进行检查和量测，特别是在基础以上的任一部分工程修筑之前，对该基础进行检查。</w:t>
      </w:r>
    </w:p>
    <w:p w14:paraId="098963F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80" w:name="_Toc27156"/>
      <w:bookmarkStart w:id="1481" w:name="_Toc1659"/>
      <w:bookmarkStart w:id="1482" w:name="_Toc234833176"/>
      <w:bookmarkStart w:id="1483" w:name="_Toc20396"/>
      <w:bookmarkStart w:id="1484" w:name="_Toc19441"/>
      <w:r>
        <w:rPr>
          <w:rFonts w:hint="default" w:ascii="Times New Roman" w:hAnsi="Times New Roman" w:eastAsia="黑体" w:cs="Times New Roman"/>
          <w:b w:val="0"/>
          <w:color w:val="auto"/>
          <w:sz w:val="24"/>
          <w:szCs w:val="24"/>
          <w:highlight w:val="none"/>
        </w:rPr>
        <w:t>13.6 清除不合格工程</w:t>
      </w:r>
      <w:bookmarkEnd w:id="1480"/>
      <w:bookmarkEnd w:id="1481"/>
      <w:bookmarkEnd w:id="1482"/>
      <w:bookmarkEnd w:id="1483"/>
      <w:bookmarkEnd w:id="1484"/>
    </w:p>
    <w:p w14:paraId="593F131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第13.6.1项细化为：</w:t>
      </w:r>
    </w:p>
    <w:p w14:paraId="3057AA6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72BF0DB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（2）如果承包人未在规定时间内执行监理人的指示，发包人有权雇用他人执行，由此增加的费用和（或）工期延误由承包人承担。</w:t>
      </w:r>
    </w:p>
    <w:p w14:paraId="70F91F96">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485" w:name="_Toc10886"/>
      <w:bookmarkStart w:id="1486" w:name="_Toc12972"/>
      <w:bookmarkStart w:id="1487" w:name="_Toc234833177"/>
      <w:bookmarkStart w:id="1488" w:name="_Toc26653"/>
      <w:bookmarkStart w:id="1489" w:name="_Toc17523"/>
      <w:r>
        <w:rPr>
          <w:rFonts w:hint="default" w:ascii="Times New Roman" w:hAnsi="Times New Roman" w:eastAsia="黑体" w:cs="Times New Roman"/>
          <w:b w:val="0"/>
          <w:color w:val="auto"/>
          <w:sz w:val="28"/>
          <w:szCs w:val="28"/>
          <w:highlight w:val="none"/>
        </w:rPr>
        <w:t>14. 试验和检验</w:t>
      </w:r>
      <w:bookmarkEnd w:id="1485"/>
      <w:bookmarkEnd w:id="1486"/>
      <w:bookmarkEnd w:id="1487"/>
      <w:bookmarkEnd w:id="1488"/>
      <w:bookmarkEnd w:id="1489"/>
    </w:p>
    <w:p w14:paraId="2FEC7C80">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本条补充第14.4款：</w:t>
      </w:r>
    </w:p>
    <w:p w14:paraId="600BA37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490" w:name="_Toc18957"/>
      <w:bookmarkStart w:id="1491" w:name="_Toc234833178"/>
      <w:bookmarkStart w:id="1492" w:name="_Toc8486"/>
      <w:bookmarkStart w:id="1493" w:name="_Toc28540"/>
      <w:bookmarkStart w:id="1494" w:name="_Toc9837"/>
      <w:r>
        <w:rPr>
          <w:rFonts w:hint="default" w:ascii="Times New Roman" w:hAnsi="Times New Roman" w:eastAsia="黑体" w:cs="Times New Roman"/>
          <w:b w:val="0"/>
          <w:color w:val="auto"/>
          <w:sz w:val="24"/>
          <w:szCs w:val="24"/>
          <w:highlight w:val="none"/>
        </w:rPr>
        <w:t>14.4 试验和检验费用</w:t>
      </w:r>
      <w:bookmarkEnd w:id="1490"/>
      <w:bookmarkEnd w:id="1491"/>
      <w:bookmarkEnd w:id="1492"/>
      <w:bookmarkEnd w:id="1493"/>
      <w:bookmarkEnd w:id="1494"/>
    </w:p>
    <w:p w14:paraId="284A5EE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（1）承包人应负责提供合同和技术规范规定的试验和检验所需的全部样品，并承担其费用。</w:t>
      </w:r>
    </w:p>
    <w:p w14:paraId="4CF7277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（2）在合同中明确规定的试验和检验，包括无须在工程量清单中单独列项和已在工程量清单中单独列项的试验和检验，其试验和检验的费用由承包人承担。</w:t>
      </w:r>
    </w:p>
    <w:p w14:paraId="1820BCE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6CEE0E99">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495" w:name="_Toc3751"/>
      <w:bookmarkStart w:id="1496" w:name="_Toc24940"/>
      <w:bookmarkStart w:id="1497" w:name="_Toc8627"/>
      <w:bookmarkStart w:id="1498" w:name="_Toc234833179"/>
      <w:bookmarkStart w:id="1499" w:name="_Toc9387"/>
      <w:r>
        <w:rPr>
          <w:rFonts w:hint="default" w:ascii="Times New Roman" w:hAnsi="Times New Roman" w:eastAsia="黑体" w:cs="Times New Roman"/>
          <w:b w:val="0"/>
          <w:color w:val="auto"/>
          <w:sz w:val="28"/>
          <w:szCs w:val="28"/>
          <w:highlight w:val="none"/>
        </w:rPr>
        <w:t>15. 变更</w:t>
      </w:r>
      <w:bookmarkEnd w:id="1495"/>
      <w:bookmarkEnd w:id="1496"/>
      <w:bookmarkEnd w:id="1497"/>
      <w:bookmarkEnd w:id="1498"/>
      <w:bookmarkEnd w:id="1499"/>
    </w:p>
    <w:p w14:paraId="383F841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00" w:name="_Toc234833180"/>
      <w:bookmarkStart w:id="1501" w:name="_Toc9262"/>
      <w:bookmarkStart w:id="1502" w:name="_Toc11885"/>
      <w:bookmarkStart w:id="1503" w:name="_Toc5311"/>
      <w:bookmarkStart w:id="1504" w:name="_Toc25196"/>
      <w:r>
        <w:rPr>
          <w:rFonts w:hint="default" w:ascii="Times New Roman" w:hAnsi="Times New Roman" w:eastAsia="黑体" w:cs="Times New Roman"/>
          <w:b w:val="0"/>
          <w:color w:val="auto"/>
          <w:sz w:val="24"/>
          <w:szCs w:val="24"/>
          <w:highlight w:val="none"/>
        </w:rPr>
        <w:t>15.1 变更的范围和内容</w:t>
      </w:r>
      <w:bookmarkEnd w:id="1500"/>
      <w:bookmarkEnd w:id="1501"/>
      <w:bookmarkEnd w:id="1502"/>
      <w:bookmarkEnd w:id="1503"/>
      <w:bookmarkEnd w:id="1504"/>
    </w:p>
    <w:p w14:paraId="630EE85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本款第（1）项细化为：</w:t>
      </w:r>
    </w:p>
    <w:p w14:paraId="300D6BF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（1）取消合同中任何一项工作，但被取消的工作不能转由发包人或其他人实施，由于承包人违约造成的情况除外；</w:t>
      </w:r>
    </w:p>
    <w:p w14:paraId="22CD5D40">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05" w:name="_Toc15909"/>
      <w:bookmarkStart w:id="1506" w:name="_Toc234833181"/>
      <w:bookmarkStart w:id="1507" w:name="_Toc11045"/>
      <w:bookmarkStart w:id="1508" w:name="_Toc4853"/>
      <w:bookmarkStart w:id="1509" w:name="_Toc26890"/>
      <w:r>
        <w:rPr>
          <w:rFonts w:hint="default" w:ascii="Times New Roman" w:hAnsi="Times New Roman" w:eastAsia="黑体" w:cs="Times New Roman"/>
          <w:b w:val="0"/>
          <w:color w:val="auto"/>
          <w:sz w:val="24"/>
          <w:szCs w:val="24"/>
          <w:highlight w:val="none"/>
        </w:rPr>
        <w:t>15.3 变更程序</w:t>
      </w:r>
      <w:bookmarkEnd w:id="1505"/>
      <w:bookmarkEnd w:id="1506"/>
      <w:bookmarkEnd w:id="1507"/>
      <w:bookmarkEnd w:id="1508"/>
      <w:bookmarkEnd w:id="1509"/>
    </w:p>
    <w:p w14:paraId="7DA705A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本款补充第15.3.4项：</w:t>
      </w:r>
    </w:p>
    <w:p w14:paraId="09848B2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15.3.4 设计变更程序应执行《公路工程设计变更管理办法》的相关规定。</w:t>
      </w:r>
    </w:p>
    <w:p w14:paraId="7309B45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10" w:name="_Toc234833182"/>
      <w:bookmarkStart w:id="1511" w:name="_Toc10432"/>
      <w:bookmarkStart w:id="1512" w:name="_Toc16771"/>
      <w:bookmarkStart w:id="1513" w:name="_Toc24386"/>
      <w:bookmarkStart w:id="1514" w:name="_Toc31295"/>
      <w:r>
        <w:rPr>
          <w:rFonts w:hint="default" w:ascii="Times New Roman" w:hAnsi="Times New Roman" w:eastAsia="黑体" w:cs="Times New Roman"/>
          <w:b w:val="0"/>
          <w:color w:val="auto"/>
          <w:sz w:val="24"/>
          <w:szCs w:val="24"/>
          <w:highlight w:val="none"/>
        </w:rPr>
        <w:t>15.4 变更的估价原则</w:t>
      </w:r>
      <w:bookmarkEnd w:id="1510"/>
      <w:bookmarkEnd w:id="1511"/>
      <w:bookmarkEnd w:id="1512"/>
      <w:bookmarkEnd w:id="1513"/>
      <w:bookmarkEnd w:id="1514"/>
      <w:r>
        <w:rPr>
          <w:rFonts w:hint="default" w:ascii="Times New Roman" w:hAnsi="Times New Roman" w:eastAsia="黑体" w:cs="Times New Roman"/>
          <w:b w:val="0"/>
          <w:color w:val="auto"/>
          <w:sz w:val="24"/>
          <w:szCs w:val="24"/>
          <w:highlight w:val="none"/>
        </w:rPr>
        <w:t xml:space="preserve"> </w:t>
      </w:r>
    </w:p>
    <w:p w14:paraId="2FA884C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4DC6442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除项目专用合同条款另有约定外，因变更引起的价格调整按照本款约定处理。</w:t>
      </w:r>
    </w:p>
    <w:p w14:paraId="27B05F7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15.4.1 如果取消某项工作，则该项工作的总额价不予支付。</w:t>
      </w:r>
    </w:p>
    <w:p w14:paraId="4F1922E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15.4.2 已标价工程量清单中有适用于变更工作的子目的，采用该子目的单价。</w:t>
      </w:r>
    </w:p>
    <w:p w14:paraId="6DA52F4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15.4.3 已标价工程量清单中无适用于变更工作的子目，但有类似子目的，可在合理范围内参照类似子目的单价，由监理人按第3.5款商定或确定变更工作的单价。</w:t>
      </w:r>
    </w:p>
    <w:p w14:paraId="66822AD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15.4.4 已标价工程量清单中无适用或类似子目的单价，可在综合考虑承包人在投标时所提供的单价分析表的基础上，由监理人按第3.5款商定或确定变更工作的单价。</w:t>
      </w:r>
    </w:p>
    <w:p w14:paraId="6A72EAB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15.4.5 如果本工程的变更指示是因承包人过错、承包人违反合同或承包人责任造成的，则这种违约引起的任何额外费用应由承包人承担。</w:t>
      </w:r>
    </w:p>
    <w:p w14:paraId="6B9BC69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15" w:name="_Toc11214"/>
      <w:bookmarkStart w:id="1516" w:name="_Toc234833183"/>
      <w:bookmarkStart w:id="1517" w:name="_Toc31843"/>
      <w:bookmarkStart w:id="1518" w:name="_Toc31098"/>
      <w:bookmarkStart w:id="1519" w:name="_Toc24348"/>
      <w:r>
        <w:rPr>
          <w:rFonts w:hint="default" w:ascii="Times New Roman" w:hAnsi="Times New Roman" w:eastAsia="黑体" w:cs="Times New Roman"/>
          <w:b w:val="0"/>
          <w:color w:val="auto"/>
          <w:sz w:val="24"/>
          <w:szCs w:val="24"/>
          <w:highlight w:val="none"/>
        </w:rPr>
        <w:t>15.5 承包人的合理化建议</w:t>
      </w:r>
      <w:bookmarkEnd w:id="1515"/>
      <w:bookmarkEnd w:id="1516"/>
      <w:bookmarkEnd w:id="1517"/>
      <w:bookmarkEnd w:id="1518"/>
      <w:bookmarkEnd w:id="1519"/>
    </w:p>
    <w:p w14:paraId="2C23E49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第15.5.2项约定为：</w:t>
      </w:r>
    </w:p>
    <w:p w14:paraId="68F0F976">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承包人提出的合理化建议缩短了工期，发包人按第11.6款的规定给予奖励。</w:t>
      </w:r>
    </w:p>
    <w:p w14:paraId="5A92D842">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承包人提出的合理化建议降低了合同价格或者提高了工程经济效益的，发包人按项目专用合同条款数据表中规定的金额给予奖励。</w:t>
      </w:r>
    </w:p>
    <w:p w14:paraId="4C9A676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20" w:name="_Toc18139"/>
      <w:bookmarkStart w:id="1521" w:name="_Toc4473"/>
      <w:bookmarkStart w:id="1522" w:name="_Toc31508"/>
      <w:bookmarkStart w:id="1523" w:name="_Toc10877"/>
      <w:bookmarkStart w:id="1524" w:name="_Toc234833184"/>
      <w:r>
        <w:rPr>
          <w:rFonts w:hint="default" w:ascii="Times New Roman" w:hAnsi="Times New Roman" w:eastAsia="黑体" w:cs="Times New Roman"/>
          <w:b w:val="0"/>
          <w:color w:val="auto"/>
          <w:sz w:val="24"/>
          <w:szCs w:val="24"/>
          <w:highlight w:val="none"/>
        </w:rPr>
        <w:t>15.6暂列金额</w:t>
      </w:r>
      <w:bookmarkEnd w:id="1520"/>
      <w:bookmarkEnd w:id="1521"/>
      <w:bookmarkEnd w:id="1522"/>
      <w:bookmarkEnd w:id="1523"/>
      <w:bookmarkEnd w:id="1524"/>
    </w:p>
    <w:p w14:paraId="1B1E87C0">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66C1AFF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15.6.1 暂列金额应由监理人报发包人批准后指令全部或部分地使用，或者根本不予动用。</w:t>
      </w:r>
    </w:p>
    <w:p w14:paraId="23B305A6">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15.6.2 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16305D64">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15.6.3 当监理人提出要求时，承包人应提供有关暂列金额支出的所有报价单、发票、凭证和账单或收据，除非该工作是根据已标价工程量清单列明的单价或总额价进行的估价。</w:t>
      </w:r>
    </w:p>
    <w:p w14:paraId="5280418F">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525" w:name="_Toc234833185"/>
      <w:bookmarkStart w:id="1526" w:name="_Toc6229"/>
      <w:bookmarkStart w:id="1527" w:name="_Toc25734"/>
      <w:bookmarkStart w:id="1528" w:name="_Toc3192"/>
      <w:bookmarkStart w:id="1529" w:name="_Toc10292"/>
      <w:r>
        <w:rPr>
          <w:rFonts w:hint="default" w:ascii="Times New Roman" w:hAnsi="Times New Roman" w:eastAsia="黑体" w:cs="Times New Roman"/>
          <w:b w:val="0"/>
          <w:color w:val="auto"/>
          <w:sz w:val="28"/>
          <w:szCs w:val="28"/>
          <w:highlight w:val="none"/>
        </w:rPr>
        <w:t>16. 价格调整</w:t>
      </w:r>
      <w:bookmarkEnd w:id="1525"/>
      <w:bookmarkEnd w:id="1526"/>
      <w:bookmarkEnd w:id="1527"/>
      <w:bookmarkEnd w:id="1528"/>
      <w:bookmarkEnd w:id="1529"/>
    </w:p>
    <w:p w14:paraId="12F5E876">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30" w:name="_Toc25323"/>
      <w:bookmarkStart w:id="1531" w:name="_Toc11157"/>
      <w:bookmarkStart w:id="1532" w:name="_Toc11540"/>
      <w:bookmarkStart w:id="1533" w:name="_Toc925"/>
      <w:bookmarkStart w:id="1534" w:name="_Toc234833186"/>
      <w:r>
        <w:rPr>
          <w:rFonts w:hint="default" w:ascii="Times New Roman" w:hAnsi="Times New Roman" w:eastAsia="黑体" w:cs="Times New Roman"/>
          <w:b w:val="0"/>
          <w:color w:val="auto"/>
          <w:sz w:val="24"/>
          <w:szCs w:val="24"/>
          <w:highlight w:val="none"/>
        </w:rPr>
        <w:t>16.1 物价波动引起的价格调整</w:t>
      </w:r>
      <w:bookmarkEnd w:id="1530"/>
      <w:bookmarkEnd w:id="1531"/>
      <w:bookmarkEnd w:id="1532"/>
      <w:bookmarkEnd w:id="1533"/>
      <w:bookmarkEnd w:id="1534"/>
    </w:p>
    <w:p w14:paraId="3EFEB4F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2AC8C56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（1）除项目专用合同条款另有约定外，因物价波动引起的价格调整应按项目专用合同条款数据表的规定，按照第16.1.1项或第16.1.2项约定的原则处理；或者</w:t>
      </w:r>
    </w:p>
    <w:p w14:paraId="22A6DFC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（2）在合同执行期间（包括工期拖延期间）由于人工、材料和设备价格的上涨而引起工程施工成本增加的风险由承包人自行承担，合同价格不会因此而调整。</w:t>
      </w:r>
    </w:p>
    <w:p w14:paraId="6CC5DBE8">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16.1.1 </w:t>
      </w:r>
      <w:r>
        <w:rPr>
          <w:rFonts w:hint="default" w:ascii="Times New Roman" w:hAnsi="Times New Roman" w:eastAsia="黑体" w:cs="Times New Roman"/>
          <w:color w:val="auto"/>
          <w:sz w:val="24"/>
          <w:highlight w:val="none"/>
        </w:rPr>
        <w:t>采用价格指数调整价格差额</w:t>
      </w:r>
    </w:p>
    <w:p w14:paraId="47814F0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16.1.1.1 价格调整公式</w:t>
      </w:r>
    </w:p>
    <w:p w14:paraId="757539E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价格调整公式后增加备注如下：</w:t>
      </w:r>
    </w:p>
    <w:p w14:paraId="458696EE">
      <w:pPr>
        <w:pageBreakBefore w:val="0"/>
        <w:kinsoku/>
        <w:wordWrap w:val="0"/>
        <w:bidi w:val="0"/>
        <w:spacing w:line="400" w:lineRule="atLeast"/>
        <w:ind w:firstLine="746" w:firstLineChars="311"/>
        <w:rPr>
          <w:rFonts w:hint="default" w:ascii="Times New Roman" w:hAnsi="Times New Roman" w:cs="Times New Roman"/>
          <w:color w:val="auto"/>
          <w:sz w:val="24"/>
          <w:highlight w:val="none"/>
        </w:rPr>
      </w:pPr>
      <w:r>
        <w:rPr>
          <w:rFonts w:hint="default" w:ascii="Times New Roman" w:hAnsi="Times New Roman" w:cs="Times New Roman"/>
          <w:bCs/>
          <w:color w:val="auto"/>
          <w:sz w:val="24"/>
          <w:highlight w:val="none"/>
        </w:rPr>
        <w:t>式中，</w:t>
      </w:r>
      <w:r>
        <w:rPr>
          <w:rFonts w:hint="default" w:ascii="Times New Roman" w:hAnsi="Times New Roman" w:cs="Times New Roman"/>
          <w:b/>
          <w:bCs/>
          <w:color w:val="auto"/>
          <w:sz w:val="24"/>
          <w:highlight w:val="none"/>
        </w:rPr>
        <w:t>A=1－（B</w:t>
      </w:r>
      <w:r>
        <w:rPr>
          <w:rFonts w:hint="default" w:ascii="Times New Roman" w:hAnsi="Times New Roman" w:cs="Times New Roman"/>
          <w:b/>
          <w:bCs/>
          <w:color w:val="auto"/>
          <w:sz w:val="24"/>
          <w:highlight w:val="none"/>
          <w:vertAlign w:val="subscript"/>
        </w:rPr>
        <w:t>1</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2</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3</w:t>
      </w:r>
      <w:r>
        <w:rPr>
          <w:rFonts w:hint="default" w:ascii="Times New Roman" w:hAnsi="Times New Roman" w:cs="Times New Roman"/>
          <w:b/>
          <w:bCs/>
          <w:color w:val="auto"/>
          <w:sz w:val="24"/>
          <w:highlight w:val="none"/>
        </w:rPr>
        <w:t>＋</w:t>
      </w:r>
      <w:r>
        <w:rPr>
          <w:rFonts w:hint="default" w:ascii="Times New Roman" w:hAnsi="Times New Roman" w:cs="Times New Roman"/>
          <w:b/>
          <w:bCs/>
          <w:color w:val="auto"/>
          <w:sz w:val="24"/>
          <w:highlight w:val="none"/>
          <w:vertAlign w:val="subscript"/>
        </w:rPr>
        <w:t>……</w:t>
      </w:r>
      <w:r>
        <w:rPr>
          <w:rFonts w:hint="default" w:ascii="Times New Roman" w:hAnsi="Times New Roman" w:cs="Times New Roman"/>
          <w:b/>
          <w:bCs/>
          <w:color w:val="auto"/>
          <w:sz w:val="24"/>
          <w:highlight w:val="none"/>
        </w:rPr>
        <w:t>＋B</w:t>
      </w:r>
      <w:r>
        <w:rPr>
          <w:rFonts w:hint="default" w:ascii="Times New Roman" w:hAnsi="Times New Roman" w:cs="Times New Roman"/>
          <w:b/>
          <w:bCs/>
          <w:color w:val="auto"/>
          <w:sz w:val="24"/>
          <w:highlight w:val="none"/>
          <w:vertAlign w:val="subscript"/>
        </w:rPr>
        <w:t>n</w:t>
      </w:r>
      <w:r>
        <w:rPr>
          <w:rFonts w:hint="default" w:ascii="Times New Roman" w:hAnsi="Times New Roman" w:cs="Times New Roman"/>
          <w:b/>
          <w:bCs/>
          <w:color w:val="auto"/>
          <w:sz w:val="24"/>
          <w:highlight w:val="none"/>
        </w:rPr>
        <w:t>）</w:t>
      </w:r>
      <w:r>
        <w:rPr>
          <w:rFonts w:hint="default" w:ascii="Times New Roman" w:hAnsi="Times New Roman" w:cs="Times New Roman"/>
          <w:color w:val="auto"/>
          <w:sz w:val="24"/>
          <w:highlight w:val="none"/>
        </w:rPr>
        <w:t>。</w:t>
      </w:r>
    </w:p>
    <w:p w14:paraId="5A6DA60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本目最后一段文字细化为：</w:t>
      </w:r>
    </w:p>
    <w:p w14:paraId="781F732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在采用价格调整公式进行调价时，还应遵守以下规定：</w:t>
      </w:r>
    </w:p>
    <w:p w14:paraId="63156353">
      <w:pPr>
        <w:pageBreakBefore w:val="0"/>
        <w:kinsoku/>
        <w:wordWrap w:val="0"/>
        <w:bidi w:val="0"/>
        <w:spacing w:line="400" w:lineRule="atLeast"/>
        <w:ind w:firstLine="477" w:firstLineChars="19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6E3313A2">
      <w:pPr>
        <w:pageBreakBefore w:val="0"/>
        <w:kinsoku/>
        <w:wordWrap w:val="0"/>
        <w:bidi w:val="0"/>
        <w:spacing w:line="400" w:lineRule="atLeast"/>
        <w:ind w:firstLine="477" w:firstLineChars="19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63E42DB7">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535" w:name="_Toc234833187"/>
      <w:bookmarkStart w:id="1536" w:name="_Toc18133"/>
      <w:bookmarkStart w:id="1537" w:name="_Toc29558"/>
      <w:bookmarkStart w:id="1538" w:name="_Toc12404"/>
      <w:bookmarkStart w:id="1539" w:name="_Toc13648"/>
      <w:r>
        <w:rPr>
          <w:rFonts w:hint="default" w:ascii="Times New Roman" w:hAnsi="Times New Roman" w:eastAsia="黑体" w:cs="Times New Roman"/>
          <w:b w:val="0"/>
          <w:color w:val="auto"/>
          <w:sz w:val="28"/>
          <w:szCs w:val="28"/>
          <w:highlight w:val="none"/>
        </w:rPr>
        <w:t>17. 计量与支付</w:t>
      </w:r>
      <w:bookmarkEnd w:id="1535"/>
      <w:bookmarkEnd w:id="1536"/>
      <w:bookmarkEnd w:id="1537"/>
      <w:bookmarkEnd w:id="1538"/>
      <w:bookmarkEnd w:id="1539"/>
    </w:p>
    <w:p w14:paraId="5BA13079">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40" w:name="_Toc22272"/>
      <w:bookmarkStart w:id="1541" w:name="_Toc30341"/>
      <w:bookmarkStart w:id="1542" w:name="_Toc23776"/>
      <w:bookmarkStart w:id="1543" w:name="_Toc10995"/>
      <w:bookmarkStart w:id="1544" w:name="_Toc234833188"/>
      <w:r>
        <w:rPr>
          <w:rFonts w:hint="default" w:ascii="Times New Roman" w:hAnsi="Times New Roman" w:eastAsia="黑体" w:cs="Times New Roman"/>
          <w:b w:val="0"/>
          <w:color w:val="auto"/>
          <w:sz w:val="24"/>
          <w:szCs w:val="24"/>
          <w:highlight w:val="none"/>
        </w:rPr>
        <w:t>17.1 计量</w:t>
      </w:r>
      <w:bookmarkEnd w:id="1540"/>
      <w:bookmarkEnd w:id="1541"/>
      <w:bookmarkEnd w:id="1542"/>
      <w:bookmarkEnd w:id="1543"/>
      <w:bookmarkEnd w:id="1544"/>
      <w:r>
        <w:rPr>
          <w:rFonts w:hint="default" w:ascii="Times New Roman" w:hAnsi="Times New Roman" w:eastAsia="黑体" w:cs="Times New Roman"/>
          <w:b w:val="0"/>
          <w:color w:val="auto"/>
          <w:sz w:val="24"/>
          <w:szCs w:val="24"/>
          <w:highlight w:val="none"/>
        </w:rPr>
        <w:t xml:space="preserve"> </w:t>
      </w:r>
    </w:p>
    <w:p w14:paraId="5B618FBC">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17.1.2 </w:t>
      </w:r>
      <w:r>
        <w:rPr>
          <w:rFonts w:hint="default" w:ascii="Times New Roman" w:hAnsi="Times New Roman" w:eastAsia="黑体" w:cs="Times New Roman"/>
          <w:color w:val="auto"/>
          <w:sz w:val="24"/>
          <w:highlight w:val="none"/>
        </w:rPr>
        <w:t>计量方法</w:t>
      </w:r>
    </w:p>
    <w:p w14:paraId="75C145F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53FB4B4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工程的计量应以净值为准，除非项目专用合同条款另有约定。工程量清单中各个子目的具体计量方法按本合同文件工程量清单计量规则中的规定执行。</w:t>
      </w:r>
    </w:p>
    <w:p w14:paraId="3B0AF175">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17.1.4 </w:t>
      </w:r>
      <w:r>
        <w:rPr>
          <w:rFonts w:hint="default" w:ascii="Times New Roman" w:hAnsi="Times New Roman" w:eastAsia="黑体" w:cs="Times New Roman"/>
          <w:color w:val="auto"/>
          <w:sz w:val="24"/>
          <w:highlight w:val="none"/>
        </w:rPr>
        <w:t>单价子目的计量</w:t>
      </w:r>
    </w:p>
    <w:p w14:paraId="74E69D4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w:t>
      </w:r>
    </w:p>
    <w:p w14:paraId="335A21B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（7）承包人未在已标价工程量清单中填入单价或总额价的工程子目，将被认为其已包含在本合同的其他子目的单价和总额价中，发包人将不另行支付。</w:t>
      </w:r>
    </w:p>
    <w:p w14:paraId="6E1A029C">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17.1.5 </w:t>
      </w:r>
      <w:r>
        <w:rPr>
          <w:rFonts w:hint="default" w:ascii="Times New Roman" w:hAnsi="Times New Roman" w:eastAsia="黑体" w:cs="Times New Roman"/>
          <w:color w:val="auto"/>
          <w:sz w:val="24"/>
          <w:highlight w:val="none"/>
        </w:rPr>
        <w:t>总价子目的计量</w:t>
      </w:r>
    </w:p>
    <w:p w14:paraId="5275EB58">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本项补充：</w:t>
      </w:r>
    </w:p>
    <w:p w14:paraId="40B04FEC">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本项目工程量清单中要求承包人以</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总额</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方式报价的子目，各子目的支付原则和支付进度按项目专用合同条款的规定执行。</w:t>
      </w:r>
    </w:p>
    <w:p w14:paraId="2AB9452D">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45" w:name="_Toc15810"/>
      <w:bookmarkStart w:id="1546" w:name="_Toc10842"/>
      <w:bookmarkStart w:id="1547" w:name="_Toc234833189"/>
      <w:bookmarkStart w:id="1548" w:name="_Toc1940"/>
      <w:bookmarkStart w:id="1549" w:name="_Toc23977"/>
      <w:r>
        <w:rPr>
          <w:rFonts w:hint="default" w:ascii="Times New Roman" w:hAnsi="Times New Roman" w:eastAsia="黑体" w:cs="Times New Roman"/>
          <w:b w:val="0"/>
          <w:color w:val="auto"/>
          <w:sz w:val="24"/>
          <w:szCs w:val="24"/>
          <w:highlight w:val="none"/>
        </w:rPr>
        <w:t>17.2 预付款</w:t>
      </w:r>
      <w:bookmarkEnd w:id="1545"/>
      <w:bookmarkEnd w:id="1546"/>
      <w:bookmarkEnd w:id="1547"/>
      <w:bookmarkEnd w:id="1548"/>
      <w:bookmarkEnd w:id="1549"/>
    </w:p>
    <w:p w14:paraId="526AC4EA">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17.2.1</w:t>
      </w:r>
      <w:r>
        <w:rPr>
          <w:rFonts w:hint="default" w:ascii="Times New Roman" w:hAnsi="Times New Roman" w:eastAsia="黑体" w:cs="Times New Roman"/>
          <w:color w:val="auto"/>
          <w:sz w:val="24"/>
          <w:highlight w:val="none"/>
        </w:rPr>
        <w:t>预付款</w:t>
      </w:r>
    </w:p>
    <w:p w14:paraId="164F95B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2E2D960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预付款包括开工预付款和材料、设备预付款。具体额度和预付办法如下：</w:t>
      </w:r>
    </w:p>
    <w:p w14:paraId="74F079A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（1）开工预付款的金额在项目专用合同条款数据表中约定。在承包人签订了合同协议书且承包人承诺的主要设备进场后，监理人应在当期进度付款证书中向承包人支付开工预付款。</w:t>
      </w:r>
    </w:p>
    <w:p w14:paraId="21E994E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承包人不得将该预付款用于与本工程无关的支出，监理人有权监督承包人对该项费用的使用，如经查实承包人滥用开工预付款，发包人有权立即向银行索赔履约保证金，并解除合同。</w:t>
      </w:r>
    </w:p>
    <w:p w14:paraId="0734292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（2）材料、设备预付款按项目专用合同条款数据表中所列主要材料、设备单据费用（进口的材料、设备为到岸价，国内采购的为出厂价或销售价，地方材料为堆场价）的百分比支付。其预付条件为：</w:t>
      </w:r>
    </w:p>
    <w:p w14:paraId="34A74DE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a. 材料、设备符合规范要求并经监理人认可；</w:t>
      </w:r>
    </w:p>
    <w:p w14:paraId="3452628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b. 承包人已出具材料、设备费用凭证或支付单据；</w:t>
      </w:r>
    </w:p>
    <w:p w14:paraId="5914513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c. 材料、设备已在现场交货，且存储良好，监理人认为材料、设备的存储方法符合要求。</w:t>
      </w:r>
    </w:p>
    <w:p w14:paraId="50E56B4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则监理人应将此项金额作为材料、设备预付款计入下一次的进度付款证书中。在预计交工前3个月，将不再支付材料、设备预付款。</w:t>
      </w:r>
    </w:p>
    <w:p w14:paraId="10AB831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17.2.2 </w:t>
      </w:r>
      <w:r>
        <w:rPr>
          <w:rFonts w:hint="default" w:ascii="Times New Roman" w:hAnsi="Times New Roman" w:eastAsia="黑体" w:cs="Times New Roman"/>
          <w:color w:val="auto"/>
          <w:sz w:val="24"/>
          <w:highlight w:val="none"/>
        </w:rPr>
        <w:t>预付款保函</w:t>
      </w:r>
    </w:p>
    <w:p w14:paraId="35106CD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5A71601C">
      <w:pPr>
        <w:pageBreakBefore w:val="0"/>
        <w:kinsoku/>
        <w:wordWrap w:val="0"/>
        <w:bidi w:val="0"/>
        <w:spacing w:line="400" w:lineRule="atLeast"/>
        <w:ind w:firstLine="480" w:firstLineChars="2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承包人无须向发包人提交预付款保函。发包人向承包人支付的预付款，应按照本合同第17.2.1项规定使用，承包人提交的履约保证金对预付款的正常使用承担保证责任。</w:t>
      </w:r>
    </w:p>
    <w:p w14:paraId="5B8A1D88">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17.2.3 </w:t>
      </w:r>
      <w:r>
        <w:rPr>
          <w:rFonts w:hint="default" w:ascii="Times New Roman" w:hAnsi="Times New Roman" w:eastAsia="黑体" w:cs="Times New Roman"/>
          <w:color w:val="auto"/>
          <w:sz w:val="24"/>
          <w:highlight w:val="none"/>
        </w:rPr>
        <w:t>预付款的扣回与还清</w:t>
      </w:r>
    </w:p>
    <w:p w14:paraId="1E5F874A">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54A7E75A">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t>
      </w:r>
    </w:p>
    <w:p w14:paraId="1690A8F3">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（2）当材料、设备已用于或安装在永久工程之中时，材料、设备预付款应从进度付款证书中扣回，扣回期不超过3个月。已经支付材料、设备预付款的材料、设备的所有权应属于发包人。</w:t>
      </w:r>
    </w:p>
    <w:p w14:paraId="4E26B88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50" w:name="_Toc32286"/>
      <w:bookmarkStart w:id="1551" w:name="_Toc234833190"/>
      <w:bookmarkStart w:id="1552" w:name="_Toc30179"/>
      <w:bookmarkStart w:id="1553" w:name="_Toc24114"/>
      <w:bookmarkStart w:id="1554" w:name="_Toc27923"/>
      <w:r>
        <w:rPr>
          <w:rFonts w:hint="default" w:ascii="Times New Roman" w:hAnsi="Times New Roman" w:eastAsia="黑体" w:cs="Times New Roman"/>
          <w:b w:val="0"/>
          <w:color w:val="auto"/>
          <w:sz w:val="24"/>
          <w:szCs w:val="24"/>
          <w:highlight w:val="none"/>
        </w:rPr>
        <w:t>17.3 工程进度付款</w:t>
      </w:r>
      <w:bookmarkEnd w:id="1550"/>
      <w:bookmarkEnd w:id="1551"/>
      <w:bookmarkEnd w:id="1552"/>
      <w:bookmarkEnd w:id="1553"/>
      <w:bookmarkEnd w:id="1554"/>
    </w:p>
    <w:p w14:paraId="4EFB6535">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17.3.3 </w:t>
      </w:r>
      <w:r>
        <w:rPr>
          <w:rFonts w:hint="default" w:ascii="Times New Roman" w:hAnsi="Times New Roman" w:eastAsia="黑体" w:cs="Times New Roman"/>
          <w:color w:val="auto"/>
          <w:sz w:val="24"/>
          <w:highlight w:val="none"/>
        </w:rPr>
        <w:t>进度付款证书和支付时间</w:t>
      </w:r>
    </w:p>
    <w:p w14:paraId="329F1D0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本项（1）目补充：</w:t>
      </w:r>
    </w:p>
    <w:p w14:paraId="7CA9D15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738E0A5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4BF6D30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发包人应在监理人收到进度付款申请单且承包人提交了合格的增值税专用发票后的28天内，将进度应付款支付给承包人。</w:t>
      </w:r>
    </w:p>
    <w:p w14:paraId="1D663B4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发包人不按期支付的，按项目专用合同条款数据表中约定的利率向承包人支付逾期付款违约金。违约金计算基数为发包人的全部未付款额，时间从应付而未付该款额之日算起（不计复利）。</w:t>
      </w:r>
    </w:p>
    <w:p w14:paraId="4B0111E9">
      <w:pPr>
        <w:pageBreakBefore w:val="0"/>
        <w:widowControl/>
        <w:kinsoku/>
        <w:wordWrap w:val="0"/>
        <w:bidi w:val="0"/>
        <w:spacing w:line="42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本款补充第17.3.5项：</w:t>
      </w:r>
    </w:p>
    <w:p w14:paraId="03066C7F">
      <w:pPr>
        <w:pageBreakBefore w:val="0"/>
        <w:kinsoku/>
        <w:wordWrap w:val="0"/>
        <w:bidi w:val="0"/>
        <w:spacing w:line="42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17.3.5 </w:t>
      </w:r>
      <w:r>
        <w:rPr>
          <w:rFonts w:hint="default" w:ascii="Times New Roman" w:hAnsi="Times New Roman" w:eastAsia="黑体" w:cs="Times New Roman"/>
          <w:color w:val="auto"/>
          <w:sz w:val="24"/>
          <w:highlight w:val="none"/>
        </w:rPr>
        <w:t>农民工工资保证金</w:t>
      </w:r>
    </w:p>
    <w:p w14:paraId="0C81696D">
      <w:pPr>
        <w:pageBreakBefore w:val="0"/>
        <w:widowControl/>
        <w:kinsoku/>
        <w:wordWrap w:val="0"/>
        <w:bidi w:val="0"/>
        <w:spacing w:line="42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（1）为确保施工过程中农民工工资实时、足额发放到位，承包人应按照项目专用合同条款约定的时间和金额缴存农民工工资保证金。</w:t>
      </w:r>
    </w:p>
    <w:p w14:paraId="4C9E33CF">
      <w:pPr>
        <w:pageBreakBefore w:val="0"/>
        <w:widowControl/>
        <w:kinsoku/>
        <w:wordWrap w:val="0"/>
        <w:bidi w:val="0"/>
        <w:spacing w:line="42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（2）农民工工资保证金可采用银行保函或现金、支票形式。采用银行保函时，出具保函的银行须具有相应担保能力，且按照发包人批准的格式出具，所需费用由承包人承担。</w:t>
      </w:r>
    </w:p>
    <w:p w14:paraId="0346D387">
      <w:pPr>
        <w:pageBreakBefore w:val="0"/>
        <w:widowControl/>
        <w:kinsoku/>
        <w:wordWrap w:val="0"/>
        <w:bidi w:val="0"/>
        <w:spacing w:line="42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（3）农民工工资保证金的扣留条件、返还时间按照项目专用合同条款的约定执行。</w:t>
      </w:r>
    </w:p>
    <w:p w14:paraId="5E65176A">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55" w:name="_Toc31836"/>
      <w:bookmarkStart w:id="1556" w:name="_Toc29571"/>
      <w:bookmarkStart w:id="1557" w:name="_Toc4893"/>
      <w:bookmarkStart w:id="1558" w:name="_Toc234833191"/>
      <w:bookmarkStart w:id="1559" w:name="_Toc29743"/>
      <w:r>
        <w:rPr>
          <w:rFonts w:hint="default" w:ascii="Times New Roman" w:hAnsi="Times New Roman" w:eastAsia="黑体" w:cs="Times New Roman"/>
          <w:b w:val="0"/>
          <w:color w:val="auto"/>
          <w:sz w:val="24"/>
          <w:szCs w:val="24"/>
          <w:highlight w:val="none"/>
        </w:rPr>
        <w:t>17.4 质量保证金</w:t>
      </w:r>
      <w:bookmarkEnd w:id="1555"/>
      <w:bookmarkEnd w:id="1556"/>
      <w:bookmarkEnd w:id="1557"/>
      <w:bookmarkEnd w:id="1558"/>
      <w:bookmarkEnd w:id="1559"/>
    </w:p>
    <w:p w14:paraId="49177B4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第17.4.1项、第17.4.2项细化为：</w:t>
      </w:r>
    </w:p>
    <w:p w14:paraId="40FB6CE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17.4.1 交工验收证书签发后14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7557F150">
      <w:pPr>
        <w:pageBreakBefore w:val="0"/>
        <w:kinsoku/>
        <w:wordWrap w:val="0"/>
        <w:bidi w:val="0"/>
        <w:spacing w:line="400" w:lineRule="atLeast"/>
        <w:ind w:firstLine="480" w:firstLineChars="200"/>
        <w:rPr>
          <w:rFonts w:hint="default" w:ascii="Times New Roman" w:hAnsi="Times New Roman" w:eastAsia="宋体 ，Arial" w:cs="Times New Roman"/>
          <w:color w:val="auto"/>
          <w:kern w:val="0"/>
          <w:sz w:val="24"/>
          <w:highlight w:val="none"/>
        </w:rPr>
      </w:pPr>
      <w:r>
        <w:rPr>
          <w:rFonts w:hint="default" w:ascii="Times New Roman" w:hAnsi="Times New Roman" w:cs="Times New Roman"/>
          <w:color w:val="auto"/>
          <w:sz w:val="24"/>
          <w:highlight w:val="none"/>
        </w:rPr>
        <w:t>质量保证金采用现金、支票形式提交的，发包人应在项目专用合同条款数据表中明确是否</w:t>
      </w:r>
      <w:r>
        <w:rPr>
          <w:rFonts w:hint="default" w:ascii="Times New Roman" w:hAnsi="Times New Roman" w:eastAsia="宋体 ，Arial" w:cs="Times New Roman"/>
          <w:color w:val="auto"/>
          <w:kern w:val="0"/>
          <w:sz w:val="24"/>
          <w:highlight w:val="none"/>
        </w:rPr>
        <w:t>计付利息以及利息的计算方式。</w:t>
      </w:r>
    </w:p>
    <w:p w14:paraId="6C67227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17.4.2 在第1.1.4.5目约定的缺陷责任期满，且质量监督机构已按规定对工程质量检测鉴定合格，承包人向发包人申请到期应返还承包人剩余的质量保证金金额，发包人应在14天内会同承包人按照合同约定的内容核实承包人是否完成缺陷责任。如无异议，发包人应当在核实后将剩余保证金返还承包人。</w:t>
      </w:r>
    </w:p>
    <w:p w14:paraId="0C3AE4A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60" w:name="_Toc234833192"/>
      <w:bookmarkStart w:id="1561" w:name="_Toc1942"/>
      <w:bookmarkStart w:id="1562" w:name="_Toc14691"/>
      <w:bookmarkStart w:id="1563" w:name="_Toc3090"/>
      <w:bookmarkStart w:id="1564" w:name="_Toc1771"/>
      <w:r>
        <w:rPr>
          <w:rFonts w:hint="default" w:ascii="Times New Roman" w:hAnsi="Times New Roman" w:eastAsia="黑体" w:cs="Times New Roman"/>
          <w:b w:val="0"/>
          <w:color w:val="auto"/>
          <w:sz w:val="24"/>
          <w:szCs w:val="24"/>
          <w:highlight w:val="none"/>
        </w:rPr>
        <w:t>17.5 交工结算</w:t>
      </w:r>
      <w:bookmarkEnd w:id="1560"/>
      <w:bookmarkEnd w:id="1561"/>
      <w:bookmarkEnd w:id="1562"/>
      <w:bookmarkEnd w:id="1563"/>
      <w:bookmarkEnd w:id="1564"/>
    </w:p>
    <w:p w14:paraId="66C1B535">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17.5.1 </w:t>
      </w:r>
      <w:r>
        <w:rPr>
          <w:rFonts w:hint="default" w:ascii="Times New Roman" w:hAnsi="Times New Roman" w:eastAsia="黑体" w:cs="Times New Roman"/>
          <w:color w:val="auto"/>
          <w:sz w:val="24"/>
          <w:highlight w:val="none"/>
        </w:rPr>
        <w:t>交工付款申请单</w:t>
      </w:r>
    </w:p>
    <w:p w14:paraId="35C6C03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本项（1）目约定为：</w:t>
      </w:r>
    </w:p>
    <w:p w14:paraId="7C02B08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承包人向监理人提交交工付款申请单（包括相关证明材料）的份数在项目专用合同条款数据表中约定；期限：交工验收证书签发后42天内。</w:t>
      </w:r>
    </w:p>
    <w:p w14:paraId="2D1E5202">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17.5.2 </w:t>
      </w:r>
      <w:r>
        <w:rPr>
          <w:rFonts w:hint="default" w:ascii="Times New Roman" w:hAnsi="Times New Roman" w:eastAsia="黑体" w:cs="Times New Roman"/>
          <w:color w:val="auto"/>
          <w:sz w:val="24"/>
          <w:highlight w:val="none"/>
        </w:rPr>
        <w:t>交工付款证书及支付时间</w:t>
      </w:r>
    </w:p>
    <w:p w14:paraId="7D09F3C3">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本项（2）目细化为：</w:t>
      </w:r>
    </w:p>
    <w:p w14:paraId="35DAD15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发包人应在监理人出具交工付款证书且承包人提交了合格的增值税专用发票后的14天内，将应支付款支付给承包人。发包人不按期支付的，按第17.3.3（2）目的约定，将逾期付款违约金支付给承包人。</w:t>
      </w:r>
    </w:p>
    <w:p w14:paraId="35563E3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65" w:name="_Toc234833193"/>
      <w:bookmarkStart w:id="1566" w:name="_Toc11950"/>
      <w:bookmarkStart w:id="1567" w:name="_Toc792"/>
      <w:bookmarkStart w:id="1568" w:name="_Toc11156"/>
      <w:bookmarkStart w:id="1569" w:name="_Toc19025"/>
      <w:r>
        <w:rPr>
          <w:rFonts w:hint="default" w:ascii="Times New Roman" w:hAnsi="Times New Roman" w:eastAsia="黑体" w:cs="Times New Roman"/>
          <w:b w:val="0"/>
          <w:color w:val="auto"/>
          <w:sz w:val="24"/>
          <w:szCs w:val="24"/>
          <w:highlight w:val="none"/>
        </w:rPr>
        <w:t>17.6 最终结清</w:t>
      </w:r>
      <w:bookmarkEnd w:id="1565"/>
      <w:bookmarkEnd w:id="1566"/>
      <w:bookmarkEnd w:id="1567"/>
      <w:bookmarkEnd w:id="1568"/>
      <w:bookmarkEnd w:id="1569"/>
    </w:p>
    <w:p w14:paraId="51BB54C0">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17.6.1 </w:t>
      </w:r>
      <w:r>
        <w:rPr>
          <w:rFonts w:hint="default" w:ascii="Times New Roman" w:hAnsi="Times New Roman" w:eastAsia="黑体" w:cs="Times New Roman"/>
          <w:color w:val="auto"/>
          <w:sz w:val="24"/>
          <w:highlight w:val="none"/>
        </w:rPr>
        <w:t>最终结清申请单</w:t>
      </w:r>
    </w:p>
    <w:p w14:paraId="6C1E66C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本项（1）目约定为：</w:t>
      </w:r>
    </w:p>
    <w:p w14:paraId="61399B3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承包人向监理人提交最终结清申请单（包括相关证明材料）的份数在项目专用合同条款数据表中约定；期限：缺陷责任期终止证书签发后28天内。</w:t>
      </w:r>
    </w:p>
    <w:p w14:paraId="5B2B5B9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最终结清申请单中的总金额应认为是代表了根据合同规定应付给承包人的全部款项的最后结算。</w:t>
      </w:r>
    </w:p>
    <w:p w14:paraId="3E6D1EDA">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17.6.2 </w:t>
      </w:r>
      <w:r>
        <w:rPr>
          <w:rFonts w:hint="default" w:ascii="Times New Roman" w:hAnsi="Times New Roman" w:eastAsia="黑体" w:cs="Times New Roman"/>
          <w:color w:val="auto"/>
          <w:sz w:val="24"/>
          <w:highlight w:val="none"/>
        </w:rPr>
        <w:t>最终结清证书和支付时间</w:t>
      </w:r>
      <w:r>
        <w:rPr>
          <w:rFonts w:hint="default" w:ascii="Times New Roman" w:hAnsi="Times New Roman" w:cs="Times New Roman"/>
          <w:color w:val="auto"/>
          <w:sz w:val="24"/>
          <w:highlight w:val="none"/>
        </w:rPr>
        <w:t xml:space="preserve"> </w:t>
      </w:r>
    </w:p>
    <w:p w14:paraId="7F33452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31E331C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（2）发包人应在监理人出具最终结清证书且承包人提交了合格的增值税专用发票后的14天内，将应支付款支付给承包人。发包人不按期支付的，按第17.3.3（2）目的约定，将逾期付款违约金支付给承包人。</w:t>
      </w:r>
    </w:p>
    <w:p w14:paraId="0F546300">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570" w:name="_Toc8009"/>
      <w:bookmarkStart w:id="1571" w:name="_Toc24563"/>
      <w:bookmarkStart w:id="1572" w:name="_Toc234833194"/>
      <w:bookmarkStart w:id="1573" w:name="_Toc22331"/>
      <w:bookmarkStart w:id="1574" w:name="_Toc12621"/>
      <w:r>
        <w:rPr>
          <w:rFonts w:hint="default" w:ascii="Times New Roman" w:hAnsi="Times New Roman" w:eastAsia="黑体" w:cs="Times New Roman"/>
          <w:b w:val="0"/>
          <w:color w:val="auto"/>
          <w:sz w:val="28"/>
          <w:szCs w:val="28"/>
          <w:highlight w:val="none"/>
        </w:rPr>
        <w:t>18. 交工验收</w:t>
      </w:r>
      <w:bookmarkEnd w:id="1570"/>
      <w:bookmarkEnd w:id="1571"/>
      <w:bookmarkEnd w:id="1572"/>
      <w:bookmarkEnd w:id="1573"/>
      <w:bookmarkEnd w:id="1574"/>
    </w:p>
    <w:p w14:paraId="1D325E0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75" w:name="_Toc29033"/>
      <w:bookmarkStart w:id="1576" w:name="_Toc234833195"/>
      <w:bookmarkStart w:id="1577" w:name="_Toc14002"/>
      <w:bookmarkStart w:id="1578" w:name="_Toc13694"/>
      <w:bookmarkStart w:id="1579" w:name="_Toc11196"/>
      <w:r>
        <w:rPr>
          <w:rFonts w:hint="default" w:ascii="Times New Roman" w:hAnsi="Times New Roman" w:eastAsia="黑体" w:cs="Times New Roman"/>
          <w:b w:val="0"/>
          <w:color w:val="auto"/>
          <w:sz w:val="24"/>
          <w:szCs w:val="24"/>
          <w:highlight w:val="none"/>
        </w:rPr>
        <w:t>18.2 交工验收申请报告</w:t>
      </w:r>
      <w:bookmarkEnd w:id="1575"/>
      <w:bookmarkEnd w:id="1576"/>
      <w:bookmarkEnd w:id="1577"/>
      <w:bookmarkEnd w:id="1578"/>
      <w:bookmarkEnd w:id="1579"/>
    </w:p>
    <w:p w14:paraId="3840F19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本款第（2）项约定为：</w:t>
      </w:r>
    </w:p>
    <w:p w14:paraId="1398831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竣工资料的内容：承包人应按照《公路工程竣（交）工验收办法》和相关规定编制竣工资料。</w:t>
      </w:r>
    </w:p>
    <w:p w14:paraId="692D9D9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竣工资料的份数在项目专用合同条款数据表中约定。</w:t>
      </w:r>
    </w:p>
    <w:p w14:paraId="489D0115">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80" w:name="_Toc15493"/>
      <w:bookmarkStart w:id="1581" w:name="_Toc4025"/>
      <w:bookmarkStart w:id="1582" w:name="_Toc2589"/>
      <w:bookmarkStart w:id="1583" w:name="_Toc11830"/>
      <w:bookmarkStart w:id="1584" w:name="_Toc234833196"/>
      <w:r>
        <w:rPr>
          <w:rFonts w:hint="default" w:ascii="Times New Roman" w:hAnsi="Times New Roman" w:eastAsia="黑体" w:cs="Times New Roman"/>
          <w:b w:val="0"/>
          <w:color w:val="auto"/>
          <w:sz w:val="24"/>
          <w:szCs w:val="24"/>
          <w:highlight w:val="none"/>
        </w:rPr>
        <w:t>18.3 验收</w:t>
      </w:r>
      <w:bookmarkEnd w:id="1580"/>
      <w:bookmarkEnd w:id="1581"/>
      <w:bookmarkEnd w:id="1582"/>
      <w:bookmarkEnd w:id="1583"/>
      <w:bookmarkEnd w:id="1584"/>
    </w:p>
    <w:p w14:paraId="1ED9BC2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第18.3.2项补充：</w:t>
      </w:r>
    </w:p>
    <w:p w14:paraId="446AEF7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交工验收由发包人主持，由发包人、监理人、质监、设计、施工、运营、管理养护等有关部门代表组成交工验收小组，对本项目的工程质量进行评定，并写出交工验收报告报交通运输主管部门备案。承包人应按发包人的要求提交竣工资料，完成交工验收准备工作。</w:t>
      </w:r>
    </w:p>
    <w:p w14:paraId="33AE7E3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第18.3.5项约定为：</w:t>
      </w:r>
    </w:p>
    <w:p w14:paraId="2081E6A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经验收合格工程的实际交工日期，以最终提交交工验收申请报告的日期为准，并在交工验收证书中写明。</w:t>
      </w:r>
    </w:p>
    <w:p w14:paraId="31184C2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本款补充第18.3.7项：</w:t>
      </w:r>
    </w:p>
    <w:p w14:paraId="544CC7E1">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组织办理交工验收和签发交工验收证书的费用由发包人承担。但按照第18.3.4项规定达不到合格标准的交工验收费用由承包人承担。</w:t>
      </w:r>
    </w:p>
    <w:p w14:paraId="14A2EF9B">
      <w:pPr>
        <w:pageBreakBefore w:val="0"/>
        <w:kinsoku/>
        <w:wordWrap w:val="0"/>
        <w:bidi w:val="0"/>
        <w:spacing w:before="240" w:beforeLines="100" w:line="400" w:lineRule="atLeast"/>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本条补充第18.9款：</w:t>
      </w:r>
    </w:p>
    <w:p w14:paraId="68225EC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85" w:name="_Toc3682"/>
      <w:bookmarkStart w:id="1586" w:name="_Toc234833197"/>
      <w:bookmarkStart w:id="1587" w:name="_Toc7218"/>
      <w:bookmarkStart w:id="1588" w:name="_Toc25110"/>
      <w:bookmarkStart w:id="1589" w:name="_Toc21991"/>
      <w:r>
        <w:rPr>
          <w:rFonts w:hint="default" w:ascii="Times New Roman" w:hAnsi="Times New Roman" w:eastAsia="黑体" w:cs="Times New Roman"/>
          <w:b w:val="0"/>
          <w:color w:val="auto"/>
          <w:sz w:val="24"/>
          <w:szCs w:val="24"/>
          <w:highlight w:val="none"/>
        </w:rPr>
        <w:t>18.9 竣工文件</w:t>
      </w:r>
      <w:bookmarkEnd w:id="1585"/>
      <w:bookmarkEnd w:id="1586"/>
      <w:bookmarkEnd w:id="1587"/>
      <w:bookmarkEnd w:id="1588"/>
      <w:bookmarkEnd w:id="1589"/>
    </w:p>
    <w:p w14:paraId="6893302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承包人应按照《公路工程竣（交）工验收办法》的相关规定，在缺陷责任期内为竣工验收补充竣工资料，并在签发缺陷责任期终止证书之前提交。</w:t>
      </w:r>
    </w:p>
    <w:p w14:paraId="1E5B42A0">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590" w:name="_Toc234833198"/>
      <w:bookmarkStart w:id="1591" w:name="_Toc11360"/>
      <w:bookmarkStart w:id="1592" w:name="_Toc27071"/>
      <w:bookmarkStart w:id="1593" w:name="_Toc16481"/>
      <w:bookmarkStart w:id="1594" w:name="_Toc5229"/>
      <w:r>
        <w:rPr>
          <w:rFonts w:hint="default" w:ascii="Times New Roman" w:hAnsi="Times New Roman" w:eastAsia="黑体" w:cs="Times New Roman"/>
          <w:b w:val="0"/>
          <w:color w:val="auto"/>
          <w:sz w:val="28"/>
          <w:szCs w:val="28"/>
          <w:highlight w:val="none"/>
        </w:rPr>
        <w:t>19. 缺陷责任与保修责任</w:t>
      </w:r>
      <w:bookmarkEnd w:id="1590"/>
      <w:bookmarkEnd w:id="1591"/>
      <w:bookmarkEnd w:id="1592"/>
      <w:bookmarkEnd w:id="1593"/>
      <w:bookmarkEnd w:id="1594"/>
    </w:p>
    <w:p w14:paraId="6F9FDC9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595" w:name="_Toc13979"/>
      <w:bookmarkStart w:id="1596" w:name="_Toc4936"/>
      <w:bookmarkStart w:id="1597" w:name="_Toc32462"/>
      <w:bookmarkStart w:id="1598" w:name="_Toc234833199"/>
      <w:bookmarkStart w:id="1599" w:name="_Toc28049"/>
      <w:r>
        <w:rPr>
          <w:rFonts w:hint="default" w:ascii="Times New Roman" w:hAnsi="Times New Roman" w:eastAsia="黑体" w:cs="Times New Roman"/>
          <w:b w:val="0"/>
          <w:color w:val="auto"/>
          <w:sz w:val="24"/>
          <w:szCs w:val="24"/>
          <w:highlight w:val="none"/>
        </w:rPr>
        <w:t>19.2 缺陷责任</w:t>
      </w:r>
      <w:bookmarkEnd w:id="1595"/>
      <w:bookmarkEnd w:id="1596"/>
      <w:bookmarkEnd w:id="1597"/>
      <w:bookmarkEnd w:id="1598"/>
      <w:bookmarkEnd w:id="1599"/>
    </w:p>
    <w:p w14:paraId="59B2297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第19.2.2项补充：</w:t>
      </w:r>
    </w:p>
    <w:p w14:paraId="60F2524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在缺陷责任期内，承包人应尽快完成在交工验收证书中写明的未完成工作，并完成对本工程缺陷的修复或监理人指令的修补工作。</w:t>
      </w:r>
    </w:p>
    <w:p w14:paraId="06C1E80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00" w:name="_Toc17405"/>
      <w:bookmarkStart w:id="1601" w:name="_Toc6222"/>
      <w:bookmarkStart w:id="1602" w:name="_Toc8826"/>
      <w:bookmarkStart w:id="1603" w:name="_Toc234833200"/>
      <w:bookmarkStart w:id="1604" w:name="_Toc17860"/>
      <w:r>
        <w:rPr>
          <w:rFonts w:hint="default" w:ascii="Times New Roman" w:hAnsi="Times New Roman" w:eastAsia="黑体" w:cs="Times New Roman"/>
          <w:b w:val="0"/>
          <w:color w:val="auto"/>
          <w:sz w:val="24"/>
          <w:szCs w:val="24"/>
          <w:highlight w:val="none"/>
        </w:rPr>
        <w:t>19.5 承包人的进入权</w:t>
      </w:r>
      <w:bookmarkEnd w:id="1600"/>
      <w:bookmarkEnd w:id="1601"/>
      <w:bookmarkEnd w:id="1602"/>
      <w:bookmarkEnd w:id="1603"/>
      <w:bookmarkEnd w:id="1604"/>
      <w:r>
        <w:rPr>
          <w:rFonts w:hint="default" w:ascii="Times New Roman" w:hAnsi="Times New Roman" w:eastAsia="黑体" w:cs="Times New Roman"/>
          <w:b w:val="0"/>
          <w:color w:val="auto"/>
          <w:sz w:val="24"/>
          <w:szCs w:val="24"/>
          <w:highlight w:val="none"/>
        </w:rPr>
        <w:t xml:space="preserve"> </w:t>
      </w:r>
    </w:p>
    <w:p w14:paraId="56B7936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本款补充：</w:t>
      </w:r>
    </w:p>
    <w:p w14:paraId="6DFAF14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承包人在缺陷修复施工过程中，应服从管养单位的有关安全管理规定，由于承包人自身原因造成的人员伤亡、设备和材料的损毁及罚款等责任由承包人自负。</w:t>
      </w:r>
    </w:p>
    <w:p w14:paraId="5FA2706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05" w:name="_Toc13835"/>
      <w:bookmarkStart w:id="1606" w:name="_Toc22662"/>
      <w:bookmarkStart w:id="1607" w:name="_Toc17931"/>
      <w:bookmarkStart w:id="1608" w:name="_Toc7118"/>
      <w:bookmarkStart w:id="1609" w:name="_Toc234833201"/>
      <w:r>
        <w:rPr>
          <w:rFonts w:hint="default" w:ascii="Times New Roman" w:hAnsi="Times New Roman" w:eastAsia="黑体" w:cs="Times New Roman"/>
          <w:b w:val="0"/>
          <w:color w:val="auto"/>
          <w:sz w:val="24"/>
          <w:szCs w:val="24"/>
          <w:highlight w:val="none"/>
        </w:rPr>
        <w:t>19.7 保修责任</w:t>
      </w:r>
      <w:bookmarkEnd w:id="1605"/>
      <w:bookmarkEnd w:id="1606"/>
      <w:bookmarkEnd w:id="1607"/>
      <w:bookmarkEnd w:id="1608"/>
      <w:bookmarkEnd w:id="1609"/>
    </w:p>
    <w:p w14:paraId="1175F29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本款细化为：</w:t>
      </w:r>
    </w:p>
    <w:p w14:paraId="602D059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4BD08F8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（2）在全部工程交工验收前，已经发包人提前验收的单位工程，其保修期的起算日期相应提前。</w:t>
      </w:r>
    </w:p>
    <w:p w14:paraId="0981420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（3）工程保修期终止后28天内，监理人签发保修期终止证书。</w:t>
      </w:r>
    </w:p>
    <w:p w14:paraId="7931DE6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（4）若承包人不履行保修义务和责任，则承包人应承担由于违约造成的法律后果，并由发包人将其违约行为上报省级交通运输主管部门，作为不良记录纳入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21F130C8">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610" w:name="_Toc27979"/>
      <w:bookmarkStart w:id="1611" w:name="_Toc234833202"/>
      <w:bookmarkStart w:id="1612" w:name="_Toc23441"/>
      <w:bookmarkStart w:id="1613" w:name="_Toc22022"/>
      <w:bookmarkStart w:id="1614" w:name="_Toc21318"/>
      <w:r>
        <w:rPr>
          <w:rFonts w:hint="default" w:ascii="Times New Roman" w:hAnsi="Times New Roman" w:eastAsia="黑体" w:cs="Times New Roman"/>
          <w:b w:val="0"/>
          <w:color w:val="auto"/>
          <w:sz w:val="28"/>
          <w:szCs w:val="28"/>
          <w:highlight w:val="none"/>
        </w:rPr>
        <w:t>20. 保险</w:t>
      </w:r>
      <w:bookmarkEnd w:id="1610"/>
      <w:bookmarkEnd w:id="1611"/>
      <w:bookmarkEnd w:id="1612"/>
      <w:bookmarkEnd w:id="1613"/>
      <w:bookmarkEnd w:id="1614"/>
    </w:p>
    <w:p w14:paraId="48A4947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15" w:name="_Toc14820"/>
      <w:bookmarkStart w:id="1616" w:name="_Toc18588"/>
      <w:bookmarkStart w:id="1617" w:name="_Toc27757"/>
      <w:bookmarkStart w:id="1618" w:name="_Toc20820"/>
      <w:bookmarkStart w:id="1619" w:name="_Toc234833203"/>
      <w:r>
        <w:rPr>
          <w:rFonts w:hint="default" w:ascii="Times New Roman" w:hAnsi="Times New Roman" w:eastAsia="黑体" w:cs="Times New Roman"/>
          <w:b w:val="0"/>
          <w:color w:val="auto"/>
          <w:sz w:val="24"/>
          <w:szCs w:val="24"/>
          <w:highlight w:val="none"/>
        </w:rPr>
        <w:t>20.1工程保险</w:t>
      </w:r>
      <w:bookmarkEnd w:id="1615"/>
      <w:bookmarkEnd w:id="1616"/>
      <w:bookmarkEnd w:id="1617"/>
      <w:bookmarkEnd w:id="1618"/>
      <w:bookmarkEnd w:id="1619"/>
    </w:p>
    <w:p w14:paraId="2549508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32AFED3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建筑工程一切险的投保内容：为本合同工程的永久工程、临时工程和设备及已运至施工工地用于永久工程的材料和设备所投的保险。</w:t>
      </w:r>
    </w:p>
    <w:p w14:paraId="3D8ED9A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保险金额：工程量清单第100章（不含建筑工程一切险及第三者责任险的保险费）至第700章的合计金额。</w:t>
      </w:r>
    </w:p>
    <w:p w14:paraId="6E59CE9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保险费率：在项目专用合同条款数据表中约定。</w:t>
      </w:r>
    </w:p>
    <w:p w14:paraId="0E4C227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保险期限：开工日起直至本合同工程签发缺陷责任期终止证书止（即合同工期＋缺陷责任期）。</w:t>
      </w:r>
    </w:p>
    <w:p w14:paraId="0FC59D4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承包人应以发包人和承包人的共同名义投保建筑工程一切险。建筑工程一切险的保险费由承包人报价时列入工程量清单第100章内。发包人在接到保险单后，将按照保险单的费用直接向承包人支付。</w:t>
      </w:r>
    </w:p>
    <w:p w14:paraId="62130C23">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20" w:name="_Toc6160"/>
      <w:bookmarkStart w:id="1621" w:name="_Toc9762"/>
      <w:bookmarkStart w:id="1622" w:name="_Toc234833204"/>
      <w:bookmarkStart w:id="1623" w:name="_Toc28327"/>
      <w:bookmarkStart w:id="1624" w:name="_Toc1174"/>
      <w:r>
        <w:rPr>
          <w:rFonts w:hint="default" w:ascii="Times New Roman" w:hAnsi="Times New Roman" w:eastAsia="黑体" w:cs="Times New Roman"/>
          <w:b w:val="0"/>
          <w:color w:val="auto"/>
          <w:sz w:val="24"/>
          <w:szCs w:val="24"/>
          <w:highlight w:val="none"/>
        </w:rPr>
        <w:t>20.4 第三者责任险</w:t>
      </w:r>
      <w:bookmarkEnd w:id="1620"/>
      <w:bookmarkEnd w:id="1621"/>
      <w:bookmarkEnd w:id="1622"/>
      <w:bookmarkEnd w:id="1623"/>
      <w:bookmarkEnd w:id="1624"/>
    </w:p>
    <w:p w14:paraId="6B626DA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第20.4.2项补充：</w:t>
      </w:r>
    </w:p>
    <w:p w14:paraId="77B84CE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第三者责任险的保险费由承包人报价时列入工程量清单第100章内。发包人在接到保险单后，将按照保险单的费用直接向承包人支付。</w:t>
      </w:r>
    </w:p>
    <w:p w14:paraId="56147577">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25" w:name="_Toc27537"/>
      <w:bookmarkStart w:id="1626" w:name="_Toc4864"/>
      <w:bookmarkStart w:id="1627" w:name="_Toc234833205"/>
      <w:bookmarkStart w:id="1628" w:name="_Toc5754"/>
      <w:bookmarkStart w:id="1629" w:name="_Toc13808"/>
      <w:r>
        <w:rPr>
          <w:rFonts w:hint="default" w:ascii="Times New Roman" w:hAnsi="Times New Roman" w:eastAsia="黑体" w:cs="Times New Roman"/>
          <w:b w:val="0"/>
          <w:color w:val="auto"/>
          <w:sz w:val="24"/>
          <w:szCs w:val="24"/>
          <w:highlight w:val="none"/>
        </w:rPr>
        <w:t>20.5 其他保险</w:t>
      </w:r>
      <w:bookmarkEnd w:id="1625"/>
      <w:bookmarkEnd w:id="1626"/>
      <w:bookmarkEnd w:id="1627"/>
      <w:bookmarkEnd w:id="1628"/>
      <w:bookmarkEnd w:id="1629"/>
    </w:p>
    <w:p w14:paraId="441B2FE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本款约定为：</w:t>
      </w:r>
    </w:p>
    <w:p w14:paraId="1F8E154B">
      <w:pPr>
        <w:pageBreakBefore w:val="0"/>
        <w:kinsoku/>
        <w:wordWrap w:val="0"/>
        <w:bidi w:val="0"/>
        <w:spacing w:line="400" w:lineRule="atLeast"/>
        <w:ind w:firstLine="42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承包人应为其施工设备等办理保险，其投保金额应足以现场重置。办理本款保险的一切费用均由承包人承担，并包括在工程量清单的单价及总额价中，发包人不单独支付。</w:t>
      </w:r>
    </w:p>
    <w:p w14:paraId="475084E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30" w:name="_Toc1959"/>
      <w:bookmarkStart w:id="1631" w:name="_Toc22712"/>
      <w:bookmarkStart w:id="1632" w:name="_Toc32122"/>
      <w:bookmarkStart w:id="1633" w:name="_Toc19524"/>
      <w:bookmarkStart w:id="1634" w:name="_Toc234833206"/>
      <w:r>
        <w:rPr>
          <w:rFonts w:hint="default" w:ascii="Times New Roman" w:hAnsi="Times New Roman" w:eastAsia="黑体" w:cs="Times New Roman"/>
          <w:b w:val="0"/>
          <w:color w:val="auto"/>
          <w:sz w:val="24"/>
          <w:szCs w:val="24"/>
          <w:highlight w:val="none"/>
        </w:rPr>
        <w:t>20.6 对各项保险的一般要求</w:t>
      </w:r>
      <w:bookmarkEnd w:id="1630"/>
      <w:bookmarkEnd w:id="1631"/>
      <w:bookmarkEnd w:id="1632"/>
      <w:bookmarkEnd w:id="1633"/>
      <w:bookmarkEnd w:id="1634"/>
    </w:p>
    <w:p w14:paraId="0DC38AF3">
      <w:pPr>
        <w:pageBreakBefore w:val="0"/>
        <w:kinsoku/>
        <w:wordWrap w:val="0"/>
        <w:bidi w:val="0"/>
        <w:spacing w:line="400" w:lineRule="atLeast"/>
        <w:ind w:firstLine="3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20.6.1 保险凭证</w:t>
      </w:r>
    </w:p>
    <w:p w14:paraId="328A946D">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本项约定为：</w:t>
      </w:r>
    </w:p>
    <w:p w14:paraId="366207B9">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承包人向发包人提交各项保险生效的证据和保险单副本的期限：开工后56天内。</w:t>
      </w:r>
    </w:p>
    <w:p w14:paraId="6CEDB9F0">
      <w:pPr>
        <w:pageBreakBefore w:val="0"/>
        <w:kinsoku/>
        <w:wordWrap w:val="0"/>
        <w:bidi w:val="0"/>
        <w:spacing w:line="400" w:lineRule="atLeast"/>
        <w:ind w:firstLine="3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20.6.3 持续保险</w:t>
      </w:r>
    </w:p>
    <w:p w14:paraId="229D42E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w:t>
      </w:r>
    </w:p>
    <w:p w14:paraId="15E3A07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在整个合同期内，承包人应按合同条款规定保证足够的保险额。</w:t>
      </w:r>
    </w:p>
    <w:p w14:paraId="685F9F33">
      <w:pPr>
        <w:pageBreakBefore w:val="0"/>
        <w:kinsoku/>
        <w:wordWrap w:val="0"/>
        <w:bidi w:val="0"/>
        <w:spacing w:line="400" w:lineRule="atLeast"/>
        <w:ind w:firstLine="3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20.6.4 保险金不足的补偿</w:t>
      </w:r>
    </w:p>
    <w:p w14:paraId="2024DF8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3336651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保险金不足以补偿损失的（包括免赔额和超过赔偿限额的部分），应由承包人和（或）发包人按合同约定负责补偿。</w:t>
      </w:r>
    </w:p>
    <w:p w14:paraId="68CADDFC">
      <w:pPr>
        <w:pageBreakBefore w:val="0"/>
        <w:kinsoku/>
        <w:wordWrap w:val="0"/>
        <w:bidi w:val="0"/>
        <w:spacing w:line="400" w:lineRule="atLeast"/>
        <w:ind w:firstLine="39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20.6.5 未按约定投保的补救</w:t>
      </w:r>
    </w:p>
    <w:p w14:paraId="3DB83D2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7D15F7A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由于负有投保义务的一方当事人未按合同约定办理某项保险，或未按保险单规定的条件和期限及时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0BB91E5D">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635" w:name="_Toc23861"/>
      <w:bookmarkStart w:id="1636" w:name="_Toc25592"/>
      <w:bookmarkStart w:id="1637" w:name="_Toc24331"/>
      <w:bookmarkStart w:id="1638" w:name="_Toc234833207"/>
      <w:bookmarkStart w:id="1639" w:name="_Toc10087"/>
      <w:r>
        <w:rPr>
          <w:rFonts w:hint="default" w:ascii="Times New Roman" w:hAnsi="Times New Roman" w:eastAsia="黑体" w:cs="Times New Roman"/>
          <w:b w:val="0"/>
          <w:color w:val="auto"/>
          <w:sz w:val="28"/>
          <w:szCs w:val="28"/>
          <w:highlight w:val="none"/>
        </w:rPr>
        <w:t>21. 不可抗力</w:t>
      </w:r>
      <w:bookmarkEnd w:id="1635"/>
      <w:bookmarkEnd w:id="1636"/>
      <w:bookmarkEnd w:id="1637"/>
      <w:bookmarkEnd w:id="1638"/>
      <w:bookmarkEnd w:id="1639"/>
    </w:p>
    <w:p w14:paraId="5CBEF09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40" w:name="_Toc234833208"/>
      <w:bookmarkStart w:id="1641" w:name="_Toc25698"/>
      <w:bookmarkStart w:id="1642" w:name="_Toc31397"/>
      <w:bookmarkStart w:id="1643" w:name="_Toc1192"/>
      <w:bookmarkStart w:id="1644" w:name="_Toc30052"/>
      <w:r>
        <w:rPr>
          <w:rFonts w:hint="default" w:ascii="Times New Roman" w:hAnsi="Times New Roman" w:eastAsia="黑体" w:cs="Times New Roman"/>
          <w:b w:val="0"/>
          <w:color w:val="auto"/>
          <w:sz w:val="24"/>
          <w:szCs w:val="24"/>
          <w:highlight w:val="none"/>
        </w:rPr>
        <w:t>21.1 不可抗力的确认</w:t>
      </w:r>
      <w:bookmarkEnd w:id="1640"/>
      <w:bookmarkEnd w:id="1641"/>
      <w:bookmarkEnd w:id="1642"/>
      <w:bookmarkEnd w:id="1643"/>
      <w:bookmarkEnd w:id="1644"/>
    </w:p>
    <w:p w14:paraId="7932C20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第21.1.1项细化为：</w:t>
      </w:r>
    </w:p>
    <w:p w14:paraId="3BCE834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不可抗力是指承包人和发包人在订立合同时不可预见，在工程施工过程中不可避免发生并不能克服的自然灾害和社会性突发事件。包括但不限于：</w:t>
      </w:r>
    </w:p>
    <w:p w14:paraId="1C6BAAB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（1）地震、海啸、火山爆发、泥石流、暴雨（雪）、台风、龙卷风、水灾等自然灾害；</w:t>
      </w:r>
    </w:p>
    <w:p w14:paraId="639CA43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（2）战争、骚乱、暴动，但纯属承包人或其分包人派遣与雇用的人员由于本合同工程施工原因引起者除外；</w:t>
      </w:r>
    </w:p>
    <w:p w14:paraId="777CC4F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（3）核反应、辐射或放射性污染；</w:t>
      </w:r>
    </w:p>
    <w:p w14:paraId="4D595E7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（4）空中飞行物体坠落或非发包人或承包人责任造成的爆炸、火灾；</w:t>
      </w:r>
    </w:p>
    <w:p w14:paraId="75504A03">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（5）瘟疫；</w:t>
      </w:r>
    </w:p>
    <w:p w14:paraId="796022E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（6）项目专用合同条款约定的其他情形。</w:t>
      </w:r>
    </w:p>
    <w:p w14:paraId="7C4783BC">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45" w:name="_Toc30802"/>
      <w:bookmarkStart w:id="1646" w:name="_Toc5219"/>
      <w:bookmarkStart w:id="1647" w:name="_Toc1492"/>
      <w:bookmarkStart w:id="1648" w:name="_Toc234833209"/>
      <w:bookmarkStart w:id="1649" w:name="_Toc26115"/>
      <w:r>
        <w:rPr>
          <w:rFonts w:hint="default" w:ascii="Times New Roman" w:hAnsi="Times New Roman" w:eastAsia="黑体" w:cs="Times New Roman"/>
          <w:b w:val="0"/>
          <w:color w:val="auto"/>
          <w:sz w:val="24"/>
          <w:szCs w:val="24"/>
          <w:highlight w:val="none"/>
        </w:rPr>
        <w:t>21.3 不可抗力后果及其处理</w:t>
      </w:r>
      <w:bookmarkEnd w:id="1645"/>
      <w:bookmarkEnd w:id="1646"/>
      <w:bookmarkEnd w:id="1647"/>
      <w:bookmarkEnd w:id="1648"/>
      <w:bookmarkEnd w:id="1649"/>
    </w:p>
    <w:p w14:paraId="0B4F678C">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21.3.4 </w:t>
      </w:r>
      <w:r>
        <w:rPr>
          <w:rFonts w:hint="default" w:ascii="Times New Roman" w:hAnsi="Times New Roman" w:eastAsia="黑体" w:cs="Times New Roman"/>
          <w:color w:val="auto"/>
          <w:sz w:val="24"/>
          <w:highlight w:val="none"/>
        </w:rPr>
        <w:t>因不可抗力解除合同</w:t>
      </w:r>
    </w:p>
    <w:p w14:paraId="4558C16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256D0F1F">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但由于解除合同应赔偿的承包人损失不予考虑。</w:t>
      </w:r>
    </w:p>
    <w:p w14:paraId="572F9806">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650" w:name="_Toc18919"/>
      <w:bookmarkStart w:id="1651" w:name="_Toc23055"/>
      <w:bookmarkStart w:id="1652" w:name="_Toc3129"/>
      <w:bookmarkStart w:id="1653" w:name="_Toc14650"/>
      <w:bookmarkStart w:id="1654" w:name="_Toc234833210"/>
      <w:r>
        <w:rPr>
          <w:rFonts w:hint="default" w:ascii="Times New Roman" w:hAnsi="Times New Roman" w:eastAsia="黑体" w:cs="Times New Roman"/>
          <w:b w:val="0"/>
          <w:color w:val="auto"/>
          <w:sz w:val="28"/>
          <w:szCs w:val="28"/>
          <w:highlight w:val="none"/>
        </w:rPr>
        <w:t>22. 违约</w:t>
      </w:r>
      <w:bookmarkEnd w:id="1650"/>
      <w:bookmarkEnd w:id="1651"/>
      <w:bookmarkEnd w:id="1652"/>
      <w:bookmarkEnd w:id="1653"/>
      <w:bookmarkEnd w:id="1654"/>
    </w:p>
    <w:p w14:paraId="72E67992">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55" w:name="_Toc234833211"/>
      <w:bookmarkStart w:id="1656" w:name="_Toc7490"/>
      <w:bookmarkStart w:id="1657" w:name="_Toc6115"/>
      <w:bookmarkStart w:id="1658" w:name="_Toc1580"/>
      <w:bookmarkStart w:id="1659" w:name="_Toc3439"/>
      <w:r>
        <w:rPr>
          <w:rFonts w:hint="default" w:ascii="Times New Roman" w:hAnsi="Times New Roman" w:eastAsia="黑体" w:cs="Times New Roman"/>
          <w:b w:val="0"/>
          <w:color w:val="auto"/>
          <w:sz w:val="24"/>
          <w:szCs w:val="24"/>
          <w:highlight w:val="none"/>
        </w:rPr>
        <w:t>22.1 承包人违约</w:t>
      </w:r>
      <w:bookmarkEnd w:id="1655"/>
      <w:bookmarkEnd w:id="1656"/>
      <w:bookmarkEnd w:id="1657"/>
      <w:bookmarkEnd w:id="1658"/>
      <w:bookmarkEnd w:id="1659"/>
    </w:p>
    <w:p w14:paraId="684F7066">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22.1.1 </w:t>
      </w:r>
      <w:r>
        <w:rPr>
          <w:rFonts w:hint="default" w:ascii="Times New Roman" w:hAnsi="Times New Roman" w:eastAsia="黑体" w:cs="Times New Roman"/>
          <w:color w:val="auto"/>
          <w:sz w:val="24"/>
          <w:highlight w:val="none"/>
        </w:rPr>
        <w:t>承包人违约的情形</w:t>
      </w:r>
    </w:p>
    <w:p w14:paraId="7D0DA04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43BA2F5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（2）承包人违反第5.3款或第6.4款的约定，未经监理人批准，私自将已按合同约定进入施工场地的施工设备、临时设施、材料或工程设备撤离施工场地；</w:t>
      </w:r>
    </w:p>
    <w:p w14:paraId="122115D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本项（7）目细化为：</w:t>
      </w:r>
    </w:p>
    <w:p w14:paraId="4D8ADF8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（7）承包人未能按期开工；</w:t>
      </w:r>
    </w:p>
    <w:p w14:paraId="6625FDA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（8）承包人违反第4.6款或第6.3款的规定，未按承诺或未按监理人的要求及时配备称职的主要管理人员、技术骨干或关键施工设备；</w:t>
      </w:r>
    </w:p>
    <w:p w14:paraId="4D1C358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（9）经监理人和发包人检查，发现承包人有安全问题或有违反安全管理规章制度的情况；</w:t>
      </w:r>
    </w:p>
    <w:p w14:paraId="25B7928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（10）承包人不按合同约定履行义务的其他情况。</w:t>
      </w:r>
    </w:p>
    <w:p w14:paraId="32C9C39C">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22.1.2 </w:t>
      </w:r>
      <w:r>
        <w:rPr>
          <w:rFonts w:hint="default" w:ascii="Times New Roman" w:hAnsi="Times New Roman" w:eastAsia="黑体" w:cs="Times New Roman"/>
          <w:color w:val="auto"/>
          <w:sz w:val="24"/>
          <w:highlight w:val="none"/>
        </w:rPr>
        <w:t>对承包人违约的处理</w:t>
      </w:r>
    </w:p>
    <w:p w14:paraId="7C31642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本项补充：</w:t>
      </w:r>
    </w:p>
    <w:p w14:paraId="220D9B9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（4）承包人发生第22.1.1项约定的违约情况时，无论发包人是否解除合同，发包人均有权向承包人课以项目专用合同条款中规定的违约金，并由发包人将其违约行为上报省级交通运输主管部门，作为不良记录纳入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492AE705">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60" w:name="_Toc30636"/>
      <w:bookmarkStart w:id="1661" w:name="_Toc3432"/>
      <w:bookmarkStart w:id="1662" w:name="_Toc234833212"/>
      <w:bookmarkStart w:id="1663" w:name="_Toc29380"/>
      <w:bookmarkStart w:id="1664" w:name="_Toc15822"/>
      <w:r>
        <w:rPr>
          <w:rFonts w:hint="default" w:ascii="Times New Roman" w:hAnsi="Times New Roman" w:eastAsia="黑体" w:cs="Times New Roman"/>
          <w:b w:val="0"/>
          <w:color w:val="auto"/>
          <w:sz w:val="24"/>
          <w:szCs w:val="24"/>
          <w:highlight w:val="none"/>
        </w:rPr>
        <w:t>22.2 发包人违约</w:t>
      </w:r>
      <w:bookmarkEnd w:id="1660"/>
      <w:bookmarkEnd w:id="1661"/>
      <w:bookmarkEnd w:id="1662"/>
      <w:bookmarkEnd w:id="1663"/>
      <w:bookmarkEnd w:id="1664"/>
    </w:p>
    <w:p w14:paraId="06B753A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22.2.1</w:t>
      </w:r>
      <w:r>
        <w:rPr>
          <w:rFonts w:hint="default" w:ascii="Times New Roman" w:hAnsi="Times New Roman" w:eastAsia="黑体" w:cs="Times New Roman"/>
          <w:color w:val="auto"/>
          <w:sz w:val="24"/>
          <w:highlight w:val="none"/>
        </w:rPr>
        <w:t>发包人违约的情形</w:t>
      </w:r>
    </w:p>
    <w:p w14:paraId="451D22C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本项（5）目细化为：</w:t>
      </w:r>
    </w:p>
    <w:p w14:paraId="5B85550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（5）发包人无正当理由不按时返还履约保证金、质量保证金或农民工工资保证金的；</w:t>
      </w:r>
    </w:p>
    <w:p w14:paraId="533357A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（6）发包人不履行合同约定其他义务的。</w:t>
      </w:r>
    </w:p>
    <w:p w14:paraId="49174020">
      <w:pPr>
        <w:pageBreakBefore w:val="0"/>
        <w:kinsoku/>
        <w:wordWrap w:val="0"/>
        <w:bidi w:val="0"/>
        <w:spacing w:line="400" w:lineRule="atLeast"/>
        <w:ind w:firstLine="470" w:firstLineChars="196"/>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 xml:space="preserve">22.2.2 </w:t>
      </w:r>
      <w:r>
        <w:rPr>
          <w:rFonts w:hint="default" w:ascii="Times New Roman" w:hAnsi="Times New Roman" w:eastAsia="黑体" w:cs="Times New Roman"/>
          <w:color w:val="auto"/>
          <w:sz w:val="24"/>
          <w:highlight w:val="none"/>
        </w:rPr>
        <w:t>承包人有权暂停施工</w:t>
      </w:r>
    </w:p>
    <w:p w14:paraId="501F5903">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本项细化为：</w:t>
      </w:r>
    </w:p>
    <w:p w14:paraId="2C07CACD">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发生除第22.2.1（4）、（5）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07053BED">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发生第22.2.1（5）目的违约情况时，承包人可向发包人发出通知，要求发包人采取有效措施纠正违约行为。发包人收到承包人通知后的28天内仍不返还履约保证金、质量保证金或农民工工资保证金的，发包人应按项目专用合同条款的约定向承包人支付逾期返还保证金的违约金。</w:t>
      </w:r>
    </w:p>
    <w:p w14:paraId="2EC7A6B8">
      <w:pPr>
        <w:pageBreakBefore w:val="0"/>
        <w:kinsoku/>
        <w:wordWrap w:val="0"/>
        <w:bidi w:val="0"/>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22.2.4</w:t>
      </w:r>
      <w:r>
        <w:rPr>
          <w:rFonts w:hint="default" w:ascii="Times New Roman" w:hAnsi="Times New Roman" w:eastAsia="黑体" w:cs="Times New Roman"/>
          <w:color w:val="auto"/>
          <w:sz w:val="24"/>
          <w:highlight w:val="none"/>
        </w:rPr>
        <w:t xml:space="preserve"> 解除合同后的付款</w:t>
      </w:r>
    </w:p>
    <w:p w14:paraId="6F7020A7">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本项（2）目细化为：</w:t>
      </w:r>
    </w:p>
    <w:p w14:paraId="2F4C3DB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（2）承包人为该工程施工订购并已付款的材料、工程设备和其他物品的金额。发包人付款后，该材料、工程设备和其他物品归发包人所有；</w:t>
      </w:r>
    </w:p>
    <w:p w14:paraId="08692370">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665" w:name="_Toc234833213"/>
      <w:bookmarkStart w:id="1666" w:name="_Toc26887"/>
      <w:bookmarkStart w:id="1667" w:name="_Toc1579"/>
      <w:bookmarkStart w:id="1668" w:name="_Toc27505"/>
      <w:bookmarkStart w:id="1669" w:name="_Toc4428"/>
      <w:r>
        <w:rPr>
          <w:rFonts w:hint="default" w:ascii="Times New Roman" w:hAnsi="Times New Roman" w:eastAsia="黑体" w:cs="Times New Roman"/>
          <w:b w:val="0"/>
          <w:color w:val="auto"/>
          <w:sz w:val="28"/>
          <w:szCs w:val="28"/>
          <w:highlight w:val="none"/>
        </w:rPr>
        <w:t>23. 索赔</w:t>
      </w:r>
      <w:bookmarkEnd w:id="1665"/>
      <w:bookmarkEnd w:id="1666"/>
      <w:bookmarkEnd w:id="1667"/>
      <w:bookmarkEnd w:id="1668"/>
      <w:bookmarkEnd w:id="1669"/>
    </w:p>
    <w:p w14:paraId="1D099119">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70" w:name="_Toc16220"/>
      <w:bookmarkStart w:id="1671" w:name="_Toc1551"/>
      <w:bookmarkStart w:id="1672" w:name="_Toc7676"/>
      <w:bookmarkStart w:id="1673" w:name="_Toc234833214"/>
      <w:bookmarkStart w:id="1674" w:name="_Toc5503"/>
      <w:r>
        <w:rPr>
          <w:rFonts w:hint="default" w:ascii="Times New Roman" w:hAnsi="Times New Roman" w:eastAsia="黑体" w:cs="Times New Roman"/>
          <w:b w:val="0"/>
          <w:color w:val="auto"/>
          <w:sz w:val="24"/>
          <w:szCs w:val="24"/>
          <w:highlight w:val="none"/>
        </w:rPr>
        <w:t>23.1 承包人索赔的提出</w:t>
      </w:r>
      <w:bookmarkEnd w:id="1670"/>
      <w:bookmarkEnd w:id="1671"/>
      <w:bookmarkEnd w:id="1672"/>
      <w:bookmarkEnd w:id="1673"/>
      <w:bookmarkEnd w:id="1674"/>
    </w:p>
    <w:p w14:paraId="71DC009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本款第（4）项细化为：</w:t>
      </w:r>
    </w:p>
    <w:p w14:paraId="587FACBD">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（4）在索赔事件影响结束后的28天内，承包人应向监理人递交最终索赔通知书，说明最终要求索赔的追加付款金额和（或）延长的工期，并附必要的记录和证明材料。</w:t>
      </w:r>
    </w:p>
    <w:p w14:paraId="705C0245">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75" w:name="_Toc16608"/>
      <w:bookmarkStart w:id="1676" w:name="_Toc234833215"/>
      <w:bookmarkStart w:id="1677" w:name="_Toc29342"/>
      <w:bookmarkStart w:id="1678" w:name="_Toc12793"/>
      <w:bookmarkStart w:id="1679" w:name="_Toc26842"/>
      <w:r>
        <w:rPr>
          <w:rFonts w:hint="default" w:ascii="Times New Roman" w:hAnsi="Times New Roman" w:eastAsia="黑体" w:cs="Times New Roman"/>
          <w:b w:val="0"/>
          <w:color w:val="auto"/>
          <w:sz w:val="24"/>
          <w:szCs w:val="24"/>
          <w:highlight w:val="none"/>
        </w:rPr>
        <w:t>23.2 承包人索赔处理程序</w:t>
      </w:r>
      <w:bookmarkEnd w:id="1675"/>
      <w:bookmarkEnd w:id="1676"/>
      <w:bookmarkEnd w:id="1677"/>
      <w:bookmarkEnd w:id="1678"/>
      <w:bookmarkEnd w:id="1679"/>
    </w:p>
    <w:p w14:paraId="0451EFB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本款第（2）项细化为：</w:t>
      </w:r>
    </w:p>
    <w:p w14:paraId="3A6DC12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监理人应按第3.5款商定或确定追加的付款和（或）延长的工期，并在收到上述索赔通知书或有关索赔的进一步证明材料后的42天内，将索赔处理结果报发包人批准后答复承包人。如果承包人提出的索赔要求未能遵守第23.1（2）~（4）项的规定，则承包人只限于索赔由监理人按当时记录予以核实的那部分款额和（或）工期延长天数。</w:t>
      </w:r>
    </w:p>
    <w:p w14:paraId="4179F31A">
      <w:pPr>
        <w:pStyle w:val="2"/>
        <w:pageBreakBefore w:val="0"/>
        <w:kinsoku/>
        <w:wordWrap w:val="0"/>
        <w:bidi w:val="0"/>
        <w:spacing w:before="480" w:after="240" w:line="380" w:lineRule="atLeast"/>
        <w:outlineLvl w:val="2"/>
        <w:rPr>
          <w:rFonts w:hint="default" w:ascii="Times New Roman" w:hAnsi="Times New Roman" w:eastAsia="黑体" w:cs="Times New Roman"/>
          <w:b w:val="0"/>
          <w:color w:val="auto"/>
          <w:sz w:val="28"/>
          <w:szCs w:val="28"/>
          <w:highlight w:val="none"/>
        </w:rPr>
      </w:pPr>
      <w:bookmarkStart w:id="1680" w:name="_Toc18247"/>
      <w:bookmarkStart w:id="1681" w:name="_Toc30770"/>
      <w:bookmarkStart w:id="1682" w:name="_Toc11561"/>
      <w:bookmarkStart w:id="1683" w:name="_Toc18749"/>
      <w:bookmarkStart w:id="1684" w:name="_Toc234833216"/>
      <w:r>
        <w:rPr>
          <w:rFonts w:hint="default" w:ascii="Times New Roman" w:hAnsi="Times New Roman" w:eastAsia="黑体" w:cs="Times New Roman"/>
          <w:b w:val="0"/>
          <w:color w:val="auto"/>
          <w:sz w:val="28"/>
          <w:szCs w:val="28"/>
          <w:highlight w:val="none"/>
        </w:rPr>
        <w:t>24. 争议的解决</w:t>
      </w:r>
      <w:bookmarkEnd w:id="1680"/>
      <w:bookmarkEnd w:id="1681"/>
      <w:bookmarkEnd w:id="1682"/>
      <w:bookmarkEnd w:id="1683"/>
      <w:bookmarkEnd w:id="1684"/>
    </w:p>
    <w:p w14:paraId="546C6108">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85" w:name="_Toc18858"/>
      <w:bookmarkStart w:id="1686" w:name="_Toc234833217"/>
      <w:bookmarkStart w:id="1687" w:name="_Toc29697"/>
      <w:bookmarkStart w:id="1688" w:name="_Toc3289"/>
      <w:bookmarkStart w:id="1689" w:name="_Toc26371"/>
      <w:r>
        <w:rPr>
          <w:rFonts w:hint="default" w:ascii="Times New Roman" w:hAnsi="Times New Roman" w:eastAsia="黑体" w:cs="Times New Roman"/>
          <w:b w:val="0"/>
          <w:color w:val="auto"/>
          <w:sz w:val="24"/>
          <w:szCs w:val="24"/>
          <w:highlight w:val="none"/>
        </w:rPr>
        <w:t>24.3 争议评审</w:t>
      </w:r>
      <w:bookmarkEnd w:id="1685"/>
      <w:bookmarkEnd w:id="1686"/>
      <w:bookmarkEnd w:id="1687"/>
      <w:bookmarkEnd w:id="1688"/>
      <w:bookmarkEnd w:id="1689"/>
    </w:p>
    <w:p w14:paraId="654E2C18">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第24.3.1项补充：</w:t>
      </w:r>
    </w:p>
    <w:p w14:paraId="58F3DA54">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72F7E356">
      <w:pPr>
        <w:pageBreakBefore w:val="0"/>
        <w:kinsoku/>
        <w:wordWrap w:val="0"/>
        <w:bidi w:val="0"/>
        <w:spacing w:before="240" w:beforeLines="100" w:line="400" w:lineRule="atLeast"/>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本条补充第24.4款、第24.5款（适用于采用仲裁方式最终解决争议的项目）：</w:t>
      </w:r>
    </w:p>
    <w:p w14:paraId="4447308B">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90" w:name="_Toc24990"/>
      <w:bookmarkStart w:id="1691" w:name="_Toc13339"/>
      <w:bookmarkStart w:id="1692" w:name="_Toc234833218"/>
      <w:bookmarkStart w:id="1693" w:name="_Toc32419"/>
      <w:bookmarkStart w:id="1694" w:name="_Toc22012"/>
      <w:r>
        <w:rPr>
          <w:rFonts w:hint="default" w:ascii="Times New Roman" w:hAnsi="Times New Roman" w:eastAsia="黑体" w:cs="Times New Roman"/>
          <w:b w:val="0"/>
          <w:color w:val="auto"/>
          <w:sz w:val="24"/>
          <w:szCs w:val="24"/>
          <w:highlight w:val="none"/>
        </w:rPr>
        <w:t>24.4 仲裁</w:t>
      </w:r>
      <w:bookmarkEnd w:id="1690"/>
      <w:bookmarkEnd w:id="1691"/>
      <w:bookmarkEnd w:id="1692"/>
      <w:bookmarkEnd w:id="1693"/>
      <w:bookmarkEnd w:id="1694"/>
    </w:p>
    <w:p w14:paraId="14D1155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（1）对于未能友好解决或未能通过争议评审解决的争议，发包人或承包人任一方均有权提交给第24.1款约定的仲裁委员会仲裁。</w:t>
      </w:r>
    </w:p>
    <w:p w14:paraId="2A92392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1943B98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（3）仲裁裁决是终局性的并对发包人和承包人双方具有约束力。</w:t>
      </w:r>
    </w:p>
    <w:p w14:paraId="066304F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（4）全部仲裁费用应由败诉方承担；或按仲裁委员会裁决的比例分担。</w:t>
      </w:r>
    </w:p>
    <w:p w14:paraId="3F341E1E">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695" w:name="_Toc2028"/>
      <w:bookmarkStart w:id="1696" w:name="_Toc9071"/>
      <w:bookmarkStart w:id="1697" w:name="_Toc234833219"/>
      <w:bookmarkStart w:id="1698" w:name="_Toc20967"/>
      <w:bookmarkStart w:id="1699" w:name="_Toc30469"/>
      <w:r>
        <w:rPr>
          <w:rFonts w:hint="default" w:ascii="Times New Roman" w:hAnsi="Times New Roman" w:eastAsia="黑体" w:cs="Times New Roman"/>
          <w:b w:val="0"/>
          <w:color w:val="auto"/>
          <w:sz w:val="24"/>
          <w:szCs w:val="24"/>
          <w:highlight w:val="none"/>
        </w:rPr>
        <w:t>24.5 仲裁的执行</w:t>
      </w:r>
      <w:bookmarkEnd w:id="1695"/>
      <w:bookmarkEnd w:id="1696"/>
      <w:bookmarkEnd w:id="1697"/>
      <w:bookmarkEnd w:id="1698"/>
      <w:bookmarkEnd w:id="1699"/>
    </w:p>
    <w:p w14:paraId="3FF4414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（1）任何一方不履行仲裁机构的裁决的，对方可以向有管辖权的人民法院申请执行。</w:t>
      </w:r>
    </w:p>
    <w:p w14:paraId="4CD90A5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7365E25A">
      <w:pPr>
        <w:pageBreakBefore w:val="0"/>
        <w:kinsoku/>
        <w:wordWrap w:val="0"/>
        <w:bidi w:val="0"/>
        <w:spacing w:before="240" w:after="240" w:line="380" w:lineRule="atLeast"/>
        <w:jc w:val="center"/>
        <w:outlineLvl w:val="9"/>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color w:val="auto"/>
          <w:sz w:val="24"/>
          <w:highlight w:val="none"/>
        </w:rPr>
        <w:br w:type="page"/>
      </w:r>
      <w:bookmarkStart w:id="1700" w:name="_Toc3230"/>
      <w:bookmarkStart w:id="1701" w:name="_Toc234833220"/>
      <w:bookmarkStart w:id="1702" w:name="_Toc10610"/>
      <w:r>
        <w:rPr>
          <w:rFonts w:hint="default" w:ascii="Times New Roman" w:hAnsi="Times New Roman" w:eastAsia="黑体" w:cs="Times New Roman"/>
          <w:b w:val="0"/>
          <w:color w:val="auto"/>
          <w:sz w:val="32"/>
          <w:szCs w:val="32"/>
          <w:highlight w:val="none"/>
        </w:rPr>
        <w:t>B. 项目专用合同条款</w:t>
      </w:r>
      <w:bookmarkEnd w:id="1700"/>
      <w:bookmarkEnd w:id="1701"/>
      <w:bookmarkEnd w:id="1702"/>
    </w:p>
    <w:p w14:paraId="7246D34F">
      <w:pPr>
        <w:pageBreakBefore w:val="0"/>
        <w:kinsoku/>
        <w:wordWrap w:val="0"/>
        <w:bidi w:val="0"/>
        <w:spacing w:line="440" w:lineRule="exact"/>
        <w:rPr>
          <w:rFonts w:hint="default" w:ascii="Times New Roman" w:hAnsi="Times New Roman" w:eastAsia="黑体" w:cs="Times New Roman"/>
          <w:color w:val="auto"/>
          <w:sz w:val="27"/>
          <w:szCs w:val="27"/>
          <w:highlight w:val="none"/>
        </w:rPr>
      </w:pPr>
    </w:p>
    <w:p w14:paraId="60D0DFF9">
      <w:pPr>
        <w:pStyle w:val="17"/>
        <w:pageBreakBefore w:val="0"/>
        <w:kinsoku/>
        <w:wordWrap w:val="0"/>
        <w:bidi w:val="0"/>
        <w:snapToGrid w:val="0"/>
        <w:spacing w:line="400" w:lineRule="atLeast"/>
        <w:ind w:left="0" w:leftChars="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说  明：</w:t>
      </w:r>
    </w:p>
    <w:p w14:paraId="28520724">
      <w:pPr>
        <w:pStyle w:val="17"/>
        <w:pageBreakBefore w:val="0"/>
        <w:kinsoku/>
        <w:wordWrap w:val="0"/>
        <w:bidi w:val="0"/>
        <w:snapToGrid w:val="0"/>
        <w:spacing w:line="400" w:lineRule="atLeast"/>
        <w:ind w:left="0" w:leftChars="0" w:firstLine="720" w:firstLineChars="300"/>
        <w:rPr>
          <w:rFonts w:hint="default" w:ascii="Times New Roman" w:hAnsi="Times New Roman" w:eastAsia="楷体_GB2312" w:cs="Times New Roman"/>
          <w:color w:val="auto"/>
          <w:sz w:val="24"/>
          <w:highlight w:val="none"/>
        </w:rPr>
      </w:pPr>
      <w:r>
        <w:rPr>
          <w:rFonts w:hint="default" w:ascii="Times New Roman" w:hAnsi="Times New Roman" w:eastAsia="楷体_GB2312" w:cs="Times New Roman"/>
          <w:color w:val="auto"/>
          <w:sz w:val="24"/>
          <w:highlight w:val="none"/>
        </w:rPr>
        <w:t>1.招标人在根据《</w:t>
      </w:r>
      <w:r>
        <w:rPr>
          <w:rFonts w:hint="default" w:ascii="Times New Roman" w:hAnsi="Times New Roman" w:eastAsia="楷体_GB2312" w:cs="Times New Roman"/>
          <w:color w:val="auto"/>
          <w:sz w:val="24"/>
          <w:highlight w:val="none"/>
          <w:lang w:val="en-US" w:eastAsia="zh-CN"/>
        </w:rPr>
        <w:t>标准文件</w:t>
      </w:r>
      <w:r>
        <w:rPr>
          <w:rFonts w:hint="default" w:ascii="Times New Roman" w:hAnsi="Times New Roman" w:eastAsia="楷体_GB2312" w:cs="Times New Roman"/>
          <w:color w:val="auto"/>
          <w:sz w:val="24"/>
          <w:highlight w:val="none"/>
        </w:rPr>
        <w:t>》编制项目招标文件中的</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项目专用合同条款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时，可根据招标项目的具体特点和实际需要，对</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通用合同条款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及</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进行补充和细化，除</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通用合同条款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明确</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可作出不同约定以及</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明确</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项目专用合同条款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可作出不同约定外，补充和细化的内容不得与</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通用合同条款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及</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强制性规定相抵触。同时，补充、细化或约定的内容，不得违反法律、行政法规的强制性规定和平等、自愿、公平和诚实信用原则。</w:t>
      </w:r>
    </w:p>
    <w:p w14:paraId="7B3EE134">
      <w:pPr>
        <w:pStyle w:val="17"/>
        <w:pageBreakBefore w:val="0"/>
        <w:kinsoku/>
        <w:wordWrap w:val="0"/>
        <w:bidi w:val="0"/>
        <w:snapToGrid w:val="0"/>
        <w:spacing w:line="400" w:lineRule="atLeast"/>
        <w:ind w:left="0" w:leftChars="0" w:firstLine="720" w:firstLineChars="300"/>
        <w:rPr>
          <w:rFonts w:hint="default" w:ascii="Times New Roman" w:hAnsi="Times New Roman" w:eastAsia="楷体_GB2312" w:cs="Times New Roman"/>
          <w:color w:val="auto"/>
          <w:sz w:val="24"/>
          <w:highlight w:val="none"/>
        </w:rPr>
      </w:pPr>
      <w:r>
        <w:rPr>
          <w:rFonts w:hint="default" w:ascii="Times New Roman" w:hAnsi="Times New Roman" w:eastAsia="楷体_GB2312" w:cs="Times New Roman"/>
          <w:color w:val="auto"/>
          <w:sz w:val="24"/>
          <w:highlight w:val="none"/>
        </w:rPr>
        <w:t>2.项目专用合同条款的编号应与通用合同条款和公路工程专用合同条款一致。</w:t>
      </w:r>
    </w:p>
    <w:p w14:paraId="297B28F3">
      <w:pPr>
        <w:pStyle w:val="17"/>
        <w:pageBreakBefore w:val="0"/>
        <w:kinsoku/>
        <w:wordWrap w:val="0"/>
        <w:bidi w:val="0"/>
        <w:snapToGrid w:val="0"/>
        <w:spacing w:line="400" w:lineRule="atLeast"/>
        <w:ind w:left="0" w:leftChars="0" w:firstLine="720" w:firstLineChars="300"/>
        <w:outlineLvl w:val="9"/>
        <w:rPr>
          <w:rFonts w:hint="default" w:ascii="Times New Roman" w:hAnsi="Times New Roman" w:eastAsia="楷体_GB2312" w:cs="Times New Roman"/>
          <w:color w:val="auto"/>
          <w:sz w:val="24"/>
          <w:highlight w:val="none"/>
        </w:rPr>
      </w:pPr>
      <w:r>
        <w:rPr>
          <w:rFonts w:hint="default" w:ascii="Times New Roman" w:hAnsi="Times New Roman" w:eastAsia="楷体_GB2312" w:cs="Times New Roman"/>
          <w:color w:val="auto"/>
          <w:sz w:val="24"/>
          <w:highlight w:val="none"/>
        </w:rPr>
        <w:t>3.项目专用合同条款可对下列内容进行补充和细化：</w:t>
      </w:r>
    </w:p>
    <w:p w14:paraId="58B163AC">
      <w:pPr>
        <w:pStyle w:val="17"/>
        <w:pageBreakBefore w:val="0"/>
        <w:kinsoku/>
        <w:wordWrap w:val="0"/>
        <w:bidi w:val="0"/>
        <w:snapToGrid w:val="0"/>
        <w:spacing w:line="400" w:lineRule="atLeast"/>
        <w:ind w:left="0" w:leftChars="0" w:firstLine="720" w:firstLineChars="300"/>
        <w:rPr>
          <w:rFonts w:hint="default" w:ascii="Times New Roman" w:hAnsi="Times New Roman" w:eastAsia="楷体_GB2312" w:cs="Times New Roman"/>
          <w:color w:val="auto"/>
          <w:sz w:val="24"/>
          <w:highlight w:val="none"/>
        </w:rPr>
      </w:pPr>
      <w:r>
        <w:rPr>
          <w:rFonts w:hint="default" w:ascii="Times New Roman" w:hAnsi="Times New Roman" w:eastAsia="楷体_GB2312" w:cs="Times New Roman"/>
          <w:color w:val="auto"/>
          <w:sz w:val="24"/>
          <w:highlight w:val="none"/>
        </w:rPr>
        <w:t>（1）</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通用合同条款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中明确指出</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可对</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通用合同条款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进行修改的内容（在</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通用合同条款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中用</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应按合同约定</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应按专用合同条款约定</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除合同另有约定外</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除专用合同条款另有约定外</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在专用合同条款中约定</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等多种文字形式表达）；</w:t>
      </w:r>
    </w:p>
    <w:p w14:paraId="0743205B">
      <w:pPr>
        <w:pStyle w:val="17"/>
        <w:pageBreakBefore w:val="0"/>
        <w:kinsoku/>
        <w:wordWrap w:val="0"/>
        <w:bidi w:val="0"/>
        <w:snapToGrid w:val="0"/>
        <w:spacing w:line="400" w:lineRule="atLeast"/>
        <w:ind w:left="0" w:leftChars="0" w:firstLine="720" w:firstLineChars="300"/>
        <w:rPr>
          <w:rFonts w:hint="default" w:ascii="Times New Roman" w:hAnsi="Times New Roman" w:eastAsia="楷体_GB2312" w:cs="Times New Roman"/>
          <w:color w:val="auto"/>
          <w:sz w:val="24"/>
          <w:highlight w:val="none"/>
        </w:rPr>
      </w:pPr>
      <w:r>
        <w:rPr>
          <w:rFonts w:hint="default" w:ascii="Times New Roman" w:hAnsi="Times New Roman" w:eastAsia="楷体_GB2312" w:cs="Times New Roman"/>
          <w:color w:val="auto"/>
          <w:sz w:val="24"/>
          <w:highlight w:val="none"/>
        </w:rPr>
        <w:t>（2）</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中明确指出</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项目专用合同条款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可对</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进行修改的内容（在</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中用</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除项目专用合同条款另有约定外</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项目专用合同条款可能约定的</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项目专用合同条款约定的其他情形</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等多种文字形式表达）。</w:t>
      </w:r>
    </w:p>
    <w:p w14:paraId="333A824D">
      <w:pPr>
        <w:pStyle w:val="17"/>
        <w:pageBreakBefore w:val="0"/>
        <w:kinsoku/>
        <w:wordWrap w:val="0"/>
        <w:bidi w:val="0"/>
        <w:snapToGrid w:val="0"/>
        <w:spacing w:line="400" w:lineRule="atLeast"/>
        <w:ind w:left="0" w:leftChars="0" w:firstLine="720" w:firstLineChars="300"/>
        <w:rPr>
          <w:rFonts w:hint="default" w:ascii="Times New Roman" w:hAnsi="Times New Roman" w:eastAsia="楷体_GB2312" w:cs="Times New Roman"/>
          <w:color w:val="auto"/>
          <w:sz w:val="24"/>
          <w:highlight w:val="none"/>
        </w:rPr>
      </w:pPr>
      <w:r>
        <w:rPr>
          <w:rFonts w:hint="default" w:ascii="Times New Roman" w:hAnsi="Times New Roman" w:eastAsia="楷体_GB2312" w:cs="Times New Roman"/>
          <w:color w:val="auto"/>
          <w:sz w:val="24"/>
          <w:highlight w:val="none"/>
        </w:rPr>
        <w:t>（3）其他需要补充、细化的内容。</w:t>
      </w:r>
    </w:p>
    <w:p w14:paraId="2BE08D11">
      <w:pPr>
        <w:pStyle w:val="17"/>
        <w:pageBreakBefore w:val="0"/>
        <w:kinsoku/>
        <w:wordWrap w:val="0"/>
        <w:bidi w:val="0"/>
        <w:snapToGrid w:val="0"/>
        <w:spacing w:line="400" w:lineRule="atLeast"/>
        <w:ind w:left="0" w:leftChars="0" w:firstLine="720" w:firstLineChars="300"/>
        <w:rPr>
          <w:rFonts w:hint="default" w:ascii="Times New Roman" w:hAnsi="Times New Roman" w:eastAsia="黑体" w:cs="Times New Roman"/>
          <w:color w:val="auto"/>
          <w:sz w:val="24"/>
          <w:highlight w:val="none"/>
        </w:rPr>
      </w:pPr>
    </w:p>
    <w:p w14:paraId="411E2593">
      <w:pPr>
        <w:pageBreakBefore w:val="0"/>
        <w:kinsoku/>
        <w:wordWrap w:val="0"/>
        <w:bidi w:val="0"/>
        <w:spacing w:before="240" w:after="240" w:line="380" w:lineRule="atLeast"/>
        <w:jc w:val="center"/>
        <w:outlineLvl w:val="9"/>
        <w:rPr>
          <w:rFonts w:hint="default" w:ascii="Times New Roman" w:hAnsi="Times New Roman" w:eastAsia="黑体" w:cs="Times New Roman"/>
          <w:b w:val="0"/>
          <w:color w:val="auto"/>
          <w:sz w:val="32"/>
          <w:szCs w:val="32"/>
          <w:highlight w:val="none"/>
        </w:rPr>
      </w:pPr>
      <w:r>
        <w:rPr>
          <w:rFonts w:hint="default" w:ascii="Times New Roman" w:hAnsi="Times New Roman" w:eastAsia="黑体" w:cs="Times New Roman"/>
          <w:color w:val="auto"/>
          <w:sz w:val="28"/>
          <w:highlight w:val="none"/>
        </w:rPr>
        <w:br w:type="page"/>
      </w:r>
      <w:bookmarkStart w:id="1703" w:name="_Toc234833221"/>
      <w:bookmarkStart w:id="1704" w:name="_Toc21057"/>
      <w:bookmarkStart w:id="1705" w:name="_Toc7284"/>
      <w:bookmarkStart w:id="1706" w:name="_Toc30237"/>
      <w:r>
        <w:rPr>
          <w:rFonts w:hint="default" w:ascii="Times New Roman" w:hAnsi="Times New Roman" w:eastAsia="黑体" w:cs="Times New Roman"/>
          <w:b w:val="0"/>
          <w:color w:val="auto"/>
          <w:sz w:val="32"/>
          <w:szCs w:val="32"/>
          <w:highlight w:val="none"/>
        </w:rPr>
        <w:t>项目专用合同条款数据表</w:t>
      </w:r>
      <w:bookmarkEnd w:id="1703"/>
      <w:bookmarkEnd w:id="1704"/>
      <w:bookmarkEnd w:id="1705"/>
      <w:bookmarkEnd w:id="1706"/>
    </w:p>
    <w:p w14:paraId="005BC19A">
      <w:pPr>
        <w:pStyle w:val="17"/>
        <w:pageBreakBefore w:val="0"/>
        <w:kinsoku/>
        <w:wordWrap w:val="0"/>
        <w:bidi w:val="0"/>
        <w:snapToGrid w:val="0"/>
        <w:spacing w:after="0" w:line="400" w:lineRule="atLeast"/>
        <w:ind w:left="660" w:leftChars="0" w:hanging="660" w:hangingChars="275"/>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说明：</w:t>
      </w:r>
      <w:r>
        <w:rPr>
          <w:rFonts w:hint="default" w:ascii="Times New Roman" w:hAnsi="Times New Roman" w:eastAsia="楷体_GB2312" w:cs="Times New Roman"/>
          <w:color w:val="auto"/>
          <w:sz w:val="24"/>
          <w:highlight w:val="none"/>
        </w:rPr>
        <w:t>本数据表是项目专用合同条款中适用于本项目的信息和数据的归纳与提示，是项目专用合同条款的组成部分。第九章</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投标文件格式</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的投标函附录中的数据（供投标人确认）与本表所列有重复。编写招标文件的单位应仔细校核，不使数据出现差错或不一致。</w:t>
      </w:r>
    </w:p>
    <w:p w14:paraId="067F1B1D">
      <w:pPr>
        <w:pStyle w:val="17"/>
        <w:pageBreakBefore w:val="0"/>
        <w:kinsoku/>
        <w:wordWrap w:val="0"/>
        <w:bidi w:val="0"/>
        <w:snapToGrid w:val="0"/>
        <w:spacing w:after="0" w:line="400" w:lineRule="atLeast"/>
        <w:ind w:left="660" w:leftChars="0" w:hanging="660" w:hangingChars="275"/>
        <w:rPr>
          <w:rFonts w:hint="default" w:ascii="Times New Roman" w:hAnsi="Times New Roman" w:cs="Times New Roman"/>
          <w:color w:val="auto"/>
          <w:sz w:val="24"/>
          <w:highlight w:val="none"/>
        </w:rPr>
      </w:pPr>
    </w:p>
    <w:tbl>
      <w:tblPr>
        <w:tblStyle w:val="39"/>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4D46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29" w:type="dxa"/>
            <w:noWrap w:val="0"/>
            <w:vAlign w:val="center"/>
          </w:tcPr>
          <w:p w14:paraId="002D335F">
            <w:pPr>
              <w:pageBreakBefore w:val="0"/>
              <w:kinsoku/>
              <w:wordWrap w:val="0"/>
              <w:bidi w:val="0"/>
              <w:snapToGrid w:val="0"/>
              <w:spacing w:before="100" w:beforeAutospacing="1" w:line="36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序号</w:t>
            </w:r>
          </w:p>
        </w:tc>
        <w:tc>
          <w:tcPr>
            <w:tcW w:w="1111" w:type="dxa"/>
            <w:noWrap w:val="0"/>
            <w:vAlign w:val="center"/>
          </w:tcPr>
          <w:p w14:paraId="690276D3">
            <w:pPr>
              <w:pageBreakBefore w:val="0"/>
              <w:kinsoku/>
              <w:wordWrap w:val="0"/>
              <w:bidi w:val="0"/>
              <w:snapToGrid w:val="0"/>
              <w:spacing w:line="36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条目号</w:t>
            </w:r>
          </w:p>
        </w:tc>
        <w:tc>
          <w:tcPr>
            <w:tcW w:w="7304" w:type="dxa"/>
            <w:noWrap w:val="0"/>
            <w:vAlign w:val="center"/>
          </w:tcPr>
          <w:p w14:paraId="22F0043C">
            <w:pPr>
              <w:pageBreakBefore w:val="0"/>
              <w:kinsoku/>
              <w:wordWrap w:val="0"/>
              <w:bidi w:val="0"/>
              <w:snapToGrid w:val="0"/>
              <w:spacing w:line="360" w:lineRule="atLeast"/>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信息或数据</w:t>
            </w:r>
          </w:p>
        </w:tc>
      </w:tr>
      <w:tr w14:paraId="3E99C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17087541">
            <w:pPr>
              <w:pageBreakBefore w:val="0"/>
              <w:kinsoku/>
              <w:wordWrap w:val="0"/>
              <w:bidi w:val="0"/>
              <w:snapToGrid w:val="0"/>
              <w:spacing w:line="360" w:lineRule="atLeast"/>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w:t>
            </w:r>
          </w:p>
        </w:tc>
        <w:tc>
          <w:tcPr>
            <w:tcW w:w="1111" w:type="dxa"/>
            <w:shd w:val="clear" w:color="auto" w:fill="auto"/>
            <w:noWrap w:val="0"/>
            <w:vAlign w:val="top"/>
          </w:tcPr>
          <w:p w14:paraId="28672EDE">
            <w:pPr>
              <w:spacing w:line="248" w:lineRule="auto"/>
              <w:rPr>
                <w:rFonts w:ascii="Arial"/>
                <w:sz w:val="21"/>
              </w:rPr>
            </w:pPr>
          </w:p>
          <w:p w14:paraId="27ACC556">
            <w:pPr>
              <w:spacing w:line="248" w:lineRule="auto"/>
              <w:rPr>
                <w:rFonts w:ascii="Arial"/>
                <w:sz w:val="21"/>
              </w:rPr>
            </w:pPr>
          </w:p>
          <w:p w14:paraId="0F2B5CE6">
            <w:pPr>
              <w:spacing w:line="248" w:lineRule="auto"/>
              <w:rPr>
                <w:rFonts w:ascii="Arial"/>
                <w:sz w:val="21"/>
              </w:rPr>
            </w:pPr>
          </w:p>
          <w:p w14:paraId="5AA1BBCE">
            <w:pPr>
              <w:spacing w:line="248" w:lineRule="auto"/>
              <w:rPr>
                <w:rFonts w:ascii="Arial"/>
                <w:sz w:val="21"/>
              </w:rPr>
            </w:pPr>
          </w:p>
          <w:p w14:paraId="76F02673">
            <w:pPr>
              <w:spacing w:line="249" w:lineRule="auto"/>
              <w:rPr>
                <w:rFonts w:ascii="Arial"/>
                <w:sz w:val="21"/>
              </w:rPr>
            </w:pPr>
          </w:p>
          <w:p w14:paraId="386013B3">
            <w:pPr>
              <w:spacing w:line="249" w:lineRule="auto"/>
              <w:rPr>
                <w:rFonts w:ascii="Arial"/>
                <w:sz w:val="21"/>
              </w:rPr>
            </w:pPr>
          </w:p>
          <w:p w14:paraId="772842CC">
            <w:pPr>
              <w:spacing w:line="249" w:lineRule="auto"/>
              <w:rPr>
                <w:rFonts w:ascii="Arial"/>
                <w:sz w:val="21"/>
              </w:rPr>
            </w:pPr>
          </w:p>
          <w:p w14:paraId="2B24F25B">
            <w:pPr>
              <w:spacing w:line="249" w:lineRule="auto"/>
              <w:rPr>
                <w:rFonts w:ascii="Arial"/>
                <w:sz w:val="21"/>
              </w:rPr>
            </w:pPr>
          </w:p>
          <w:p w14:paraId="7990EDFC">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rPr>
            </w:pPr>
          </w:p>
          <w:p w14:paraId="2AFC0F21">
            <w:pPr>
              <w:pageBreakBefore w:val="0"/>
              <w:kinsoku/>
              <w:wordWrap w:val="0"/>
              <w:bidi w:val="0"/>
              <w:snapToGrid w:val="0"/>
              <w:spacing w:line="360" w:lineRule="atLeast"/>
              <w:jc w:val="center"/>
              <w:rPr>
                <w:rFonts w:hint="default" w:ascii="宋体" w:hAnsi="宋体" w:eastAsia="宋体" w:cs="宋体"/>
                <w:kern w:val="2"/>
                <w:sz w:val="24"/>
                <w:szCs w:val="24"/>
                <w:lang w:val="en-US" w:eastAsia="en-US" w:bidi="ar-SA"/>
              </w:rPr>
            </w:pPr>
            <w:r>
              <w:rPr>
                <w:rFonts w:hint="default" w:ascii="Times New Roman" w:hAnsi="Times New Roman" w:eastAsia="宋体" w:cs="Times New Roman"/>
                <w:color w:val="auto"/>
                <w:szCs w:val="21"/>
                <w:highlight w:val="none"/>
              </w:rPr>
              <w:t>1.1.1.8</w:t>
            </w:r>
          </w:p>
        </w:tc>
        <w:tc>
          <w:tcPr>
            <w:tcW w:w="7304" w:type="dxa"/>
            <w:shd w:val="clear" w:color="auto" w:fill="auto"/>
            <w:noWrap w:val="0"/>
            <w:vAlign w:val="top"/>
          </w:tcPr>
          <w:p w14:paraId="21E48CE2">
            <w:pPr>
              <w:pStyle w:val="93"/>
              <w:keepNext w:val="0"/>
              <w:keepLines w:val="0"/>
              <w:pageBreakBefore w:val="0"/>
              <w:widowControl w:val="0"/>
              <w:kinsoku/>
              <w:wordWrap/>
              <w:overflowPunct/>
              <w:topLinePunct w:val="0"/>
              <w:autoSpaceDE/>
              <w:autoSpaceDN/>
              <w:bidi w:val="0"/>
              <w:adjustRightInd/>
              <w:snapToGrid/>
              <w:spacing w:before="136" w:line="362" w:lineRule="auto"/>
              <w:ind w:left="132" w:right="118" w:firstLine="23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已标价工程量清单：指构成合同文件组成部分的根据发包人在招标阶段发出的 已明确各清单子目具体价格的工程量清单及承包人投标总价形成的工程量清单。</w:t>
            </w:r>
          </w:p>
          <w:p w14:paraId="79917F3A">
            <w:pPr>
              <w:pStyle w:val="93"/>
              <w:keepNext w:val="0"/>
              <w:keepLines w:val="0"/>
              <w:pageBreakBefore w:val="0"/>
              <w:widowControl w:val="0"/>
              <w:kinsoku/>
              <w:wordWrap/>
              <w:overflowPunct/>
              <w:topLinePunct w:val="0"/>
              <w:autoSpaceDE/>
              <w:autoSpaceDN/>
              <w:bidi w:val="0"/>
              <w:adjustRightInd/>
              <w:snapToGrid/>
              <w:spacing w:before="6" w:line="218" w:lineRule="auto"/>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招标阶段的工程量清单中的数量仅为投标报价的基础，在工程开工前，在签约</w:t>
            </w:r>
          </w:p>
          <w:p w14:paraId="5022D9BF">
            <w:pPr>
              <w:pStyle w:val="93"/>
              <w:keepNext w:val="0"/>
              <w:keepLines w:val="0"/>
              <w:pageBreakBefore w:val="0"/>
              <w:widowControl w:val="0"/>
              <w:kinsoku/>
              <w:wordWrap/>
              <w:overflowPunct/>
              <w:topLinePunct w:val="0"/>
              <w:autoSpaceDE/>
              <w:autoSpaceDN/>
              <w:bidi w:val="0"/>
              <w:adjustRightInd/>
              <w:snapToGrid/>
              <w:spacing w:before="140" w:line="352" w:lineRule="auto"/>
              <w:ind w:left="122"/>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合同价中的“承包人工程施工价款”不变的前提下，根据施工图等合同组成文件，发包人或监理人将组织对已标价工程量清单进行核查，并有权对单价或总额价进行相应调整，承包人应予以配合。</w:t>
            </w:r>
          </w:p>
          <w:p w14:paraId="71AD977B">
            <w:pPr>
              <w:pStyle w:val="93"/>
              <w:keepNext w:val="0"/>
              <w:keepLines w:val="0"/>
              <w:pageBreakBefore w:val="0"/>
              <w:widowControl w:val="0"/>
              <w:kinsoku/>
              <w:wordWrap/>
              <w:overflowPunct/>
              <w:topLinePunct w:val="0"/>
              <w:autoSpaceDE/>
              <w:autoSpaceDN/>
              <w:bidi w:val="0"/>
              <w:adjustRightInd/>
              <w:snapToGrid/>
              <w:spacing w:before="2" w:line="348" w:lineRule="auto"/>
              <w:ind w:left="122" w:right="159" w:firstLine="22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本工程合同价格中的“承包人工程施工价款”采用总价合同方式，已标价工程量清单作为履约过程中期中计量支付的参考，并作为确定变更工作单价的依据， 但不作为最终结算的依据。</w:t>
            </w:r>
          </w:p>
          <w:p w14:paraId="3DDF0D5C">
            <w:pPr>
              <w:pStyle w:val="93"/>
              <w:keepNext w:val="0"/>
              <w:keepLines w:val="0"/>
              <w:pageBreakBefore w:val="0"/>
              <w:widowControl w:val="0"/>
              <w:kinsoku/>
              <w:wordWrap/>
              <w:overflowPunct/>
              <w:topLinePunct w:val="0"/>
              <w:autoSpaceDE/>
              <w:autoSpaceDN/>
              <w:bidi w:val="0"/>
              <w:adjustRightInd/>
              <w:snapToGrid/>
              <w:spacing w:before="2" w:line="304" w:lineRule="auto"/>
              <w:ind w:left="122" w:leftChars="0" w:firstLine="218" w:firstLineChars="0"/>
              <w:jc w:val="left"/>
              <w:textAlignment w:val="auto"/>
              <w:rPr>
                <w:rFonts w:hint="default" w:ascii="宋体" w:hAnsi="宋体" w:eastAsia="宋体" w:cs="宋体"/>
                <w:kern w:val="2"/>
                <w:sz w:val="24"/>
                <w:szCs w:val="24"/>
                <w:lang w:val="en-US" w:eastAsia="zh-CN" w:bidi="ar-SA"/>
              </w:rPr>
            </w:pPr>
            <w:r>
              <w:rPr>
                <w:rFonts w:hint="default" w:ascii="Times New Roman" w:hAnsi="Times New Roman" w:eastAsia="宋体" w:cs="Times New Roman"/>
                <w:color w:val="auto"/>
                <w:kern w:val="2"/>
                <w:sz w:val="21"/>
                <w:szCs w:val="21"/>
                <w:highlight w:val="none"/>
                <w:lang w:val="en-US" w:eastAsia="zh-CN" w:bidi="ar-SA"/>
              </w:rPr>
              <w:t>在工程验收前，在合同价格中的“承包人工程施工价款”结算价不变的前提下， 根据施工图和变更等合同组成文件，承包人、监理人、发包人将对实际完成工程量进行核查，并对单价或总额价进行相应调整，编制结算已标价工程量清单。</w:t>
            </w:r>
          </w:p>
        </w:tc>
      </w:tr>
      <w:tr w14:paraId="4584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4CED64E6">
            <w:pPr>
              <w:pageBreakBefore w:val="0"/>
              <w:kinsoku/>
              <w:wordWrap w:val="0"/>
              <w:bidi w:val="0"/>
              <w:snapToGrid w:val="0"/>
              <w:spacing w:line="360" w:lineRule="atLeast"/>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1111" w:type="dxa"/>
            <w:shd w:val="clear" w:color="auto" w:fill="auto"/>
            <w:noWrap w:val="0"/>
            <w:vAlign w:val="center"/>
          </w:tcPr>
          <w:p w14:paraId="5C204D12">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1.1.2.2</w:t>
            </w:r>
          </w:p>
        </w:tc>
        <w:tc>
          <w:tcPr>
            <w:tcW w:w="7304" w:type="dxa"/>
            <w:shd w:val="clear" w:color="auto" w:fill="auto"/>
            <w:noWrap w:val="0"/>
            <w:vAlign w:val="center"/>
          </w:tcPr>
          <w:p w14:paraId="3C3F048A">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eastAsia="宋体" w:cs="Times New Roman"/>
                <w:color w:val="auto"/>
                <w:szCs w:val="21"/>
                <w:highlight w:val="none"/>
                <w:lang w:val="en-US" w:eastAsia="zh-CN"/>
              </w:rPr>
              <w:t>发 包 人：盖州市交通运输服务中心</w:t>
            </w:r>
          </w:p>
          <w:p w14:paraId="7D04C91F">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yellow"/>
                <w:lang w:val="en-US" w:eastAsia="zh-CN" w:bidi="ar-SA"/>
              </w:rPr>
            </w:pPr>
            <w:r>
              <w:rPr>
                <w:rFonts w:hint="default" w:ascii="Times New Roman" w:hAnsi="Times New Roman" w:cs="Times New Roman"/>
                <w:color w:val="auto"/>
                <w:szCs w:val="21"/>
                <w:highlight w:val="none"/>
              </w:rPr>
              <w:t>地    址：</w:t>
            </w:r>
            <w:r>
              <w:rPr>
                <w:rFonts w:hint="default" w:ascii="Times New Roman" w:hAnsi="Times New Roman" w:cs="Times New Roman"/>
                <w:color w:val="auto"/>
                <w:szCs w:val="21"/>
                <w:highlight w:val="none"/>
                <w:lang w:val="en-US" w:eastAsia="zh-CN"/>
              </w:rPr>
              <w:t>营口市</w:t>
            </w:r>
            <w:r>
              <w:rPr>
                <w:rFonts w:hint="default" w:ascii="Times New Roman" w:hAnsi="Times New Roman" w:cs="Times New Roman"/>
                <w:color w:val="auto"/>
                <w:szCs w:val="21"/>
                <w:highlight w:val="none"/>
              </w:rPr>
              <w:t>盖州市盖州路108号    邮政编码：</w:t>
            </w:r>
            <w:r>
              <w:rPr>
                <w:rFonts w:hint="eastAsia" w:cs="Times New Roman"/>
                <w:color w:val="auto"/>
                <w:szCs w:val="21"/>
                <w:highlight w:val="none"/>
                <w:lang w:val="en-US" w:eastAsia="zh-CN"/>
              </w:rPr>
              <w:t>115200</w:t>
            </w:r>
          </w:p>
        </w:tc>
      </w:tr>
      <w:tr w14:paraId="4EF1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36F6888C">
            <w:pPr>
              <w:pageBreakBefore w:val="0"/>
              <w:kinsoku/>
              <w:wordWrap w:val="0"/>
              <w:bidi w:val="0"/>
              <w:snapToGrid w:val="0"/>
              <w:spacing w:line="360" w:lineRule="atLeast"/>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w:t>
            </w:r>
          </w:p>
        </w:tc>
        <w:tc>
          <w:tcPr>
            <w:tcW w:w="1111" w:type="dxa"/>
            <w:noWrap w:val="0"/>
            <w:vAlign w:val="center"/>
          </w:tcPr>
          <w:p w14:paraId="643AC346">
            <w:pPr>
              <w:pageBreakBefore w:val="0"/>
              <w:kinsoku/>
              <w:wordWrap w:val="0"/>
              <w:bidi w:val="0"/>
              <w:snapToGrid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1.1.2.6</w:t>
            </w:r>
          </w:p>
        </w:tc>
        <w:tc>
          <w:tcPr>
            <w:tcW w:w="7304" w:type="dxa"/>
            <w:noWrap w:val="0"/>
            <w:vAlign w:val="center"/>
          </w:tcPr>
          <w:p w14:paraId="337BEAA7">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 理 人：</w:t>
            </w:r>
            <w:r>
              <w:rPr>
                <w:color w:val="auto"/>
                <w:spacing w:val="1"/>
              </w:rPr>
              <w:t>(发包人将在签订合同协议书后，将上述信息书面通知承包人)</w:t>
            </w:r>
            <w:r>
              <w:rPr>
                <w:rFonts w:hint="default" w:ascii="Times New Roman" w:hAnsi="Times New Roman" w:cs="Times New Roman"/>
                <w:color w:val="auto"/>
                <w:szCs w:val="21"/>
                <w:highlight w:val="none"/>
              </w:rPr>
              <w:t xml:space="preserve">    地    址：   </w:t>
            </w:r>
          </w:p>
        </w:tc>
      </w:tr>
      <w:tr w14:paraId="24684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16497F4D">
            <w:pPr>
              <w:pageBreakBefore w:val="0"/>
              <w:kinsoku/>
              <w:wordWrap w:val="0"/>
              <w:bidi w:val="0"/>
              <w:snapToGrid w:val="0"/>
              <w:spacing w:line="360" w:lineRule="atLeast"/>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w:t>
            </w:r>
          </w:p>
        </w:tc>
        <w:tc>
          <w:tcPr>
            <w:tcW w:w="1111" w:type="dxa"/>
            <w:shd w:val="clear" w:color="auto" w:fill="auto"/>
            <w:noWrap w:val="0"/>
            <w:vAlign w:val="center"/>
          </w:tcPr>
          <w:p w14:paraId="2BE4079D">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zCs w:val="21"/>
                <w:highlight w:val="none"/>
              </w:rPr>
              <w:t>1.1.4.5</w:t>
            </w:r>
          </w:p>
        </w:tc>
        <w:tc>
          <w:tcPr>
            <w:tcW w:w="7304" w:type="dxa"/>
            <w:shd w:val="clear" w:color="auto" w:fill="auto"/>
            <w:noWrap w:val="0"/>
            <w:vAlign w:val="center"/>
          </w:tcPr>
          <w:p w14:paraId="48C6E8ED">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zCs w:val="21"/>
                <w:highlight w:val="none"/>
              </w:rPr>
              <w:t>缺陷责任期：自实际交工日期起计算</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1</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Style w:val="47"/>
                <w:rFonts w:hint="default" w:ascii="Times New Roman" w:hAnsi="Times New Roman" w:cs="Times New Roman"/>
                <w:color w:val="auto"/>
                <w:szCs w:val="21"/>
                <w:highlight w:val="none"/>
              </w:rPr>
              <w:footnoteReference w:id="33"/>
            </w:r>
          </w:p>
        </w:tc>
      </w:tr>
      <w:tr w14:paraId="460B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F6B73EB">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5</w:t>
            </w:r>
          </w:p>
        </w:tc>
        <w:tc>
          <w:tcPr>
            <w:tcW w:w="1111" w:type="dxa"/>
            <w:shd w:val="clear" w:color="auto" w:fill="auto"/>
            <w:noWrap w:val="0"/>
            <w:vAlign w:val="top"/>
          </w:tcPr>
          <w:p w14:paraId="26DE30E3">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6254816C">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0404AE82">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6B04FF28">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06C7886B">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21CEC6FA">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69076732">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50C5B442">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579688BE">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7BF9D375">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13C03BF1">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1DC4333A">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14A49160">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5EB71CB3">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3F4EB85B">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7F7C1FD6">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4C929E98">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681D4855">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26064074">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5060209F">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523C442B">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eastAsia" w:cs="Times New Roman"/>
                <w:color w:val="auto"/>
                <w:szCs w:val="21"/>
                <w:highlight w:val="none"/>
                <w:lang w:val="en-US" w:eastAsia="zh-CN"/>
              </w:rPr>
              <w:t>1.1.5.2</w:t>
            </w:r>
          </w:p>
        </w:tc>
        <w:tc>
          <w:tcPr>
            <w:tcW w:w="7304" w:type="dxa"/>
            <w:shd w:val="clear" w:color="auto" w:fill="auto"/>
            <w:noWrap w:val="0"/>
            <w:vAlign w:val="top"/>
          </w:tcPr>
          <w:p w14:paraId="6D2D88DC">
            <w:pPr>
              <w:pageBreakBefore w:val="0"/>
              <w:kinsoku/>
              <w:wordWrap w:val="0"/>
              <w:bidi w:val="0"/>
              <w:snapToGrid w:val="0"/>
              <w:spacing w:line="360" w:lineRule="atLeast"/>
              <w:ind w:firstLine="241" w:firstLineChars="114"/>
              <w:rPr>
                <w:rFonts w:hint="default" w:ascii="Times New Roman" w:hAnsi="Times New Roman" w:eastAsia="宋体" w:cs="Times New Roman"/>
                <w:color w:val="auto"/>
                <w:spacing w:val="1"/>
                <w:highlight w:val="none"/>
                <w:lang w:val="en-US" w:eastAsia="en-US"/>
              </w:rPr>
            </w:pPr>
            <w:r>
              <w:rPr>
                <w:rFonts w:hint="default" w:ascii="Times New Roman" w:hAnsi="Times New Roman" w:eastAsia="宋体" w:cs="Times New Roman"/>
                <w:color w:val="auto"/>
                <w:spacing w:val="1"/>
                <w:lang w:val="en-US" w:eastAsia="en-US"/>
              </w:rPr>
              <w:t>（1）</w:t>
            </w:r>
            <w:r>
              <w:rPr>
                <w:rFonts w:hint="default" w:ascii="Times New Roman" w:hAnsi="Times New Roman" w:eastAsia="宋体" w:cs="Times New Roman"/>
                <w:color w:val="auto"/>
                <w:spacing w:val="1"/>
                <w:highlight w:val="none"/>
                <w:lang w:val="en-US" w:eastAsia="en-US"/>
              </w:rPr>
              <w:t>合同价格是指承包人按合同约定完成了包括缺陷责任期内的全部承包工作后，</w:t>
            </w:r>
            <w:r>
              <w:rPr>
                <w:rFonts w:hint="eastAsia" w:cs="Times New Roman"/>
                <w:color w:val="auto"/>
                <w:spacing w:val="1"/>
                <w:highlight w:val="none"/>
                <w:lang w:val="en-US" w:eastAsia="zh-CN"/>
              </w:rPr>
              <w:t>招标人</w:t>
            </w:r>
            <w:r>
              <w:rPr>
                <w:rFonts w:hint="default" w:ascii="Times New Roman" w:hAnsi="Times New Roman" w:eastAsia="宋体" w:cs="Times New Roman"/>
                <w:color w:val="auto"/>
                <w:spacing w:val="1"/>
                <w:highlight w:val="none"/>
                <w:lang w:val="en-US" w:eastAsia="en-US"/>
              </w:rPr>
              <w:t>应付给承包人的“承包人工程施工价款”，包括在履行合同过程中按合同约定进行的变更和调整。</w:t>
            </w:r>
          </w:p>
          <w:p w14:paraId="46B5AE07">
            <w:pPr>
              <w:pageBreakBefore w:val="0"/>
              <w:kinsoku/>
              <w:wordWrap w:val="0"/>
              <w:bidi w:val="0"/>
              <w:snapToGrid w:val="0"/>
              <w:spacing w:line="360" w:lineRule="atLeast"/>
              <w:ind w:firstLine="241" w:firstLineChars="114"/>
              <w:rPr>
                <w:rFonts w:hint="default" w:ascii="Times New Roman" w:hAnsi="Times New Roman" w:eastAsia="宋体" w:cs="Times New Roman"/>
                <w:color w:val="auto"/>
                <w:spacing w:val="1"/>
                <w:lang w:val="en-US" w:eastAsia="en-US"/>
              </w:rPr>
            </w:pPr>
            <w:r>
              <w:rPr>
                <w:rFonts w:hint="default" w:ascii="Times New Roman" w:hAnsi="Times New Roman" w:eastAsia="宋体" w:cs="Times New Roman"/>
                <w:color w:val="auto"/>
                <w:spacing w:val="1"/>
                <w:highlight w:val="none"/>
                <w:lang w:val="en-US" w:eastAsia="en-US"/>
              </w:rPr>
              <w:t>（2）合同价格中的“承包人工程施工价款”采</w:t>
            </w:r>
            <w:r>
              <w:rPr>
                <w:rFonts w:hint="default" w:ascii="Times New Roman" w:hAnsi="Times New Roman" w:eastAsia="宋体" w:cs="Times New Roman"/>
                <w:color w:val="auto"/>
                <w:spacing w:val="1"/>
                <w:lang w:val="en-US" w:eastAsia="en-US"/>
              </w:rPr>
              <w:t>用总价合同方式。指承包人按照施工图设计文件(含变更设计文件)完成本工程所有施工内容，按合同约定完成包括缺陷责任期内的全部合同义务且保证工程满足合同约定的质量要求及质量检验标准后，</w:t>
            </w:r>
            <w:r>
              <w:rPr>
                <w:rFonts w:hint="eastAsia" w:cs="Times New Roman"/>
                <w:color w:val="auto"/>
                <w:spacing w:val="1"/>
                <w:lang w:val="en-US" w:eastAsia="zh-CN"/>
              </w:rPr>
              <w:t>招标人</w:t>
            </w:r>
            <w:r>
              <w:rPr>
                <w:rFonts w:hint="default" w:ascii="Times New Roman" w:hAnsi="Times New Roman" w:eastAsia="宋体" w:cs="Times New Roman"/>
                <w:color w:val="auto"/>
                <w:spacing w:val="1"/>
                <w:lang w:val="en-US" w:eastAsia="en-US"/>
              </w:rPr>
              <w:t>应付给承包人的工程施工价款，包括在履行合同过程中按专用合同条款第5.2款、第15.4款、第16.1款约定进行的变更和调整。除合同约定引起的变更和调整外，发包人以及承包人已充分考虑了在履约过程中的所有风险，签约合同价中的“承包人工程施工价款”即为</w:t>
            </w:r>
            <w:r>
              <w:rPr>
                <w:rFonts w:hint="eastAsia" w:cs="Times New Roman"/>
                <w:color w:val="auto"/>
                <w:spacing w:val="1"/>
                <w:lang w:val="en-US" w:eastAsia="zh-CN"/>
              </w:rPr>
              <w:t>招标人</w:t>
            </w:r>
            <w:r>
              <w:rPr>
                <w:rFonts w:hint="default" w:ascii="Times New Roman" w:hAnsi="Times New Roman" w:eastAsia="宋体" w:cs="Times New Roman"/>
                <w:color w:val="auto"/>
                <w:spacing w:val="1"/>
                <w:lang w:val="en-US" w:eastAsia="en-US"/>
              </w:rPr>
              <w:t>最终支付给承包人的工程施工价款。</w:t>
            </w:r>
          </w:p>
          <w:p w14:paraId="67A1B11A">
            <w:pPr>
              <w:pageBreakBefore w:val="0"/>
              <w:kinsoku/>
              <w:wordWrap w:val="0"/>
              <w:bidi w:val="0"/>
              <w:snapToGrid w:val="0"/>
              <w:spacing w:line="360" w:lineRule="atLeast"/>
              <w:ind w:firstLine="241" w:firstLineChars="114"/>
              <w:rPr>
                <w:rFonts w:hint="default" w:ascii="Times New Roman" w:hAnsi="Times New Roman" w:eastAsia="宋体" w:cs="Times New Roman"/>
                <w:color w:val="auto"/>
                <w:spacing w:val="1"/>
                <w:lang w:val="en-US" w:eastAsia="en-US"/>
              </w:rPr>
            </w:pPr>
            <w:r>
              <w:rPr>
                <w:rFonts w:hint="default" w:ascii="Times New Roman" w:hAnsi="Times New Roman" w:eastAsia="宋体" w:cs="Times New Roman"/>
                <w:color w:val="auto"/>
                <w:spacing w:val="1"/>
                <w:lang w:val="en-US" w:eastAsia="en-US"/>
              </w:rPr>
              <w:t>（3）“承包人工程施工价款”结算价：根据“签约合同价中的承包人工程施工价款”、“按专用合同条款第5.2款（或第15.4款或第16.1款）约定进行的变更和调整”进行计算，最终结算价以发包人、监理人、承包人共同核定的金额为准。在竣工决算经行业主管部门审查(如有)、审计方审计（如有）后，发包人将综合审查审计意见(如有)调整“承包人工程施工价款”结算价，承包人应予以接受。当行业主管部门和审计方对同一内容有不同意见的，以审查、审计两者最终核定工程价款较低金额为准。</w:t>
            </w:r>
          </w:p>
          <w:p w14:paraId="1348122A">
            <w:pPr>
              <w:pageBreakBefore w:val="0"/>
              <w:kinsoku/>
              <w:wordWrap w:val="0"/>
              <w:bidi w:val="0"/>
              <w:snapToGrid w:val="0"/>
              <w:spacing w:line="360" w:lineRule="atLeast"/>
              <w:ind w:firstLine="241" w:firstLineChars="114"/>
              <w:rPr>
                <w:rFonts w:hint="default" w:ascii="Times New Roman" w:hAnsi="Times New Roman" w:eastAsia="宋体" w:cs="Times New Roman"/>
                <w:color w:val="auto"/>
                <w:spacing w:val="1"/>
                <w:kern w:val="2"/>
                <w:sz w:val="21"/>
                <w:szCs w:val="24"/>
                <w:lang w:val="en-US" w:eastAsia="en-US" w:bidi="ar-SA"/>
              </w:rPr>
            </w:pPr>
            <w:r>
              <w:rPr>
                <w:rFonts w:hint="default" w:ascii="Times New Roman" w:hAnsi="Times New Roman" w:eastAsia="宋体" w:cs="Times New Roman"/>
                <w:color w:val="auto"/>
                <w:spacing w:val="1"/>
                <w:lang w:val="en-US" w:eastAsia="en-US"/>
              </w:rPr>
              <w:t>依据审查、审计结论(如有)需承包人返还工程款时，承包人应按发包人要求的时限及时返还，否则，发包人有权扣减相应的质量保证金（或动用承包人的质量保证金保函）予以抵扣。质量保证金不足以抵扣承包人需返还工程款的，承包人应按发包人要求的时限及时补齐，否则，发包人将通过诉讼手段向承包人进行追索。</w:t>
            </w:r>
          </w:p>
        </w:tc>
      </w:tr>
      <w:tr w14:paraId="47A1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01CC821B">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6</w:t>
            </w:r>
          </w:p>
        </w:tc>
        <w:tc>
          <w:tcPr>
            <w:tcW w:w="1111" w:type="dxa"/>
            <w:shd w:val="clear" w:color="auto" w:fill="auto"/>
            <w:noWrap w:val="0"/>
            <w:vAlign w:val="top"/>
          </w:tcPr>
          <w:p w14:paraId="7CBEEFE1">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1.1.6.2~ 1.1.6.5</w:t>
            </w:r>
          </w:p>
        </w:tc>
        <w:tc>
          <w:tcPr>
            <w:tcW w:w="7304" w:type="dxa"/>
            <w:shd w:val="clear" w:color="auto" w:fill="auto"/>
            <w:noWrap w:val="0"/>
            <w:vAlign w:val="top"/>
          </w:tcPr>
          <w:p w14:paraId="1FF17F12">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本工程为按一阶段验收的一般</w:t>
            </w:r>
            <w:r>
              <w:rPr>
                <w:rFonts w:hint="eastAsia" w:cs="Times New Roman"/>
                <w:color w:val="auto"/>
                <w:szCs w:val="21"/>
                <w:highlight w:val="none"/>
                <w:lang w:val="en-US" w:eastAsia="zh-CN"/>
              </w:rPr>
              <w:t>公路</w:t>
            </w:r>
            <w:r>
              <w:rPr>
                <w:rFonts w:hint="default" w:ascii="Times New Roman" w:hAnsi="Times New Roman" w:eastAsia="宋体" w:cs="Times New Roman"/>
                <w:color w:val="auto"/>
                <w:szCs w:val="21"/>
                <w:highlight w:val="none"/>
              </w:rPr>
              <w:t>工程，交工验收与竣工验收合并进行，统称 为“工程验收”。本项第1.1.6.2目～第1.1.6.5目细化为：</w:t>
            </w:r>
          </w:p>
          <w:p w14:paraId="12BA922F">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1.1.6.2竣工验收：指通用合同条款中“竣工验收”,《公路工程竣(交)工验 收办法》中的交工验收和竣工验收，统称为"工程验收"。</w:t>
            </w:r>
          </w:p>
          <w:p w14:paraId="55578EBE">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1.1.6.3交工：指通用合同条款中"竣工",《公路工程竣(交)工验收办法》 中的交工和竣工。</w:t>
            </w:r>
          </w:p>
          <w:p w14:paraId="26B22F62">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1.1.6.4交工验收：指通用合同条款中“竣工验收”,《公路工程竣(交)工验 收办法》中的交工验收和竣工验收，统称为"工程验收"。</w:t>
            </w:r>
          </w:p>
          <w:p w14:paraId="4A5B2A22">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1.1.6.5交工验收证书：指通用合同条款中“工程接收证书”,《公路工程竣(交) 工验收办法》中的交工验收或竣工验收证书，统称为"工程验收证书"。</w:t>
            </w:r>
          </w:p>
        </w:tc>
      </w:tr>
      <w:tr w14:paraId="5B60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24F683AA">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3FB140F5">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eastAsia" w:cs="Times New Roman"/>
                <w:color w:val="auto"/>
                <w:szCs w:val="21"/>
                <w:highlight w:val="none"/>
                <w:lang w:val="en-US" w:eastAsia="zh-CN"/>
              </w:rPr>
              <w:t>7</w:t>
            </w:r>
          </w:p>
        </w:tc>
        <w:tc>
          <w:tcPr>
            <w:tcW w:w="1111" w:type="dxa"/>
            <w:shd w:val="clear" w:color="auto" w:fill="auto"/>
            <w:noWrap w:val="0"/>
            <w:vAlign w:val="top"/>
          </w:tcPr>
          <w:p w14:paraId="5C9D1A02">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3E6CD36">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default" w:cs="Times New Roman"/>
                <w:color w:val="auto"/>
                <w:szCs w:val="21"/>
                <w:highlight w:val="none"/>
                <w:lang w:val="en-US" w:eastAsia="zh-CN"/>
              </w:rPr>
              <w:fldChar w:fldCharType="begin"/>
            </w:r>
            <w:r>
              <w:rPr>
                <w:rFonts w:hint="default" w:cs="Times New Roman"/>
                <w:color w:val="auto"/>
                <w:szCs w:val="21"/>
                <w:highlight w:val="none"/>
                <w:lang w:val="en-US" w:eastAsia="zh-CN"/>
              </w:rPr>
              <w:instrText xml:space="preserve"> HYPERLINK "1.1.6.10" </w:instrText>
            </w:r>
            <w:r>
              <w:rPr>
                <w:rFonts w:hint="default" w:cs="Times New Roman"/>
                <w:color w:val="auto"/>
                <w:szCs w:val="21"/>
                <w:highlight w:val="none"/>
                <w:lang w:val="en-US" w:eastAsia="zh-CN"/>
              </w:rPr>
              <w:fldChar w:fldCharType="separate"/>
            </w:r>
            <w:r>
              <w:rPr>
                <w:rFonts w:hint="default" w:cs="Times New Roman"/>
                <w:color w:val="auto"/>
                <w:szCs w:val="21"/>
                <w:highlight w:val="none"/>
                <w:lang w:val="en-US" w:eastAsia="zh-CN"/>
              </w:rPr>
              <w:t>1.1.6.10</w:t>
            </w:r>
            <w:r>
              <w:rPr>
                <w:rFonts w:hint="default" w:cs="Times New Roman"/>
                <w:color w:val="auto"/>
                <w:szCs w:val="21"/>
                <w:highlight w:val="none"/>
                <w:lang w:val="en-US" w:eastAsia="zh-CN"/>
              </w:rPr>
              <w:fldChar w:fldCharType="end"/>
            </w:r>
          </w:p>
        </w:tc>
        <w:tc>
          <w:tcPr>
            <w:tcW w:w="7304" w:type="dxa"/>
            <w:shd w:val="clear" w:color="auto" w:fill="auto"/>
            <w:noWrap w:val="0"/>
            <w:vAlign w:val="top"/>
          </w:tcPr>
          <w:p w14:paraId="6A560BF6">
            <w:pPr>
              <w:pageBreakBefore w:val="0"/>
              <w:kinsoku/>
              <w:wordWrap w:val="0"/>
              <w:bidi w:val="0"/>
              <w:snapToGrid w:val="0"/>
              <w:spacing w:line="360" w:lineRule="atLeast"/>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szCs w:val="21"/>
                <w:highlight w:val="none"/>
              </w:rPr>
              <w:t>完工：是指承包人按照批准的施工图设计文件(含变更设计文件)完成合同范围内所有工程。工程完工前，承包人应完成自检并经监理人检验。工程完工时， 合同工程应基本具备完整的使用功能，并具备申请工程验收的条件。</w:t>
            </w:r>
          </w:p>
        </w:tc>
      </w:tr>
      <w:tr w14:paraId="751E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567556DF">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eastAsia" w:cs="Times New Roman"/>
                <w:color w:val="auto"/>
                <w:szCs w:val="21"/>
                <w:highlight w:val="none"/>
                <w:lang w:val="en-US" w:eastAsia="zh-CN"/>
              </w:rPr>
              <w:t>8</w:t>
            </w:r>
          </w:p>
        </w:tc>
        <w:tc>
          <w:tcPr>
            <w:tcW w:w="1111" w:type="dxa"/>
            <w:shd w:val="clear" w:color="auto" w:fill="auto"/>
            <w:noWrap w:val="0"/>
            <w:vAlign w:val="top"/>
          </w:tcPr>
          <w:p w14:paraId="6FDDB432">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default" w:cs="Times New Roman"/>
                <w:color w:val="auto"/>
                <w:szCs w:val="21"/>
                <w:highlight w:val="none"/>
                <w:lang w:val="en-US" w:eastAsia="zh-CN"/>
              </w:rPr>
              <w:fldChar w:fldCharType="begin"/>
            </w:r>
            <w:r>
              <w:rPr>
                <w:rFonts w:hint="default" w:cs="Times New Roman"/>
                <w:color w:val="auto"/>
                <w:szCs w:val="21"/>
                <w:highlight w:val="none"/>
                <w:lang w:val="en-US" w:eastAsia="zh-CN"/>
              </w:rPr>
              <w:instrText xml:space="preserve"> HYPERLINK "1.1.6.11" </w:instrText>
            </w:r>
            <w:r>
              <w:rPr>
                <w:rFonts w:hint="default" w:cs="Times New Roman"/>
                <w:color w:val="auto"/>
                <w:szCs w:val="21"/>
                <w:highlight w:val="none"/>
                <w:lang w:val="en-US" w:eastAsia="zh-CN"/>
              </w:rPr>
              <w:fldChar w:fldCharType="separate"/>
            </w:r>
            <w:r>
              <w:rPr>
                <w:rFonts w:hint="default" w:cs="Times New Roman"/>
                <w:color w:val="auto"/>
                <w:szCs w:val="21"/>
                <w:highlight w:val="none"/>
                <w:lang w:val="en-US" w:eastAsia="zh-CN"/>
              </w:rPr>
              <w:t>1.1.6.11</w:t>
            </w:r>
            <w:r>
              <w:rPr>
                <w:rFonts w:hint="default" w:cs="Times New Roman"/>
                <w:color w:val="auto"/>
                <w:szCs w:val="21"/>
                <w:highlight w:val="none"/>
                <w:lang w:val="en-US" w:eastAsia="zh-CN"/>
              </w:rPr>
              <w:fldChar w:fldCharType="end"/>
            </w:r>
          </w:p>
        </w:tc>
        <w:tc>
          <w:tcPr>
            <w:tcW w:w="7304" w:type="dxa"/>
            <w:shd w:val="clear" w:color="auto" w:fill="auto"/>
            <w:noWrap w:val="0"/>
            <w:vAlign w:val="top"/>
          </w:tcPr>
          <w:p w14:paraId="698EB937">
            <w:pPr>
              <w:pStyle w:val="93"/>
              <w:spacing w:before="151" w:line="192" w:lineRule="auto"/>
              <w:jc w:val="right"/>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kern w:val="2"/>
                <w:sz w:val="21"/>
                <w:szCs w:val="21"/>
                <w:highlight w:val="none"/>
                <w:lang w:val="en-US" w:eastAsia="zh-CN" w:bidi="ar-SA"/>
              </w:rPr>
              <w:t>完工证明：是指工程完工后，由监理人向承包人出具经发包人签认的证明材料。</w:t>
            </w:r>
          </w:p>
        </w:tc>
      </w:tr>
      <w:tr w14:paraId="0CF0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5FEB0E4B">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554725B">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9</w:t>
            </w:r>
          </w:p>
        </w:tc>
        <w:tc>
          <w:tcPr>
            <w:tcW w:w="1111" w:type="dxa"/>
            <w:shd w:val="clear" w:color="auto" w:fill="auto"/>
            <w:noWrap w:val="0"/>
            <w:vAlign w:val="center"/>
          </w:tcPr>
          <w:p w14:paraId="331D54F3">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1.6.3</w:t>
            </w:r>
          </w:p>
        </w:tc>
        <w:tc>
          <w:tcPr>
            <w:tcW w:w="7304" w:type="dxa"/>
            <w:shd w:val="clear" w:color="auto" w:fill="auto"/>
            <w:noWrap w:val="0"/>
            <w:vAlign w:val="center"/>
          </w:tcPr>
          <w:p w14:paraId="230B120A">
            <w:pPr>
              <w:pStyle w:val="93"/>
              <w:keepNext w:val="0"/>
              <w:keepLines w:val="0"/>
              <w:pageBreakBefore w:val="0"/>
              <w:widowControl w:val="0"/>
              <w:kinsoku/>
              <w:overflowPunct/>
              <w:topLinePunct w:val="0"/>
              <w:autoSpaceDE/>
              <w:autoSpaceDN/>
              <w:bidi w:val="0"/>
              <w:adjustRightInd/>
              <w:spacing w:before="182" w:line="336" w:lineRule="auto"/>
              <w:ind w:right="167"/>
              <w:jc w:val="left"/>
              <w:textAlignment w:val="auto"/>
              <w:rPr>
                <w:rFonts w:ascii="Times New Roman" w:hAnsi="Times New Roman" w:eastAsia="宋体" w:cs="Times New Roman"/>
                <w:spacing w:val="1"/>
                <w:kern w:val="2"/>
                <w:sz w:val="21"/>
                <w:szCs w:val="24"/>
                <w:lang w:val="en-US" w:eastAsia="zh-CN" w:bidi="ar-SA"/>
              </w:rPr>
            </w:pPr>
            <w:r>
              <w:rPr>
                <w:rFonts w:ascii="Times New Roman" w:hAnsi="Times New Roman" w:eastAsia="宋体" w:cs="Times New Roman"/>
                <w:spacing w:val="1"/>
                <w:kern w:val="2"/>
                <w:sz w:val="21"/>
                <w:szCs w:val="24"/>
                <w:lang w:val="en-US" w:eastAsia="zh-CN" w:bidi="ar-SA"/>
              </w:rPr>
              <w:t>图纸需要修改和补充的，应由监理人取得发包人同意后，在该工程或工程相应 部位施工前7天签发图纸修改图给承包人。承包人应按修改或补充(新增减工程)后的图纸施工。</w:t>
            </w:r>
          </w:p>
          <w:p w14:paraId="03135481">
            <w:pPr>
              <w:keepNext w:val="0"/>
              <w:keepLines w:val="0"/>
              <w:pageBreakBefore w:val="0"/>
              <w:widowControl w:val="0"/>
              <w:kinsoku/>
              <w:wordWrap w:val="0"/>
              <w:overflowPunct/>
              <w:topLinePunct w:val="0"/>
              <w:autoSpaceDE/>
              <w:autoSpaceDN/>
              <w:bidi w:val="0"/>
              <w:adjustRightInd/>
              <w:snapToGrid w:val="0"/>
              <w:spacing w:line="360" w:lineRule="atLeast"/>
              <w:ind w:firstLine="239" w:firstLineChars="114"/>
              <w:jc w:val="left"/>
              <w:textAlignment w:val="auto"/>
              <w:rPr>
                <w:rFonts w:hint="default" w:ascii="Times New Roman" w:hAnsi="Times New Roman" w:eastAsia="宋体" w:cs="Times New Roman"/>
                <w:color w:val="auto"/>
                <w:kern w:val="2"/>
                <w:sz w:val="21"/>
                <w:szCs w:val="21"/>
                <w:highlight w:val="yellow"/>
                <w:lang w:val="en-US" w:eastAsia="zh-CN" w:bidi="ar-SA"/>
              </w:rPr>
            </w:pPr>
            <w:r>
              <w:t>在没有发包人及监理人共同批准的前提下，承包人不得对</w:t>
            </w:r>
            <w:r>
              <w:rPr>
                <w:spacing w:val="-1"/>
              </w:rPr>
              <w:t>施工图的任何部分进</w:t>
            </w:r>
            <w:r>
              <w:t xml:space="preserve"> </w:t>
            </w:r>
            <w:r>
              <w:rPr>
                <w:spacing w:val="1"/>
              </w:rPr>
              <w:t>行修改，否则按承包人违约处理，并由承包人承担由此产生的一切后果和</w:t>
            </w:r>
            <w:r>
              <w:t>经济责</w:t>
            </w:r>
            <w:r>
              <w:rPr>
                <w:spacing w:val="-2"/>
              </w:rPr>
              <w:t>任</w:t>
            </w:r>
          </w:p>
        </w:tc>
      </w:tr>
      <w:tr w14:paraId="1588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9" w:type="dxa"/>
            <w:noWrap w:val="0"/>
            <w:vAlign w:val="top"/>
          </w:tcPr>
          <w:p w14:paraId="3960737B">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D8655BC">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10</w:t>
            </w:r>
          </w:p>
        </w:tc>
        <w:tc>
          <w:tcPr>
            <w:tcW w:w="1111" w:type="dxa"/>
            <w:shd w:val="clear" w:color="auto" w:fill="auto"/>
            <w:noWrap w:val="0"/>
            <w:vAlign w:val="top"/>
          </w:tcPr>
          <w:p w14:paraId="1B42B6B0">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072C8A8F">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1.6.4</w:t>
            </w:r>
          </w:p>
        </w:tc>
        <w:tc>
          <w:tcPr>
            <w:tcW w:w="7304" w:type="dxa"/>
            <w:shd w:val="clear" w:color="auto" w:fill="auto"/>
            <w:noWrap w:val="0"/>
            <w:vAlign w:val="top"/>
          </w:tcPr>
          <w:p w14:paraId="33584F88">
            <w:pPr>
              <w:keepNext w:val="0"/>
              <w:keepLines w:val="0"/>
              <w:pageBreakBefore w:val="0"/>
              <w:widowControl w:val="0"/>
              <w:kinsoku/>
              <w:wordWrap w:val="0"/>
              <w:overflowPunct/>
              <w:topLinePunct w:val="0"/>
              <w:autoSpaceDE/>
              <w:autoSpaceDN/>
              <w:bidi w:val="0"/>
              <w:adjustRightInd/>
              <w:snapToGrid w:val="0"/>
              <w:spacing w:line="360" w:lineRule="atLeast"/>
              <w:ind w:firstLine="239" w:firstLineChars="114"/>
              <w:jc w:val="left"/>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cs="Times New Roman"/>
              </w:rPr>
              <w:t>正式开工前，承包人应组织人员对发包人提供的图纸进行复核，如发现图纸存 在明显错误或疏忽应及时通知监理人；如承包人发现图纸中存在错误，但因对自 身有利而故意隐瞒不报、按错图施工的，视为承包人违约。发包人有权组织设计 人员对图纸进行修正，承包人须按照修正后的图纸进行施工，并承担因按错图施 工而产生的拆除工作、工期延误及相关费用等后果。</w:t>
            </w:r>
          </w:p>
        </w:tc>
      </w:tr>
      <w:tr w14:paraId="6384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5CE06A26">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default" w:cs="Times New Roman"/>
                <w:color w:val="auto"/>
                <w:szCs w:val="21"/>
                <w:highlight w:val="none"/>
                <w:lang w:val="en-US" w:eastAsia="zh-CN"/>
              </w:rPr>
              <w:t>11</w:t>
            </w:r>
          </w:p>
        </w:tc>
        <w:tc>
          <w:tcPr>
            <w:tcW w:w="1111" w:type="dxa"/>
            <w:shd w:val="clear" w:color="auto" w:fill="auto"/>
            <w:noWrap w:val="0"/>
            <w:vAlign w:val="top"/>
          </w:tcPr>
          <w:p w14:paraId="44B5EA9B">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eastAsia" w:cs="Times New Roman"/>
                <w:color w:val="auto"/>
                <w:szCs w:val="21"/>
                <w:highlight w:val="none"/>
                <w:lang w:val="en-US" w:eastAsia="zh-CN"/>
              </w:rPr>
              <w:t>1.7.2</w:t>
            </w:r>
          </w:p>
        </w:tc>
        <w:tc>
          <w:tcPr>
            <w:tcW w:w="7304" w:type="dxa"/>
            <w:shd w:val="clear" w:color="auto" w:fill="auto"/>
            <w:noWrap w:val="0"/>
            <w:vAlign w:val="top"/>
          </w:tcPr>
          <w:p w14:paraId="494BCA75">
            <w:pPr>
              <w:pStyle w:val="93"/>
              <w:spacing w:before="185" w:line="189" w:lineRule="auto"/>
              <w:ind w:left="352" w:leftChars="0"/>
              <w:rPr>
                <w:rFonts w:hint="default" w:ascii="Times New Roman" w:hAnsi="Times New Roman" w:eastAsia="宋体" w:cs="Times New Roman"/>
                <w:kern w:val="2"/>
                <w:sz w:val="21"/>
                <w:szCs w:val="24"/>
                <w:lang w:val="en-US" w:eastAsia="en-US" w:bidi="ar-SA"/>
              </w:rPr>
            </w:pPr>
            <w:r>
              <w:rPr>
                <w:rFonts w:ascii="Times New Roman" w:hAnsi="Times New Roman" w:eastAsia="宋体" w:cs="Times New Roman"/>
                <w:kern w:val="2"/>
                <w:sz w:val="21"/>
                <w:szCs w:val="24"/>
                <w:lang w:val="en-US" w:eastAsia="zh-CN" w:bidi="ar-SA"/>
              </w:rPr>
              <w:t>来往函件送达的期限：  函件发出24小时内</w:t>
            </w:r>
          </w:p>
        </w:tc>
      </w:tr>
      <w:tr w14:paraId="3C07A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7A73631E">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default" w:cs="Times New Roman"/>
                <w:color w:val="auto"/>
                <w:szCs w:val="21"/>
                <w:highlight w:val="none"/>
                <w:lang w:val="en-US" w:eastAsia="zh-CN"/>
              </w:rPr>
              <w:t>12</w:t>
            </w:r>
          </w:p>
        </w:tc>
        <w:tc>
          <w:tcPr>
            <w:tcW w:w="1111" w:type="dxa"/>
            <w:shd w:val="clear" w:color="auto" w:fill="auto"/>
            <w:noWrap w:val="0"/>
            <w:vAlign w:val="top"/>
          </w:tcPr>
          <w:p w14:paraId="6A0BF0D9">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eastAsia" w:cs="Times New Roman"/>
                <w:color w:val="auto"/>
                <w:szCs w:val="21"/>
                <w:highlight w:val="none"/>
                <w:lang w:val="en-US" w:eastAsia="zh-CN"/>
              </w:rPr>
              <w:t>2.6</w:t>
            </w:r>
          </w:p>
        </w:tc>
        <w:tc>
          <w:tcPr>
            <w:tcW w:w="7304" w:type="dxa"/>
            <w:shd w:val="clear" w:color="auto" w:fill="auto"/>
            <w:noWrap w:val="0"/>
            <w:vAlign w:val="top"/>
          </w:tcPr>
          <w:p w14:paraId="0A210555">
            <w:pPr>
              <w:keepNext w:val="0"/>
              <w:keepLines w:val="0"/>
              <w:pageBreakBefore w:val="0"/>
              <w:widowControl w:val="0"/>
              <w:kinsoku/>
              <w:wordWrap w:val="0"/>
              <w:overflowPunct/>
              <w:topLinePunct w:val="0"/>
              <w:autoSpaceDE/>
              <w:autoSpaceDN/>
              <w:bidi w:val="0"/>
              <w:adjustRightInd/>
              <w:snapToGrid w:val="0"/>
              <w:spacing w:line="360" w:lineRule="atLeast"/>
              <w:ind w:firstLine="239" w:firstLineChars="114"/>
              <w:jc w:val="left"/>
              <w:textAlignment w:val="auto"/>
              <w:rPr>
                <w:rFonts w:hint="default" w:ascii="Times New Roman" w:hAnsi="Times New Roman" w:eastAsia="宋体" w:cs="Times New Roman"/>
                <w:kern w:val="2"/>
                <w:sz w:val="21"/>
                <w:szCs w:val="24"/>
                <w:lang w:val="en-US" w:eastAsia="en-US" w:bidi="ar-SA"/>
              </w:rPr>
            </w:pPr>
            <w:r>
              <w:rPr>
                <w:rFonts w:ascii="Times New Roman" w:hAnsi="Times New Roman" w:eastAsia="宋体" w:cs="Times New Roman"/>
                <w:kern w:val="2"/>
                <w:sz w:val="21"/>
                <w:szCs w:val="24"/>
                <w:lang w:val="en-US" w:eastAsia="zh-CN" w:bidi="ar-SA"/>
              </w:rPr>
              <w:t>本工程资金来源</w:t>
            </w:r>
            <w:r>
              <w:rPr>
                <w:rFonts w:hint="eastAsia" w:cs="Times New Roman"/>
                <w:kern w:val="2"/>
                <w:sz w:val="21"/>
                <w:szCs w:val="24"/>
                <w:lang w:val="en-US" w:eastAsia="zh-CN" w:bidi="ar-SA"/>
              </w:rPr>
              <w:t>：中央补助资金、省级补助资金及（区）县配套资金</w:t>
            </w:r>
            <w:r>
              <w:rPr>
                <w:rFonts w:ascii="Times New Roman" w:hAnsi="Times New Roman" w:eastAsia="宋体" w:cs="Times New Roman"/>
                <w:kern w:val="2"/>
                <w:sz w:val="21"/>
                <w:szCs w:val="24"/>
                <w:lang w:val="en-US" w:eastAsia="zh-CN" w:bidi="ar-SA"/>
              </w:rPr>
              <w:t>。</w:t>
            </w:r>
          </w:p>
        </w:tc>
      </w:tr>
      <w:tr w14:paraId="7D2F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7671121E">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13</w:t>
            </w:r>
          </w:p>
        </w:tc>
        <w:tc>
          <w:tcPr>
            <w:tcW w:w="1111" w:type="dxa"/>
            <w:shd w:val="clear" w:color="auto" w:fill="auto"/>
            <w:noWrap w:val="0"/>
            <w:vAlign w:val="center"/>
          </w:tcPr>
          <w:p w14:paraId="61DA0C44">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3.1.1</w:t>
            </w:r>
          </w:p>
        </w:tc>
        <w:tc>
          <w:tcPr>
            <w:tcW w:w="7304" w:type="dxa"/>
            <w:shd w:val="clear" w:color="auto" w:fill="auto"/>
            <w:noWrap w:val="0"/>
            <w:vAlign w:val="center"/>
          </w:tcPr>
          <w:p w14:paraId="175B4D2A">
            <w:pPr>
              <w:pageBreakBefore w:val="0"/>
              <w:kinsoku/>
              <w:wordWrap w:val="0"/>
              <w:bidi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监理人在行使下列权力前需要经发包人事先批准：</w:t>
            </w:r>
          </w:p>
          <w:p w14:paraId="691C0E3D">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pacing w:val="-6"/>
                <w:kern w:val="2"/>
                <w:sz w:val="21"/>
                <w:szCs w:val="21"/>
                <w:highlight w:val="yellow"/>
                <w:lang w:val="en-US" w:eastAsia="zh-CN" w:bidi="ar-SA"/>
              </w:rPr>
            </w:pPr>
            <w:r>
              <w:rPr>
                <w:rFonts w:hint="eastAsia" w:ascii="宋体" w:hAnsi="宋体" w:cs="宋体"/>
                <w:szCs w:val="21"/>
              </w:rPr>
              <w:t>(6)监理人在行使根据第 15.3 款发出的变更指示前需要经发包人事先批准。</w:t>
            </w:r>
          </w:p>
        </w:tc>
      </w:tr>
    </w:tbl>
    <w:tbl>
      <w:tblPr>
        <w:tblStyle w:val="94"/>
        <w:tblW w:w="904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
        <w:gridCol w:w="1111"/>
        <w:gridCol w:w="7304"/>
      </w:tblGrid>
      <w:tr w14:paraId="2288C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629" w:type="dxa"/>
            <w:vAlign w:val="top"/>
          </w:tcPr>
          <w:p w14:paraId="5680DDE3">
            <w:pPr>
              <w:pageBreakBefore w:val="0"/>
              <w:kinsoku/>
              <w:wordWrap w:val="0"/>
              <w:bidi w:val="0"/>
              <w:snapToGrid w:val="0"/>
              <w:spacing w:line="360" w:lineRule="atLeast"/>
              <w:jc w:val="center"/>
              <w:rPr>
                <w:rFonts w:hint="eastAsia" w:cs="Times New Roman"/>
                <w:color w:val="auto"/>
                <w:szCs w:val="21"/>
                <w:highlight w:val="none"/>
                <w:lang w:val="en-US" w:eastAsia="zh-CN"/>
              </w:rPr>
            </w:pPr>
          </w:p>
          <w:p w14:paraId="580832C6">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14</w:t>
            </w:r>
          </w:p>
        </w:tc>
        <w:tc>
          <w:tcPr>
            <w:tcW w:w="1111" w:type="dxa"/>
            <w:shd w:val="clear" w:color="auto" w:fill="auto"/>
            <w:vAlign w:val="top"/>
          </w:tcPr>
          <w:p w14:paraId="4CA2292D">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4D2E913C">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4.1.10(1)</w:t>
            </w:r>
          </w:p>
        </w:tc>
        <w:tc>
          <w:tcPr>
            <w:tcW w:w="7304" w:type="dxa"/>
            <w:shd w:val="clear" w:color="auto" w:fill="auto"/>
            <w:vAlign w:val="top"/>
          </w:tcPr>
          <w:p w14:paraId="13804586">
            <w:pPr>
              <w:pageBreakBefore w:val="0"/>
              <w:kinsoku/>
              <w:wordWrap w:val="0"/>
              <w:bidi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承包人应根据工程实际情况确定临时占地最长使用期限，临时占地的租地费用由 承包人在投标阶段综合考虑并计入相关清单子目报价中，发包人不再另行计量，项 目管理法人不再另行支付。</w:t>
            </w:r>
          </w:p>
        </w:tc>
      </w:tr>
      <w:tr w14:paraId="47060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629" w:type="dxa"/>
            <w:vAlign w:val="top"/>
          </w:tcPr>
          <w:p w14:paraId="4A6995EB">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15</w:t>
            </w:r>
          </w:p>
        </w:tc>
        <w:tc>
          <w:tcPr>
            <w:tcW w:w="1111" w:type="dxa"/>
            <w:shd w:val="clear" w:color="auto" w:fill="auto"/>
            <w:vAlign w:val="top"/>
          </w:tcPr>
          <w:p w14:paraId="48CF49C0">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AB87505">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4.1.10(3)</w:t>
            </w:r>
          </w:p>
        </w:tc>
        <w:tc>
          <w:tcPr>
            <w:tcW w:w="7304" w:type="dxa"/>
            <w:shd w:val="clear" w:color="auto" w:fill="auto"/>
            <w:vAlign w:val="top"/>
          </w:tcPr>
          <w:p w14:paraId="1E63F62B">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农民工工资保障</w:t>
            </w:r>
          </w:p>
          <w:p w14:paraId="203648B6">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承包人必须建立农民工工资专户，按月及时支付农民工工资,保护农民工合法权益,维护社会稳定。承包人对于农民工工资的发放应严格遵守《保障农民工工资支付条例》 (国务院令第 724 号)、《工程建设领域农民工工资保证金规定》(人社部发〔2021〕65 号)《辽宁省公路水运工程建设领域农民工工资支付管理办法》(辽交公水规〔2020〕1 号)、《辽宁省建设领域农民工工资支付管理办法》(辽人社规〔2018〕3 号)、《辽宁省工程建设领域农民工工资专用账户管理暂行办法实施细则》(辽人社〔2021〕31 号)、《辽宁省工程建设领域农民工工资保证金实施办法》(辽人社〔2022〕5 号)等国家和项目所在省、市相关主管部门施行的规定，具体约定如下：</w:t>
            </w:r>
          </w:p>
          <w:p w14:paraId="4586CCFA">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承包人应实行农民工劳动用工实名制管理，与招用的农民工书面约定或者通过依法制定的规章制度规定工资支付标准、支付时间、支付方式等内容。承包人应按照与农民工订立的劳动合同中约定的工资支付周期和具体支付日期足额支付工资。</w:t>
            </w:r>
          </w:p>
          <w:p w14:paraId="75CEBA04">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2.农民工工资应当以货币形式，通过银行转账或者现金支付给农民工 本人，不得以实物或者有价证券等其他形式替代。</w:t>
            </w:r>
          </w:p>
          <w:p w14:paraId="2D419E43">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3.承包人在每次申报计量支付时，应将农民工工资款单独列项，项目 管理法人将按照经审核后的数额将农民工工资拨付至承包人的农民工工资专用账户。</w:t>
            </w:r>
          </w:p>
          <w:p w14:paraId="00615716">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4.承包人应当按照工资支付周期编制书面工资支付台账，并至少保存 3 年。书面工资支付台账应当包括用人单位名称，支付周期，支付日期，支付对象姓名、身份证号码、联系方式，工作时间，应发工资项目及数额，代扣、代缴、扣除项目和数额，实发工资数额，银行代发工资凭证或者农民工签字等内容。用人单位向农民工支付工资时，应当提供农民工本人的工资清单。 </w:t>
            </w:r>
          </w:p>
          <w:p w14:paraId="25268B57">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5.承包人应分解工程价款中的人工费用，在本合同签订后 15 日内按照有关规定开设农民工工资专用账户，专项用于支付本工程项目的农民工 工资。开设、使用农民工工资专用账户有关资料应当由承包人妥善保存备查。工程完工且未拖欠农民工工资的，承包人公示 30 日后，可以申请注销农民工工资专用账户，账户内余额归承包人所有。</w:t>
            </w:r>
          </w:p>
          <w:p w14:paraId="53C657A8">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承包人须在本合同签订之日起20个工作日内，按辽人社[2022]5号规定存储农民工工资保证金，缴存比例为合同价款2%。承包人未按规定开立工资专户，未存储保证金、未落实实名制的，发包人有权责令限期整改，逾期未改的，予以5万元违约金处罚。</w:t>
            </w:r>
          </w:p>
          <w:p w14:paraId="6F28D439">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7.承包人应当依法与所招用的农民工订立劳动合同并进行用工实名登记，通过相应的管理服务信息平台(如辽宁省建筑工人实名制信息管理服务平台、辽宁省欠薪预警信息系统)进行用工实名登记、管理。未与承包人订立劳动合同并进行用工实名登记的人员，不得进入项目现场施工。</w:t>
            </w:r>
          </w:p>
          <w:p w14:paraId="4EC2CF58">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8.承包人应当按照项目所在省、市的人力资源社会保障行政部门、交 通运输主管部门等的有关规定存储工资保证金。</w:t>
            </w:r>
          </w:p>
          <w:p w14:paraId="4EE0BD1A">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9.承包人应当在施工现场醒目位置设立维权信息告示牌，明示下列事 项：①发包人、承包人及所在项目部、相关行业工程建设主管部门、劳资专管员等基本信息；②当地最低工资标准、工资支付日期等基本信息；③交通运输主管部门和劳动保障监察投诉举报电话、劳动争议调解仲裁申请渠道、法律援助申请渠道、公共法律服务热线等信息。</w:t>
            </w:r>
          </w:p>
          <w:p w14:paraId="34D5EA07">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10.承包人在履行合同过程中出现拖欠或克扣农民工工资或与本工程有关的债务而导致阻工、上访，经发包人、监理人及政府相关部门确认后， 项目管理法人将停止对承包人的支付，直到其妥善处理为止。</w:t>
            </w:r>
          </w:p>
        </w:tc>
      </w:tr>
      <w:tr w14:paraId="5E4F1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29" w:type="dxa"/>
            <w:vAlign w:val="top"/>
          </w:tcPr>
          <w:p w14:paraId="589021F3">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16</w:t>
            </w:r>
          </w:p>
        </w:tc>
        <w:tc>
          <w:tcPr>
            <w:tcW w:w="1111" w:type="dxa"/>
            <w:shd w:val="clear" w:color="auto" w:fill="auto"/>
            <w:vAlign w:val="top"/>
          </w:tcPr>
          <w:p w14:paraId="487C05EF">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8530163">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1316F965">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460E26DA">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default" w:cs="Times New Roman"/>
                <w:color w:val="auto"/>
                <w:szCs w:val="21"/>
                <w:highlight w:val="none"/>
                <w:lang w:val="en-US" w:eastAsia="zh-CN"/>
              </w:rPr>
              <w:t>4.1.10(6)</w:t>
            </w:r>
          </w:p>
        </w:tc>
        <w:tc>
          <w:tcPr>
            <w:tcW w:w="7304" w:type="dxa"/>
            <w:shd w:val="clear" w:color="auto" w:fill="auto"/>
            <w:vAlign w:val="top"/>
          </w:tcPr>
          <w:p w14:paraId="43878249">
            <w:pPr>
              <w:pageBreakBefore w:val="0"/>
              <w:numPr>
                <w:ilvl w:val="0"/>
                <w:numId w:val="0"/>
              </w:numPr>
              <w:kinsoku/>
              <w:wordWrap w:val="0"/>
              <w:bidi w:val="0"/>
              <w:spacing w:line="360" w:lineRule="atLeast"/>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承包人还应履行的义务，补充如下：</w:t>
            </w:r>
          </w:p>
          <w:p w14:paraId="7CE8619C">
            <w:pPr>
              <w:pageBreakBefore w:val="0"/>
              <w:numPr>
                <w:ilvl w:val="0"/>
                <w:numId w:val="0"/>
              </w:numPr>
              <w:kinsoku/>
              <w:wordWrap w:val="0"/>
              <w:bidi w:val="0"/>
              <w:spacing w:line="360" w:lineRule="atLeast"/>
              <w:rPr>
                <w:rFonts w:hint="default" w:ascii="Times New Roman" w:hAnsi="Times New Roman" w:eastAsia="宋体" w:cs="Times New Roman"/>
                <w:color w:val="auto"/>
                <w:szCs w:val="21"/>
                <w:highlight w:val="none"/>
                <w:lang w:val="en-US" w:eastAsia="en-US"/>
              </w:rPr>
            </w:pPr>
            <w:r>
              <w:rPr>
                <w:rFonts w:hint="default" w:ascii="Times New Roman" w:hAnsi="Times New Roman" w:eastAsia="宋体" w:cs="Times New Roman"/>
                <w:color w:val="auto"/>
                <w:szCs w:val="21"/>
                <w:highlight w:val="none"/>
                <w:lang w:val="en-US" w:eastAsia="en-US"/>
              </w:rPr>
              <w:t>v.承包人应做好文明施工与施工形象管理，施工现场封路公告、绕路信息、工程简介等公示牌设置规范，要在不同施工点位悬挂好能体现企业文化的各类文明施工标语，施工人员在施工期间必须统一着装，机械设备、施工材料合理分类，整齐有序。</w:t>
            </w:r>
          </w:p>
          <w:p w14:paraId="336E0917">
            <w:pPr>
              <w:pageBreakBefore w:val="0"/>
              <w:numPr>
                <w:ilvl w:val="0"/>
                <w:numId w:val="0"/>
              </w:numPr>
              <w:kinsoku/>
              <w:wordWrap w:val="0"/>
              <w:bidi w:val="0"/>
              <w:spacing w:line="360" w:lineRule="atLeast"/>
              <w:ind w:left="0" w:leftChars="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en-US"/>
              </w:rPr>
              <w:t>w.承包人应严格做好内业规范化管理，内业人员必须熟悉施工图纸与施工现场，同时要熟知辽宁省普通国省干线公路养护工程竣工档案内容，能够严格按照发包人要求做好工程资料整理及上报工作。</w:t>
            </w:r>
          </w:p>
        </w:tc>
      </w:tr>
    </w:tbl>
    <w:tbl>
      <w:tblPr>
        <w:tblStyle w:val="39"/>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1765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179DE33B">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17</w:t>
            </w:r>
          </w:p>
        </w:tc>
        <w:tc>
          <w:tcPr>
            <w:tcW w:w="1111" w:type="dxa"/>
            <w:shd w:val="clear" w:color="auto" w:fill="auto"/>
            <w:noWrap w:val="0"/>
            <w:vAlign w:val="top"/>
          </w:tcPr>
          <w:p w14:paraId="07924A0F">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D7A5372">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40E9C0DA">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8AE6A12">
            <w:pPr>
              <w:pageBreakBefore w:val="0"/>
              <w:kinsoku/>
              <w:wordWrap w:val="0"/>
              <w:bidi w:val="0"/>
              <w:snapToGrid w:val="0"/>
              <w:spacing w:line="360" w:lineRule="atLeast"/>
              <w:jc w:val="both"/>
              <w:rPr>
                <w:rFonts w:hint="default" w:cs="Times New Roman"/>
                <w:color w:val="auto"/>
                <w:szCs w:val="21"/>
                <w:highlight w:val="none"/>
                <w:lang w:val="en-US" w:eastAsia="zh-CN"/>
              </w:rPr>
            </w:pPr>
            <w:r>
              <w:rPr>
                <w:rFonts w:hint="default" w:cs="Times New Roman"/>
                <w:color w:val="auto"/>
                <w:szCs w:val="21"/>
                <w:highlight w:val="none"/>
                <w:lang w:val="en-US" w:eastAsia="zh-CN"/>
              </w:rPr>
              <w:t>4.2</w:t>
            </w:r>
          </w:p>
        </w:tc>
        <w:tc>
          <w:tcPr>
            <w:tcW w:w="7304" w:type="dxa"/>
            <w:shd w:val="clear" w:color="auto" w:fill="auto"/>
            <w:noWrap w:val="0"/>
            <w:vAlign w:val="top"/>
          </w:tcPr>
          <w:p w14:paraId="248BE799">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履约担保金额为</w:t>
            </w:r>
            <w:r>
              <w:rPr>
                <w:rFonts w:hint="eastAsia" w:cs="Times New Roman"/>
                <w:color w:val="auto"/>
                <w:szCs w:val="21"/>
                <w:highlight w:val="none"/>
                <w:lang w:val="en-US" w:eastAsia="zh-CN"/>
              </w:rPr>
              <w:t>5</w:t>
            </w:r>
            <w:r>
              <w:rPr>
                <w:rFonts w:hint="default" w:ascii="Times New Roman" w:hAnsi="Times New Roman" w:eastAsia="宋体" w:cs="Times New Roman"/>
                <w:color w:val="auto"/>
                <w:szCs w:val="21"/>
                <w:highlight w:val="none"/>
              </w:rPr>
              <w:t>%签约合同价。以现金或</w:t>
            </w:r>
            <w:r>
              <w:rPr>
                <w:rFonts w:hint="default" w:ascii="Times New Roman" w:hAnsi="Times New Roman" w:eastAsia="宋体" w:cs="Times New Roman"/>
                <w:color w:val="auto"/>
                <w:szCs w:val="21"/>
                <w:highlight w:val="none"/>
              </w:rPr>
              <w:t>支票形式递交的，退还银行同期存 款利息。</w:t>
            </w:r>
          </w:p>
          <w:p w14:paraId="2265BE59">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承包人应保证其履约保证金在发包人签发工程验收证书且承包人按照合同约定缴纳质量保证金前一直有效。发包人应在收到承包人缴纳的质量保证金后28天内将履约保证金退还给承包人。</w:t>
            </w:r>
          </w:p>
          <w:p w14:paraId="7682AA64">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承包人拒绝按照本合同约定缴纳质量保证金的，发包人有权从应付工程款中扣留 相应金额作为质量保证金，或者直接将履约保证金金额用于保证承包人在缺陷责任 期内履行缺陷修复义务。</w:t>
            </w:r>
          </w:p>
        </w:tc>
      </w:tr>
      <w:tr w14:paraId="6E15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43CB8190">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68F0677">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default" w:cs="Times New Roman"/>
                <w:color w:val="auto"/>
                <w:szCs w:val="21"/>
                <w:highlight w:val="none"/>
                <w:lang w:val="en-US" w:eastAsia="zh-CN"/>
              </w:rPr>
              <w:t>18</w:t>
            </w:r>
          </w:p>
        </w:tc>
        <w:tc>
          <w:tcPr>
            <w:tcW w:w="1111" w:type="dxa"/>
            <w:shd w:val="clear" w:color="auto" w:fill="auto"/>
            <w:noWrap w:val="0"/>
            <w:vAlign w:val="top"/>
          </w:tcPr>
          <w:p w14:paraId="42E451FD">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BC099DD">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3E17EA6B">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42C4168">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2537985">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453778D">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A2505ED">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default" w:cs="Times New Roman"/>
                <w:color w:val="auto"/>
                <w:szCs w:val="21"/>
                <w:highlight w:val="none"/>
                <w:lang w:val="en-US" w:eastAsia="zh-CN"/>
              </w:rPr>
              <w:t>4.3</w:t>
            </w:r>
          </w:p>
        </w:tc>
        <w:tc>
          <w:tcPr>
            <w:tcW w:w="7304" w:type="dxa"/>
            <w:shd w:val="clear" w:color="auto" w:fill="auto"/>
            <w:noWrap w:val="0"/>
            <w:vAlign w:val="top"/>
          </w:tcPr>
          <w:p w14:paraId="0BE6BB87">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4.3.1分包包括施工分包和劳务合作。</w:t>
            </w:r>
          </w:p>
          <w:p w14:paraId="1EC86A14">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施工分包是指：承包人将其所承包工程中的部分单位工程、分部工程或者分项工 程发包给其他专业施工企业，整体结算，由分包人自行编制施工方案和组织完成全 部施工作业并能独立控制分包工程质量、施工进度、生产安全等的施工活动。施工 分包人是指：从承包人处分包部分单位工程、分部工程或者分项工程的专业施工企 业。</w:t>
            </w:r>
          </w:p>
          <w:p w14:paraId="72B39711">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劳务合作是指：除施工分包以外，承包人(分包人)与他人合作完成的其他以劳 务活动为主，由劳务企业提供劳务作业人员及所需机具(不限制规模),由承包人(分包人)负责施工方案编制和组织实施并统一控制工程质量、施工进度、主要材 料采购、生产安全等的施工活动。</w:t>
            </w:r>
          </w:p>
          <w:p w14:paraId="33B25A13">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4.3.2施工分包</w:t>
            </w:r>
          </w:p>
          <w:p w14:paraId="73DDAD0E">
            <w:pPr>
              <w:pageBreakBefore w:val="0"/>
              <w:kinsoku/>
              <w:wordWrap w:val="0"/>
              <w:bidi w:val="0"/>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本工程不允许施工分包。</w:t>
            </w:r>
          </w:p>
          <w:p w14:paraId="5BFE8E43">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4.3.3劳务合作</w:t>
            </w:r>
          </w:p>
          <w:p w14:paraId="0DE07B1C">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在工程施工过程中，承包人(施工分包人)进行劳务合作必须遵守以下规定：</w:t>
            </w:r>
          </w:p>
          <w:p w14:paraId="2911AA42">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(1)劳务合作企业应具有施工劳务资质。</w:t>
            </w:r>
          </w:p>
          <w:p w14:paraId="7E589BC3">
            <w:pPr>
              <w:pageBreakBefore w:val="0"/>
              <w:kinsoku/>
              <w:wordWrap w:val="0"/>
              <w:bidi w:val="0"/>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(2)劳务合作应当依法签订劳务合作合同，劳务合作合同必须由承包人(施工分  包人)的法定代表人或其委托代理人与劳务合作企业直接签订，不得由他人代签。  承包人(施工分包人)的项目经理部、项目经理、施工班组等不具备用工主体资格， 不能与劳务合作企业签订劳务合作合同。承包人(施工分包人)应向发包人和监理人提交劳务合作合同副本并报项目所在地劳动保障部门备案。</w:t>
            </w:r>
          </w:p>
          <w:p w14:paraId="1F83887F">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(3)劳务合作合同应当包括以下内容：劳务合作期限、工作内容和工作时间、劳  动保护和劳动条件、劳务报酬(在劳务合作合同中要明确工资以货币形式按月支付， 并约定支付的时间、标准和支付方式)、劳动纪律(在劳务合作合同中明确要求农 民工遵守的用人单位依法制定的有关规章制度，用人单位应当在签订劳务合作合同  前告知农民工)、违反劳务合作合同的责任(劳务合作合同中应当约定违约责任，一方违反劳务合作合同给对方造成经济损失的，要按《</w:t>
            </w:r>
            <w:r>
              <w:rPr>
                <w:rFonts w:hint="eastAsia" w:cs="Times New Roman"/>
                <w:color w:val="auto"/>
                <w:szCs w:val="21"/>
                <w:highlight w:val="none"/>
                <w:lang w:val="en-US" w:eastAsia="zh-CN"/>
              </w:rPr>
              <w:t>中华人民共和国劳动法</w:t>
            </w:r>
            <w:r>
              <w:rPr>
                <w:rFonts w:hint="default" w:ascii="Times New Roman" w:hAnsi="Times New Roman" w:eastAsia="宋体" w:cs="Times New Roman"/>
                <w:color w:val="auto"/>
                <w:szCs w:val="21"/>
                <w:highlight w:val="none"/>
                <w:lang w:val="en-US" w:eastAsia="zh-CN"/>
              </w:rPr>
              <w:t>》等有关法律规定承 担赔偿责任)。</w:t>
            </w:r>
          </w:p>
          <w:p w14:paraId="5D1B0BD4">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(4)发包人对承包人(施工分包人)与劳务合作企业之间的法律与经济纠纷不承 担任何责任和义务。</w:t>
            </w:r>
          </w:p>
          <w:p w14:paraId="26BBCAF1">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(5)承包人(施工分包人)应当按照合同约定对劳务合作企业的劳务作业人员进 行管理。劳务作业人员应当经培训后上岗，特殊工种人员应持证上岗。</w:t>
            </w:r>
          </w:p>
          <w:p w14:paraId="75710F89">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4.3.4承包人严禁将承包的本工程进行转包或违法分包。承包人可依法进行劳务</w:t>
            </w:r>
            <w:bookmarkStart w:id="1998" w:name="_GoBack"/>
            <w:bookmarkEnd w:id="1998"/>
            <w:r>
              <w:rPr>
                <w:rFonts w:hint="default" w:ascii="Times New Roman" w:hAnsi="Times New Roman" w:eastAsia="宋体" w:cs="Times New Roman"/>
                <w:color w:val="auto"/>
                <w:szCs w:val="21"/>
                <w:highlight w:val="none"/>
                <w:lang w:val="en-US" w:eastAsia="zh-CN"/>
              </w:rPr>
              <w:t>合  作，但禁止以劳务合作的名义进行施工分包。承包人应就分包项目向发包人负责， 接受分包的人就分包项目承担连带责任。施工分包人不得将承接的分包工程再进行  施工分包和转包，但可将劳务作业分包给具有施工劳务资质的劳务合作企业。</w:t>
            </w:r>
          </w:p>
          <w:p w14:paraId="3C4D90FE">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(1)有下列情形之一的，属于转包：</w:t>
            </w:r>
          </w:p>
          <w:p w14:paraId="0D0A431D">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a.承包人将承包的全部工程发包给他人的(包括母公司承接公路工程后将所承接 全部工程交由具有独立法人资格的子公司施工的情形);</w:t>
            </w:r>
          </w:p>
          <w:p w14:paraId="57A8765A">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b.承包人将承包的全部工程肢解后以分包的名义分别发包给他人的；</w:t>
            </w:r>
          </w:p>
          <w:p w14:paraId="30AA0B21">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c.合同明确约定由承包人负责采购的主要建筑材料、构配件及工程设备或租赁的  施工机械设备，全部由其他单位或个人采购、租赁，或承包人不能提供有关采购、 租赁合同及发票等证明，又不能进行合理解释并提供相应证明的；</w:t>
            </w:r>
          </w:p>
          <w:p w14:paraId="4F26C543">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d.承包人未在施工现场设立现场管理机构和派驻相应人员对全部工程的施工活动  实施有效管理，或者派驻的项目负责人和其他主要管理人员中一人及以上与承包人  没有订立劳动合同且没有建立劳动工资和社会养老保险关系，或者派驻的项目负责  人未对全部工程的施工活动进行组织管理，又不能进行合理解释并提供相应证明的；</w:t>
            </w:r>
          </w:p>
          <w:p w14:paraId="7DBABAB9">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e.劳务合作企业承包的范围是承包人承包的全部工程，劳务合作企业计取的是除 上缴给承包人“管理费”之外的全部工程价款的；</w:t>
            </w:r>
          </w:p>
          <w:p w14:paraId="696B999E">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f.承包人通过采取合作、联营、个人承包等形式或名义，直接或变相将其承包的全 部工程转给他人的；</w:t>
            </w:r>
          </w:p>
          <w:p w14:paraId="22EBC273">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g.施工分包发包单位不是承包人且不属于违法分包的；</w:t>
            </w:r>
          </w:p>
          <w:p w14:paraId="7C6B8366">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h.发包人与承包人之间没有工程款收付关系，或者承包人收到款项扣除“管理费” 后将剩余全部款项转拨给其他单位或个人的；</w:t>
            </w:r>
          </w:p>
          <w:p w14:paraId="16CCB584">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i.法律、法规规定的其他转包行为。</w:t>
            </w:r>
          </w:p>
          <w:p w14:paraId="02172752">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(2)有下列情形之一的，属于违法分包：</w:t>
            </w:r>
          </w:p>
          <w:p w14:paraId="3DAAF472">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a.承包人将工程分包给个人或者不具备相应条件企业的；</w:t>
            </w:r>
          </w:p>
          <w:p w14:paraId="0CDADA38">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b.承包人将公路工程施工分包负面清单所列主体和关键性工作分包的；</w:t>
            </w:r>
          </w:p>
          <w:p w14:paraId="54855DEA">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c.承包人将合同文件中明确不得分包的工程(后期报经发包人书面同意的除外)</w:t>
            </w:r>
          </w:p>
          <w:p w14:paraId="79B7593D">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进行分包的；</w:t>
            </w:r>
          </w:p>
          <w:p w14:paraId="665480D1">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d.分包人以他人名义承揽分包工程的；</w:t>
            </w:r>
          </w:p>
          <w:p w14:paraId="5CD96EA8">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e. 以劳务合作名义进行施工分包的；</w:t>
            </w:r>
          </w:p>
          <w:p w14:paraId="3BEFF8B8">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f</w:t>
            </w:r>
            <w:r>
              <w:rPr>
                <w:rFonts w:hint="eastAsia" w:ascii="Times New Roman" w:hAnsi="Times New Roman" w:eastAsia="宋体"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分包人将分包工程再进行分包的；</w:t>
            </w:r>
          </w:p>
          <w:p w14:paraId="7EC66E26">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g.法律、法规规定的其他违法分包行为。</w:t>
            </w:r>
          </w:p>
          <w:p w14:paraId="37EF86FE">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(3)有下列情形之一的，视为施工分包违法：</w:t>
            </w:r>
          </w:p>
          <w:p w14:paraId="0593374E">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a.分包合同内容未经监理人审查或者未报发包人书面同意的；</w:t>
            </w:r>
          </w:p>
          <w:p w14:paraId="4FBB7506">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b.承包人未与分包人依法签订分包合同或者分包合同未遵循承包合同的各项原</w:t>
            </w:r>
          </w:p>
          <w:p w14:paraId="60D5F673">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则，不满足承包合同中相应要求的；</w:t>
            </w:r>
          </w:p>
          <w:p w14:paraId="1FDEAC2B">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c.承包人(分包人)未在施工现场设立现场管理机构和派驻相应人员对分包工程 的施工活动实施有效管理的；</w:t>
            </w:r>
          </w:p>
          <w:p w14:paraId="68402B1C">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d.法律、法规规定的其他情形。</w:t>
            </w:r>
          </w:p>
          <w:p w14:paraId="792DAFDE">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(4)有下列行为之一的，属于以劳务合作名义进行施工分包：</w:t>
            </w:r>
          </w:p>
          <w:p w14:paraId="2E97970B">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a.劳务合作企业除计取劳务作业费用外，还计取主要建筑材料款；</w:t>
            </w:r>
          </w:p>
          <w:p w14:paraId="12D679D0">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b.承包人(分包人)未对其发包的劳务作业进行技术、质量、安全等指导培训和  有效管理，由劳务合作企业自行负责施工方案编制以及相关试验检测、工程控制测 量、工程档案资料编制、质量安全管理等组织实施工作；</w:t>
            </w:r>
          </w:p>
          <w:p w14:paraId="47EFBF2D">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c.法律、法规规定的其他以劳务合作名义进行施工分包的行为。</w:t>
            </w:r>
          </w:p>
          <w:p w14:paraId="2514F2E0">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b w:val="0"/>
                <w:bCs w:val="0"/>
                <w:spacing w:val="-9"/>
                <w:highlight w:val="none"/>
              </w:rPr>
              <w:t>4.3.5本项目的各项分包工作均应参照执行《公路工程施工分包管理办法》、《辽 宁省公路工程施工分包管理实施细则》的有关规定。</w:t>
            </w:r>
          </w:p>
        </w:tc>
      </w:tr>
      <w:tr w14:paraId="0627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0F026673">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38205B7">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default" w:cs="Times New Roman"/>
                <w:color w:val="auto"/>
                <w:szCs w:val="21"/>
                <w:highlight w:val="none"/>
                <w:lang w:val="en-US" w:eastAsia="zh-CN"/>
              </w:rPr>
              <w:t>19</w:t>
            </w:r>
          </w:p>
        </w:tc>
        <w:tc>
          <w:tcPr>
            <w:tcW w:w="1111" w:type="dxa"/>
            <w:shd w:val="clear" w:color="auto" w:fill="auto"/>
            <w:noWrap w:val="0"/>
            <w:vAlign w:val="center"/>
          </w:tcPr>
          <w:p w14:paraId="21FDB66C">
            <w:pPr>
              <w:pageBreakBefore w:val="0"/>
              <w:kinsoku/>
              <w:wordWrap w:val="0"/>
              <w:bidi w:val="0"/>
              <w:snapToGrid w:val="0"/>
              <w:spacing w:line="360" w:lineRule="atLeast"/>
              <w:jc w:val="both"/>
              <w:rPr>
                <w:rFonts w:hint="default" w:cs="Times New Roman"/>
                <w:color w:val="auto"/>
                <w:szCs w:val="21"/>
                <w:highlight w:val="none"/>
                <w:lang w:val="en-US" w:eastAsia="zh-CN"/>
              </w:rPr>
            </w:pPr>
            <w:r>
              <w:rPr>
                <w:rFonts w:hint="default" w:cs="Times New Roman"/>
                <w:color w:val="auto"/>
                <w:szCs w:val="21"/>
                <w:highlight w:val="none"/>
                <w:lang w:val="en-US" w:eastAsia="zh-CN"/>
              </w:rPr>
              <w:t>4.5.1</w:t>
            </w:r>
          </w:p>
        </w:tc>
        <w:tc>
          <w:tcPr>
            <w:tcW w:w="7304" w:type="dxa"/>
            <w:shd w:val="clear" w:color="auto" w:fill="auto"/>
            <w:noWrap w:val="0"/>
            <w:vAlign w:val="top"/>
          </w:tcPr>
          <w:p w14:paraId="7BD00C7C">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承包人应按合同约定指派项目经理和项目总工，并在签订合同协议书后14天内到任。项目经理、项目总工除亡故、伤残、重大疾病等特殊情况外，不得更换， 因特殊原因更换上述人员须经发包人书面同意。</w:t>
            </w:r>
          </w:p>
          <w:p w14:paraId="0D6D0653">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承包人在收到中标通知书后向发包人报送的其他人员(相关约定详见合同文件  “附件四：其他管理和技术人员最低要求”)必须为本单位人员，未经发包人同 意不得更换，否则视为承包人违约。</w:t>
            </w:r>
          </w:p>
        </w:tc>
      </w:tr>
      <w:tr w14:paraId="7594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39335BEA">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2048C8E3">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8229204">
            <w:pPr>
              <w:pageBreakBefore w:val="0"/>
              <w:kinsoku/>
              <w:wordWrap w:val="0"/>
              <w:bidi w:val="0"/>
              <w:snapToGrid w:val="0"/>
              <w:spacing w:line="360" w:lineRule="atLeast"/>
              <w:jc w:val="both"/>
              <w:rPr>
                <w:rFonts w:hint="default" w:cs="Times New Roman"/>
                <w:color w:val="auto"/>
                <w:szCs w:val="21"/>
                <w:highlight w:val="none"/>
                <w:lang w:val="en-US" w:eastAsia="en-US"/>
              </w:rPr>
            </w:pPr>
            <w:r>
              <w:rPr>
                <w:rFonts w:hint="default" w:cs="Times New Roman"/>
                <w:color w:val="auto"/>
                <w:szCs w:val="21"/>
                <w:highlight w:val="none"/>
                <w:lang w:val="en-US" w:eastAsia="zh-CN"/>
              </w:rPr>
              <w:t>20</w:t>
            </w:r>
          </w:p>
        </w:tc>
        <w:tc>
          <w:tcPr>
            <w:tcW w:w="1111" w:type="dxa"/>
            <w:shd w:val="clear" w:color="auto" w:fill="auto"/>
            <w:noWrap w:val="0"/>
            <w:vAlign w:val="center"/>
          </w:tcPr>
          <w:p w14:paraId="34A0F9AB">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48028789">
            <w:pPr>
              <w:pageBreakBefore w:val="0"/>
              <w:kinsoku/>
              <w:wordWrap w:val="0"/>
              <w:bidi w:val="0"/>
              <w:snapToGrid w:val="0"/>
              <w:spacing w:line="360" w:lineRule="atLeast"/>
              <w:jc w:val="both"/>
              <w:rPr>
                <w:rFonts w:hint="default" w:cs="Times New Roman"/>
                <w:color w:val="auto"/>
                <w:szCs w:val="21"/>
                <w:highlight w:val="none"/>
                <w:lang w:val="en-US" w:eastAsia="en-US"/>
              </w:rPr>
            </w:pPr>
            <w:r>
              <w:rPr>
                <w:rFonts w:hint="default" w:cs="Times New Roman"/>
                <w:color w:val="auto"/>
                <w:szCs w:val="21"/>
                <w:highlight w:val="none"/>
                <w:lang w:val="en-US" w:eastAsia="zh-CN"/>
              </w:rPr>
              <w:t>4.6.1</w:t>
            </w:r>
          </w:p>
        </w:tc>
        <w:tc>
          <w:tcPr>
            <w:tcW w:w="7304" w:type="dxa"/>
            <w:shd w:val="clear" w:color="auto" w:fill="auto"/>
            <w:noWrap w:val="0"/>
            <w:vAlign w:val="top"/>
          </w:tcPr>
          <w:p w14:paraId="66578F13">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本款细化：</w:t>
            </w:r>
          </w:p>
          <w:p w14:paraId="0FA06575">
            <w:pPr>
              <w:pageBreakBefore w:val="0"/>
              <w:kinsoku/>
              <w:wordWrap w:val="0"/>
              <w:bidi w:val="0"/>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szCs w:val="21"/>
                <w:highlight w:val="none"/>
                <w:lang w:val="en-US" w:eastAsia="zh-CN"/>
              </w:rPr>
              <w:t>承包人应在接到开工通知后，按发包人要求的时限向监理人提交承包人在施工 场地的管理机构以及人员安排的报告，其内容应包括管理机构的设置、各主要岗位的技术和管理人员名单及其资格，以及各工种技术工人的安排状况。承包人应 向监理人提交施工场地人员变动情况的报告。</w:t>
            </w:r>
          </w:p>
        </w:tc>
      </w:tr>
      <w:tr w14:paraId="7520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9" w:hRule="atLeast"/>
        </w:trPr>
        <w:tc>
          <w:tcPr>
            <w:tcW w:w="629" w:type="dxa"/>
            <w:shd w:val="clear" w:color="auto" w:fill="auto"/>
            <w:noWrap w:val="0"/>
            <w:vAlign w:val="top"/>
          </w:tcPr>
          <w:p w14:paraId="6ADA8BB9">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1810C1C3">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1524F4C">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655827E">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323C75B6">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3A0F7039">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21</w:t>
            </w:r>
          </w:p>
        </w:tc>
        <w:tc>
          <w:tcPr>
            <w:tcW w:w="1111" w:type="dxa"/>
            <w:shd w:val="clear" w:color="auto" w:fill="auto"/>
            <w:noWrap w:val="0"/>
            <w:vAlign w:val="center"/>
          </w:tcPr>
          <w:p w14:paraId="3F1D1D20">
            <w:pPr>
              <w:pageBreakBefore w:val="0"/>
              <w:kinsoku/>
              <w:wordWrap w:val="0"/>
              <w:bidi w:val="0"/>
              <w:snapToGrid w:val="0"/>
              <w:spacing w:line="360" w:lineRule="atLeast"/>
              <w:jc w:val="both"/>
              <w:rPr>
                <w:rFonts w:hint="default" w:cs="Times New Roman"/>
                <w:color w:val="auto"/>
                <w:szCs w:val="21"/>
                <w:highlight w:val="none"/>
                <w:lang w:val="en-US" w:eastAsia="zh-CN"/>
              </w:rPr>
            </w:pPr>
            <w:r>
              <w:rPr>
                <w:rFonts w:hint="default" w:cs="Times New Roman"/>
                <w:color w:val="auto"/>
                <w:szCs w:val="21"/>
                <w:highlight w:val="none"/>
                <w:lang w:val="en-US" w:eastAsia="zh-CN"/>
              </w:rPr>
              <w:t>4.6.7</w:t>
            </w:r>
          </w:p>
        </w:tc>
        <w:tc>
          <w:tcPr>
            <w:tcW w:w="7304" w:type="dxa"/>
            <w:shd w:val="clear" w:color="auto" w:fill="auto"/>
            <w:noWrap w:val="0"/>
            <w:vAlign w:val="top"/>
          </w:tcPr>
          <w:p w14:paraId="48E9FD6A">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本款补充第4.6.7项：</w:t>
            </w:r>
          </w:p>
          <w:p w14:paraId="0C50C9CA">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承包人应严格按照《辽宁省公路工程施工现场主要人员履约监督管理办法》(辽交公路规〔2025〕3号)的相关规定进行主要人员的现场履约，并接受发包人及交  通运输主管部门的监督管理。承包人在提交的项目管理机构以及人员安排的报告中，应明确项目经理、项目总工、其他技术和管理人员及其每月最低出勤天数(不得低于20天。如当月实际施工期不足20天的，当月最低出勤天数即为实际施工天数)。</w:t>
            </w:r>
          </w:p>
          <w:p w14:paraId="1D521707">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承包人应按项目管理要求真实、合规、准确、及时在“辽宁省公路工程施工现场主要人员履约监管平台”录入主要人员及技术人员的人员身份、职称、执业资  格、职务、人脸识别图像等信息，并利用“人脸识别+电子围栏”进行现场履约电  子打卡考勤，完整记录履约人员的身份信息</w:t>
            </w:r>
            <w:r>
              <w:rPr>
                <w:rFonts w:hint="eastAsia"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考勤信息等履约情况，不得同时在  不同的项目或单位进行履约考核。承包人应保证原始基础数据的真实性、准确性， 积极配合交通运输主管部门通过监管平台进行的图像比对、检查核实、数据甄别 和统计等监督管理工作。</w:t>
            </w:r>
          </w:p>
          <w:p w14:paraId="4088EDD9">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人员履约年度考核不合格的，除给予通报和按照合同约定追究违约责任外，还 将依据信用评价管理规定予以扣分。</w:t>
            </w:r>
          </w:p>
        </w:tc>
      </w:tr>
      <w:tr w14:paraId="029E5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center"/>
          </w:tcPr>
          <w:p w14:paraId="57B2ACD4">
            <w:pPr>
              <w:pageBreakBefore w:val="0"/>
              <w:kinsoku/>
              <w:wordWrap w:val="0"/>
              <w:bidi w:val="0"/>
              <w:jc w:val="center"/>
              <w:rPr>
                <w:rFonts w:hint="default" w:ascii="Times New Roman" w:hAnsi="Times New Roman" w:eastAsia="宋体" w:cs="Times New Roman"/>
                <w:color w:val="auto"/>
                <w:szCs w:val="21"/>
                <w:highlight w:val="none"/>
              </w:rPr>
            </w:pPr>
          </w:p>
          <w:p w14:paraId="08802A50">
            <w:pPr>
              <w:pageBreakBefore w:val="0"/>
              <w:kinsoku/>
              <w:wordWrap w:val="0"/>
              <w:bidi w:val="0"/>
              <w:jc w:val="both"/>
              <w:rPr>
                <w:rFonts w:hint="default" w:ascii="Times New Roman" w:hAnsi="Times New Roman" w:eastAsia="宋体" w:cs="Times New Roman"/>
                <w:color w:val="auto"/>
                <w:szCs w:val="21"/>
                <w:highlight w:val="none"/>
                <w:lang w:val="en-US" w:eastAsia="en-US"/>
              </w:rPr>
            </w:pPr>
            <w:r>
              <w:rPr>
                <w:rFonts w:hint="default" w:ascii="Times New Roman" w:hAnsi="Times New Roman" w:eastAsia="宋体" w:cs="Times New Roman"/>
                <w:color w:val="auto"/>
                <w:szCs w:val="21"/>
                <w:highlight w:val="none"/>
              </w:rPr>
              <w:t>22</w:t>
            </w:r>
          </w:p>
        </w:tc>
        <w:tc>
          <w:tcPr>
            <w:tcW w:w="1111" w:type="dxa"/>
            <w:shd w:val="clear" w:color="auto" w:fill="auto"/>
            <w:noWrap w:val="0"/>
            <w:vAlign w:val="center"/>
          </w:tcPr>
          <w:p w14:paraId="40BBDE62">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19A8EC69">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867ED70">
            <w:pPr>
              <w:pageBreakBefore w:val="0"/>
              <w:kinsoku/>
              <w:wordWrap w:val="0"/>
              <w:bidi w:val="0"/>
              <w:jc w:val="both"/>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szCs w:val="21"/>
                <w:highlight w:val="none"/>
                <w:lang w:val="en-US" w:eastAsia="zh-CN"/>
              </w:rPr>
              <w:t>4.7</w:t>
            </w:r>
          </w:p>
        </w:tc>
        <w:tc>
          <w:tcPr>
            <w:tcW w:w="7304" w:type="dxa"/>
            <w:shd w:val="clear" w:color="auto" w:fill="auto"/>
            <w:noWrap w:val="0"/>
            <w:vAlign w:val="top"/>
          </w:tcPr>
          <w:p w14:paraId="2837F3F9">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本款细化：</w:t>
            </w:r>
          </w:p>
          <w:p w14:paraId="5733658F">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承包人应对其项目经理和其他人员进行有效管理。监理人或发包人有权向承包 人发书面通知，要求撤换不能胜任本职工作、行为不端或玩忽职守的承包人项目 经理和其他人员。承包人应在接到书面通知后14天内予以撤换，且委派的替换人 员应经发包人和监理人同意，否则视为承包人违约。</w:t>
            </w:r>
          </w:p>
        </w:tc>
      </w:tr>
      <w:tr w14:paraId="6AD83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655F8B33">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13B26E4">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0727B424">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7FA904DE">
            <w:pPr>
              <w:pageBreakBefore w:val="0"/>
              <w:kinsoku/>
              <w:wordWrap w:val="0"/>
              <w:bidi w:val="0"/>
              <w:jc w:val="both"/>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23</w:t>
            </w:r>
          </w:p>
        </w:tc>
        <w:tc>
          <w:tcPr>
            <w:tcW w:w="1111" w:type="dxa"/>
            <w:shd w:val="clear" w:color="auto" w:fill="auto"/>
            <w:noWrap w:val="0"/>
            <w:vAlign w:val="center"/>
          </w:tcPr>
          <w:p w14:paraId="1FFD5C60">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75D89C36">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16F4207E">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3AE0D6A">
            <w:pPr>
              <w:pageBreakBefore w:val="0"/>
              <w:kinsoku/>
              <w:wordWrap w:val="0"/>
              <w:bidi w:val="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4.8</w:t>
            </w:r>
          </w:p>
        </w:tc>
        <w:tc>
          <w:tcPr>
            <w:tcW w:w="7304" w:type="dxa"/>
            <w:shd w:val="clear" w:color="auto" w:fill="auto"/>
            <w:noWrap w:val="0"/>
            <w:vAlign w:val="top"/>
          </w:tcPr>
          <w:p w14:paraId="30CC552A">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承包人在组织人员进驻工程现场时，应切实按照各级人民政府及各级卫生防疫、交通运输等主管部门相关要求采取预防疫情的有效措施，制定各类防疫措施、 管理办法和等级表格，进场前报发包人备案。承包人应将可能发生的全部费用计入报价中，</w:t>
            </w:r>
            <w:r>
              <w:rPr>
                <w:rFonts w:hint="eastAsia" w:cs="Times New Roman"/>
                <w:color w:val="auto"/>
                <w:szCs w:val="21"/>
                <w:highlight w:val="none"/>
                <w:lang w:val="en-US" w:eastAsia="zh-CN"/>
              </w:rPr>
              <w:t>招标人</w:t>
            </w:r>
            <w:r>
              <w:rPr>
                <w:rFonts w:hint="default" w:ascii="Times New Roman" w:hAnsi="Times New Roman" w:eastAsia="宋体" w:cs="Times New Roman"/>
                <w:color w:val="auto"/>
                <w:szCs w:val="21"/>
                <w:highlight w:val="none"/>
                <w:lang w:val="en-US" w:eastAsia="zh-CN"/>
              </w:rPr>
              <w:t>将不另行支付。因承包人采取措施不力所造成的一切后果，均由承包人自行负责。</w:t>
            </w:r>
          </w:p>
        </w:tc>
      </w:tr>
      <w:tr w14:paraId="31B6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17774B42">
            <w:pPr>
              <w:pageBreakBefore w:val="0"/>
              <w:kinsoku/>
              <w:wordWrap w:val="0"/>
              <w:bidi w:val="0"/>
              <w:rPr>
                <w:rFonts w:hint="default" w:ascii="Times New Roman" w:hAnsi="Times New Roman" w:eastAsia="宋体" w:cs="Times New Roman"/>
                <w:color w:val="auto"/>
                <w:szCs w:val="21"/>
                <w:highlight w:val="none"/>
                <w:lang w:val="en-US" w:eastAsia="zh-CN"/>
              </w:rPr>
            </w:pPr>
          </w:p>
          <w:p w14:paraId="6085D093">
            <w:pPr>
              <w:pageBreakBefore w:val="0"/>
              <w:kinsoku/>
              <w:wordWrap w:val="0"/>
              <w:bidi w:val="0"/>
              <w:rPr>
                <w:rFonts w:hint="default" w:ascii="Times New Roman" w:hAnsi="Times New Roman" w:eastAsia="宋体" w:cs="Times New Roman"/>
                <w:color w:val="auto"/>
                <w:szCs w:val="21"/>
                <w:highlight w:val="none"/>
                <w:lang w:val="en-US" w:eastAsia="zh-CN"/>
              </w:rPr>
            </w:pPr>
          </w:p>
          <w:p w14:paraId="4DFF6467">
            <w:pPr>
              <w:pageBreakBefore w:val="0"/>
              <w:kinsoku/>
              <w:wordWrap w:val="0"/>
              <w:bidi w:val="0"/>
              <w:rPr>
                <w:rFonts w:hint="default" w:ascii="Times New Roman" w:hAnsi="Times New Roman" w:eastAsia="宋体" w:cs="Times New Roman"/>
                <w:color w:val="auto"/>
                <w:szCs w:val="21"/>
                <w:highlight w:val="none"/>
                <w:lang w:val="en-US" w:eastAsia="zh-CN"/>
              </w:rPr>
            </w:pPr>
          </w:p>
          <w:p w14:paraId="6F62954B">
            <w:pPr>
              <w:pageBreakBefore w:val="0"/>
              <w:kinsoku/>
              <w:wordWrap w:val="0"/>
              <w:bidi w:val="0"/>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24</w:t>
            </w:r>
          </w:p>
        </w:tc>
        <w:tc>
          <w:tcPr>
            <w:tcW w:w="1111" w:type="dxa"/>
            <w:shd w:val="clear" w:color="auto" w:fill="auto"/>
            <w:noWrap w:val="0"/>
            <w:vAlign w:val="top"/>
          </w:tcPr>
          <w:p w14:paraId="1C462FAD">
            <w:pPr>
              <w:pageBreakBefore w:val="0"/>
              <w:kinsoku/>
              <w:wordWrap w:val="0"/>
              <w:bidi w:val="0"/>
              <w:rPr>
                <w:rFonts w:hint="default" w:ascii="Times New Roman" w:hAnsi="Times New Roman" w:eastAsia="宋体" w:cs="Times New Roman"/>
                <w:color w:val="auto"/>
                <w:szCs w:val="21"/>
                <w:highlight w:val="none"/>
                <w:lang w:val="en-US" w:eastAsia="zh-CN"/>
              </w:rPr>
            </w:pPr>
          </w:p>
          <w:p w14:paraId="3DE1F430">
            <w:pPr>
              <w:pageBreakBefore w:val="0"/>
              <w:kinsoku/>
              <w:wordWrap w:val="0"/>
              <w:bidi w:val="0"/>
              <w:rPr>
                <w:rFonts w:hint="default" w:ascii="Times New Roman" w:hAnsi="Times New Roman" w:eastAsia="宋体" w:cs="Times New Roman"/>
                <w:color w:val="auto"/>
                <w:szCs w:val="21"/>
                <w:highlight w:val="none"/>
                <w:lang w:val="en-US" w:eastAsia="zh-CN"/>
              </w:rPr>
            </w:pPr>
          </w:p>
          <w:p w14:paraId="36B0C140">
            <w:pPr>
              <w:pageBreakBefore w:val="0"/>
              <w:kinsoku/>
              <w:wordWrap w:val="0"/>
              <w:bidi w:val="0"/>
              <w:rPr>
                <w:rFonts w:hint="default" w:ascii="Times New Roman" w:hAnsi="Times New Roman" w:eastAsia="宋体" w:cs="Times New Roman"/>
                <w:color w:val="auto"/>
                <w:szCs w:val="21"/>
                <w:highlight w:val="none"/>
                <w:lang w:val="en-US" w:eastAsia="zh-CN"/>
              </w:rPr>
            </w:pPr>
          </w:p>
          <w:p w14:paraId="701E1B0F">
            <w:pPr>
              <w:pageBreakBefore w:val="0"/>
              <w:kinsoku/>
              <w:wordWrap w:val="0"/>
              <w:bidi w:val="0"/>
              <w:rPr>
                <w:rFonts w:hint="default" w:ascii="Times New Roman" w:hAnsi="Times New Roman" w:eastAsia="宋体" w:cs="Times New Roman"/>
                <w:color w:val="auto"/>
                <w:szCs w:val="21"/>
                <w:highlight w:val="none"/>
                <w:lang w:val="en-US" w:eastAsia="zh-CN"/>
              </w:rPr>
            </w:pPr>
          </w:p>
          <w:p w14:paraId="38CDA06D">
            <w:pPr>
              <w:pageBreakBefore w:val="0"/>
              <w:kinsoku/>
              <w:wordWrap w:val="0"/>
              <w:bidi w:val="0"/>
              <w:rPr>
                <w:rFonts w:hint="default" w:ascii="Times New Roman" w:hAnsi="Times New Roman" w:eastAsia="宋体" w:cs="Times New Roman"/>
                <w:color w:val="auto"/>
                <w:szCs w:val="21"/>
                <w:highlight w:val="none"/>
                <w:lang w:val="en-US" w:eastAsia="zh-CN"/>
              </w:rPr>
            </w:pPr>
          </w:p>
          <w:p w14:paraId="49C6224A">
            <w:pPr>
              <w:pageBreakBefore w:val="0"/>
              <w:kinsoku/>
              <w:wordWrap w:val="0"/>
              <w:bidi w:val="0"/>
              <w:rPr>
                <w:rFonts w:hint="default" w:ascii="Times New Roman" w:hAnsi="Times New Roman" w:eastAsia="宋体" w:cs="Times New Roman"/>
                <w:color w:val="auto"/>
                <w:szCs w:val="21"/>
                <w:highlight w:val="none"/>
                <w:lang w:val="en-US" w:eastAsia="zh-CN"/>
              </w:rPr>
            </w:pPr>
          </w:p>
          <w:p w14:paraId="566F4CAD">
            <w:pPr>
              <w:pageBreakBefore w:val="0"/>
              <w:kinsoku/>
              <w:wordWrap w:val="0"/>
              <w:bidi w:val="0"/>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4.9</w:t>
            </w:r>
          </w:p>
        </w:tc>
        <w:tc>
          <w:tcPr>
            <w:tcW w:w="7304" w:type="dxa"/>
            <w:shd w:val="clear" w:color="auto" w:fill="auto"/>
            <w:noWrap w:val="0"/>
            <w:vAlign w:val="top"/>
          </w:tcPr>
          <w:p w14:paraId="32A33A2D">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工程价款应专款专用：经发包人提出申请后，</w:t>
            </w:r>
            <w:r>
              <w:rPr>
                <w:rFonts w:hint="eastAsia" w:cs="Times New Roman"/>
                <w:color w:val="auto"/>
                <w:szCs w:val="21"/>
                <w:highlight w:val="none"/>
                <w:lang w:val="en-US" w:eastAsia="zh-CN"/>
              </w:rPr>
              <w:t>招标人</w:t>
            </w:r>
            <w:r>
              <w:rPr>
                <w:rFonts w:hint="default" w:ascii="Times New Roman" w:hAnsi="Times New Roman" w:eastAsia="宋体" w:cs="Times New Roman"/>
                <w:color w:val="auto"/>
                <w:szCs w:val="21"/>
                <w:highlight w:val="none"/>
                <w:lang w:val="en-US" w:eastAsia="zh-CN"/>
              </w:rPr>
              <w:t>按合同约定支付给承 包人的各项价款应专用于合同工程。</w:t>
            </w:r>
          </w:p>
          <w:p w14:paraId="50DBF26E">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招标人</w:t>
            </w:r>
            <w:r>
              <w:rPr>
                <w:rFonts w:hint="default" w:ascii="Times New Roman" w:hAnsi="Times New Roman" w:eastAsia="宋体" w:cs="Times New Roman"/>
                <w:color w:val="auto"/>
                <w:szCs w:val="21"/>
                <w:highlight w:val="none"/>
                <w:lang w:val="en-US" w:eastAsia="zh-CN"/>
              </w:rPr>
              <w:t>支付的工程进度款应为本工程的专款专用资金，不得转移、偿还其 他债务或用于其他工程。发包人及其派出机构有权不定期对承包人工程资金使用情 况进行检查，发现问题及时责令承包人限期改正，否则，将终止支付，直至承包人改正为止。因上述原因中止支付引起的工期延误，由承包人承担。</w:t>
            </w:r>
          </w:p>
          <w:p w14:paraId="2F8BC3EF">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发包人或监理人有权对本项目已支付工程款的去向进行检查，包括银行流水、财 务账目等，承包人应予以配合。如发现本项目已支付工程款用于与本项目无关的其 他事项，视为承包人违约。发包人有权责令承包人限期追回或通过其他合法渠道弥补该资金缺口。承包人在发包人限定的期限内无法完成的，视为承包人违约。</w:t>
            </w:r>
          </w:p>
          <w:p w14:paraId="2BE25358">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如承包方与第三方存在相关法律纠纷导致专款专用资金被冻结或扣划，承包人应于资金被扣划或者冻结后3个工作日内向发包人报告，并于15个工作日内将项目资金归还至承包人开立的本项目临时(专用)银行账户或者向法院及相关司法行政机关履行相应义务并解除对本项目临时(专用)银行账户的冻结。无法按期归还或者解除账户冻结的，发包人有权按违约处理。</w:t>
            </w:r>
          </w:p>
        </w:tc>
      </w:tr>
      <w:tr w14:paraId="71C7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20B7A1E1">
            <w:pPr>
              <w:pageBreakBefore w:val="0"/>
              <w:kinsoku/>
              <w:wordWrap w:val="0"/>
              <w:bidi w:val="0"/>
              <w:rPr>
                <w:rFonts w:hint="default" w:ascii="Times New Roman" w:hAnsi="Times New Roman" w:eastAsia="宋体" w:cs="Times New Roman"/>
                <w:color w:val="auto"/>
                <w:szCs w:val="21"/>
                <w:highlight w:val="none"/>
                <w:lang w:val="en-US" w:eastAsia="zh-CN"/>
              </w:rPr>
            </w:pPr>
          </w:p>
          <w:p w14:paraId="210BD2BE">
            <w:pPr>
              <w:pageBreakBefore w:val="0"/>
              <w:kinsoku/>
              <w:wordWrap w:val="0"/>
              <w:bidi w:val="0"/>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25</w:t>
            </w:r>
          </w:p>
        </w:tc>
        <w:tc>
          <w:tcPr>
            <w:tcW w:w="1111" w:type="dxa"/>
            <w:shd w:val="clear" w:color="auto" w:fill="auto"/>
            <w:noWrap w:val="0"/>
            <w:vAlign w:val="top"/>
          </w:tcPr>
          <w:p w14:paraId="6720D4AE">
            <w:pPr>
              <w:pageBreakBefore w:val="0"/>
              <w:kinsoku/>
              <w:wordWrap w:val="0"/>
              <w:bidi w:val="0"/>
              <w:rPr>
                <w:rFonts w:hint="default" w:ascii="Times New Roman" w:hAnsi="Times New Roman" w:eastAsia="宋体" w:cs="Times New Roman"/>
                <w:color w:val="auto"/>
                <w:szCs w:val="21"/>
                <w:highlight w:val="none"/>
                <w:lang w:val="en-US" w:eastAsia="zh-CN"/>
              </w:rPr>
            </w:pPr>
          </w:p>
          <w:p w14:paraId="3F2A65EA">
            <w:pPr>
              <w:pageBreakBefore w:val="0"/>
              <w:kinsoku/>
              <w:wordWrap w:val="0"/>
              <w:bidi w:val="0"/>
              <w:rPr>
                <w:rFonts w:hint="default" w:ascii="Times New Roman" w:hAnsi="Times New Roman" w:eastAsia="宋体" w:cs="Times New Roman"/>
                <w:color w:val="auto"/>
                <w:szCs w:val="21"/>
                <w:highlight w:val="none"/>
                <w:lang w:val="en-US" w:eastAsia="zh-CN"/>
              </w:rPr>
            </w:pPr>
          </w:p>
          <w:p w14:paraId="1A8CE3A0">
            <w:pPr>
              <w:pageBreakBefore w:val="0"/>
              <w:kinsoku/>
              <w:wordWrap w:val="0"/>
              <w:bidi w:val="0"/>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4.13</w:t>
            </w:r>
          </w:p>
        </w:tc>
        <w:tc>
          <w:tcPr>
            <w:tcW w:w="7304" w:type="dxa"/>
            <w:shd w:val="clear" w:color="auto" w:fill="auto"/>
            <w:noWrap w:val="0"/>
            <w:vAlign w:val="top"/>
          </w:tcPr>
          <w:p w14:paraId="0556A065">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承包人为国有控股或参股企业的，承包人应按规定在项目现场设立基层党组 织。承包人为非国有控股或参股企业的，承包人应创造条件使党员能够参加党组 织生活并接受相应管理。承包人应在项目现场设立基层党组织，积极组织党员学 习，承办党建工作室(党员之家),建立党建工作制度、明确“两学一做”常态化制度化建设目标和任务、明确党组织机构设置、党组织负责人及党务工作人员 配备情况，编制党务工作开展预案，并按照预案要求在项目实施过程中同步开展 党务工作，充分发挥基层党组织在项目实施中的作用。</w:t>
            </w:r>
          </w:p>
        </w:tc>
      </w:tr>
      <w:tr w14:paraId="256E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7191D257">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56D04D7">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89DCD81">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50598983">
            <w:pPr>
              <w:pageBreakBefore w:val="0"/>
              <w:kinsoku/>
              <w:wordWrap w:val="0"/>
              <w:bidi w:val="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26</w:t>
            </w:r>
          </w:p>
        </w:tc>
        <w:tc>
          <w:tcPr>
            <w:tcW w:w="1111" w:type="dxa"/>
            <w:shd w:val="clear" w:color="auto" w:fill="auto"/>
            <w:noWrap w:val="0"/>
            <w:vAlign w:val="center"/>
          </w:tcPr>
          <w:p w14:paraId="4D3AB579">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660185CE">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0404B2A4">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A1DC31C">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091C2BE">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B36F03D">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00AC7AB5">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606AF371">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72A4B355">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48F17CD">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7AF26F9B">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712D0EB8">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024F3A8C">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68ABA571">
            <w:pPr>
              <w:pageBreakBefore w:val="0"/>
              <w:kinsoku/>
              <w:wordWrap w:val="0"/>
              <w:bidi w:val="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5.1.2</w:t>
            </w:r>
          </w:p>
        </w:tc>
        <w:tc>
          <w:tcPr>
            <w:tcW w:w="7304" w:type="dxa"/>
            <w:shd w:val="clear" w:color="auto" w:fill="auto"/>
            <w:noWrap w:val="0"/>
            <w:vAlign w:val="top"/>
          </w:tcPr>
          <w:p w14:paraId="1AB7C177">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为确保本合同工程的施工质量，在合同履行过程中，发包人将结合国内工程施工 现状，以及工程实际需要，对部分施工流程或工艺等提出特殊的设备要求，承包人 应予实施，由此所增加的设备购置费或租赁费用(合同另有约定除外)已包含在合同价格中，</w:t>
            </w:r>
            <w:r>
              <w:rPr>
                <w:rFonts w:hint="eastAsia" w:cs="Times New Roman"/>
                <w:color w:val="auto"/>
                <w:szCs w:val="21"/>
                <w:highlight w:val="none"/>
                <w:lang w:val="en-US" w:eastAsia="zh-CN"/>
              </w:rPr>
              <w:t>招标人</w:t>
            </w:r>
            <w:r>
              <w:rPr>
                <w:rFonts w:hint="default" w:ascii="Times New Roman" w:hAnsi="Times New Roman" w:eastAsia="宋体" w:cs="Times New Roman"/>
                <w:color w:val="auto"/>
                <w:szCs w:val="21"/>
                <w:highlight w:val="none"/>
                <w:lang w:val="en-US" w:eastAsia="zh-CN"/>
              </w:rPr>
              <w:t>不另行支付。</w:t>
            </w:r>
          </w:p>
          <w:p w14:paraId="29D904C2">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为保证工程质量，对于本项目所需的主要工程材料，承包人应选择信誉良好的材料供应商或制造商或加工生产商。在与主要工程材料供应商或制造商或加工生产商签订供货合同前，承包人必须将 供应商或制造商或加工生产商的名单、相应资格、材料品质报告等送发包人备案并获认可后，方可将主要工程材料用于实体工程，否则发包人将视其为不合格工程并 要求承包人返工重作或进行补救处理，由此造成的费用增加和(或)工期延误由承 包人承担。</w:t>
            </w:r>
          </w:p>
          <w:p w14:paraId="5C006774">
            <w:pPr>
              <w:pageBreakBefore w:val="0"/>
              <w:kinsoku/>
              <w:wordWrap w:val="0"/>
              <w:bidi w:val="0"/>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承包人应与供应商或制造商或加工生产商签订供货合同，明确双方的责权利，以 及供货方的供货时间与供货质量的保证措施和要求。</w:t>
            </w:r>
          </w:p>
          <w:p w14:paraId="0AC71845">
            <w:pPr>
              <w:pageBreakBefore w:val="0"/>
              <w:kinsoku/>
              <w:wordWrap w:val="0"/>
              <w:bidi w:val="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lang w:val="en-US" w:eastAsia="zh-CN"/>
              </w:rPr>
              <w:t>经监理人鉴定质量不合格并令其清除出场的材料，其费用均应由承包人自行负责。</w:t>
            </w:r>
          </w:p>
        </w:tc>
      </w:tr>
      <w:tr w14:paraId="7D9B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2FF1CD9E">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6EAD93B0">
            <w:pPr>
              <w:pageBreakBefore w:val="0"/>
              <w:kinsoku/>
              <w:wordWrap w:val="0"/>
              <w:bidi w:val="0"/>
              <w:jc w:val="both"/>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27</w:t>
            </w:r>
          </w:p>
        </w:tc>
        <w:tc>
          <w:tcPr>
            <w:tcW w:w="1111" w:type="dxa"/>
            <w:shd w:val="clear" w:color="auto" w:fill="auto"/>
            <w:noWrap w:val="0"/>
            <w:vAlign w:val="center"/>
          </w:tcPr>
          <w:p w14:paraId="42FB5FCB">
            <w:pPr>
              <w:pageBreakBefore w:val="0"/>
              <w:kinsoku/>
              <w:wordWrap w:val="0"/>
              <w:bidi w:val="0"/>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5.2.1</w:t>
            </w:r>
          </w:p>
        </w:tc>
        <w:tc>
          <w:tcPr>
            <w:tcW w:w="7304" w:type="dxa"/>
            <w:shd w:val="clear" w:color="auto" w:fill="auto"/>
            <w:noWrap w:val="0"/>
            <w:vAlign w:val="center"/>
          </w:tcPr>
          <w:p w14:paraId="072FA054">
            <w:pPr>
              <w:spacing w:line="400" w:lineRule="exact"/>
              <w:ind w:right="105" w:rightChars="5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发包人是否提供材料或工程设备：</w:t>
            </w:r>
            <w:r>
              <w:rPr>
                <w:rFonts w:hint="eastAsia" w:ascii="宋体" w:hAnsi="宋体" w:cs="宋体"/>
                <w:color w:val="auto"/>
                <w:szCs w:val="21"/>
                <w:highlight w:val="none"/>
                <w:u w:val="single"/>
                <w:lang w:val="en-US" w:eastAsia="zh-CN"/>
              </w:rPr>
              <w:t>否</w:t>
            </w:r>
          </w:p>
          <w:p w14:paraId="5AEB55D7">
            <w:pPr>
              <w:spacing w:line="400" w:lineRule="exact"/>
              <w:ind w:right="105" w:rightChars="50"/>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发包人负责提供的部分材料约定如下：</w:t>
            </w:r>
          </w:p>
        </w:tc>
      </w:tr>
      <w:tr w14:paraId="3D53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4F33578E">
            <w:pPr>
              <w:pageBreakBefore w:val="0"/>
              <w:kinsoku/>
              <w:wordWrap w:val="0"/>
              <w:bidi w:val="0"/>
              <w:jc w:val="both"/>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28</w:t>
            </w:r>
          </w:p>
        </w:tc>
        <w:tc>
          <w:tcPr>
            <w:tcW w:w="1111" w:type="dxa"/>
            <w:shd w:val="clear" w:color="auto" w:fill="auto"/>
            <w:noWrap w:val="0"/>
            <w:vAlign w:val="center"/>
          </w:tcPr>
          <w:p w14:paraId="4F88B70F">
            <w:pPr>
              <w:pageBreakBefore w:val="0"/>
              <w:kinsoku/>
              <w:wordWrap w:val="0"/>
              <w:bidi w:val="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6.2</w:t>
            </w:r>
          </w:p>
        </w:tc>
        <w:tc>
          <w:tcPr>
            <w:tcW w:w="7304" w:type="dxa"/>
            <w:shd w:val="clear" w:color="auto" w:fill="auto"/>
            <w:noWrap w:val="0"/>
            <w:vAlign w:val="center"/>
          </w:tcPr>
          <w:p w14:paraId="33CD993A">
            <w:pPr>
              <w:pageBreakBefore w:val="0"/>
              <w:kinsoku/>
              <w:wordWrap w:val="0"/>
              <w:bidi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发包人是否提供施工设备和临时设施：</w:t>
            </w:r>
            <w:r>
              <w:rPr>
                <w:rFonts w:hint="default" w:ascii="Times New Roman" w:hAnsi="Times New Roman" w:cs="Times New Roman"/>
                <w:color w:val="auto"/>
                <w:szCs w:val="21"/>
                <w:highlight w:val="none"/>
                <w:u w:val="single"/>
              </w:rPr>
              <w:t xml:space="preserve"> 否  </w:t>
            </w:r>
          </w:p>
          <w:p w14:paraId="2AB8E359">
            <w:pPr>
              <w:pageBreakBefore w:val="0"/>
              <w:kinsoku/>
              <w:wordWrap w:val="0"/>
              <w:bidi w:val="0"/>
              <w:spacing w:line="360" w:lineRule="atLeast"/>
              <w:ind w:firstLine="239" w:firstLineChars="114"/>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cs="Times New Roman"/>
                <w:color w:val="auto"/>
                <w:szCs w:val="21"/>
                <w:highlight w:val="none"/>
              </w:rPr>
              <w:t>如发包人负责提供部分施工设备和临时设施，相关规定如下：</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p>
        </w:tc>
      </w:tr>
      <w:tr w14:paraId="30FD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5978C500">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CE48BD4">
            <w:pPr>
              <w:pageBreakBefore w:val="0"/>
              <w:kinsoku/>
              <w:wordWrap w:val="0"/>
              <w:bidi w:val="0"/>
              <w:jc w:val="both"/>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29</w:t>
            </w:r>
          </w:p>
        </w:tc>
        <w:tc>
          <w:tcPr>
            <w:tcW w:w="1111" w:type="dxa"/>
            <w:shd w:val="clear" w:color="auto" w:fill="auto"/>
            <w:noWrap w:val="0"/>
            <w:vAlign w:val="center"/>
          </w:tcPr>
          <w:p w14:paraId="41222E54">
            <w:pPr>
              <w:pageBreakBefore w:val="0"/>
              <w:kinsoku/>
              <w:wordWrap w:val="0"/>
              <w:bidi w:val="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8.1.1</w:t>
            </w:r>
          </w:p>
        </w:tc>
        <w:tc>
          <w:tcPr>
            <w:tcW w:w="7304" w:type="dxa"/>
            <w:shd w:val="clear" w:color="auto" w:fill="auto"/>
            <w:noWrap w:val="0"/>
            <w:vAlign w:val="center"/>
          </w:tcPr>
          <w:p w14:paraId="161E1A7A">
            <w:pPr>
              <w:pStyle w:val="93"/>
              <w:spacing w:before="139" w:line="352" w:lineRule="auto"/>
              <w:ind w:left="112" w:right="24" w:firstLine="24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发包人提供测量基准点、基准线和水准点及其书面资料的期限：</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p>
          <w:p w14:paraId="635DB22C">
            <w:pPr>
              <w:pageBreakBefore w:val="0"/>
              <w:kinsoku/>
              <w:wordWrap w:val="0"/>
              <w:bidi w:val="0"/>
              <w:spacing w:line="360" w:lineRule="atLeast"/>
              <w:ind w:firstLine="239" w:firstLineChars="114"/>
              <w:rPr>
                <w:rFonts w:hint="default" w:ascii="Times New Roman" w:hAnsi="Times New Roman" w:eastAsia="宋体" w:cs="Times New Roman"/>
                <w:color w:val="auto"/>
                <w:kern w:val="2"/>
                <w:sz w:val="21"/>
                <w:szCs w:val="21"/>
                <w:highlight w:val="none"/>
                <w:u w:val="single"/>
                <w:lang w:val="en-US" w:eastAsia="en-US" w:bidi="ar-SA"/>
              </w:rPr>
            </w:pPr>
            <w:r>
              <w:rPr>
                <w:rFonts w:hint="default" w:ascii="Times New Roman" w:hAnsi="Times New Roman" w:eastAsia="宋体" w:cs="Times New Roman"/>
                <w:color w:val="auto"/>
                <w:kern w:val="2"/>
                <w:sz w:val="21"/>
                <w:szCs w:val="21"/>
                <w:highlight w:val="none"/>
                <w:lang w:val="en-US" w:eastAsia="zh-CN" w:bidi="ar-SA"/>
              </w:rPr>
              <w:t>承包人将施工控制网资料报送监理人审批的期限：</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p>
        </w:tc>
      </w:tr>
      <w:tr w14:paraId="5028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439F8B34">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0A5D50A6">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74907B38">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903F602">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6FEAE9D0">
            <w:pPr>
              <w:pageBreakBefore w:val="0"/>
              <w:kinsoku/>
              <w:wordWrap w:val="0"/>
              <w:bidi w:val="0"/>
              <w:jc w:val="both"/>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30</w:t>
            </w:r>
          </w:p>
        </w:tc>
        <w:tc>
          <w:tcPr>
            <w:tcW w:w="1111" w:type="dxa"/>
            <w:shd w:val="clear" w:color="auto" w:fill="auto"/>
            <w:noWrap w:val="0"/>
            <w:vAlign w:val="top"/>
          </w:tcPr>
          <w:p w14:paraId="17AADD47">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84B580A">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34CDD5E">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76010A54">
            <w:pPr>
              <w:pageBreakBefore w:val="0"/>
              <w:kinsoku/>
              <w:wordWrap w:val="0"/>
              <w:bidi w:val="0"/>
              <w:jc w:val="center"/>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9.6(8)</w:t>
            </w:r>
          </w:p>
        </w:tc>
        <w:tc>
          <w:tcPr>
            <w:tcW w:w="7304" w:type="dxa"/>
            <w:shd w:val="clear" w:color="auto" w:fill="auto"/>
            <w:noWrap w:val="0"/>
            <w:vAlign w:val="top"/>
          </w:tcPr>
          <w:p w14:paraId="31593D7E">
            <w:pPr>
              <w:pStyle w:val="93"/>
              <w:spacing w:before="170" w:line="341" w:lineRule="auto"/>
              <w:ind w:left="102" w:leftChars="0" w:right="248" w:rightChars="0" w:firstLine="240" w:firstLineChars="0"/>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kern w:val="2"/>
                <w:sz w:val="21"/>
                <w:szCs w:val="21"/>
                <w:highlight w:val="none"/>
                <w:lang w:val="en-US" w:eastAsia="zh-CN" w:bidi="ar-SA"/>
              </w:rPr>
              <w:t>合同履行过程中，如发生与施工相关的信访事件(包括但不限于施工噪音与振 动、固体废弃物与扬尘污染、临时占地及征拆、便道排水纠纷等),承包人应作为化访第一责任人主动与上访人沟通协商，积极采取有效措施尽快化解矛盾，防止信访事件升级。承包人需配合发包人、县级中心及地方政府的化访工作安排， 及时提供相关证明材料，保护上访人的合法权益与地方稳定。</w:t>
            </w:r>
          </w:p>
        </w:tc>
      </w:tr>
      <w:tr w14:paraId="1AF7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109AAA03">
            <w:pPr>
              <w:pageBreakBefore w:val="0"/>
              <w:kinsoku/>
              <w:wordWrap w:val="0"/>
              <w:bidi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31</w:t>
            </w:r>
          </w:p>
        </w:tc>
        <w:tc>
          <w:tcPr>
            <w:tcW w:w="1111" w:type="dxa"/>
            <w:shd w:val="clear" w:color="auto" w:fill="auto"/>
            <w:noWrap w:val="0"/>
            <w:vAlign w:val="top"/>
          </w:tcPr>
          <w:p w14:paraId="3B49B942">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9C9BB09">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07884FA3">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1DDCA92C">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1936A32">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31C0B5C">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43215009">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65611181">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2E981A92">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32D5A8AA">
            <w:pPr>
              <w:pageBreakBefore w:val="0"/>
              <w:kinsoku/>
              <w:wordWrap w:val="0"/>
              <w:bidi w:val="0"/>
              <w:jc w:val="center"/>
              <w:rPr>
                <w:rFonts w:hint="default" w:ascii="Times New Roman" w:hAnsi="Times New Roman" w:eastAsia="宋体" w:cs="Times New Roman"/>
                <w:color w:val="auto"/>
                <w:szCs w:val="21"/>
                <w:highlight w:val="none"/>
                <w:lang w:val="en-US" w:eastAsia="zh-CN"/>
              </w:rPr>
            </w:pPr>
          </w:p>
          <w:p w14:paraId="67DCD1B2">
            <w:pPr>
              <w:pageBreakBefore w:val="0"/>
              <w:kinsoku/>
              <w:wordWrap w:val="0"/>
              <w:bidi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11.1.1</w:t>
            </w:r>
          </w:p>
        </w:tc>
        <w:tc>
          <w:tcPr>
            <w:tcW w:w="7304" w:type="dxa"/>
            <w:shd w:val="clear" w:color="auto" w:fill="auto"/>
            <w:noWrap w:val="0"/>
            <w:vAlign w:val="top"/>
          </w:tcPr>
          <w:p w14:paraId="2FE106F2">
            <w:pPr>
              <w:pStyle w:val="93"/>
              <w:spacing w:before="162" w:line="352" w:lineRule="auto"/>
              <w:ind w:left="232" w:right="113" w:firstLine="139"/>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承包人应在签订合同协议书后28天内，在投标文件的基础上细化施工组织设计 (含试验段等首件工程实施方案，下同),并向监理人提交开工报告，主要内容</w:t>
            </w:r>
          </w:p>
          <w:p w14:paraId="26360D07">
            <w:pPr>
              <w:pStyle w:val="93"/>
              <w:spacing w:line="356" w:lineRule="auto"/>
              <w:ind w:left="122" w:right="128"/>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应包括：施工管理机构、质检体系、安全体系的建立，劳务、机械设备、材料的 进场情况，水电供应，临时设施的修建、总体施工组织设计、施工节点工期安排 (包括但不限于路基、路面基层、面层、桥梁下部结构、桥梁上部结构等分部工程(如有)的节点工期)等。</w:t>
            </w:r>
          </w:p>
          <w:p w14:paraId="42DAAA2E">
            <w:pPr>
              <w:pStyle w:val="93"/>
              <w:spacing w:before="2" w:line="351" w:lineRule="auto"/>
              <w:ind w:left="112" w:right="133" w:firstLine="24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承包人编制的施工组织设计应经监理人和发包人审批后，方可按照计划组织实施。监理人和发包人认为承包人编制的施工组织不合理、不完善或存在缺陷，不 能指导施工的，承包人应在规定限期内改正并重新报批。未经审批擅自开工或者未严格按照经审批的施工组织设计施工的，视为承包人违约。</w:t>
            </w:r>
          </w:p>
          <w:p w14:paraId="482BBFDC">
            <w:pPr>
              <w:pStyle w:val="93"/>
              <w:spacing w:before="2" w:line="296" w:lineRule="auto"/>
              <w:ind w:left="112" w:leftChars="0" w:right="163" w:rightChars="0" w:firstLine="250" w:firstLineChars="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监理人应在开工日期7天前向承包人发出开工通知。监理人在发出开工通知前 应获得发包人同意。工期自监理人发出的开工通知中载明的开工日期起计算。承 包人应在开工日期后尽快施工。</w:t>
            </w:r>
          </w:p>
        </w:tc>
      </w:tr>
      <w:tr w14:paraId="52DF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center"/>
          </w:tcPr>
          <w:p w14:paraId="6589BAAF">
            <w:pPr>
              <w:widowControl/>
              <w:wordWrap w:val="0"/>
              <w:autoSpaceDE w:val="0"/>
              <w:autoSpaceDN w:val="0"/>
              <w:adjustRightInd w:val="0"/>
              <w:snapToGrid w:val="0"/>
              <w:spacing w:line="400" w:lineRule="exact"/>
              <w:jc w:val="center"/>
              <w:textAlignment w:val="baseline"/>
              <w:rPr>
                <w:rFonts w:hint="eastAsia" w:ascii="Times New Roman" w:hAnsi="Times New Roman" w:eastAsia="宋体" w:cs="Times New Roman"/>
                <w:kern w:val="2"/>
                <w:sz w:val="21"/>
                <w:szCs w:val="21"/>
                <w:highlight w:val="none"/>
                <w:lang w:val="en-US" w:eastAsia="zh-CN" w:bidi="ar-SA"/>
              </w:rPr>
            </w:pPr>
            <w:r>
              <w:rPr>
                <w:rFonts w:hint="eastAsia"/>
                <w:szCs w:val="21"/>
                <w:highlight w:val="none"/>
              </w:rPr>
              <w:t>32</w:t>
            </w:r>
          </w:p>
        </w:tc>
        <w:tc>
          <w:tcPr>
            <w:tcW w:w="1111" w:type="dxa"/>
            <w:shd w:val="clear" w:color="auto" w:fill="auto"/>
            <w:noWrap w:val="0"/>
            <w:vAlign w:val="center"/>
          </w:tcPr>
          <w:p w14:paraId="2F546BDA">
            <w:pPr>
              <w:spacing w:line="431" w:lineRule="auto"/>
              <w:jc w:val="center"/>
              <w:rPr>
                <w:rFonts w:hint="default" w:ascii="Times New Roman" w:hAnsi="Times New Roman" w:eastAsia="宋体" w:cs="Times New Roman"/>
                <w:color w:val="auto"/>
                <w:kern w:val="2"/>
                <w:sz w:val="21"/>
                <w:szCs w:val="21"/>
                <w:highlight w:val="none"/>
                <w:lang w:val="en-US" w:eastAsia="zh-CN" w:bidi="ar-SA"/>
              </w:rPr>
            </w:pPr>
          </w:p>
          <w:p w14:paraId="3B2D7164">
            <w:pPr>
              <w:pStyle w:val="93"/>
              <w:spacing w:before="68" w:line="222" w:lineRule="auto"/>
              <w:ind w:left="181" w:leftChars="0"/>
              <w:jc w:val="center"/>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11.5(3)</w:t>
            </w:r>
          </w:p>
        </w:tc>
        <w:tc>
          <w:tcPr>
            <w:tcW w:w="7304" w:type="dxa"/>
            <w:shd w:val="clear" w:color="auto" w:fill="auto"/>
            <w:noWrap w:val="0"/>
            <w:vAlign w:val="top"/>
          </w:tcPr>
          <w:p w14:paraId="004A7546">
            <w:pPr>
              <w:pStyle w:val="93"/>
              <w:keepNext w:val="0"/>
              <w:keepLines w:val="0"/>
              <w:pageBreakBefore w:val="0"/>
              <w:widowControl/>
              <w:kinsoku w:val="0"/>
              <w:wordWrap/>
              <w:overflowPunct/>
              <w:topLinePunct w:val="0"/>
              <w:autoSpaceDE w:val="0"/>
              <w:autoSpaceDN w:val="0"/>
              <w:bidi w:val="0"/>
              <w:adjustRightInd w:val="0"/>
              <w:snapToGrid w:val="0"/>
              <w:spacing w:line="346" w:lineRule="auto"/>
              <w:ind w:left="102" w:right="164" w:firstLine="221"/>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承包人必须按合同约定的阶段工期及总工期组织施工，如因承包人原因未能按阶段工期(或总工期)计划完成所承包的工程，承包人应支付逾期完工违约金。</w:t>
            </w:r>
          </w:p>
          <w:p w14:paraId="22CF6EE2">
            <w:pPr>
              <w:pStyle w:val="93"/>
              <w:keepNext w:val="0"/>
              <w:keepLines w:val="0"/>
              <w:pageBreakBefore w:val="0"/>
              <w:widowControl/>
              <w:kinsoku w:val="0"/>
              <w:wordWrap/>
              <w:overflowPunct/>
              <w:topLinePunct w:val="0"/>
              <w:autoSpaceDE w:val="0"/>
              <w:autoSpaceDN w:val="0"/>
              <w:bidi w:val="0"/>
              <w:adjustRightInd w:val="0"/>
              <w:snapToGrid w:val="0"/>
              <w:spacing w:line="346" w:lineRule="auto"/>
              <w:ind w:left="102" w:right="164" w:firstLine="221"/>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逾期完工违约金的计算方法在《项目专用合同条款数据表》中约定，时间自预定的完工日期起到完工证明中写明的实际完工日期止(扣除已批准的延长工期),</w:t>
            </w:r>
          </w:p>
          <w:p w14:paraId="48B375B3">
            <w:pPr>
              <w:pStyle w:val="93"/>
              <w:keepNext w:val="0"/>
              <w:keepLines w:val="0"/>
              <w:pageBreakBefore w:val="0"/>
              <w:widowControl/>
              <w:kinsoku w:val="0"/>
              <w:wordWrap/>
              <w:overflowPunct/>
              <w:topLinePunct w:val="0"/>
              <w:autoSpaceDE w:val="0"/>
              <w:autoSpaceDN w:val="0"/>
              <w:bidi w:val="0"/>
              <w:adjustRightInd w:val="0"/>
              <w:snapToGrid w:val="0"/>
              <w:spacing w:line="346" w:lineRule="auto"/>
              <w:ind w:left="102" w:right="164" w:firstLine="221"/>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按天计算。逾期完工违约金累计金额最高不超过《项目专用合同条款数据表》中写明的限额。发包人可以从应付或到期应付给承包人的任何款项中或采用其他方 法扣除此违约金。承包人阶段工期发生拖延但在总工期内按时完工的，发包人应 将施工期间扣留的全部阶段工期拖延违约金返还给承包人。</w:t>
            </w:r>
          </w:p>
          <w:p w14:paraId="208E321F">
            <w:pPr>
              <w:pStyle w:val="93"/>
              <w:keepNext w:val="0"/>
              <w:keepLines w:val="0"/>
              <w:pageBreakBefore w:val="0"/>
              <w:widowControl/>
              <w:kinsoku w:val="0"/>
              <w:wordWrap/>
              <w:overflowPunct/>
              <w:topLinePunct w:val="0"/>
              <w:autoSpaceDE w:val="0"/>
              <w:autoSpaceDN w:val="0"/>
              <w:bidi w:val="0"/>
              <w:adjustRightInd w:val="0"/>
              <w:snapToGrid w:val="0"/>
              <w:spacing w:line="346" w:lineRule="auto"/>
              <w:ind w:left="102" w:leftChars="0" w:right="164" w:rightChars="0" w:firstLine="221" w:firstLineChars="0"/>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承包人阶段工期和总工期均发生拖延的，发包人最终扣减承包人的逾期完工违约金以总工期拖延天数计算的金额为准，但最高不超过项目《项目专用合同条款数据表》中写明的限额。</w:t>
            </w:r>
          </w:p>
        </w:tc>
      </w:tr>
      <w:tr w14:paraId="3E8B1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29" w:type="dxa"/>
            <w:noWrap w:val="0"/>
            <w:vAlign w:val="center"/>
          </w:tcPr>
          <w:p w14:paraId="5188DDD7">
            <w:pPr>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br w:type="page"/>
            </w:r>
            <w:r>
              <w:rPr>
                <w:rFonts w:hint="eastAsia" w:cs="Times New Roman"/>
                <w:color w:val="auto"/>
                <w:szCs w:val="21"/>
                <w:highlight w:val="none"/>
                <w:lang w:val="en-US" w:eastAsia="zh-CN"/>
              </w:rPr>
              <w:t>33</w:t>
            </w:r>
          </w:p>
        </w:tc>
        <w:tc>
          <w:tcPr>
            <w:tcW w:w="1111" w:type="dxa"/>
            <w:shd w:val="clear" w:color="auto" w:fill="auto"/>
            <w:noWrap w:val="0"/>
            <w:vAlign w:val="center"/>
          </w:tcPr>
          <w:p w14:paraId="621F5518">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11.5（3）</w:t>
            </w:r>
          </w:p>
        </w:tc>
        <w:tc>
          <w:tcPr>
            <w:tcW w:w="7304" w:type="dxa"/>
            <w:tcBorders>
              <w:bottom w:val="single" w:color="auto" w:sz="4" w:space="0"/>
            </w:tcBorders>
            <w:shd w:val="clear" w:color="auto" w:fill="auto"/>
            <w:noWrap w:val="0"/>
            <w:vAlign w:val="center"/>
          </w:tcPr>
          <w:p w14:paraId="332DFAFB">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逾期交工违约金： 0.03%签约合同价格/天</w:t>
            </w:r>
          </w:p>
        </w:tc>
      </w:tr>
      <w:tr w14:paraId="3C2C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29" w:type="dxa"/>
            <w:noWrap w:val="0"/>
            <w:vAlign w:val="center"/>
          </w:tcPr>
          <w:p w14:paraId="01C68253">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34</w:t>
            </w:r>
          </w:p>
        </w:tc>
        <w:tc>
          <w:tcPr>
            <w:tcW w:w="1111" w:type="dxa"/>
            <w:shd w:val="clear" w:color="auto" w:fill="auto"/>
            <w:noWrap w:val="0"/>
            <w:vAlign w:val="center"/>
          </w:tcPr>
          <w:p w14:paraId="78A06B1A">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11.5（3）</w:t>
            </w:r>
          </w:p>
        </w:tc>
        <w:tc>
          <w:tcPr>
            <w:tcW w:w="7304" w:type="dxa"/>
            <w:tcBorders>
              <w:bottom w:val="single" w:color="auto" w:sz="4" w:space="0"/>
            </w:tcBorders>
            <w:shd w:val="clear" w:color="auto" w:fill="auto"/>
            <w:noWrap w:val="0"/>
            <w:vAlign w:val="center"/>
          </w:tcPr>
          <w:p w14:paraId="64CC4087">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逾期交工违约金限额：</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10</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r>
              <w:rPr>
                <w:rStyle w:val="47"/>
                <w:rFonts w:hint="default" w:ascii="Times New Roman" w:hAnsi="Times New Roman" w:cs="Times New Roman"/>
                <w:color w:val="auto"/>
                <w:szCs w:val="21"/>
                <w:highlight w:val="none"/>
              </w:rPr>
              <w:footnoteReference w:id="34"/>
            </w:r>
          </w:p>
        </w:tc>
      </w:tr>
      <w:tr w14:paraId="36A2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7B14F119">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r>
              <w:rPr>
                <w:rFonts w:hint="eastAsia" w:ascii="Times New Roman" w:hAnsi="Times New Roman" w:cs="Times New Roman"/>
                <w:color w:val="auto"/>
                <w:kern w:val="2"/>
                <w:sz w:val="21"/>
                <w:szCs w:val="21"/>
                <w:highlight w:val="none"/>
                <w:lang w:val="en-US" w:eastAsia="zh-CN" w:bidi="ar-SA"/>
              </w:rPr>
              <w:t>5</w:t>
            </w:r>
          </w:p>
        </w:tc>
        <w:tc>
          <w:tcPr>
            <w:tcW w:w="1111" w:type="dxa"/>
            <w:shd w:val="clear" w:color="auto" w:fill="auto"/>
            <w:noWrap w:val="0"/>
            <w:vAlign w:val="center"/>
          </w:tcPr>
          <w:p w14:paraId="6C9883E8">
            <w:pPr>
              <w:spacing w:line="434" w:lineRule="auto"/>
              <w:jc w:val="center"/>
              <w:rPr>
                <w:rFonts w:hint="default" w:ascii="Times New Roman" w:hAnsi="Times New Roman" w:eastAsia="宋体" w:cs="Times New Roman"/>
                <w:color w:val="auto"/>
                <w:kern w:val="2"/>
                <w:sz w:val="21"/>
                <w:szCs w:val="21"/>
                <w:highlight w:val="none"/>
                <w:lang w:val="en-US" w:eastAsia="zh-CN" w:bidi="ar-SA"/>
              </w:rPr>
            </w:pPr>
          </w:p>
          <w:p w14:paraId="79624C5F">
            <w:pPr>
              <w:pStyle w:val="93"/>
              <w:spacing w:before="69" w:line="222" w:lineRule="auto"/>
              <w:ind w:left="171" w:lef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11.5(5)</w:t>
            </w:r>
          </w:p>
        </w:tc>
        <w:tc>
          <w:tcPr>
            <w:tcW w:w="7304" w:type="dxa"/>
            <w:shd w:val="clear" w:color="auto" w:fill="auto"/>
            <w:noWrap w:val="0"/>
            <w:vAlign w:val="top"/>
          </w:tcPr>
          <w:p w14:paraId="668DBC92">
            <w:pPr>
              <w:pStyle w:val="93"/>
              <w:spacing w:before="161" w:line="301" w:lineRule="auto"/>
              <w:ind w:left="132" w:leftChars="0" w:right="146" w:rightChars="0" w:firstLine="210" w:firstLineChars="0"/>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如果在合同工程完工之前，已对合同工程内按时完工的单位工程签发了完工证 明，则合同工程的逾期完工违约金，应按已签发完工证明的单位工程的价值占合 同工程价值的比例予以减少，但本规定不应影响逾期完工违约金的规定限额。</w:t>
            </w:r>
          </w:p>
        </w:tc>
      </w:tr>
      <w:tr w14:paraId="29F7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24590A1C">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6</w:t>
            </w:r>
          </w:p>
        </w:tc>
        <w:tc>
          <w:tcPr>
            <w:tcW w:w="1111" w:type="dxa"/>
            <w:shd w:val="clear" w:color="auto" w:fill="auto"/>
            <w:noWrap w:val="0"/>
            <w:vAlign w:val="center"/>
          </w:tcPr>
          <w:p w14:paraId="1DD469AD">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11.6</w:t>
            </w:r>
          </w:p>
        </w:tc>
        <w:tc>
          <w:tcPr>
            <w:tcW w:w="7304" w:type="dxa"/>
            <w:shd w:val="clear" w:color="auto" w:fill="auto"/>
            <w:noWrap w:val="0"/>
            <w:vAlign w:val="center"/>
          </w:tcPr>
          <w:p w14:paraId="7FBDF0A2">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提前交工的奖金：</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元/天</w:t>
            </w:r>
          </w:p>
        </w:tc>
      </w:tr>
      <w:tr w14:paraId="5952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57193892">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7</w:t>
            </w:r>
          </w:p>
        </w:tc>
        <w:tc>
          <w:tcPr>
            <w:tcW w:w="1111" w:type="dxa"/>
            <w:shd w:val="clear" w:color="auto" w:fill="auto"/>
            <w:noWrap w:val="0"/>
            <w:vAlign w:val="center"/>
          </w:tcPr>
          <w:p w14:paraId="1C911F29">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11.6</w:t>
            </w:r>
          </w:p>
        </w:tc>
        <w:tc>
          <w:tcPr>
            <w:tcW w:w="7304" w:type="dxa"/>
            <w:shd w:val="clear" w:color="auto" w:fill="auto"/>
            <w:noWrap w:val="0"/>
            <w:vAlign w:val="center"/>
          </w:tcPr>
          <w:p w14:paraId="46F978FC">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提前交工的奖金限额：</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r>
      <w:tr w14:paraId="16D5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07F4638D">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p>
          <w:p w14:paraId="350ED98E">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p>
          <w:p w14:paraId="2B143181">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8</w:t>
            </w:r>
          </w:p>
        </w:tc>
        <w:tc>
          <w:tcPr>
            <w:tcW w:w="1111" w:type="dxa"/>
            <w:shd w:val="clear" w:color="auto" w:fill="auto"/>
            <w:noWrap w:val="0"/>
            <w:vAlign w:val="top"/>
          </w:tcPr>
          <w:p w14:paraId="0B42D98E">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p>
          <w:p w14:paraId="11D09B03">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p>
          <w:p w14:paraId="7D9CD73C">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13.2.6</w:t>
            </w:r>
          </w:p>
        </w:tc>
        <w:tc>
          <w:tcPr>
            <w:tcW w:w="7304" w:type="dxa"/>
            <w:shd w:val="clear" w:color="auto" w:fill="auto"/>
            <w:noWrap w:val="0"/>
            <w:vAlign w:val="top"/>
          </w:tcPr>
          <w:p w14:paraId="3C940B10">
            <w:pPr>
              <w:pStyle w:val="93"/>
              <w:spacing w:before="143" w:line="219" w:lineRule="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款细化：承包人应当严格按照施工图设计(含经审批的变更图纸)、施工技术规范和合同约定施工，对原材料、半成品、混合料、预制构件、工程实体进行检验，按规定施行班组自检、工序交接检、专职质检员检验的质量控制程序；对各养护单元 进行质量自评。检验或者自评不合格的，不得进入下道工序或者投入使用。未按照上述规定进行施工和质量控制的，视为承包人违约。</w:t>
            </w:r>
          </w:p>
        </w:tc>
      </w:tr>
      <w:tr w14:paraId="37BE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286BECD7">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39</w:t>
            </w:r>
          </w:p>
        </w:tc>
        <w:tc>
          <w:tcPr>
            <w:tcW w:w="1111" w:type="dxa"/>
            <w:shd w:val="clear" w:color="auto" w:fill="auto"/>
            <w:noWrap w:val="0"/>
            <w:vAlign w:val="top"/>
          </w:tcPr>
          <w:p w14:paraId="154887CC">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p>
          <w:p w14:paraId="09D4AC88">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13.5.4</w:t>
            </w:r>
          </w:p>
        </w:tc>
        <w:tc>
          <w:tcPr>
            <w:tcW w:w="7304" w:type="dxa"/>
            <w:shd w:val="clear" w:color="auto" w:fill="auto"/>
            <w:noWrap w:val="0"/>
            <w:vAlign w:val="top"/>
          </w:tcPr>
          <w:p w14:paraId="2460C5A5">
            <w:pPr>
              <w:pStyle w:val="93"/>
              <w:spacing w:before="143" w:line="219" w:lineRule="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本款细化：承包人未通知监理人到场检查，私自将工程隐蔽部位覆盖的，或者与监理人串通，将不满足相关要求的隐蔽工程覆盖的，视为承包人违约。发包人有权指示承 包人钻孔探测或揭开检查，由此增加的费用和(或)工期延误由承包人承担。</w:t>
            </w:r>
          </w:p>
        </w:tc>
      </w:tr>
      <w:tr w14:paraId="591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75614223">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40</w:t>
            </w:r>
          </w:p>
        </w:tc>
        <w:tc>
          <w:tcPr>
            <w:tcW w:w="1111" w:type="dxa"/>
            <w:shd w:val="clear" w:color="auto" w:fill="auto"/>
            <w:noWrap w:val="0"/>
            <w:vAlign w:val="top"/>
          </w:tcPr>
          <w:p w14:paraId="0C3C871E">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p>
          <w:p w14:paraId="4992C2AD">
            <w:pPr>
              <w:pStyle w:val="93"/>
              <w:spacing w:before="68"/>
              <w:jc w:val="center"/>
              <w:rPr>
                <w:rFonts w:hint="default" w:ascii="Times New Roman" w:hAnsi="Times New Roman" w:eastAsia="宋体" w:cs="Times New Roman"/>
                <w:color w:val="auto"/>
                <w:kern w:val="2"/>
                <w:sz w:val="21"/>
                <w:szCs w:val="21"/>
                <w:highlight w:val="none"/>
                <w:lang w:val="en-US" w:eastAsia="zh-CN" w:bidi="ar-SA"/>
              </w:rPr>
            </w:pPr>
          </w:p>
          <w:p w14:paraId="524A9A26">
            <w:pPr>
              <w:pStyle w:val="93"/>
              <w:spacing w:before="68"/>
              <w:jc w:val="both"/>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14.1.1</w:t>
            </w:r>
          </w:p>
        </w:tc>
        <w:tc>
          <w:tcPr>
            <w:tcW w:w="7304" w:type="dxa"/>
            <w:shd w:val="clear" w:color="auto" w:fill="auto"/>
            <w:noWrap w:val="0"/>
            <w:vAlign w:val="top"/>
          </w:tcPr>
          <w:p w14:paraId="553952C7">
            <w:pPr>
              <w:pStyle w:val="93"/>
              <w:keepNext w:val="0"/>
              <w:keepLines w:val="0"/>
              <w:pageBreakBefore w:val="0"/>
              <w:widowControl/>
              <w:tabs>
                <w:tab w:val="left" w:pos="7350"/>
                <w:tab w:val="left" w:pos="7560"/>
              </w:tabs>
              <w:kinsoku w:val="0"/>
              <w:wordWrap/>
              <w:overflowPunct/>
              <w:topLinePunct w:val="0"/>
              <w:autoSpaceDE/>
              <w:autoSpaceDN/>
              <w:bidi w:val="0"/>
              <w:adjustRightInd w:val="0"/>
              <w:snapToGrid w:val="0"/>
              <w:spacing w:line="344" w:lineRule="auto"/>
              <w:ind w:left="0" w:leftChars="0" w:right="0" w:rightChars="0" w:firstLine="0" w:firstLineChars="0"/>
              <w:jc w:val="left"/>
              <w:textAlignment w:val="baseline"/>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承包人应按合同约定进行材料、工程设备和工程的试验和检验</w:t>
            </w:r>
            <w:r>
              <w:rPr>
                <w:rFonts w:hint="eastAsia" w:ascii="Times New Roman" w:hAnsi="Times New Roman" w:cs="Times New Roman"/>
                <w:color w:val="auto"/>
                <w:kern w:val="2"/>
                <w:sz w:val="21"/>
                <w:szCs w:val="21"/>
                <w:highlight w:val="none"/>
                <w:lang w:val="en-US" w:eastAsia="zh-CN" w:bidi="ar-SA"/>
              </w:rPr>
              <w:t>（含外委试验）</w:t>
            </w:r>
            <w:r>
              <w:rPr>
                <w:rFonts w:hint="default" w:ascii="Times New Roman" w:hAnsi="Times New Roman" w:eastAsia="宋体" w:cs="Times New Roman"/>
                <w:color w:val="auto"/>
                <w:kern w:val="2"/>
                <w:sz w:val="21"/>
                <w:szCs w:val="21"/>
                <w:highlight w:val="none"/>
                <w:lang w:val="en-US" w:eastAsia="zh-CN" w:bidi="ar-SA"/>
              </w:rPr>
              <w:t>，并为监理人对上述材料、工程设备和工程的质量检查提供必要的试验资料和原始记录。按合同约定应由监理人与承包人共同进行试验和检验的，由承包人负责提供必要的试验资料和原始记录。</w:t>
            </w:r>
          </w:p>
          <w:p w14:paraId="5DD2F95B">
            <w:pPr>
              <w:pStyle w:val="93"/>
              <w:keepNext w:val="0"/>
              <w:keepLines w:val="0"/>
              <w:pageBreakBefore w:val="0"/>
              <w:widowControl/>
              <w:tabs>
                <w:tab w:val="left" w:pos="7350"/>
                <w:tab w:val="left" w:pos="7560"/>
              </w:tabs>
              <w:kinsoku w:val="0"/>
              <w:wordWrap/>
              <w:overflowPunct/>
              <w:topLinePunct w:val="0"/>
              <w:autoSpaceDE/>
              <w:autoSpaceDN/>
              <w:bidi w:val="0"/>
              <w:adjustRightInd w:val="0"/>
              <w:snapToGrid w:val="0"/>
              <w:spacing w:line="344" w:lineRule="auto"/>
              <w:ind w:left="0" w:leftChars="0" w:right="0" w:rightChars="0" w:firstLine="0" w:firstLineChars="0"/>
              <w:jc w:val="left"/>
              <w:textAlignment w:val="baseline"/>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建议投标人在明确本项目投标意向的前提下，尽快完成水泥砼及沥青混凝土的配合比工作。</w:t>
            </w:r>
          </w:p>
        </w:tc>
      </w:tr>
      <w:tr w14:paraId="0423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3BF9A5B4">
            <w:pPr>
              <w:pStyle w:val="93"/>
              <w:spacing w:before="69"/>
              <w:rPr>
                <w:rFonts w:hint="default" w:ascii="Times New Roman" w:hAnsi="Times New Roman" w:eastAsia="宋体" w:cs="Times New Roman"/>
                <w:color w:val="auto"/>
                <w:kern w:val="2"/>
                <w:sz w:val="21"/>
                <w:szCs w:val="21"/>
                <w:highlight w:val="none"/>
                <w:lang w:val="en-US" w:eastAsia="en-US" w:bidi="ar-SA"/>
              </w:rPr>
            </w:pPr>
            <w:r>
              <w:rPr>
                <w:rFonts w:hint="eastAsia" w:ascii="Times New Roman" w:hAnsi="Times New Roman" w:cs="Times New Roman"/>
                <w:color w:val="auto"/>
                <w:kern w:val="2"/>
                <w:sz w:val="21"/>
                <w:szCs w:val="21"/>
                <w:highlight w:val="none"/>
                <w:lang w:val="en-US" w:eastAsia="zh-CN" w:bidi="ar-SA"/>
              </w:rPr>
              <w:t>41</w:t>
            </w:r>
          </w:p>
        </w:tc>
        <w:tc>
          <w:tcPr>
            <w:tcW w:w="1111" w:type="dxa"/>
            <w:shd w:val="clear" w:color="auto" w:fill="auto"/>
            <w:noWrap w:val="0"/>
            <w:vAlign w:val="top"/>
          </w:tcPr>
          <w:p w14:paraId="02D1C78B">
            <w:pPr>
              <w:spacing w:line="311" w:lineRule="auto"/>
              <w:rPr>
                <w:rFonts w:hint="default" w:ascii="Times New Roman" w:hAnsi="Times New Roman" w:eastAsia="宋体" w:cs="Times New Roman"/>
                <w:color w:val="auto"/>
                <w:kern w:val="2"/>
                <w:sz w:val="21"/>
                <w:szCs w:val="21"/>
                <w:highlight w:val="none"/>
                <w:lang w:val="en-US" w:eastAsia="zh-CN" w:bidi="ar-SA"/>
              </w:rPr>
            </w:pPr>
          </w:p>
          <w:p w14:paraId="126BF714">
            <w:pPr>
              <w:pStyle w:val="93"/>
              <w:spacing w:before="68" w:line="239" w:lineRule="auto"/>
              <w:ind w:left="341" w:leftChars="0"/>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kern w:val="2"/>
                <w:sz w:val="21"/>
                <w:szCs w:val="21"/>
                <w:highlight w:val="none"/>
                <w:lang w:val="en-US" w:eastAsia="zh-CN" w:bidi="ar-SA"/>
              </w:rPr>
              <w:t>14.6</w:t>
            </w:r>
          </w:p>
        </w:tc>
        <w:tc>
          <w:tcPr>
            <w:tcW w:w="7304" w:type="dxa"/>
            <w:shd w:val="clear" w:color="auto" w:fill="auto"/>
            <w:noWrap w:val="0"/>
            <w:vAlign w:val="top"/>
          </w:tcPr>
          <w:p w14:paraId="411745EE">
            <w:pPr>
              <w:pStyle w:val="93"/>
              <w:spacing w:before="129" w:line="281" w:lineRule="auto"/>
              <w:ind w:right="142" w:rightChars="0"/>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kern w:val="2"/>
                <w:sz w:val="21"/>
                <w:szCs w:val="21"/>
                <w:highlight w:val="none"/>
                <w:lang w:val="en-US" w:eastAsia="zh-CN" w:bidi="ar-SA"/>
              </w:rPr>
              <w:t>承包人设立试验室的相关要求：必须满足《辽宁省公路水运工程工地试验室管理办法（试行）》（辽交安质规[2024]16号）</w:t>
            </w:r>
          </w:p>
        </w:tc>
      </w:tr>
      <w:tr w14:paraId="1108C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20367401">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w:t>
            </w:r>
          </w:p>
        </w:tc>
        <w:tc>
          <w:tcPr>
            <w:tcW w:w="1111" w:type="dxa"/>
            <w:shd w:val="clear" w:color="auto" w:fill="auto"/>
            <w:noWrap w:val="0"/>
            <w:vAlign w:val="top"/>
          </w:tcPr>
          <w:p w14:paraId="0BB6F9EF">
            <w:pPr>
              <w:pStyle w:val="93"/>
              <w:spacing w:before="68" w:line="239" w:lineRule="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15.3.4</w:t>
            </w:r>
          </w:p>
        </w:tc>
        <w:tc>
          <w:tcPr>
            <w:tcW w:w="7304" w:type="dxa"/>
            <w:shd w:val="clear" w:color="auto" w:fill="auto"/>
            <w:noWrap w:val="0"/>
            <w:vAlign w:val="top"/>
          </w:tcPr>
          <w:p w14:paraId="1EB4534A">
            <w:pPr>
              <w:pStyle w:val="93"/>
              <w:spacing w:before="160" w:line="272" w:lineRule="auto"/>
              <w:ind w:right="568"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本项目设计变更的程序按行业主管部门、</w:t>
            </w:r>
            <w:r>
              <w:rPr>
                <w:rFonts w:hint="eastAsia" w:ascii="Times New Roman" w:hAnsi="Times New Roman" w:cs="Times New Roman"/>
                <w:color w:val="auto"/>
                <w:kern w:val="2"/>
                <w:sz w:val="21"/>
                <w:szCs w:val="21"/>
                <w:highlight w:val="none"/>
                <w:lang w:val="en-US" w:eastAsia="zh-CN" w:bidi="ar-SA"/>
              </w:rPr>
              <w:t>招标人</w:t>
            </w:r>
            <w:r>
              <w:rPr>
                <w:rFonts w:hint="default" w:ascii="Times New Roman" w:hAnsi="Times New Roman" w:eastAsia="宋体" w:cs="Times New Roman"/>
                <w:color w:val="auto"/>
                <w:kern w:val="2"/>
                <w:sz w:val="21"/>
                <w:szCs w:val="21"/>
                <w:highlight w:val="none"/>
                <w:lang w:val="en-US" w:eastAsia="zh-CN" w:bidi="ar-SA"/>
              </w:rPr>
              <w:t>制定的规定执行。 除设计变更外，其他合同工程费用增减的审批程序参照上述规定的执行。</w:t>
            </w:r>
          </w:p>
        </w:tc>
      </w:tr>
      <w:tr w14:paraId="5DC1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7CB23C40">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43</w:t>
            </w:r>
          </w:p>
        </w:tc>
        <w:tc>
          <w:tcPr>
            <w:tcW w:w="1111" w:type="dxa"/>
            <w:shd w:val="clear" w:color="auto" w:fill="auto"/>
            <w:noWrap w:val="0"/>
            <w:vAlign w:val="top"/>
          </w:tcPr>
          <w:p w14:paraId="3E08FAA6">
            <w:pPr>
              <w:spacing w:line="325" w:lineRule="auto"/>
              <w:rPr>
                <w:rFonts w:hint="default" w:ascii="Times New Roman" w:hAnsi="Times New Roman" w:eastAsia="宋体" w:cs="Times New Roman"/>
                <w:color w:val="auto"/>
                <w:kern w:val="2"/>
                <w:sz w:val="21"/>
                <w:szCs w:val="21"/>
                <w:highlight w:val="none"/>
                <w:lang w:val="en-US" w:eastAsia="zh-CN" w:bidi="ar-SA"/>
              </w:rPr>
            </w:pPr>
          </w:p>
          <w:p w14:paraId="01135E83">
            <w:pPr>
              <w:spacing w:line="326" w:lineRule="auto"/>
              <w:rPr>
                <w:rFonts w:hint="default" w:ascii="Times New Roman" w:hAnsi="Times New Roman" w:eastAsia="宋体" w:cs="Times New Roman"/>
                <w:color w:val="auto"/>
                <w:kern w:val="2"/>
                <w:sz w:val="21"/>
                <w:szCs w:val="21"/>
                <w:highlight w:val="none"/>
                <w:lang w:val="en-US" w:eastAsia="zh-CN" w:bidi="ar-SA"/>
              </w:rPr>
            </w:pPr>
          </w:p>
          <w:p w14:paraId="0E0BBEB1">
            <w:pPr>
              <w:pStyle w:val="93"/>
              <w:spacing w:before="68" w:line="239" w:lineRule="auto"/>
              <w:ind w:left="241" w:lef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15.3.5</w:t>
            </w:r>
          </w:p>
        </w:tc>
        <w:tc>
          <w:tcPr>
            <w:tcW w:w="7304" w:type="dxa"/>
            <w:shd w:val="clear" w:color="auto" w:fill="auto"/>
            <w:noWrap w:val="0"/>
            <w:vAlign w:val="top"/>
          </w:tcPr>
          <w:p w14:paraId="3658E713">
            <w:pPr>
              <w:pStyle w:val="93"/>
              <w:spacing w:before="170" w:line="348" w:lineRule="auto"/>
              <w:ind w:right="202" w:right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除本合同第5.2款、第15.4款、第16.1款约定外，“承包人工程施工价款”不 予调整。但如承包人减少工程量的变更未办理相关手续，发包人有权从“承包人工程施工价款"中扣减相关费用。本项目工程变更应按本款规定办理相关手续。</w:t>
            </w:r>
          </w:p>
        </w:tc>
      </w:tr>
      <w:tr w14:paraId="12B0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29" w:type="dxa"/>
            <w:noWrap w:val="0"/>
            <w:vAlign w:val="center"/>
          </w:tcPr>
          <w:p w14:paraId="3F13024C">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44</w:t>
            </w:r>
          </w:p>
        </w:tc>
        <w:tc>
          <w:tcPr>
            <w:tcW w:w="1111" w:type="dxa"/>
            <w:shd w:val="clear" w:color="auto" w:fill="auto"/>
            <w:noWrap w:val="0"/>
            <w:vAlign w:val="top"/>
          </w:tcPr>
          <w:p w14:paraId="181744F4">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A085C37">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5D3D52C1">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4D2468C9">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10EF4D05">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149E7503">
            <w:pPr>
              <w:pageBreakBefore w:val="0"/>
              <w:kinsoku/>
              <w:wordWrap w:val="0"/>
              <w:bidi w:val="0"/>
              <w:snapToGrid w:val="0"/>
              <w:spacing w:line="360" w:lineRule="atLeast"/>
              <w:jc w:val="both"/>
              <w:rPr>
                <w:rFonts w:hint="default" w:cs="Times New Roman"/>
                <w:color w:val="auto"/>
                <w:szCs w:val="21"/>
                <w:highlight w:val="none"/>
                <w:lang w:val="en-US" w:eastAsia="zh-CN"/>
              </w:rPr>
            </w:pPr>
          </w:p>
          <w:p w14:paraId="079F875C">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9ECEF44">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AE4E3B8">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15.4</w:t>
            </w:r>
          </w:p>
        </w:tc>
        <w:tc>
          <w:tcPr>
            <w:tcW w:w="7304" w:type="dxa"/>
            <w:shd w:val="clear" w:color="auto" w:fill="auto"/>
            <w:noWrap w:val="0"/>
            <w:vAlign w:val="top"/>
          </w:tcPr>
          <w:p w14:paraId="1409824B">
            <w:pPr>
              <w:pStyle w:val="93"/>
              <w:keepNext w:val="0"/>
              <w:keepLines w:val="0"/>
              <w:pageBreakBefore w:val="0"/>
              <w:widowControl w:val="0"/>
              <w:kinsoku/>
              <w:wordWrap/>
              <w:overflowPunct/>
              <w:topLinePunct w:val="0"/>
              <w:autoSpaceDE/>
              <w:autoSpaceDN/>
              <w:bidi w:val="0"/>
              <w:adjustRightInd/>
              <w:snapToGrid/>
              <w:spacing w:before="161" w:line="240" w:lineRule="auto"/>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15.4.1出现施工图设计文件本身存在错误和缺陷，导致施工图设计文件必须修改 和补充所导致的变更，由发包人上报</w:t>
            </w:r>
            <w:r>
              <w:rPr>
                <w:rFonts w:hint="eastAsia" w:ascii="Times New Roman" w:hAnsi="Times New Roman" w:cs="Times New Roman"/>
                <w:color w:val="auto"/>
                <w:kern w:val="2"/>
                <w:sz w:val="21"/>
                <w:szCs w:val="21"/>
                <w:highlight w:val="none"/>
                <w:lang w:val="en-US" w:eastAsia="zh-CN" w:bidi="ar-SA"/>
              </w:rPr>
              <w:t>招标人</w:t>
            </w:r>
            <w:r>
              <w:rPr>
                <w:rFonts w:hint="default" w:ascii="Times New Roman" w:hAnsi="Times New Roman" w:eastAsia="宋体" w:cs="Times New Roman"/>
                <w:color w:val="auto"/>
                <w:kern w:val="2"/>
                <w:sz w:val="21"/>
                <w:szCs w:val="21"/>
                <w:highlight w:val="none"/>
                <w:lang w:val="en-US" w:eastAsia="zh-CN" w:bidi="ar-SA"/>
              </w:rPr>
              <w:t>。仅当</w:t>
            </w:r>
            <w:r>
              <w:rPr>
                <w:rFonts w:hint="eastAsia" w:ascii="Times New Roman" w:hAnsi="Times New Roman" w:cs="Times New Roman"/>
                <w:color w:val="auto"/>
                <w:kern w:val="2"/>
                <w:sz w:val="21"/>
                <w:szCs w:val="21"/>
                <w:highlight w:val="none"/>
                <w:lang w:val="en-US" w:eastAsia="zh-CN" w:bidi="ar-SA"/>
              </w:rPr>
              <w:t>招标人</w:t>
            </w:r>
            <w:r>
              <w:rPr>
                <w:rFonts w:hint="default" w:ascii="Times New Roman" w:hAnsi="Times New Roman" w:eastAsia="宋体" w:cs="Times New Roman"/>
                <w:color w:val="auto"/>
                <w:kern w:val="2"/>
                <w:sz w:val="21"/>
                <w:szCs w:val="21"/>
                <w:highlight w:val="none"/>
                <w:lang w:val="en-US" w:eastAsia="zh-CN" w:bidi="ar-SA"/>
              </w:rPr>
              <w:t>对上述变更批准同意后，方可作为本合同工程的变更情形。</w:t>
            </w:r>
          </w:p>
          <w:p w14:paraId="7CA873CB">
            <w:pPr>
              <w:pStyle w:val="93"/>
              <w:keepNext w:val="0"/>
              <w:keepLines w:val="0"/>
              <w:pageBreakBefore w:val="0"/>
              <w:widowControl w:val="0"/>
              <w:kinsoku/>
              <w:wordWrap/>
              <w:overflowPunct/>
              <w:topLinePunct w:val="0"/>
              <w:autoSpaceDE/>
              <w:autoSpaceDN/>
              <w:bidi w:val="0"/>
              <w:adjustRightInd/>
              <w:snapToGrid/>
              <w:spacing w:before="1" w:line="240" w:lineRule="auto"/>
              <w:ind w:right="315"/>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15.4.2本合同工程变更工作(增或减)的单价，由承包人提出并经监理人、发 包人确认后上报</w:t>
            </w:r>
            <w:r>
              <w:rPr>
                <w:rFonts w:hint="eastAsia" w:ascii="Times New Roman" w:hAnsi="Times New Roman" w:cs="Times New Roman"/>
                <w:color w:val="auto"/>
                <w:kern w:val="2"/>
                <w:sz w:val="21"/>
                <w:szCs w:val="21"/>
                <w:highlight w:val="none"/>
                <w:lang w:val="en-US" w:eastAsia="zh-CN" w:bidi="ar-SA"/>
              </w:rPr>
              <w:t>招标人</w:t>
            </w:r>
            <w:r>
              <w:rPr>
                <w:rFonts w:hint="default" w:ascii="Times New Roman" w:hAnsi="Times New Roman" w:eastAsia="宋体" w:cs="Times New Roman"/>
                <w:color w:val="auto"/>
                <w:kern w:val="2"/>
                <w:sz w:val="21"/>
                <w:szCs w:val="21"/>
                <w:highlight w:val="none"/>
                <w:lang w:val="en-US" w:eastAsia="zh-CN" w:bidi="ar-SA"/>
              </w:rPr>
              <w:t>，</w:t>
            </w:r>
            <w:r>
              <w:rPr>
                <w:rFonts w:hint="eastAsia" w:ascii="Times New Roman" w:hAnsi="Times New Roman" w:cs="Times New Roman"/>
                <w:color w:val="auto"/>
                <w:kern w:val="2"/>
                <w:sz w:val="21"/>
                <w:szCs w:val="21"/>
                <w:highlight w:val="none"/>
                <w:lang w:val="en-US" w:eastAsia="zh-CN" w:bidi="ar-SA"/>
              </w:rPr>
              <w:t>招标人</w:t>
            </w:r>
            <w:r>
              <w:rPr>
                <w:rFonts w:hint="default" w:ascii="Times New Roman" w:hAnsi="Times New Roman" w:eastAsia="宋体" w:cs="Times New Roman"/>
                <w:color w:val="auto"/>
                <w:kern w:val="2"/>
                <w:sz w:val="21"/>
                <w:szCs w:val="21"/>
                <w:highlight w:val="none"/>
                <w:lang w:val="en-US" w:eastAsia="zh-CN" w:bidi="ar-SA"/>
              </w:rPr>
              <w:t>按以下约定处理：</w:t>
            </w:r>
          </w:p>
          <w:p w14:paraId="27298BC6">
            <w:pPr>
              <w:pStyle w:val="93"/>
              <w:keepNext w:val="0"/>
              <w:keepLines w:val="0"/>
              <w:pageBreakBefore w:val="0"/>
              <w:widowControl w:val="0"/>
              <w:kinsoku/>
              <w:wordWrap/>
              <w:overflowPunct/>
              <w:topLinePunct w:val="0"/>
              <w:autoSpaceDE/>
              <w:autoSpaceDN/>
              <w:bidi w:val="0"/>
              <w:adjustRightInd/>
              <w:snapToGrid/>
              <w:spacing w:before="1" w:line="240" w:lineRule="auto"/>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15.4.2.1已标价工程量清单中有适用于变更工作的子目的，采用该子目的单价。</w:t>
            </w:r>
          </w:p>
          <w:p w14:paraId="70D9FF95">
            <w:pPr>
              <w:pStyle w:val="93"/>
              <w:keepNext w:val="0"/>
              <w:keepLines w:val="0"/>
              <w:pageBreakBefore w:val="0"/>
              <w:widowControl w:val="0"/>
              <w:kinsoku/>
              <w:wordWrap/>
              <w:overflowPunct/>
              <w:topLinePunct w:val="0"/>
              <w:autoSpaceDE/>
              <w:autoSpaceDN/>
              <w:bidi w:val="0"/>
              <w:adjustRightInd/>
              <w:snapToGrid/>
              <w:spacing w:before="141" w:line="240" w:lineRule="auto"/>
              <w:ind w:right="94"/>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15.4.2.2已标价工程量清单中无适用于变更工作的子目的，可在合理范围内参 照已标价子目单价，根据各级政府部门、交通运输(或住建)主管部门及其造价</w:t>
            </w:r>
          </w:p>
          <w:p w14:paraId="641C08D2">
            <w:pPr>
              <w:pStyle w:val="93"/>
              <w:keepNext w:val="0"/>
              <w:keepLines w:val="0"/>
              <w:pageBreakBefore w:val="0"/>
              <w:widowControl w:val="0"/>
              <w:kinsoku/>
              <w:wordWrap/>
              <w:overflowPunct/>
              <w:topLinePunct w:val="0"/>
              <w:autoSpaceDE/>
              <w:autoSpaceDN/>
              <w:bidi w:val="0"/>
              <w:adjustRightInd/>
              <w:snapToGrid/>
              <w:spacing w:before="146" w:line="240" w:lineRule="auto"/>
              <w:ind w:left="102"/>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管理部门、财政主管部门、税务主管部门等现行的预算编制办法、定额、计价计费规则等进行审核，并综合承包人、监理人、发包人等各方意见后确定变更工作的单价。</w:t>
            </w:r>
          </w:p>
          <w:p w14:paraId="1B5C6F7E">
            <w:pPr>
              <w:pStyle w:val="93"/>
              <w:keepNext w:val="0"/>
              <w:keepLines w:val="0"/>
              <w:pageBreakBefore w:val="0"/>
              <w:widowControl w:val="0"/>
              <w:kinsoku/>
              <w:wordWrap/>
              <w:overflowPunct/>
              <w:topLinePunct w:val="0"/>
              <w:autoSpaceDE/>
              <w:autoSpaceDN/>
              <w:bidi w:val="0"/>
              <w:adjustRightInd/>
              <w:snapToGrid/>
              <w:spacing w:before="171" w:line="240" w:lineRule="auto"/>
              <w:ind w:right="129"/>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15.4.3根据变更工程量(增或减)、变更单价计算“承包人工程施工价款”的变 更总价，并对“承包人工程施工价款”进行调整。</w:t>
            </w:r>
          </w:p>
          <w:p w14:paraId="634B4544">
            <w:pPr>
              <w:pStyle w:val="93"/>
              <w:keepNext w:val="0"/>
              <w:keepLines w:val="0"/>
              <w:pageBreakBefore w:val="0"/>
              <w:widowControl w:val="0"/>
              <w:kinsoku/>
              <w:wordWrap/>
              <w:overflowPunct/>
              <w:topLinePunct w:val="0"/>
              <w:autoSpaceDE/>
              <w:autoSpaceDN/>
              <w:bidi w:val="0"/>
              <w:adjustRightInd/>
              <w:snapToGrid/>
              <w:spacing w:before="153" w:line="240" w:lineRule="auto"/>
              <w:ind w:right="100" w:right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15.4.4如审计方对变更引起的“承包人工程施工价款”调整出具了审计意见，则 以审计方最终核定的金额为准。</w:t>
            </w:r>
          </w:p>
        </w:tc>
      </w:tr>
      <w:tr w14:paraId="2ACB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759244A2">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4</w:t>
            </w:r>
            <w:r>
              <w:rPr>
                <w:rFonts w:hint="eastAsia" w:cs="Times New Roman"/>
                <w:color w:val="auto"/>
                <w:szCs w:val="21"/>
                <w:highlight w:val="none"/>
                <w:lang w:val="en-US" w:eastAsia="zh-CN"/>
              </w:rPr>
              <w:t>5</w:t>
            </w:r>
          </w:p>
        </w:tc>
        <w:tc>
          <w:tcPr>
            <w:tcW w:w="1111" w:type="dxa"/>
            <w:shd w:val="clear" w:color="auto" w:fill="auto"/>
            <w:noWrap w:val="0"/>
            <w:vAlign w:val="center"/>
          </w:tcPr>
          <w:p w14:paraId="1D94B413">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15.5.2</w:t>
            </w:r>
          </w:p>
        </w:tc>
        <w:tc>
          <w:tcPr>
            <w:tcW w:w="7304" w:type="dxa"/>
            <w:shd w:val="clear" w:color="auto" w:fill="auto"/>
            <w:noWrap w:val="0"/>
            <w:vAlign w:val="center"/>
          </w:tcPr>
          <w:p w14:paraId="00658C73">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承包人提出的合理化建议降低了合同价格或者提高了工程经济效益的，发包人按所节约成本的</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%或增加收益的</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%给予奖励</w:t>
            </w:r>
          </w:p>
        </w:tc>
      </w:tr>
      <w:tr w14:paraId="62EB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F091179">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46</w:t>
            </w:r>
          </w:p>
        </w:tc>
        <w:tc>
          <w:tcPr>
            <w:tcW w:w="1111" w:type="dxa"/>
            <w:shd w:val="clear" w:color="auto" w:fill="auto"/>
            <w:noWrap w:val="0"/>
            <w:vAlign w:val="center"/>
          </w:tcPr>
          <w:p w14:paraId="465F5023">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16.1</w:t>
            </w:r>
          </w:p>
        </w:tc>
        <w:tc>
          <w:tcPr>
            <w:tcW w:w="7304" w:type="dxa"/>
            <w:shd w:val="clear" w:color="auto" w:fill="auto"/>
            <w:noWrap w:val="0"/>
            <w:vAlign w:val="center"/>
          </w:tcPr>
          <w:p w14:paraId="38ACB574">
            <w:pPr>
              <w:pStyle w:val="26"/>
              <w:pageBreakBefore w:val="0"/>
              <w:tabs>
                <w:tab w:val="clear" w:pos="4153"/>
                <w:tab w:val="clear" w:pos="8306"/>
              </w:tabs>
              <w:kinsoku/>
              <w:wordWrap w:val="0"/>
              <w:bidi w:val="0"/>
              <w:spacing w:line="360" w:lineRule="atLeast"/>
              <w:ind w:firstLine="364" w:firstLineChars="114"/>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32"/>
                <w:highlight w:val="none"/>
                <w:lang w:eastAsia="zh-CN"/>
              </w:rPr>
              <w:t>□</w:t>
            </w:r>
            <w:r>
              <w:rPr>
                <w:rFonts w:hint="eastAsia" w:ascii="Times New Roman" w:hAnsi="Times New Roman" w:eastAsia="宋体" w:cs="Times New Roman"/>
                <w:color w:val="auto"/>
                <w:kern w:val="2"/>
                <w:sz w:val="21"/>
                <w:szCs w:val="21"/>
                <w:highlight w:val="none"/>
                <w:lang w:val="en-US" w:eastAsia="zh-CN" w:bidi="ar-SA"/>
              </w:rPr>
              <w:t>因物价波动引起的价格调整：</w:t>
            </w:r>
          </w:p>
          <w:p w14:paraId="061E3C14">
            <w:pPr>
              <w:pStyle w:val="26"/>
              <w:pageBreakBefore w:val="0"/>
              <w:tabs>
                <w:tab w:val="clear" w:pos="4153"/>
                <w:tab w:val="clear" w:pos="8306"/>
              </w:tabs>
              <w:kinsoku/>
              <w:wordWrap w:val="0"/>
              <w:bidi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合同期内不调价，因物价波动引起的价格调整本合同内不予考虑。</w:t>
            </w:r>
          </w:p>
        </w:tc>
      </w:tr>
      <w:tr w14:paraId="7F92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77E85D5F">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97335A3">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eastAsia" w:cs="Times New Roman"/>
                <w:color w:val="auto"/>
                <w:szCs w:val="21"/>
                <w:highlight w:val="none"/>
                <w:lang w:val="en-US" w:eastAsia="zh-CN"/>
              </w:rPr>
              <w:t>47</w:t>
            </w:r>
          </w:p>
        </w:tc>
        <w:tc>
          <w:tcPr>
            <w:tcW w:w="1111" w:type="dxa"/>
            <w:shd w:val="clear" w:color="auto" w:fill="auto"/>
            <w:noWrap w:val="0"/>
            <w:vAlign w:val="top"/>
          </w:tcPr>
          <w:p w14:paraId="7A76DC6B">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5A0DA910">
            <w:pPr>
              <w:pageBreakBefore w:val="0"/>
              <w:kinsoku/>
              <w:wordWrap w:val="0"/>
              <w:bidi w:val="0"/>
              <w:snapToGrid w:val="0"/>
              <w:spacing w:line="360" w:lineRule="atLeast"/>
              <w:jc w:val="center"/>
              <w:rPr>
                <w:rFonts w:hint="default" w:cs="Times New Roman"/>
                <w:color w:val="auto"/>
                <w:szCs w:val="21"/>
                <w:highlight w:val="none"/>
                <w:lang w:val="en-US" w:eastAsia="en-US"/>
              </w:rPr>
            </w:pPr>
            <w:r>
              <w:rPr>
                <w:rFonts w:hint="default" w:cs="Times New Roman"/>
                <w:color w:val="auto"/>
                <w:szCs w:val="21"/>
                <w:highlight w:val="none"/>
                <w:lang w:val="en-US" w:eastAsia="zh-CN"/>
              </w:rPr>
              <w:t>16.3</w:t>
            </w:r>
          </w:p>
        </w:tc>
        <w:tc>
          <w:tcPr>
            <w:tcW w:w="7304" w:type="dxa"/>
            <w:shd w:val="clear" w:color="auto" w:fill="auto"/>
            <w:noWrap w:val="0"/>
            <w:vAlign w:val="top"/>
          </w:tcPr>
          <w:p w14:paraId="212FADC7">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szCs w:val="21"/>
                <w:highlight w:val="none"/>
              </w:rPr>
              <w:t>除非发包人和监理人专门批准，如果本工程技术规范和图纸标准低于国家和行 业标准，则应按国家和行业标准执行，承包人由此增加的费用，</w:t>
            </w:r>
            <w:r>
              <w:rPr>
                <w:rFonts w:hint="eastAsia" w:cs="Times New Roman"/>
                <w:color w:val="auto"/>
                <w:szCs w:val="21"/>
                <w:highlight w:val="none"/>
                <w:lang w:eastAsia="zh-CN"/>
              </w:rPr>
              <w:t>招标人</w:t>
            </w:r>
            <w:r>
              <w:rPr>
                <w:rFonts w:hint="default" w:ascii="Times New Roman" w:hAnsi="Times New Roman" w:eastAsia="宋体" w:cs="Times New Roman"/>
                <w:color w:val="auto"/>
                <w:szCs w:val="21"/>
                <w:highlight w:val="none"/>
              </w:rPr>
              <w:t>不另行计量支付。</w:t>
            </w:r>
          </w:p>
        </w:tc>
      </w:tr>
      <w:tr w14:paraId="6C6C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1DB3E3E7">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1B822443">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384E8D4E">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92AC3E0">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48</w:t>
            </w:r>
          </w:p>
        </w:tc>
        <w:tc>
          <w:tcPr>
            <w:tcW w:w="1111" w:type="dxa"/>
            <w:shd w:val="clear" w:color="auto" w:fill="auto"/>
            <w:noWrap w:val="0"/>
            <w:vAlign w:val="top"/>
          </w:tcPr>
          <w:p w14:paraId="6605DB78">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F3D5DDF">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17.1.3</w:t>
            </w:r>
          </w:p>
        </w:tc>
        <w:tc>
          <w:tcPr>
            <w:tcW w:w="7304" w:type="dxa"/>
            <w:shd w:val="clear" w:color="auto" w:fill="auto"/>
            <w:noWrap w:val="0"/>
            <w:vAlign w:val="top"/>
          </w:tcPr>
          <w:p w14:paraId="6EA99A27">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单价子目已完成工程量按月计量，总价子目按第17.1.5项(总价子目的计量) 计量后，汇入当月计量。</w:t>
            </w:r>
          </w:p>
          <w:p w14:paraId="5B5FD45A">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承包人未按计量周期规定的时间提交计量资料，或因提交的计量资料不齐全、有错误而未按照发包人限定的期限内补充、修改并提交计量资料的，视为承包人违约;承包人提交的计量资料因数据错误多次修改，被发包人或市、省级交通运输主管部门通报批评或影响年度计划投资拨付的，视为承包人违约。</w:t>
            </w:r>
          </w:p>
        </w:tc>
      </w:tr>
      <w:tr w14:paraId="73BC3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48111612">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26662D3D">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4</w:t>
            </w:r>
            <w:r>
              <w:rPr>
                <w:rFonts w:hint="eastAsia" w:cs="Times New Roman"/>
                <w:color w:val="auto"/>
                <w:szCs w:val="21"/>
                <w:highlight w:val="none"/>
                <w:lang w:val="en-US" w:eastAsia="zh-CN"/>
              </w:rPr>
              <w:t>9</w:t>
            </w:r>
          </w:p>
        </w:tc>
        <w:tc>
          <w:tcPr>
            <w:tcW w:w="1111" w:type="dxa"/>
            <w:shd w:val="clear" w:color="auto" w:fill="auto"/>
            <w:noWrap w:val="0"/>
            <w:vAlign w:val="center"/>
          </w:tcPr>
          <w:p w14:paraId="30126FB9">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9F28DA1">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93DA1BA">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44DCD3C9">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2888942A">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E32FD06">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F3F07D9">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D4DB257">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089DC32D">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03069EB">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6DB94232">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17.1.4</w:t>
            </w:r>
          </w:p>
        </w:tc>
        <w:tc>
          <w:tcPr>
            <w:tcW w:w="7304" w:type="dxa"/>
            <w:shd w:val="clear" w:color="auto" w:fill="auto"/>
            <w:noWrap w:val="0"/>
            <w:vAlign w:val="top"/>
          </w:tcPr>
          <w:p w14:paraId="40E535CB">
            <w:pPr>
              <w:pageBreakBefore w:val="0"/>
              <w:kinsoku/>
              <w:wordWrap w:val="0"/>
              <w:bidi w:val="0"/>
              <w:snapToGrid w:val="0"/>
              <w:spacing w:line="360" w:lineRule="atLeast"/>
              <w:ind w:firstLine="227" w:firstLineChars="114"/>
              <w:rPr>
                <w:rFonts w:hint="default" w:ascii="Times New Roman" w:hAnsi="Times New Roman" w:eastAsia="宋体" w:cs="Times New Roman"/>
                <w:color w:val="auto"/>
                <w:szCs w:val="21"/>
                <w:highlight w:val="none"/>
              </w:rPr>
            </w:pPr>
            <w:r>
              <w:rPr>
                <w:rFonts w:ascii="宋体" w:hAnsi="宋体" w:eastAsia="宋体" w:cs="宋体"/>
                <w:b w:val="0"/>
                <w:bCs w:val="0"/>
                <w:color w:val="000000"/>
                <w:sz w:val="20"/>
                <w:szCs w:val="20"/>
                <w:highlight w:val="none"/>
              </w:rPr>
              <w:t>17.1.4 单价子目的计量本项约定为：</w:t>
            </w:r>
          </w:p>
          <w:p w14:paraId="1B0B7859">
            <w:pPr>
              <w:pageBreakBefore w:val="0"/>
              <w:kinsoku/>
              <w:wordWrap w:val="0"/>
              <w:bidi w:val="0"/>
              <w:snapToGrid w:val="0"/>
              <w:spacing w:line="360" w:lineRule="atLeast"/>
              <w:ind w:firstLine="227" w:firstLineChars="114"/>
              <w:rPr>
                <w:rFonts w:hint="default" w:ascii="Times New Roman" w:hAnsi="Times New Roman" w:eastAsia="宋体" w:cs="Times New Roman"/>
                <w:color w:val="auto"/>
                <w:kern w:val="2"/>
                <w:sz w:val="21"/>
                <w:szCs w:val="21"/>
                <w:highlight w:val="none"/>
                <w:lang w:val="en-US" w:eastAsia="zh-CN" w:bidi="ar-SA"/>
              </w:rPr>
            </w:pPr>
            <w:r>
              <w:rPr>
                <w:rFonts w:ascii="宋体" w:hAnsi="宋体" w:eastAsia="宋体" w:cs="宋体"/>
                <w:b w:val="0"/>
                <w:bCs w:val="0"/>
                <w:color w:val="000000"/>
                <w:sz w:val="20"/>
                <w:szCs w:val="20"/>
                <w:highlight w:val="none"/>
              </w:rPr>
              <w:t xml:space="preserve"> (1)已标价工程量清单中的单价子目工程量为估算工程量。结算工 程量是承包人实际完成的，并按合同约定的计量方法进行计量的工 程量。 (2)承包人对已完成的工程进行计量，向监理人提交进度付款申请 单、已完成工程量报表和有关计量资料。 (3)监理人对承包人提交的工程量报表进行复核，以确定实际完成 的工程量。对数量有异议的，可要求承包人按第 8.2 款约定进行共同 复核和抽样复测。承包人应协助监理人进行复核并按监理人要求提 供补充计量资料。承包人未按监理人要求 参加复核，监理人复核或 修正的工程量视为承包人实际完成的工程量。 (4)监理人认为有必要时，可通知承包人共同进行联合测量、计量， 承包人应遵照执行。 (5)承包人完成工程量清单中每个子目的工程量后，监理人应要求 承包人派员共同对每个子目的历次计量报表进行汇总，以核实最终结算工程量。监理人可要求承包人提供补充计量资料，以确定最后一次进度付款的准确工程量。承包人未按监理人要求派员参加的， 监理人最终核实的工程量视为承包人完成该子目的准确工程量。 (6)监理人应在收到承包人提交的工程量报表后的 7 天内进行复核， 监理人未在约定时间内复核的，承包人提交的工程量报表中的工程 量视为承包人实际完成的工程量，据此计算工程价款。 (7)承包人未在已标价工程量清单中填入单价或总额价的工程子 目，将被认为其已包含在本合同的其他子目的单价和总额价中，发包人将不另行支付。</w:t>
            </w:r>
          </w:p>
        </w:tc>
      </w:tr>
      <w:tr w14:paraId="1668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6EE7DC57">
            <w:pPr>
              <w:pageBreakBefore w:val="0"/>
              <w:kinsoku/>
              <w:wordWrap w:val="0"/>
              <w:bidi w:val="0"/>
              <w:snapToGrid w:val="0"/>
              <w:spacing w:line="360" w:lineRule="atLeast"/>
              <w:jc w:val="center"/>
              <w:rPr>
                <w:rFonts w:hint="eastAsia" w:cs="Times New Roman"/>
                <w:color w:val="auto"/>
                <w:szCs w:val="21"/>
                <w:highlight w:val="none"/>
                <w:lang w:val="en-US" w:eastAsia="zh-CN"/>
              </w:rPr>
            </w:pPr>
          </w:p>
        </w:tc>
        <w:tc>
          <w:tcPr>
            <w:tcW w:w="1111" w:type="dxa"/>
            <w:shd w:val="clear" w:color="auto" w:fill="auto"/>
            <w:noWrap w:val="0"/>
            <w:vAlign w:val="center"/>
          </w:tcPr>
          <w:p w14:paraId="43D77B99">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17.1.5</w:t>
            </w:r>
          </w:p>
        </w:tc>
        <w:tc>
          <w:tcPr>
            <w:tcW w:w="7304" w:type="dxa"/>
            <w:shd w:val="clear" w:color="auto" w:fill="auto"/>
            <w:noWrap w:val="0"/>
            <w:vAlign w:val="top"/>
          </w:tcPr>
          <w:p w14:paraId="397FE139">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lang w:val="en-US" w:eastAsia="en-US"/>
              </w:rPr>
            </w:pPr>
            <w:r>
              <w:rPr>
                <w:rFonts w:hint="default" w:ascii="Times New Roman" w:hAnsi="Times New Roman" w:eastAsia="宋体" w:cs="Times New Roman"/>
                <w:color w:val="auto"/>
                <w:szCs w:val="21"/>
                <w:highlight w:val="none"/>
                <w:lang w:val="en-US" w:eastAsia="en-US"/>
              </w:rPr>
              <w:t>本项目工程量清单中总价子目的分解和计量原则补充以下约定：</w:t>
            </w:r>
          </w:p>
          <w:p w14:paraId="06B73894">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lang w:val="en-US" w:eastAsia="en-US"/>
              </w:rPr>
            </w:pPr>
            <w:r>
              <w:rPr>
                <w:rFonts w:hint="default" w:ascii="Times New Roman" w:hAnsi="Times New Roman" w:eastAsia="宋体" w:cs="Times New Roman"/>
                <w:color w:val="auto"/>
                <w:szCs w:val="21"/>
                <w:highlight w:val="none"/>
                <w:lang w:val="en-US" w:eastAsia="en-US"/>
              </w:rPr>
              <w:t>（1）承包人编制完竣工文件后上交发包人，经发包人确认后对竣工文件编制费（如有）一次性计量。</w:t>
            </w:r>
          </w:p>
          <w:p w14:paraId="0DD1CA4A">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lang w:val="en-US" w:eastAsia="en-US"/>
              </w:rPr>
            </w:pPr>
            <w:r>
              <w:rPr>
                <w:rFonts w:hint="default" w:ascii="Times New Roman" w:hAnsi="Times New Roman" w:eastAsia="宋体" w:cs="Times New Roman"/>
                <w:color w:val="auto"/>
                <w:szCs w:val="21"/>
                <w:highlight w:val="none"/>
                <w:lang w:val="en-US" w:eastAsia="en-US"/>
              </w:rPr>
              <w:t>（2）</w:t>
            </w:r>
            <w:r>
              <w:rPr>
                <w:rFonts w:ascii="宋体" w:hAnsi="宋体" w:eastAsia="宋体" w:cs="宋体"/>
                <w:b w:val="0"/>
                <w:bCs w:val="0"/>
                <w:color w:val="000000"/>
                <w:sz w:val="20"/>
                <w:szCs w:val="20"/>
                <w:highlight w:val="none"/>
              </w:rPr>
              <w:t>施工环保费、安全生产费用、交通封闭费、供水与 排污设施及临时道路修建</w:t>
            </w:r>
            <w:r>
              <w:rPr>
                <w:rFonts w:hint="eastAsia" w:ascii="宋体" w:hAnsi="宋体" w:eastAsia="宋体" w:cs="宋体"/>
                <w:b w:val="0"/>
                <w:bCs w:val="0"/>
                <w:color w:val="000000"/>
                <w:sz w:val="20"/>
                <w:szCs w:val="20"/>
                <w:highlight w:val="none"/>
                <w:lang w:val="en-US" w:eastAsia="zh-CN"/>
              </w:rPr>
              <w:t>等费</w:t>
            </w:r>
            <w:r>
              <w:rPr>
                <w:rFonts w:hint="default" w:ascii="Times New Roman" w:hAnsi="Times New Roman" w:eastAsia="宋体" w:cs="Times New Roman"/>
                <w:color w:val="auto"/>
                <w:szCs w:val="21"/>
                <w:highlight w:val="none"/>
                <w:lang w:val="en-US" w:eastAsia="en-US"/>
              </w:rPr>
              <w:t>用参照工程量完成比例按月计量。</w:t>
            </w:r>
          </w:p>
          <w:p w14:paraId="3E1758F6">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lang w:val="en-US" w:eastAsia="en-US"/>
              </w:rPr>
            </w:pPr>
            <w:r>
              <w:rPr>
                <w:rFonts w:hint="default" w:ascii="Times New Roman" w:hAnsi="Times New Roman" w:eastAsia="宋体" w:cs="Times New Roman"/>
                <w:color w:val="auto"/>
                <w:szCs w:val="21"/>
                <w:highlight w:val="none"/>
                <w:lang w:val="en-US" w:eastAsia="en-US"/>
              </w:rPr>
              <w:t>（3）临时工程与设施费用（如有）在第一次计量时计量总额50%，在完工前最后一次计量时计量总额30%，剩余费用在完工后计量。</w:t>
            </w:r>
          </w:p>
          <w:p w14:paraId="6ADF187A">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lang w:val="en-US" w:eastAsia="en-US"/>
              </w:rPr>
            </w:pPr>
            <w:r>
              <w:rPr>
                <w:rFonts w:hint="default" w:ascii="Times New Roman" w:hAnsi="Times New Roman" w:eastAsia="宋体" w:cs="Times New Roman"/>
                <w:color w:val="auto"/>
                <w:szCs w:val="21"/>
                <w:highlight w:val="none"/>
                <w:lang w:val="en-US" w:eastAsia="en-US"/>
              </w:rPr>
              <w:t>（4）承包人驻地建设费用（如有）分两次计量。在驻地建设完成且具备生活条件，经</w:t>
            </w:r>
            <w:r>
              <w:rPr>
                <w:rFonts w:hint="eastAsia" w:cs="Times New Roman"/>
                <w:color w:val="auto"/>
                <w:szCs w:val="21"/>
                <w:highlight w:val="none"/>
                <w:lang w:val="en-US" w:eastAsia="zh-CN"/>
              </w:rPr>
              <w:t>招标人</w:t>
            </w:r>
            <w:r>
              <w:rPr>
                <w:rFonts w:hint="default" w:ascii="Times New Roman" w:hAnsi="Times New Roman" w:eastAsia="宋体" w:cs="Times New Roman"/>
                <w:color w:val="auto"/>
                <w:szCs w:val="21"/>
                <w:highlight w:val="none"/>
                <w:lang w:val="en-US" w:eastAsia="en-US"/>
              </w:rPr>
              <w:t>及监理人验收合格后，计量总额的70%，拆除、恢复原貌且经监理人验收合格后计量剩余费用。</w:t>
            </w:r>
          </w:p>
          <w:p w14:paraId="64886D39">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（5）</w:t>
            </w:r>
            <w:r>
              <w:rPr>
                <w:rFonts w:ascii="宋体" w:hAnsi="宋体" w:eastAsia="宋体" w:cs="宋体"/>
                <w:b w:val="0"/>
                <w:bCs w:val="0"/>
                <w:color w:val="000000"/>
                <w:sz w:val="20"/>
                <w:szCs w:val="20"/>
                <w:highlight w:val="none"/>
              </w:rPr>
              <w:t>工程一切险及第三方责任险在首次计量支付前必须按要求投保 完成，并在第 一次支付时将保险单及发票原件送至发包人，并在计 量支付凭证中附复印件。</w:t>
            </w:r>
          </w:p>
        </w:tc>
      </w:tr>
      <w:tr w14:paraId="045A9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2A4FD965">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3F76C36E">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50</w:t>
            </w:r>
          </w:p>
        </w:tc>
        <w:tc>
          <w:tcPr>
            <w:tcW w:w="1111" w:type="dxa"/>
            <w:shd w:val="clear" w:color="auto" w:fill="auto"/>
            <w:noWrap w:val="0"/>
            <w:vAlign w:val="center"/>
          </w:tcPr>
          <w:p w14:paraId="332906DD">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17.2.1（1）</w:t>
            </w:r>
          </w:p>
        </w:tc>
        <w:tc>
          <w:tcPr>
            <w:tcW w:w="7304" w:type="dxa"/>
            <w:shd w:val="clear" w:color="auto" w:fill="auto"/>
            <w:noWrap w:val="0"/>
            <w:vAlign w:val="center"/>
          </w:tcPr>
          <w:p w14:paraId="58BEB533">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开工预付款金额：</w:t>
            </w:r>
            <w:r>
              <w:rPr>
                <w:rFonts w:hint="eastAsia" w:cs="Times New Roman"/>
                <w:color w:val="auto"/>
                <w:szCs w:val="21"/>
                <w:highlight w:val="non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r>
      <w:tr w14:paraId="7B5C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27A9FD73">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3F8F1446">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27ECA522">
            <w:pPr>
              <w:pageBreakBefore w:val="0"/>
              <w:kinsoku/>
              <w:wordWrap w:val="0"/>
              <w:bidi w:val="0"/>
              <w:snapToGrid w:val="0"/>
              <w:spacing w:line="360" w:lineRule="atLeast"/>
              <w:jc w:val="center"/>
              <w:rPr>
                <w:rFonts w:hint="eastAsia" w:cs="Times New Roman"/>
                <w:color w:val="auto"/>
                <w:szCs w:val="21"/>
                <w:highlight w:val="none"/>
                <w:lang w:val="en-US" w:eastAsia="zh-CN"/>
              </w:rPr>
            </w:pPr>
            <w:r>
              <w:rPr>
                <w:rFonts w:hint="default" w:cs="Times New Roman"/>
                <w:color w:val="auto"/>
                <w:szCs w:val="21"/>
                <w:highlight w:val="none"/>
                <w:lang w:val="en-US" w:eastAsia="zh-CN"/>
              </w:rPr>
              <w:t>5</w:t>
            </w:r>
            <w:r>
              <w:rPr>
                <w:rFonts w:hint="eastAsia" w:cs="Times New Roman"/>
                <w:color w:val="auto"/>
                <w:szCs w:val="21"/>
                <w:highlight w:val="none"/>
                <w:lang w:val="en-US" w:eastAsia="zh-CN"/>
              </w:rPr>
              <w:t>1</w:t>
            </w:r>
          </w:p>
        </w:tc>
        <w:tc>
          <w:tcPr>
            <w:tcW w:w="1111" w:type="dxa"/>
            <w:shd w:val="clear" w:color="auto" w:fill="auto"/>
            <w:noWrap w:val="0"/>
            <w:vAlign w:val="center"/>
          </w:tcPr>
          <w:p w14:paraId="0E279062">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17.2.1（2）</w:t>
            </w:r>
          </w:p>
        </w:tc>
        <w:tc>
          <w:tcPr>
            <w:tcW w:w="7304" w:type="dxa"/>
            <w:shd w:val="clear" w:color="auto" w:fill="auto"/>
            <w:noWrap w:val="0"/>
            <w:vAlign w:val="center"/>
          </w:tcPr>
          <w:p w14:paraId="4ED065AD">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材料、设备预付款比例：</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rPr>
              <w:t>等主要材料、设备单据所列费用的</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r>
              <w:rPr>
                <w:rStyle w:val="47"/>
                <w:rFonts w:hint="default" w:ascii="Times New Roman" w:hAnsi="Times New Roman" w:cs="Times New Roman"/>
                <w:color w:val="auto"/>
                <w:szCs w:val="21"/>
                <w:highlight w:val="none"/>
              </w:rPr>
              <w:t xml:space="preserve"> </w:t>
            </w:r>
            <w:r>
              <w:rPr>
                <w:rStyle w:val="47"/>
                <w:rFonts w:hint="default" w:ascii="Times New Roman" w:hAnsi="Times New Roman" w:cs="Times New Roman"/>
                <w:color w:val="auto"/>
                <w:szCs w:val="21"/>
                <w:highlight w:val="none"/>
              </w:rPr>
              <w:footnoteReference w:id="35"/>
            </w:r>
          </w:p>
        </w:tc>
      </w:tr>
      <w:tr w14:paraId="2183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4FC78BCA">
            <w:pPr>
              <w:pageBreakBefore w:val="0"/>
              <w:kinsoku/>
              <w:wordWrap w:val="0"/>
              <w:bidi w:val="0"/>
              <w:snapToGrid w:val="0"/>
              <w:spacing w:line="360" w:lineRule="atLeast"/>
              <w:jc w:val="center"/>
              <w:rPr>
                <w:rFonts w:hint="default" w:cs="Times New Roman"/>
                <w:color w:val="auto"/>
                <w:szCs w:val="21"/>
                <w:highlight w:val="none"/>
                <w:lang w:val="en-US" w:eastAsia="zh-CN"/>
              </w:rPr>
            </w:pPr>
          </w:p>
          <w:p w14:paraId="78F6C01B">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52</w:t>
            </w:r>
          </w:p>
        </w:tc>
        <w:tc>
          <w:tcPr>
            <w:tcW w:w="1111" w:type="dxa"/>
            <w:shd w:val="clear" w:color="auto" w:fill="auto"/>
            <w:noWrap w:val="0"/>
            <w:vAlign w:val="center"/>
          </w:tcPr>
          <w:p w14:paraId="1AF987AD">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17.3.1</w:t>
            </w:r>
          </w:p>
        </w:tc>
        <w:tc>
          <w:tcPr>
            <w:tcW w:w="7304" w:type="dxa"/>
            <w:shd w:val="clear" w:color="auto" w:fill="auto"/>
            <w:noWrap w:val="0"/>
            <w:vAlign w:val="center"/>
          </w:tcPr>
          <w:p w14:paraId="234F23E5">
            <w:pPr>
              <w:pageBreakBefore w:val="0"/>
              <w:kinsoku/>
              <w:wordWrap w:val="0"/>
              <w:bidi w:val="0"/>
              <w:snapToGrid w:val="0"/>
              <w:spacing w:line="360" w:lineRule="atLeast"/>
              <w:ind w:firstLine="234" w:firstLineChars="114"/>
              <w:rPr>
                <w:rFonts w:hint="eastAsia" w:cs="Times New Roman"/>
                <w:color w:val="auto"/>
                <w:spacing w:val="-2"/>
                <w:szCs w:val="21"/>
                <w:highlight w:val="none"/>
                <w:lang w:val="en-US" w:eastAsia="zh-CN"/>
              </w:rPr>
            </w:pPr>
            <w:r>
              <w:rPr>
                <w:rFonts w:hint="eastAsia" w:cs="Times New Roman"/>
                <w:color w:val="auto"/>
                <w:spacing w:val="-2"/>
                <w:szCs w:val="21"/>
                <w:highlight w:val="none"/>
                <w:lang w:val="en-US" w:eastAsia="zh-CN"/>
              </w:rPr>
              <w:t>付款周期及方式：根据盖州市财政拨款进度，按工程计量支付工程款。</w:t>
            </w:r>
          </w:p>
          <w:p w14:paraId="6AD10503">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Cs w:val="21"/>
                <w:highlight w:val="none"/>
                <w:lang w:val="en-US" w:eastAsia="zh-CN"/>
              </w:rPr>
              <w:t>本项目采用固定单价合同。</w:t>
            </w:r>
          </w:p>
        </w:tc>
      </w:tr>
      <w:tr w14:paraId="1414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center"/>
          </w:tcPr>
          <w:p w14:paraId="48EC6915">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53</w:t>
            </w:r>
          </w:p>
        </w:tc>
        <w:tc>
          <w:tcPr>
            <w:tcW w:w="1111" w:type="dxa"/>
            <w:shd w:val="clear" w:color="auto" w:fill="auto"/>
            <w:noWrap w:val="0"/>
            <w:vAlign w:val="center"/>
          </w:tcPr>
          <w:p w14:paraId="3B2FE3EE">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17.3.2</w:t>
            </w:r>
          </w:p>
        </w:tc>
        <w:tc>
          <w:tcPr>
            <w:tcW w:w="7304" w:type="dxa"/>
            <w:shd w:val="clear" w:color="auto" w:fill="auto"/>
            <w:noWrap w:val="0"/>
            <w:vAlign w:val="center"/>
          </w:tcPr>
          <w:p w14:paraId="329FADC2">
            <w:pPr>
              <w:pageBreakBefore w:val="0"/>
              <w:kinsoku/>
              <w:wordWrap w:val="0"/>
              <w:bidi w:val="0"/>
              <w:snapToGrid w:val="0"/>
              <w:spacing w:line="360" w:lineRule="atLeast"/>
              <w:ind w:firstLine="234" w:firstLineChars="114"/>
              <w:rPr>
                <w:rFonts w:hint="default" w:ascii="Times New Roman" w:hAnsi="Times New Roman" w:cs="Times New Roman"/>
                <w:color w:val="auto"/>
                <w:spacing w:val="-2"/>
                <w:szCs w:val="21"/>
                <w:highlight w:val="none"/>
              </w:rPr>
            </w:pPr>
            <w:r>
              <w:rPr>
                <w:rFonts w:hint="default" w:ascii="Times New Roman" w:hAnsi="Times New Roman" w:cs="Times New Roman"/>
                <w:color w:val="auto"/>
                <w:spacing w:val="-2"/>
                <w:szCs w:val="21"/>
                <w:highlight w:val="none"/>
              </w:rPr>
              <w:t>承包人在每个付款周期末向监理人提交进度付款申请单的份数：</w:t>
            </w:r>
            <w:r>
              <w:rPr>
                <w:rFonts w:hint="eastAsia" w:cs="Times New Roman"/>
                <w:color w:val="auto"/>
                <w:spacing w:val="-2"/>
                <w:szCs w:val="21"/>
                <w:highlight w:val="none"/>
                <w:lang w:val="en-US" w:eastAsia="zh-CN"/>
              </w:rPr>
              <w:t>6</w:t>
            </w:r>
            <w:r>
              <w:rPr>
                <w:rFonts w:hint="default" w:ascii="Times New Roman" w:hAnsi="Times New Roman" w:cs="Times New Roman"/>
                <w:color w:val="auto"/>
                <w:spacing w:val="-2"/>
                <w:szCs w:val="21"/>
                <w:highlight w:val="none"/>
                <w:u w:val="single"/>
              </w:rPr>
              <w:t xml:space="preserve">  </w:t>
            </w:r>
            <w:r>
              <w:rPr>
                <w:rFonts w:hint="default" w:ascii="Times New Roman" w:hAnsi="Times New Roman" w:cs="Times New Roman"/>
                <w:color w:val="auto"/>
                <w:spacing w:val="-2"/>
                <w:szCs w:val="21"/>
                <w:highlight w:val="none"/>
              </w:rPr>
              <w:t>份</w:t>
            </w:r>
          </w:p>
          <w:p w14:paraId="783C5510">
            <w:pPr>
              <w:pageBreakBefore w:val="0"/>
              <w:kinsoku/>
              <w:wordWrap w:val="0"/>
              <w:bidi w:val="0"/>
              <w:snapToGrid w:val="0"/>
              <w:spacing w:line="360" w:lineRule="atLeast"/>
              <w:ind w:firstLine="234" w:firstLineChars="114"/>
              <w:rPr>
                <w:rFonts w:hint="default" w:ascii="Times New Roman" w:hAnsi="Times New Roman" w:cs="Times New Roman"/>
                <w:color w:val="auto"/>
                <w:spacing w:val="-2"/>
                <w:szCs w:val="21"/>
                <w:highlight w:val="none"/>
              </w:rPr>
            </w:pPr>
            <w:r>
              <w:rPr>
                <w:rFonts w:hint="default" w:ascii="Times New Roman" w:hAnsi="Times New Roman" w:cs="Times New Roman"/>
                <w:color w:val="auto"/>
                <w:spacing w:val="-2"/>
                <w:szCs w:val="21"/>
                <w:highlight w:val="none"/>
              </w:rPr>
              <w:t>承包人提交进度付款申请单时，应附相应的支持性证明文件。进度付款申请单的内容如下：</w:t>
            </w:r>
          </w:p>
          <w:p w14:paraId="3633C652">
            <w:pPr>
              <w:pageBreakBefore w:val="0"/>
              <w:kinsoku/>
              <w:wordWrap w:val="0"/>
              <w:bidi w:val="0"/>
              <w:snapToGrid w:val="0"/>
              <w:spacing w:line="360" w:lineRule="atLeast"/>
              <w:ind w:firstLine="234" w:firstLineChars="114"/>
              <w:rPr>
                <w:rFonts w:hint="default" w:ascii="Times New Roman" w:hAnsi="Times New Roman" w:cs="Times New Roman"/>
                <w:color w:val="auto"/>
                <w:spacing w:val="-2"/>
                <w:szCs w:val="21"/>
                <w:highlight w:val="none"/>
              </w:rPr>
            </w:pPr>
            <w:r>
              <w:rPr>
                <w:rFonts w:hint="default" w:ascii="Times New Roman" w:hAnsi="Times New Roman" w:cs="Times New Roman"/>
                <w:color w:val="auto"/>
                <w:spacing w:val="-2"/>
                <w:szCs w:val="21"/>
                <w:highlight w:val="none"/>
              </w:rPr>
              <w:t>(1)包括截至本次付款周期末已实施工程的价款，但不包括超过已标价工程量清单中对应子目合价的工程价款；</w:t>
            </w:r>
          </w:p>
          <w:p w14:paraId="545645C3">
            <w:pPr>
              <w:pageBreakBefore w:val="0"/>
              <w:kinsoku/>
              <w:wordWrap w:val="0"/>
              <w:bidi w:val="0"/>
              <w:snapToGrid w:val="0"/>
              <w:spacing w:line="360" w:lineRule="atLeast"/>
              <w:ind w:firstLine="234" w:firstLineChars="114"/>
              <w:rPr>
                <w:rFonts w:hint="eastAsia" w:ascii="Times New Roman" w:hAnsi="Times New Roman" w:eastAsia="宋体" w:cs="Times New Roman"/>
                <w:color w:val="auto"/>
                <w:spacing w:val="-2"/>
                <w:szCs w:val="21"/>
                <w:highlight w:val="none"/>
                <w:lang w:eastAsia="zh-CN"/>
              </w:rPr>
            </w:pPr>
            <w:r>
              <w:rPr>
                <w:rFonts w:hint="default" w:ascii="Times New Roman" w:hAnsi="Times New Roman" w:cs="Times New Roman"/>
                <w:color w:val="auto"/>
                <w:spacing w:val="-2"/>
                <w:szCs w:val="21"/>
                <w:highlight w:val="none"/>
              </w:rPr>
              <w:t>(2)不包括第15条引起“承包人工程施工价款”调整的变更金额，不包括第16  条引起的材料价差调整金额：</w:t>
            </w:r>
          </w:p>
          <w:p w14:paraId="266B5859">
            <w:pPr>
              <w:pageBreakBefore w:val="0"/>
              <w:kinsoku/>
              <w:wordWrap w:val="0"/>
              <w:bidi w:val="0"/>
              <w:snapToGrid w:val="0"/>
              <w:spacing w:line="360" w:lineRule="atLeast"/>
              <w:ind w:firstLine="234" w:firstLineChars="114"/>
              <w:rPr>
                <w:rFonts w:hint="default" w:ascii="Times New Roman" w:hAnsi="Times New Roman" w:cs="Times New Roman"/>
                <w:color w:val="auto"/>
                <w:spacing w:val="-2"/>
                <w:szCs w:val="21"/>
                <w:highlight w:val="none"/>
              </w:rPr>
            </w:pPr>
            <w:r>
              <w:rPr>
                <w:rFonts w:hint="default" w:ascii="Times New Roman" w:hAnsi="Times New Roman" w:cs="Times New Roman"/>
                <w:color w:val="auto"/>
                <w:spacing w:val="-2"/>
                <w:szCs w:val="21"/>
                <w:highlight w:val="none"/>
              </w:rPr>
              <w:t>(</w:t>
            </w:r>
            <w:r>
              <w:rPr>
                <w:rFonts w:hint="eastAsia" w:cs="Times New Roman"/>
                <w:color w:val="auto"/>
                <w:spacing w:val="-2"/>
                <w:szCs w:val="21"/>
                <w:highlight w:val="none"/>
                <w:lang w:val="en-US" w:eastAsia="zh-CN"/>
              </w:rPr>
              <w:t>3</w:t>
            </w:r>
            <w:r>
              <w:rPr>
                <w:rFonts w:hint="default" w:ascii="Times New Roman" w:hAnsi="Times New Roman" w:cs="Times New Roman"/>
                <w:color w:val="auto"/>
                <w:spacing w:val="-2"/>
                <w:szCs w:val="21"/>
                <w:highlight w:val="none"/>
              </w:rPr>
              <w:t>)包括根据第17.4.1项约定应扣减的质量保证金；</w:t>
            </w:r>
          </w:p>
          <w:p w14:paraId="7E1034AA">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cs="Times New Roman"/>
                <w:color w:val="auto"/>
                <w:spacing w:val="-2"/>
                <w:szCs w:val="21"/>
                <w:highlight w:val="none"/>
              </w:rPr>
              <w:t>(</w:t>
            </w:r>
            <w:r>
              <w:rPr>
                <w:rFonts w:hint="eastAsia" w:cs="Times New Roman"/>
                <w:color w:val="auto"/>
                <w:spacing w:val="-2"/>
                <w:szCs w:val="21"/>
                <w:highlight w:val="none"/>
                <w:lang w:val="en-US" w:eastAsia="zh-CN"/>
              </w:rPr>
              <w:t>4</w:t>
            </w:r>
            <w:r>
              <w:rPr>
                <w:rFonts w:hint="default" w:ascii="Times New Roman" w:hAnsi="Times New Roman" w:cs="Times New Roman"/>
                <w:color w:val="auto"/>
                <w:spacing w:val="-2"/>
                <w:szCs w:val="21"/>
                <w:highlight w:val="none"/>
              </w:rPr>
              <w:t>)包括根据合同应增加和扣减的其他金额(如有)。</w:t>
            </w:r>
          </w:p>
        </w:tc>
      </w:tr>
      <w:tr w14:paraId="28F4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668BA2A">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54</w:t>
            </w:r>
          </w:p>
        </w:tc>
        <w:tc>
          <w:tcPr>
            <w:tcW w:w="1111" w:type="dxa"/>
            <w:shd w:val="clear" w:color="auto" w:fill="auto"/>
            <w:noWrap w:val="0"/>
            <w:vAlign w:val="center"/>
          </w:tcPr>
          <w:p w14:paraId="4795A855">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17.3.3（1）</w:t>
            </w:r>
          </w:p>
        </w:tc>
        <w:tc>
          <w:tcPr>
            <w:tcW w:w="7304" w:type="dxa"/>
            <w:shd w:val="clear" w:color="auto" w:fill="auto"/>
            <w:noWrap w:val="0"/>
            <w:vAlign w:val="center"/>
          </w:tcPr>
          <w:p w14:paraId="3A270E87">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进度付款证书最低限额：</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rPr>
              <w:t>%签约合同价或</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万元</w:t>
            </w:r>
            <w:r>
              <w:rPr>
                <w:rStyle w:val="47"/>
                <w:rFonts w:hint="default" w:ascii="Times New Roman" w:hAnsi="Times New Roman" w:cs="Times New Roman"/>
                <w:color w:val="auto"/>
                <w:szCs w:val="21"/>
                <w:highlight w:val="none"/>
              </w:rPr>
              <w:footnoteReference w:id="36"/>
            </w:r>
          </w:p>
        </w:tc>
      </w:tr>
      <w:tr w14:paraId="229D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681DC71C">
            <w:pPr>
              <w:pageBreakBefore w:val="0"/>
              <w:kinsoku/>
              <w:wordWrap w:val="0"/>
              <w:bidi w:val="0"/>
              <w:snapToGrid w:val="0"/>
              <w:spacing w:line="360" w:lineRule="atLeast"/>
              <w:jc w:val="both"/>
              <w:rPr>
                <w:rFonts w:hint="eastAsia" w:cs="Times New Roman"/>
                <w:color w:val="auto"/>
                <w:szCs w:val="21"/>
                <w:highlight w:val="none"/>
                <w:lang w:val="en-US" w:eastAsia="zh-CN"/>
              </w:rPr>
            </w:pPr>
            <w:r>
              <w:rPr>
                <w:rFonts w:hint="default" w:cs="Times New Roman"/>
                <w:color w:val="auto"/>
                <w:szCs w:val="21"/>
                <w:highlight w:val="none"/>
                <w:lang w:val="en-US" w:eastAsia="zh-CN"/>
              </w:rPr>
              <w:t>5</w:t>
            </w:r>
            <w:r>
              <w:rPr>
                <w:rFonts w:hint="eastAsia" w:cs="Times New Roman"/>
                <w:color w:val="auto"/>
                <w:szCs w:val="21"/>
                <w:highlight w:val="none"/>
                <w:lang w:val="en-US" w:eastAsia="zh-CN"/>
              </w:rPr>
              <w:t>5</w:t>
            </w:r>
          </w:p>
        </w:tc>
        <w:tc>
          <w:tcPr>
            <w:tcW w:w="1111" w:type="dxa"/>
            <w:shd w:val="clear" w:color="auto" w:fill="auto"/>
            <w:noWrap w:val="0"/>
            <w:vAlign w:val="center"/>
          </w:tcPr>
          <w:p w14:paraId="6C2D1E77">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default" w:cs="Times New Roman"/>
                <w:color w:val="auto"/>
                <w:szCs w:val="21"/>
                <w:highlight w:val="none"/>
                <w:lang w:val="en-US" w:eastAsia="zh-CN"/>
              </w:rPr>
              <w:t>17.3.3（2）</w:t>
            </w:r>
          </w:p>
        </w:tc>
        <w:tc>
          <w:tcPr>
            <w:tcW w:w="7304" w:type="dxa"/>
            <w:shd w:val="clear" w:color="auto" w:fill="auto"/>
            <w:noWrap w:val="0"/>
            <w:vAlign w:val="center"/>
          </w:tcPr>
          <w:p w14:paraId="0BCBACC0">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u w:val="single"/>
                <w:lang w:val="en-US" w:eastAsia="zh-CN" w:bidi="ar-SA"/>
              </w:rPr>
            </w:pPr>
            <w:r>
              <w:rPr>
                <w:rFonts w:hint="default" w:ascii="Times New Roman" w:hAnsi="Times New Roman" w:cs="Times New Roman"/>
                <w:color w:val="auto"/>
                <w:szCs w:val="21"/>
                <w:highlight w:val="none"/>
                <w:u w:val="none"/>
              </w:rPr>
              <w:t>逾期付款违约金的利率：</w:t>
            </w:r>
            <w:r>
              <w:rPr>
                <w:rFonts w:hint="eastAsia" w:cs="Times New Roman"/>
                <w:color w:val="auto"/>
                <w:szCs w:val="21"/>
                <w:highlight w:val="none"/>
                <w:u w:val="none"/>
                <w:lang w:val="en-US" w:eastAsia="zh-CN"/>
              </w:rPr>
              <w:t>/</w:t>
            </w:r>
          </w:p>
        </w:tc>
      </w:tr>
      <w:tr w14:paraId="2E730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top"/>
          </w:tcPr>
          <w:p w14:paraId="03615ABF">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p>
          <w:p w14:paraId="6DC14959">
            <w:pPr>
              <w:pageBreakBefore w:val="0"/>
              <w:kinsoku/>
              <w:wordWrap w:val="0"/>
              <w:bidi w:val="0"/>
              <w:snapToGrid w:val="0"/>
              <w:spacing w:line="360" w:lineRule="atLeast"/>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5</w:t>
            </w:r>
            <w:r>
              <w:rPr>
                <w:rFonts w:hint="eastAsia" w:cs="Times New Roman"/>
                <w:color w:val="auto"/>
                <w:szCs w:val="21"/>
                <w:highlight w:val="none"/>
                <w:lang w:val="en-US" w:eastAsia="zh-CN"/>
              </w:rPr>
              <w:t>6</w:t>
            </w:r>
          </w:p>
        </w:tc>
        <w:tc>
          <w:tcPr>
            <w:tcW w:w="1111" w:type="dxa"/>
            <w:shd w:val="clear" w:color="auto" w:fill="auto"/>
            <w:noWrap w:val="0"/>
            <w:vAlign w:val="top"/>
          </w:tcPr>
          <w:p w14:paraId="2314CA43">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szCs w:val="21"/>
                <w:highlight w:val="none"/>
              </w:rPr>
            </w:pPr>
          </w:p>
          <w:p w14:paraId="6060BA0B">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kern w:val="2"/>
                <w:sz w:val="21"/>
                <w:szCs w:val="21"/>
                <w:highlight w:val="none"/>
                <w:lang w:val="en-US" w:eastAsia="en-US" w:bidi="ar-SA"/>
              </w:rPr>
            </w:pPr>
            <w:r>
              <w:rPr>
                <w:rFonts w:hint="default" w:ascii="Times New Roman" w:hAnsi="Times New Roman" w:eastAsia="宋体" w:cs="Times New Roman"/>
                <w:color w:val="auto"/>
                <w:spacing w:val="-2"/>
                <w:szCs w:val="21"/>
                <w:highlight w:val="none"/>
              </w:rPr>
              <w:t>17.3.5</w:t>
            </w:r>
          </w:p>
        </w:tc>
        <w:tc>
          <w:tcPr>
            <w:tcW w:w="7304" w:type="dxa"/>
            <w:shd w:val="clear" w:color="auto" w:fill="auto"/>
            <w:noWrap w:val="0"/>
            <w:vAlign w:val="top"/>
          </w:tcPr>
          <w:p w14:paraId="5FC3AF97">
            <w:pPr>
              <w:pageBreakBefore w:val="0"/>
              <w:kinsoku/>
              <w:wordWrap w:val="0"/>
              <w:bidi w:val="0"/>
              <w:snapToGrid w:val="0"/>
              <w:spacing w:line="360" w:lineRule="atLeast"/>
              <w:rPr>
                <w:rFonts w:hint="default" w:ascii="Times New Roman" w:hAnsi="Times New Roman" w:eastAsia="宋体" w:cs="Times New Roman"/>
                <w:color w:val="auto"/>
                <w:spacing w:val="-2"/>
                <w:kern w:val="2"/>
                <w:sz w:val="21"/>
                <w:szCs w:val="21"/>
                <w:highlight w:val="none"/>
                <w:lang w:val="en-US" w:eastAsia="zh-CN" w:bidi="ar-SA"/>
              </w:rPr>
            </w:pPr>
            <w:r>
              <w:rPr>
                <w:rFonts w:hint="default" w:ascii="Times New Roman" w:hAnsi="Times New Roman" w:eastAsia="宋体" w:cs="Times New Roman"/>
                <w:color w:val="auto"/>
                <w:spacing w:val="-2"/>
                <w:szCs w:val="21"/>
                <w:highlight w:val="none"/>
              </w:rPr>
              <w:t>农民工工资保证金的额度、提交形式、使用范围、扣留条件、返还时间：执行项目所在省、市的人力资源社会保障行政部门、交通运输主管部门等施行的规定。</w:t>
            </w:r>
          </w:p>
        </w:tc>
      </w:tr>
      <w:tr w14:paraId="36B7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2C4275A">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77B9C6AA">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085B59B0">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012F43DA">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57210891">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3B479909">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60301EF9">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482E544B">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4D483A68">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3C39C557">
            <w:pPr>
              <w:pageBreakBefore w:val="0"/>
              <w:kinsoku/>
              <w:wordWrap w:val="0"/>
              <w:bidi w:val="0"/>
              <w:snapToGrid w:val="0"/>
              <w:spacing w:line="360" w:lineRule="atLeast"/>
              <w:ind w:firstLine="239" w:firstLineChars="114"/>
              <w:jc w:val="center"/>
              <w:rPr>
                <w:rFonts w:hint="default" w:ascii="Times New Roman" w:hAnsi="Times New Roman" w:eastAsia="宋体" w:cs="Times New Roman"/>
                <w:color w:val="auto"/>
                <w:szCs w:val="21"/>
                <w:highlight w:val="none"/>
              </w:rPr>
            </w:pPr>
          </w:p>
          <w:p w14:paraId="61FDA023">
            <w:pPr>
              <w:pageBreakBefore w:val="0"/>
              <w:kinsoku/>
              <w:wordWrap w:val="0"/>
              <w:bidi w:val="0"/>
              <w:snapToGrid w:val="0"/>
              <w:spacing w:line="360" w:lineRule="atLeast"/>
              <w:jc w:val="center"/>
              <w:rPr>
                <w:rFonts w:hint="eastAsia" w:ascii="Times New Roman" w:hAnsi="Times New Roman" w:eastAsia="宋体" w:cs="Times New Roman"/>
                <w:color w:val="auto"/>
                <w:szCs w:val="21"/>
                <w:highlight w:val="none"/>
                <w:lang w:eastAsia="zh-CN"/>
              </w:rPr>
            </w:pPr>
            <w:r>
              <w:rPr>
                <w:rFonts w:hint="default" w:ascii="Times New Roman" w:hAnsi="Times New Roman" w:eastAsia="宋体" w:cs="Times New Roman"/>
                <w:color w:val="auto"/>
                <w:szCs w:val="21"/>
                <w:highlight w:val="none"/>
              </w:rPr>
              <w:t>5</w:t>
            </w:r>
            <w:r>
              <w:rPr>
                <w:rFonts w:hint="eastAsia" w:cs="Times New Roman"/>
                <w:color w:val="auto"/>
                <w:szCs w:val="21"/>
                <w:highlight w:val="none"/>
                <w:lang w:val="en-US" w:eastAsia="zh-CN"/>
              </w:rPr>
              <w:t>7</w:t>
            </w:r>
          </w:p>
        </w:tc>
        <w:tc>
          <w:tcPr>
            <w:tcW w:w="1111" w:type="dxa"/>
            <w:shd w:val="clear" w:color="auto" w:fill="auto"/>
            <w:noWrap w:val="0"/>
            <w:vAlign w:val="center"/>
          </w:tcPr>
          <w:p w14:paraId="5D50D3C7">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17.4.1</w:t>
            </w:r>
          </w:p>
        </w:tc>
        <w:tc>
          <w:tcPr>
            <w:tcW w:w="7304" w:type="dxa"/>
            <w:shd w:val="clear" w:color="auto" w:fill="auto"/>
            <w:noWrap w:val="0"/>
            <w:vAlign w:val="center"/>
          </w:tcPr>
          <w:p w14:paraId="3ACB3E0C">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质量保证金金额，规定为：2%工程价款结算总额，以现金或支票形式递交的，退还银行同期存款利息。</w:t>
            </w:r>
          </w:p>
          <w:p w14:paraId="0BC3D797">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(1)承包人履约保证金、质量保证金均采用银行保函</w:t>
            </w:r>
            <w:r>
              <w:rPr>
                <w:rFonts w:hint="default" w:ascii="Times New Roman" w:hAnsi="Times New Roman" w:cs="Times New Roman"/>
                <w:color w:val="auto"/>
                <w:szCs w:val="21"/>
                <w:highlight w:val="none"/>
                <w:lang w:eastAsia="zh-CN"/>
              </w:rPr>
              <w:t>（或电子保函）</w:t>
            </w:r>
            <w:r>
              <w:rPr>
                <w:rFonts w:hint="default" w:ascii="Times New Roman" w:hAnsi="Times New Roman" w:cs="Times New Roman"/>
                <w:color w:val="auto"/>
                <w:szCs w:val="21"/>
                <w:highlight w:val="none"/>
              </w:rPr>
              <w:t>形式的，在发包人与承包 人完成本合同工程价款结算后，承包人应在工程验收证书颁发之前，按《项目专 用合同条款数据表》中规定的额度向发包人提交质量保证金银行保函</w:t>
            </w:r>
            <w:r>
              <w:rPr>
                <w:rFonts w:hint="default" w:ascii="Times New Roman" w:hAnsi="Times New Roman" w:cs="Times New Roman"/>
                <w:color w:val="auto"/>
                <w:szCs w:val="21"/>
                <w:highlight w:val="none"/>
                <w:lang w:eastAsia="zh-CN"/>
              </w:rPr>
              <w:t>（或电子保函）</w:t>
            </w:r>
            <w:r>
              <w:rPr>
                <w:rFonts w:hint="default" w:ascii="Times New Roman" w:hAnsi="Times New Roman" w:cs="Times New Roman"/>
                <w:color w:val="auto"/>
                <w:szCs w:val="21"/>
                <w:highlight w:val="none"/>
              </w:rPr>
              <w:t>，出具保函 的银行须具有相应担保能力，且按照发包人批准的格式出具，所需费用由承包人 承担，保函的有效期应至缺陷责任期满之日止。</w:t>
            </w:r>
          </w:p>
          <w:p w14:paraId="6EC53917">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履约保证金保函的有效期至缺陷责任期满之日止，且承包人履约保证金保函金额不低于质量保证金金额的，承包人无须另行提交质量保证金银行保函。</w:t>
            </w:r>
          </w:p>
          <w:p w14:paraId="33074C2E">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履约保证金保函的有效期至缺陷责任期满之日止，但承包人履约保证金保函金 额低于质量保证金金额的，承包人应另行提交全额质量保证金银行保函。同时，发包人将提前终止承包人履约保证金保函的有效期(至颁发工程验收证书之日), 并函告出具保函的银行。</w:t>
            </w:r>
          </w:p>
          <w:p w14:paraId="1659EC4A">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(2)承包人履约保证金、质量保证金均采用现金(电汇或银行汇票形式)的，</w:t>
            </w:r>
          </w:p>
          <w:p w14:paraId="2D7DBA20">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承包人应在签发工程验收证书时，按《项目专用合同条款数据表》中的规定的金 额向发包人提交质量保证金。</w:t>
            </w:r>
          </w:p>
          <w:p w14:paraId="2903A5A8">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如履约保证金金额不低于质量保证金金额的，发包人从履约保证金中扣留相应额度的质量保证金，并在签发工程验收证书时，将剩余履约保证金退还给承包人。</w:t>
            </w:r>
          </w:p>
          <w:p w14:paraId="4747D055">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如履约保证金金额低于质量保证金金额的，发包人将扣留全部履约保证金作为 质量保证金的一部分，且承包人应在签发工程验收证书时向发包人提交质量保证 金的剩余部分(“质量保证金”减去"履约保证金")。</w:t>
            </w:r>
          </w:p>
          <w:p w14:paraId="7F9DC441">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(3)承包人履约保证金采用现金(电汇或银行汇票形式)、质量保证金采用银</w:t>
            </w:r>
          </w:p>
          <w:p w14:paraId="5D57530C">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行保函</w:t>
            </w:r>
            <w:r>
              <w:rPr>
                <w:rFonts w:hint="default" w:ascii="Times New Roman" w:hAnsi="Times New Roman" w:cs="Times New Roman"/>
                <w:color w:val="auto"/>
                <w:szCs w:val="21"/>
                <w:highlight w:val="none"/>
                <w:lang w:eastAsia="zh-CN"/>
              </w:rPr>
              <w:t>（或电子保函）</w:t>
            </w:r>
            <w:r>
              <w:rPr>
                <w:rFonts w:hint="default" w:ascii="Times New Roman" w:hAnsi="Times New Roman" w:cs="Times New Roman"/>
                <w:color w:val="auto"/>
                <w:szCs w:val="21"/>
                <w:highlight w:val="none"/>
              </w:rPr>
              <w:t>形式的，在发包人与承包人完成本合同工程价款结算后，承包人应在工程 验收证书颁发时，按《项目专用合同条款数据表》中规定的额度向发包人提交质 量保证金银行保函，出具保函的银行须具有相应担保能力，且按照发包人批准的 格式出具，所需费用由承包人承担，保函的有效期应至缺陷责任期满之日止。</w:t>
            </w:r>
          </w:p>
          <w:p w14:paraId="7F0C2552">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(4)承包人履约保证金采用银行保函</w:t>
            </w:r>
            <w:r>
              <w:rPr>
                <w:rFonts w:hint="default" w:ascii="Times New Roman" w:hAnsi="Times New Roman" w:cs="Times New Roman"/>
                <w:color w:val="auto"/>
                <w:szCs w:val="21"/>
                <w:highlight w:val="none"/>
                <w:lang w:eastAsia="zh-CN"/>
              </w:rPr>
              <w:t>（或电子保函）</w:t>
            </w:r>
            <w:r>
              <w:rPr>
                <w:rFonts w:hint="default" w:ascii="Times New Roman" w:hAnsi="Times New Roman" w:cs="Times New Roman"/>
                <w:color w:val="auto"/>
                <w:szCs w:val="21"/>
                <w:highlight w:val="none"/>
              </w:rPr>
              <w:t>形式、质量保证金采用现金(电汇或银行 汇票形式)的，承包人应在工程验收证书颁发时，按《项目专用合同条款数据表》中规定的额度向发包人提交质量保证金。</w:t>
            </w:r>
          </w:p>
          <w:p w14:paraId="68118B76">
            <w:pPr>
              <w:pageBreakBefore w:val="0"/>
              <w:kinsoku/>
              <w:wordWrap w:val="0"/>
              <w:bidi w:val="0"/>
              <w:snapToGrid w:val="0"/>
              <w:spacing w:line="360" w:lineRule="atLeast"/>
              <w:ind w:firstLine="239" w:firstLineChars="114"/>
              <w:rPr>
                <w:rFonts w:hint="default" w:ascii="Times New Roman" w:hAnsi="Times New Roman" w:eastAsia="宋体 ，Arial" w:cs="Times New Roman"/>
                <w:color w:val="auto"/>
                <w:kern w:val="0"/>
                <w:szCs w:val="21"/>
                <w:highlight w:val="none"/>
              </w:rPr>
            </w:pPr>
            <w:r>
              <w:rPr>
                <w:rFonts w:hint="default" w:ascii="Times New Roman" w:hAnsi="Times New Roman" w:cs="Times New Roman"/>
                <w:color w:val="auto"/>
                <w:szCs w:val="21"/>
                <w:highlight w:val="none"/>
              </w:rPr>
              <w:t>(5)质量保证金属建设资金，应专款专用，承包人不得用于抵债或作为处理经济纠纷。质量保证金是否</w:t>
            </w:r>
            <w:r>
              <w:rPr>
                <w:rFonts w:hint="default" w:ascii="Times New Roman" w:hAnsi="Times New Roman" w:eastAsia="宋体 ，Arial" w:cs="Times New Roman"/>
                <w:color w:val="auto"/>
                <w:kern w:val="0"/>
                <w:szCs w:val="21"/>
                <w:highlight w:val="none"/>
              </w:rPr>
              <w:t xml:space="preserve">计付利息：   </w:t>
            </w:r>
          </w:p>
          <w:p w14:paraId="5F531971">
            <w:pPr>
              <w:pageBreakBefore w:val="0"/>
              <w:kinsoku/>
              <w:wordWrap w:val="0"/>
              <w:bidi w:val="0"/>
              <w:snapToGrid w:val="0"/>
              <w:spacing w:line="360" w:lineRule="atLeast"/>
              <w:ind w:firstLine="364" w:firstLineChars="114"/>
              <w:rPr>
                <w:rFonts w:hint="default" w:ascii="Times New Roman" w:hAnsi="Times New Roman" w:eastAsia="宋体 ，Arial" w:cs="Times New Roman"/>
                <w:color w:val="auto"/>
                <w:kern w:val="0"/>
                <w:szCs w:val="21"/>
                <w:highlight w:val="none"/>
              </w:rPr>
            </w:pPr>
            <w:r>
              <w:rPr>
                <w:rFonts w:hint="default" w:ascii="Times New Roman" w:hAnsi="Times New Roman" w:cs="Times New Roman"/>
                <w:color w:val="auto"/>
                <w:sz w:val="32"/>
                <w:highlight w:val="none"/>
              </w:rPr>
              <w:t>□</w:t>
            </w:r>
            <w:r>
              <w:rPr>
                <w:rFonts w:hint="default" w:ascii="Times New Roman" w:hAnsi="Times New Roman" w:cs="Times New Roman"/>
                <w:color w:val="auto"/>
                <w:szCs w:val="21"/>
                <w:highlight w:val="none"/>
              </w:rPr>
              <w:t>是，</w:t>
            </w:r>
            <w:r>
              <w:rPr>
                <w:rFonts w:hint="default" w:ascii="Times New Roman" w:hAnsi="Times New Roman" w:eastAsia="宋体 ，Arial" w:cs="Times New Roman"/>
                <w:color w:val="auto"/>
                <w:kern w:val="0"/>
                <w:szCs w:val="21"/>
                <w:highlight w:val="none"/>
              </w:rPr>
              <w:t>利息的计算方式：</w:t>
            </w:r>
            <w:r>
              <w:rPr>
                <w:rFonts w:hint="default" w:ascii="Times New Roman" w:hAnsi="Times New Roman" w:eastAsia="宋体 ，Arial" w:cs="Times New Roman"/>
                <w:color w:val="auto"/>
                <w:kern w:val="0"/>
                <w:szCs w:val="21"/>
                <w:highlight w:val="none"/>
                <w:u w:val="single"/>
              </w:rPr>
              <w:t xml:space="preserve">              </w:t>
            </w:r>
          </w:p>
          <w:p w14:paraId="2D619479">
            <w:pPr>
              <w:pageBreakBefore w:val="0"/>
              <w:kinsoku/>
              <w:wordWrap w:val="0"/>
              <w:bidi w:val="0"/>
              <w:snapToGrid w:val="0"/>
              <w:spacing w:line="360" w:lineRule="atLeast"/>
              <w:ind w:firstLine="364" w:firstLineChars="114"/>
              <w:rPr>
                <w:rFonts w:hint="default" w:ascii="Times New Roman" w:hAnsi="Times New Roman" w:cs="Times New Roman"/>
                <w:color w:val="auto"/>
                <w:szCs w:val="21"/>
                <w:highlight w:val="none"/>
              </w:rPr>
            </w:pPr>
            <w:r>
              <w:rPr>
                <w:rFonts w:hint="eastAsia" w:cs="Times New Roman"/>
                <w:color w:val="auto"/>
                <w:sz w:val="32"/>
                <w:highlight w:val="none"/>
                <w:lang w:eastAsia="zh-CN"/>
              </w:rPr>
              <w:t>☑</w:t>
            </w:r>
            <w:r>
              <w:rPr>
                <w:rFonts w:hint="default" w:ascii="Times New Roman" w:hAnsi="Times New Roman" w:cs="Times New Roman"/>
                <w:color w:val="auto"/>
                <w:szCs w:val="21"/>
                <w:highlight w:val="none"/>
              </w:rPr>
              <w:t>否</w:t>
            </w:r>
          </w:p>
          <w:p w14:paraId="2236259B">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（6）</w:t>
            </w:r>
            <w:r>
              <w:rPr>
                <w:rFonts w:hint="default" w:ascii="Times New Roman" w:hAnsi="Times New Roman" w:cs="Times New Roman"/>
                <w:color w:val="auto"/>
                <w:szCs w:val="21"/>
                <w:highlight w:val="none"/>
                <w:lang w:val="en-US" w:eastAsia="zh-CN"/>
              </w:rPr>
              <w:t>合同履行期间，当承包人存在下述违约情形时，发包人将要求承包人支付违约金：</w:t>
            </w:r>
          </w:p>
          <w:p w14:paraId="737F5EAE">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a、承包人因施工质量问题、安全（含内业）问题等被市级及以上交通运输主管部门通报批评的，发包人将要求承包人按5000元/次的标准支付违约金。</w:t>
            </w:r>
          </w:p>
          <w:p w14:paraId="74D6059C">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b、在市级及以上交通运输主管部门或财政部门或审计部门组织的绩效评价、绩效监督、专项审计、市场检查等过程中，承包人被查实未按合同履约的（包括但不限于：未严格按设计图纸施工、施工内业存在问题、超前申请计量、自检频率不足、分包管理不规范、未按规定执行农民工工资保障政策），发包人将要求承包人按5000元/项的标准支付违约金。</w:t>
            </w:r>
          </w:p>
        </w:tc>
      </w:tr>
      <w:tr w14:paraId="77D06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center"/>
          </w:tcPr>
          <w:p w14:paraId="720AC880">
            <w:pPr>
              <w:pageBreakBefore w:val="0"/>
              <w:kinsoku/>
              <w:wordWrap w:val="0"/>
              <w:bidi w:val="0"/>
              <w:snapToGrid w:val="0"/>
              <w:spacing w:line="360" w:lineRule="atLeast"/>
              <w:jc w:val="both"/>
              <w:rPr>
                <w:rFonts w:hint="eastAsia"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rPr>
              <w:t>5</w:t>
            </w:r>
            <w:r>
              <w:rPr>
                <w:rFonts w:hint="eastAsia" w:cs="Times New Roman"/>
                <w:color w:val="auto"/>
                <w:szCs w:val="21"/>
                <w:highlight w:val="none"/>
                <w:lang w:val="en-US" w:eastAsia="zh-CN"/>
              </w:rPr>
              <w:t>8</w:t>
            </w:r>
          </w:p>
        </w:tc>
        <w:tc>
          <w:tcPr>
            <w:tcW w:w="1111" w:type="dxa"/>
            <w:shd w:val="clear" w:color="auto" w:fill="auto"/>
            <w:noWrap w:val="0"/>
            <w:vAlign w:val="center"/>
          </w:tcPr>
          <w:p w14:paraId="633090BD">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zCs w:val="21"/>
                <w:highlight w:val="none"/>
              </w:rPr>
              <w:t>17.5.1（1）</w:t>
            </w:r>
          </w:p>
        </w:tc>
        <w:tc>
          <w:tcPr>
            <w:tcW w:w="7304" w:type="dxa"/>
            <w:shd w:val="clear" w:color="auto" w:fill="auto"/>
            <w:noWrap w:val="0"/>
            <w:vAlign w:val="center"/>
          </w:tcPr>
          <w:p w14:paraId="571E7F83">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承包人向监理人提交交工付款申请单（包括相关证明材料）的份数：</w:t>
            </w:r>
          </w:p>
          <w:p w14:paraId="1CA60A9B">
            <w:pPr>
              <w:pageBreakBefore w:val="0"/>
              <w:kinsoku/>
              <w:wordWrap w:val="0"/>
              <w:bidi w:val="0"/>
              <w:snapToGrid w:val="0"/>
              <w:spacing w:line="360" w:lineRule="atLeast"/>
              <w:ind w:firstLine="239" w:firstLineChars="114"/>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6</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w:t>
            </w:r>
          </w:p>
        </w:tc>
      </w:tr>
      <w:tr w14:paraId="0E03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EA92E62">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59</w:t>
            </w:r>
          </w:p>
        </w:tc>
        <w:tc>
          <w:tcPr>
            <w:tcW w:w="1111" w:type="dxa"/>
            <w:shd w:val="clear" w:color="auto" w:fill="auto"/>
            <w:noWrap w:val="0"/>
            <w:vAlign w:val="center"/>
          </w:tcPr>
          <w:p w14:paraId="27D5FEBD">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17.6.1（1）</w:t>
            </w:r>
          </w:p>
        </w:tc>
        <w:tc>
          <w:tcPr>
            <w:tcW w:w="7304" w:type="dxa"/>
            <w:shd w:val="clear" w:color="auto" w:fill="auto"/>
            <w:noWrap w:val="0"/>
            <w:vAlign w:val="center"/>
          </w:tcPr>
          <w:p w14:paraId="57B9D0D6">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承包人向监理人提交最终结清申请单（包括相关证明材料）的份数：</w:t>
            </w:r>
          </w:p>
          <w:p w14:paraId="38BD1E7C">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6</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w:t>
            </w:r>
          </w:p>
        </w:tc>
      </w:tr>
      <w:tr w14:paraId="5581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4721C976">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60</w:t>
            </w:r>
          </w:p>
        </w:tc>
        <w:tc>
          <w:tcPr>
            <w:tcW w:w="1111" w:type="dxa"/>
            <w:shd w:val="clear" w:color="auto" w:fill="auto"/>
            <w:noWrap w:val="0"/>
            <w:vAlign w:val="center"/>
          </w:tcPr>
          <w:p w14:paraId="523E87E5">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18.2（2）</w:t>
            </w:r>
          </w:p>
        </w:tc>
        <w:tc>
          <w:tcPr>
            <w:tcW w:w="7304" w:type="dxa"/>
            <w:shd w:val="clear" w:color="auto" w:fill="auto"/>
            <w:noWrap w:val="0"/>
            <w:vAlign w:val="center"/>
          </w:tcPr>
          <w:p w14:paraId="13770402">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竣工资料的份数：</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6</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份</w:t>
            </w:r>
          </w:p>
        </w:tc>
      </w:tr>
      <w:tr w14:paraId="6886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0A699227">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p>
          <w:p w14:paraId="11781020">
            <w:pPr>
              <w:pageBreakBefore w:val="0"/>
              <w:kinsoku/>
              <w:wordWrap w:val="0"/>
              <w:bidi w:val="0"/>
              <w:snapToGrid w:val="0"/>
              <w:spacing w:line="360" w:lineRule="atLeast"/>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61</w:t>
            </w:r>
          </w:p>
        </w:tc>
        <w:tc>
          <w:tcPr>
            <w:tcW w:w="1111" w:type="dxa"/>
            <w:shd w:val="clear" w:color="auto" w:fill="auto"/>
            <w:noWrap w:val="0"/>
            <w:vAlign w:val="center"/>
          </w:tcPr>
          <w:p w14:paraId="28F35B3B">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zCs w:val="21"/>
                <w:highlight w:val="none"/>
              </w:rPr>
              <w:t>18.5.1</w:t>
            </w:r>
          </w:p>
        </w:tc>
        <w:tc>
          <w:tcPr>
            <w:tcW w:w="7304" w:type="dxa"/>
            <w:shd w:val="clear" w:color="auto" w:fill="auto"/>
            <w:noWrap w:val="0"/>
            <w:vAlign w:val="center"/>
          </w:tcPr>
          <w:p w14:paraId="5858CB36">
            <w:pPr>
              <w:pageBreakBefore w:val="0"/>
              <w:kinsoku/>
              <w:wordWrap w:val="0"/>
              <w:bidi w:val="0"/>
              <w:spacing w:line="360" w:lineRule="atLeast"/>
              <w:ind w:firstLine="239" w:firstLineChars="114"/>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单位工程或工程设备是否需投入施工期运行：</w:t>
            </w:r>
            <w:r>
              <w:rPr>
                <w:rFonts w:hint="default" w:ascii="Times New Roman" w:hAnsi="Times New Roman" w:cs="Times New Roman"/>
                <w:color w:val="auto"/>
                <w:szCs w:val="21"/>
                <w:highlight w:val="none"/>
                <w:u w:val="single"/>
              </w:rPr>
              <w:t xml:space="preserve"> 否 </w:t>
            </w:r>
          </w:p>
          <w:p w14:paraId="1C4E78F9">
            <w:pPr>
              <w:pageBreakBefore w:val="0"/>
              <w:kinsoku/>
              <w:wordWrap w:val="0"/>
              <w:bidi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zCs w:val="21"/>
                <w:highlight w:val="none"/>
              </w:rPr>
              <w:t>如单位工程或工程设备需要进行施工期运行，需要施工期运行的单位工程或工程设备规定如下：</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tc>
      </w:tr>
      <w:tr w14:paraId="26EC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6D60CC05">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p>
          <w:p w14:paraId="794D687D">
            <w:pPr>
              <w:pageBreakBefore w:val="0"/>
              <w:kinsoku/>
              <w:wordWrap w:val="0"/>
              <w:bidi w:val="0"/>
              <w:snapToGrid w:val="0"/>
              <w:spacing w:line="360" w:lineRule="atLeast"/>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62</w:t>
            </w:r>
          </w:p>
        </w:tc>
        <w:tc>
          <w:tcPr>
            <w:tcW w:w="1111" w:type="dxa"/>
            <w:shd w:val="clear" w:color="auto" w:fill="auto"/>
            <w:noWrap w:val="0"/>
            <w:vAlign w:val="center"/>
          </w:tcPr>
          <w:p w14:paraId="79C68CBF">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zCs w:val="21"/>
                <w:highlight w:val="none"/>
              </w:rPr>
              <w:t>18.6.1</w:t>
            </w:r>
          </w:p>
        </w:tc>
        <w:tc>
          <w:tcPr>
            <w:tcW w:w="7304" w:type="dxa"/>
            <w:shd w:val="clear" w:color="auto" w:fill="auto"/>
            <w:noWrap w:val="0"/>
            <w:vAlign w:val="center"/>
          </w:tcPr>
          <w:p w14:paraId="638F7530">
            <w:pPr>
              <w:pageBreakBefore w:val="0"/>
              <w:kinsoku/>
              <w:wordWrap w:val="0"/>
              <w:bidi w:val="0"/>
              <w:spacing w:line="360" w:lineRule="atLeast"/>
              <w:ind w:firstLine="239" w:firstLineChars="114"/>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本工程及工程设备是否进行试运行：</w:t>
            </w:r>
            <w:r>
              <w:rPr>
                <w:rFonts w:hint="default" w:ascii="Times New Roman" w:hAnsi="Times New Roman" w:cs="Times New Roman"/>
                <w:color w:val="auto"/>
                <w:szCs w:val="21"/>
                <w:highlight w:val="none"/>
                <w:u w:val="single"/>
              </w:rPr>
              <w:t xml:space="preserve"> 否 </w:t>
            </w:r>
          </w:p>
          <w:p w14:paraId="51FC3890">
            <w:pPr>
              <w:pageBreakBefore w:val="0"/>
              <w:kinsoku/>
              <w:wordWrap w:val="0"/>
              <w:bidi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cs="Times New Roman"/>
                <w:color w:val="auto"/>
                <w:szCs w:val="21"/>
                <w:highlight w:val="none"/>
              </w:rPr>
              <w:t>如本工程及工程设备需要进行试运行，试运行的具体规定如下：</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w:t>
            </w:r>
            <w:r>
              <w:rPr>
                <w:rFonts w:hint="default" w:ascii="Times New Roman" w:hAnsi="Times New Roman" w:cs="Times New Roman"/>
                <w:color w:val="auto"/>
                <w:szCs w:val="21"/>
                <w:highlight w:val="none"/>
                <w:u w:val="single"/>
              </w:rPr>
              <w:t xml:space="preserve">    </w:t>
            </w:r>
          </w:p>
        </w:tc>
      </w:tr>
      <w:tr w14:paraId="3B04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0A9C8B5A">
            <w:pPr>
              <w:pageBreakBefore w:val="0"/>
              <w:kinsoku/>
              <w:wordWrap w:val="0"/>
              <w:bidi w:val="0"/>
              <w:snapToGrid w:val="0"/>
              <w:spacing w:line="360" w:lineRule="atLeast"/>
              <w:jc w:val="center"/>
              <w:rPr>
                <w:rFonts w:hint="eastAsia" w:cs="Times New Roman"/>
                <w:color w:val="auto"/>
                <w:szCs w:val="21"/>
                <w:highlight w:val="none"/>
                <w:lang w:val="en-US" w:eastAsia="zh-CN"/>
              </w:rPr>
            </w:pPr>
          </w:p>
        </w:tc>
        <w:tc>
          <w:tcPr>
            <w:tcW w:w="1111" w:type="dxa"/>
            <w:shd w:val="clear" w:color="auto" w:fill="auto"/>
            <w:noWrap w:val="0"/>
            <w:vAlign w:val="center"/>
          </w:tcPr>
          <w:p w14:paraId="64999A78">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19.7（1）</w:t>
            </w:r>
          </w:p>
        </w:tc>
        <w:tc>
          <w:tcPr>
            <w:tcW w:w="7304" w:type="dxa"/>
            <w:shd w:val="clear" w:color="auto" w:fill="auto"/>
            <w:noWrap w:val="0"/>
            <w:vAlign w:val="center"/>
          </w:tcPr>
          <w:p w14:paraId="130D3D57">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保修期：自实际交工日期起计算</w:t>
            </w:r>
            <w:r>
              <w:rPr>
                <w:rFonts w:hint="default" w:ascii="Times New Roman" w:hAnsi="Times New Roman" w:cs="Times New Roman"/>
                <w:color w:val="auto"/>
                <w:szCs w:val="21"/>
                <w:highlight w:val="none"/>
                <w:u w:val="single"/>
              </w:rPr>
              <w:t xml:space="preserve"> </w:t>
            </w:r>
            <w:r>
              <w:rPr>
                <w:rFonts w:hint="eastAsia" w:cs="Times New Roman"/>
                <w:color w:val="auto"/>
                <w:szCs w:val="21"/>
                <w:highlight w:val="none"/>
                <w:u w:val="single"/>
                <w:lang w:val="en-US" w:eastAsia="zh-CN"/>
              </w:rPr>
              <w:t>1</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r>
              <w:rPr>
                <w:rStyle w:val="47"/>
                <w:rFonts w:hint="default" w:ascii="Times New Roman" w:hAnsi="Times New Roman" w:cs="Times New Roman"/>
                <w:color w:val="auto"/>
                <w:szCs w:val="21"/>
                <w:highlight w:val="none"/>
              </w:rPr>
              <w:footnoteReference w:id="37"/>
            </w:r>
          </w:p>
        </w:tc>
      </w:tr>
      <w:tr w14:paraId="6135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4C88AE98">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63</w:t>
            </w:r>
          </w:p>
        </w:tc>
        <w:tc>
          <w:tcPr>
            <w:tcW w:w="1111" w:type="dxa"/>
            <w:shd w:val="clear" w:color="auto" w:fill="auto"/>
            <w:noWrap w:val="0"/>
            <w:vAlign w:val="center"/>
          </w:tcPr>
          <w:p w14:paraId="6DFD99AA">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20.1</w:t>
            </w:r>
          </w:p>
        </w:tc>
        <w:tc>
          <w:tcPr>
            <w:tcW w:w="7304" w:type="dxa"/>
            <w:shd w:val="clear" w:color="auto" w:fill="auto"/>
            <w:noWrap w:val="0"/>
            <w:vAlign w:val="center"/>
          </w:tcPr>
          <w:p w14:paraId="6D415C3E">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建筑工程一切险的投保内容：为本合同工程的永久工程、临时工程和设备及已运至施工工地用于永久工程的材料和设备所投的保险。</w:t>
            </w:r>
          </w:p>
          <w:p w14:paraId="51ED7F2D">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保险金额：工程量清单全部章节的合计金额。</w:t>
            </w:r>
          </w:p>
          <w:p w14:paraId="4A6659E9">
            <w:pPr>
              <w:pageBreakBefore w:val="0"/>
              <w:kinsoku/>
              <w:wordWrap w:val="0"/>
              <w:bidi w:val="0"/>
              <w:snapToGrid w:val="0"/>
              <w:spacing w:line="360" w:lineRule="atLeast"/>
              <w:ind w:firstLine="227" w:firstLineChars="114"/>
              <w:rPr>
                <w:rFonts w:hint="default" w:ascii="Times New Roman" w:hAnsi="Times New Roman" w:cs="Times New Roman"/>
                <w:color w:val="auto"/>
                <w:szCs w:val="21"/>
                <w:highlight w:val="none"/>
              </w:rPr>
            </w:pPr>
            <w:r>
              <w:rPr>
                <w:rFonts w:ascii="宋体" w:hAnsi="宋体" w:eastAsia="宋体" w:cs="宋体"/>
                <w:b w:val="0"/>
                <w:bCs w:val="0"/>
                <w:color w:val="000000"/>
                <w:sz w:val="20"/>
                <w:szCs w:val="20"/>
                <w:highlight w:val="none"/>
              </w:rPr>
              <w:t>保险费率：</w:t>
            </w:r>
            <w:r>
              <w:rPr>
                <w:rFonts w:hint="default" w:ascii="Times New Roman" w:hAnsi="Times New Roman" w:cs="Times New Roman"/>
                <w:color w:val="auto"/>
                <w:szCs w:val="21"/>
                <w:highlight w:val="none"/>
              </w:rPr>
              <w:t>由承包人与保险服务商自行商定</w:t>
            </w:r>
          </w:p>
          <w:p w14:paraId="1EE77B12">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保险期限：开工日起直至本合同工程签发缺陷责任期终止证书止(即合同工期 +缺陷责任期)。</w:t>
            </w:r>
          </w:p>
          <w:p w14:paraId="5E5DD416">
            <w:pPr>
              <w:pageBreakBefore w:val="0"/>
              <w:kinsoku/>
              <w:wordWrap w:val="0"/>
              <w:bidi w:val="0"/>
              <w:snapToGrid w:val="0"/>
              <w:spacing w:line="360" w:lineRule="atLeast"/>
              <w:ind w:firstLine="239" w:firstLineChars="11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承包人应以发包人和承包人的共同名义投保建筑工程一切险。承包人因办理建筑工程一切险所发生的费用应认为已含入其他支付项中，发包人不另行计量，</w:t>
            </w:r>
            <w:r>
              <w:rPr>
                <w:rFonts w:hint="eastAsia" w:cs="Times New Roman"/>
                <w:color w:val="auto"/>
                <w:szCs w:val="21"/>
                <w:highlight w:val="none"/>
                <w:lang w:val="en-US" w:eastAsia="zh-CN"/>
              </w:rPr>
              <w:t>招标人</w:t>
            </w:r>
            <w:r>
              <w:rPr>
                <w:rFonts w:hint="default" w:ascii="Times New Roman" w:hAnsi="Times New Roman" w:cs="Times New Roman"/>
                <w:color w:val="auto"/>
                <w:szCs w:val="21"/>
                <w:highlight w:val="none"/>
              </w:rPr>
              <w:t>不另行支付。</w:t>
            </w:r>
          </w:p>
          <w:p w14:paraId="7FA06040">
            <w:pPr>
              <w:pageBreakBefore w:val="0"/>
              <w:kinsoku/>
              <w:wordWrap w:val="0"/>
              <w:bidi w:val="0"/>
              <w:snapToGrid w:val="0"/>
              <w:spacing w:line="360" w:lineRule="atLeast"/>
              <w:ind w:firstLine="239" w:firstLineChars="114"/>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当本合同工程发生损失或损害时，承包人应按保险单规定的条件和期限及时向 保险人报告，并抄送发包人和监理人。如损害继续发生，承包人在递交第一次报 告后，每7天报告一次，直到损害结束。办理本款所述的保险并不免除合同规定的承包人的义务和责任。</w:t>
            </w:r>
          </w:p>
        </w:tc>
      </w:tr>
      <w:tr w14:paraId="0B34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1555BE02">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64</w:t>
            </w:r>
          </w:p>
        </w:tc>
        <w:tc>
          <w:tcPr>
            <w:tcW w:w="1111" w:type="dxa"/>
            <w:shd w:val="clear" w:color="auto" w:fill="auto"/>
            <w:noWrap w:val="0"/>
            <w:vAlign w:val="center"/>
          </w:tcPr>
          <w:p w14:paraId="21D3DD94">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20.4</w:t>
            </w:r>
          </w:p>
        </w:tc>
        <w:tc>
          <w:tcPr>
            <w:tcW w:w="7304" w:type="dxa"/>
            <w:shd w:val="clear" w:color="auto" w:fill="auto"/>
            <w:noWrap w:val="0"/>
            <w:vAlign w:val="center"/>
          </w:tcPr>
          <w:p w14:paraId="11445A39">
            <w:pPr>
              <w:pageBreakBefore w:val="0"/>
              <w:kinsoku/>
              <w:wordWrap w:val="0"/>
              <w:bidi w:val="0"/>
              <w:snapToGrid w:val="0"/>
              <w:spacing w:line="360" w:lineRule="atLeast"/>
              <w:ind w:firstLine="237" w:firstLineChars="113"/>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20.4.1第三者责任系指在保险期内，对因工程意外事故造成的、依法应由被保险 人负责的工地上及毗邻地区的第三者人身伤亡、疾病或财产损失(本工程除外),  以及被保险人因此而支付的诉讼费用和事先经保险人书面同意支付的其他费用等  赔偿责任。</w:t>
            </w:r>
          </w:p>
          <w:p w14:paraId="6921EC7B">
            <w:pPr>
              <w:pageBreakBefore w:val="0"/>
              <w:kinsoku/>
              <w:wordWrap w:val="0"/>
              <w:bidi w:val="0"/>
              <w:snapToGrid w:val="0"/>
              <w:spacing w:line="360" w:lineRule="atLeast"/>
              <w:ind w:firstLine="237" w:firstLineChars="113"/>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20.4.2在缺陷责任期终止证书颁发前，承包人应以承包人和发包人的共同名义， 投保第20.4.1项约定的第三者责任险，其中：</w:t>
            </w:r>
          </w:p>
          <w:p w14:paraId="50D1F5A8">
            <w:pPr>
              <w:pageBreakBefore w:val="0"/>
              <w:kinsoku/>
              <w:wordWrap w:val="0"/>
              <w:bidi w:val="0"/>
              <w:snapToGrid w:val="0"/>
              <w:spacing w:line="360" w:lineRule="atLeast"/>
              <w:ind w:firstLine="237" w:firstLineChars="113"/>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第三者责任险的最低投保金额，规定为：100万元。</w:t>
            </w:r>
          </w:p>
          <w:p w14:paraId="1633C5EA">
            <w:pPr>
              <w:pageBreakBefore w:val="0"/>
              <w:kinsoku/>
              <w:wordWrap w:val="0"/>
              <w:bidi w:val="0"/>
              <w:snapToGrid w:val="0"/>
              <w:spacing w:line="360" w:lineRule="atLeast"/>
              <w:ind w:firstLine="237" w:firstLineChars="113"/>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保险费率：由承包人与保险服务商自行商定。</w:t>
            </w:r>
          </w:p>
          <w:p w14:paraId="58B2C3E2">
            <w:pPr>
              <w:pageBreakBefore w:val="0"/>
              <w:kinsoku/>
              <w:wordWrap w:val="0"/>
              <w:bidi w:val="0"/>
              <w:snapToGrid w:val="0"/>
              <w:spacing w:line="360" w:lineRule="atLeast"/>
              <w:ind w:firstLine="237" w:firstLineChars="113"/>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20.4.3承包人因办理第三者责任险所发生的费用应认为已含入其他支付项中，发包人不另行计量，</w:t>
            </w:r>
            <w:r>
              <w:rPr>
                <w:rFonts w:hint="eastAsia" w:cs="Times New Roman"/>
                <w:color w:val="auto"/>
                <w:szCs w:val="21"/>
                <w:highlight w:val="none"/>
                <w:lang w:eastAsia="zh-CN"/>
              </w:rPr>
              <w:t>招标人</w:t>
            </w:r>
            <w:r>
              <w:rPr>
                <w:rFonts w:hint="default" w:ascii="Times New Roman" w:hAnsi="Times New Roman" w:cs="Times New Roman"/>
                <w:color w:val="auto"/>
                <w:szCs w:val="21"/>
                <w:highlight w:val="none"/>
              </w:rPr>
              <w:t>不另行支付。</w:t>
            </w:r>
          </w:p>
        </w:tc>
      </w:tr>
      <w:tr w14:paraId="24C2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1ADB97F">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65</w:t>
            </w:r>
          </w:p>
        </w:tc>
        <w:tc>
          <w:tcPr>
            <w:tcW w:w="1111" w:type="dxa"/>
            <w:shd w:val="clear" w:color="auto" w:fill="auto"/>
            <w:noWrap w:val="0"/>
            <w:vAlign w:val="top"/>
          </w:tcPr>
          <w:p w14:paraId="0180A483">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p>
          <w:p w14:paraId="68C43F00">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p>
          <w:p w14:paraId="66DC5918">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p>
          <w:p w14:paraId="403D21ED">
            <w:pPr>
              <w:pageBreakBefore w:val="0"/>
              <w:kinsoku/>
              <w:wordWrap w:val="0"/>
              <w:bidi w:val="0"/>
              <w:snapToGrid w:val="0"/>
              <w:spacing w:line="360" w:lineRule="atLeast"/>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szCs w:val="21"/>
                <w:highlight w:val="none"/>
              </w:rPr>
              <w:t>20.5</w:t>
            </w:r>
          </w:p>
        </w:tc>
        <w:tc>
          <w:tcPr>
            <w:tcW w:w="7304" w:type="dxa"/>
            <w:shd w:val="clear" w:color="auto" w:fill="auto"/>
            <w:noWrap w:val="0"/>
            <w:vAlign w:val="top"/>
          </w:tcPr>
          <w:p w14:paraId="0066C93A">
            <w:pPr>
              <w:pageBreakBefore w:val="0"/>
              <w:kinsoku/>
              <w:wordWrap w:val="0"/>
              <w:bidi w:val="0"/>
              <w:snapToGrid w:val="0"/>
              <w:spacing w:line="360" w:lineRule="atLeast"/>
              <w:ind w:firstLine="239" w:firstLineChars="114"/>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承包人职工的(人身)事故险及建筑意外伤害险由承包人自行投保，保险费应 认为已含入其他支付项中，发包人不另行计量，</w:t>
            </w:r>
            <w:r>
              <w:rPr>
                <w:rFonts w:hint="eastAsia" w:cs="Times New Roman"/>
                <w:color w:val="auto"/>
                <w:szCs w:val="21"/>
                <w:highlight w:val="none"/>
                <w:lang w:eastAsia="zh-CN"/>
              </w:rPr>
              <w:t>招标人</w:t>
            </w:r>
            <w:r>
              <w:rPr>
                <w:rFonts w:hint="default" w:ascii="Times New Roman" w:hAnsi="Times New Roman" w:eastAsia="宋体" w:cs="Times New Roman"/>
                <w:color w:val="auto"/>
                <w:szCs w:val="21"/>
                <w:highlight w:val="none"/>
              </w:rPr>
              <w:t>不另行支付。</w:t>
            </w:r>
          </w:p>
          <w:p w14:paraId="2EC0BB9B">
            <w:pPr>
              <w:pageBreakBefore w:val="0"/>
              <w:kinsoku/>
              <w:wordWrap w:val="0"/>
              <w:bidi w:val="0"/>
              <w:snapToGrid w:val="0"/>
              <w:spacing w:line="360" w:lineRule="atLeast"/>
              <w:ind w:firstLine="239" w:firstLineChars="114"/>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承包人应按《人力资源社会保障部、交通运输部、水利部、能源局、铁路局、 民航局关于铁路、公路、水运、水利、能源、机场工程建设项目参加工伤保险工  作的通知》(人社部发〔2018〕3号)文件的规定，在进场施工前，办理相关手续并提交人员参加工伤保险的证明。</w:t>
            </w:r>
          </w:p>
        </w:tc>
      </w:tr>
      <w:tr w14:paraId="4C6F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2AAC9221">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szCs w:val="21"/>
                <w:highlight w:val="none"/>
              </w:rPr>
            </w:pPr>
          </w:p>
          <w:p w14:paraId="1973500B">
            <w:pPr>
              <w:pageBreakBefore w:val="0"/>
              <w:kinsoku/>
              <w:wordWrap w:val="0"/>
              <w:bidi w:val="0"/>
              <w:snapToGrid w:val="0"/>
              <w:spacing w:line="360" w:lineRule="atLeast"/>
              <w:rPr>
                <w:rFonts w:hint="default" w:ascii="Times New Roman" w:hAnsi="Times New Roman" w:eastAsia="宋体" w:cs="Times New Roman"/>
                <w:color w:val="auto"/>
                <w:spacing w:val="-2"/>
                <w:szCs w:val="21"/>
                <w:highlight w:val="none"/>
                <w:lang w:val="en-US" w:eastAsia="zh-CN"/>
              </w:rPr>
            </w:pPr>
            <w:r>
              <w:rPr>
                <w:rFonts w:hint="eastAsia" w:cs="Times New Roman"/>
                <w:color w:val="auto"/>
                <w:spacing w:val="-2"/>
                <w:szCs w:val="21"/>
                <w:highlight w:val="none"/>
                <w:lang w:val="en-US" w:eastAsia="zh-CN"/>
              </w:rPr>
              <w:t>66</w:t>
            </w:r>
          </w:p>
        </w:tc>
        <w:tc>
          <w:tcPr>
            <w:tcW w:w="1111" w:type="dxa"/>
            <w:shd w:val="clear" w:color="auto" w:fill="auto"/>
            <w:noWrap w:val="0"/>
            <w:vAlign w:val="top"/>
          </w:tcPr>
          <w:p w14:paraId="5F82F18B">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18C0416F">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41A15879">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2658BAF4">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70208FBC">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6A43F7D5">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5EE99CA2">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75C63C51">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6A3DA07C">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2547E68F">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6E61B5EB">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276E2B1E">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68ED86FF">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30D217F7">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4DE28826">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1DBFC0A2">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649AFA76">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6630E297">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425AA3BC">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00B2BEC3">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p>
          <w:p w14:paraId="05A9C0C8">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kern w:val="2"/>
                <w:sz w:val="21"/>
                <w:szCs w:val="21"/>
                <w:highlight w:val="none"/>
                <w:lang w:val="en-US" w:eastAsia="en-US" w:bidi="ar-SA"/>
              </w:rPr>
            </w:pPr>
            <w:r>
              <w:rPr>
                <w:rFonts w:hint="default" w:ascii="Times New Roman" w:hAnsi="Times New Roman" w:eastAsia="宋体" w:cs="Times New Roman"/>
                <w:color w:val="auto"/>
                <w:szCs w:val="21"/>
                <w:highlight w:val="none"/>
              </w:rPr>
              <w:t>22.1.1</w:t>
            </w:r>
          </w:p>
        </w:tc>
        <w:tc>
          <w:tcPr>
            <w:tcW w:w="7304" w:type="dxa"/>
            <w:shd w:val="clear" w:color="auto" w:fill="auto"/>
            <w:noWrap w:val="0"/>
            <w:vAlign w:val="top"/>
          </w:tcPr>
          <w:p w14:paraId="36D75C09">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22.1.1承包人违约的情形</w:t>
            </w:r>
          </w:p>
          <w:p w14:paraId="1A2F7BB9">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在履行合同过程中发生的下列情况属承包人违约：</w:t>
            </w:r>
          </w:p>
          <w:p w14:paraId="4E0AF858">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(1)承包人违反第1.8款或第4.3款的约定，私自将合同的全部或部分权利转 让给其他人，或私自将合同的全部或部分义务转移给其他人；</w:t>
            </w:r>
          </w:p>
          <w:p w14:paraId="07A91C23">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(2)承包人违反第1.6.4项的约定，发现图纸中存在错误，但因对自身有利而 故意隐瞒不报、按错图施工的；</w:t>
            </w:r>
          </w:p>
          <w:p w14:paraId="27F88759">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(3)承包人违反第4.5.1项的约定，未按合同约定指派项目经理和项目总工，</w:t>
            </w:r>
          </w:p>
          <w:p w14:paraId="5CE8FE6A">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或项目经理和项目总工未按期到任的，因亡故、伤残或重大疾病等特殊原因以外 的理由更换项目经理和项目总工的；</w:t>
            </w:r>
          </w:p>
          <w:p w14:paraId="7CCF7B33">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(4)承包人违反第4.5.1项的约定，实际到任的其他人员为非本单位人员；承 包人未经发包人同意，更换在合同谈判时向发包人报送的其他人员；</w:t>
            </w:r>
          </w:p>
          <w:p w14:paraId="6C17E984">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(5)承包人违反第4.6款或第6.3款的规定，未按承诺或未按监理人的要求及 时配备称职的主要管理人员、技术骨干或关键施工设备；</w:t>
            </w:r>
          </w:p>
          <w:p w14:paraId="7A4AA4A0">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(6)承包人违反第4.7款的约定，未对其项目经理和其他人员进行有效管理； 监理人或发包人要求撤换不能胜任本职工作、行为不端或玩忽职守的承包人项目 经理和其他人员，并向承包人发出书面通知后，承包人未按合同约定执行的；</w:t>
            </w:r>
          </w:p>
          <w:p w14:paraId="101C91EE">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(7)承包人违反第4.9款的约定，在监理人或发包人对本项目已支付工程款的 去向进行检查(包括银行流水、财务账目等)时，承包人无正当理由拒绝配合；</w:t>
            </w:r>
          </w:p>
          <w:p w14:paraId="53438871">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经查发现本项目已支付工程款用于跟本项目无关的其他事项；发包人责令承包人限期追回或通过其他合法渠道弥补该资金缺口，承包人未按合同约定执行的；</w:t>
            </w:r>
          </w:p>
          <w:p w14:paraId="4E7029E8">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(8)承包人违反第5.3款或第6.4款的约定，未经监理人批准，私自将己按合 同约定进入施工场地的施工设备、临时设施、材料或工程设备撤离施工场地；</w:t>
            </w:r>
          </w:p>
          <w:p w14:paraId="002B7E6C">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(9)承包人违反第5.4款的约定使用了不合格材料或工程设备，工程质量达不 到标准要求，又拒绝清除不合格工程；</w:t>
            </w:r>
          </w:p>
          <w:p w14:paraId="626BDE21">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(10)承包人违反第13.2.6项的约定，未严格按照施工图设计(含经审批的变更图纸)、施工技术规范和合同约定施工；承包人未按约定对原材料、半成品、 混合料、预制构件、工程实体进行检验和自评的；检验或者自评不合格而进入下 道工序或者投入使用的；</w:t>
            </w:r>
          </w:p>
          <w:p w14:paraId="42099C41">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(11)承包人违反第13.2.11项的约定，未严格按照经审批的各种施工配合比(包 含但不限于沥青混合料配合比、水泥混凝土配合比、水泥砂浆配合比、水泥稳定粒料配合比等)进行生产和施工的；未按照相关技术规范和标准制作试块(件)用于质量检验的；未严格按照设计图纸和技术规范使用和控制沥青、改性沥青、 改性剂、温拌剂、水泥及各种添加剂含(剂)量的；发包人对相关材料的采购合同、发票、财务账目和使用记录进行检查时，承包人无正当理由拒绝配合；</w:t>
            </w:r>
          </w:p>
          <w:p w14:paraId="12F29E1D">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(12)承包人违反第14.1.1项的约定，未进行材料、工程设备和工程的试验和检验的，或未为监理人对上述材料、工程设备和工程的质量检查提供必要的试验资料和原始记录的；按合同约定应由监理人与承包人共同进行试验和检验，而承包人拒不提供必要的试验资料和原始记录的；承包人未按规定划分养护单元(或单位、分部及分项工程),或未按照其规定的检查方法和频率进行自检和评定的；</w:t>
            </w:r>
          </w:p>
          <w:p w14:paraId="67A500F3">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(13)承包人违反第20.1款、第20.4款约定，未能在开工前以发包人和承包人 的共同名义投保建筑工程一切险、第三者责任险的；</w:t>
            </w:r>
          </w:p>
          <w:p w14:paraId="4420B0A1">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(14)承包人未能按合同进度计划及时完成合同约定的工作，己造成或预期造 成工期延误；</w:t>
            </w:r>
          </w:p>
          <w:p w14:paraId="5D37F9EB">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(15)承包人在缺陷责任期内，未能对工程接收证书所列的缺陷清单的内容或 缺陷责任期内发生的缺陷进行修复，而又拒绝按监理人指示再进行修补；</w:t>
            </w:r>
          </w:p>
          <w:p w14:paraId="5524D322">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(16)承包人无法继续履行或明确表示不履行或实质上己停止履行合同；</w:t>
            </w:r>
          </w:p>
          <w:p w14:paraId="41F3E808">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(17)由于承包人原因引起暂时停工，承包人不积极采取补救措施造成工期严 重延误 ；</w:t>
            </w:r>
          </w:p>
          <w:p w14:paraId="087112AA">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(18)无视监理人事先的书面警告， 一贯或公然忽视履行其合同规定的义务；</w:t>
            </w:r>
          </w:p>
          <w:p w14:paraId="0835AE2A">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(19)承包人未经批准擅自撤离工地；</w:t>
            </w:r>
          </w:p>
          <w:p w14:paraId="29E76AF7">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(20)在工程实施期间，承包人倒卖或者偷换用于本工程的甲供材料(如有);</w:t>
            </w:r>
          </w:p>
          <w:p w14:paraId="2B17ABE3">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(21)在合同履行期间，发现承包人在投标文件中递交了虚假资料；</w:t>
            </w:r>
          </w:p>
          <w:p w14:paraId="4A53F14A">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(22)合同履行期间，承包人因施工质量、安全(含内业)、环境保护、进度</w:t>
            </w:r>
          </w:p>
          <w:p w14:paraId="449FB453">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等问题被发包人或市级及以上交通运输主管部门通报批评；承包人在各级交通运 输主管部门或财政部门组织的审计中发现问题并下达审计取证单；</w:t>
            </w:r>
          </w:p>
          <w:p w14:paraId="69D17997">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(23)承包人未按规定开设或者使用农民工工资专用账户代发工资、未按规定  存储工资保证金或者未提供金融机构保函、未实行劳动用工实名制管理、实行施 工现场维权信息公示制度、未按要求录入管理服务信息平台(如有)或者发现问题未在规定的时间内及时改正、私自挪用农民工工资专用账户的资金等行为；</w:t>
            </w:r>
          </w:p>
          <w:p w14:paraId="0FB87F52">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(24)承包人未能按期开工；</w:t>
            </w:r>
          </w:p>
          <w:p w14:paraId="28A7E102">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(25)经监理人和发包人检查，发现承包人有安全问题或有违反安全管理规章 制度的情况；</w:t>
            </w:r>
          </w:p>
          <w:p w14:paraId="6692C8CB">
            <w:pPr>
              <w:pageBreakBefore w:val="0"/>
              <w:kinsoku/>
              <w:wordWrap w:val="0"/>
              <w:bidi w:val="0"/>
              <w:spacing w:line="360" w:lineRule="atLeast"/>
              <w:ind w:left="-17" w:leftChars="-8" w:firstLine="237" w:firstLineChars="113"/>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(26)在工程实施期间，承包人在签订合同时确认的主要人员以及其他人员缺 员30%以上，在监理人发出书面警告14天后，仍未见纠正违约行为；</w:t>
            </w:r>
          </w:p>
          <w:p w14:paraId="30927361">
            <w:pPr>
              <w:pageBreakBefore w:val="0"/>
              <w:kinsoku/>
              <w:wordWrap w:val="0"/>
              <w:bidi w:val="0"/>
              <w:spacing w:line="360" w:lineRule="atLeast"/>
              <w:ind w:left="-17" w:leftChars="-8" w:firstLine="237" w:firstLineChars="113"/>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Cs w:val="21"/>
                <w:highlight w:val="none"/>
              </w:rPr>
              <w:t>(27)承包人不按合同约定履行义务的其他情况。</w:t>
            </w:r>
          </w:p>
        </w:tc>
      </w:tr>
      <w:tr w14:paraId="3111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top"/>
          </w:tcPr>
          <w:p w14:paraId="5FEE3769">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szCs w:val="21"/>
                <w:highlight w:val="none"/>
              </w:rPr>
            </w:pPr>
          </w:p>
          <w:p w14:paraId="0E0D5855">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szCs w:val="21"/>
                <w:highlight w:val="none"/>
              </w:rPr>
            </w:pPr>
          </w:p>
          <w:p w14:paraId="14DF992A">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szCs w:val="21"/>
                <w:highlight w:val="none"/>
              </w:rPr>
            </w:pPr>
          </w:p>
          <w:p w14:paraId="5B3A7B45">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szCs w:val="21"/>
                <w:highlight w:val="none"/>
              </w:rPr>
            </w:pPr>
          </w:p>
          <w:p w14:paraId="5CE35D05">
            <w:pPr>
              <w:pageBreakBefore w:val="0"/>
              <w:kinsoku/>
              <w:wordWrap w:val="0"/>
              <w:bidi w:val="0"/>
              <w:snapToGrid w:val="0"/>
              <w:spacing w:line="360" w:lineRule="atLeast"/>
              <w:ind w:firstLine="234" w:firstLineChars="114"/>
              <w:rPr>
                <w:rFonts w:hint="default" w:ascii="Times New Roman" w:hAnsi="Times New Roman" w:eastAsia="宋体" w:cs="Times New Roman"/>
                <w:color w:val="auto"/>
                <w:spacing w:val="-2"/>
                <w:szCs w:val="21"/>
                <w:highlight w:val="none"/>
              </w:rPr>
            </w:pPr>
          </w:p>
          <w:p w14:paraId="0775FB70">
            <w:pPr>
              <w:pageBreakBefore w:val="0"/>
              <w:kinsoku/>
              <w:wordWrap w:val="0"/>
              <w:bidi w:val="0"/>
              <w:snapToGrid w:val="0"/>
              <w:spacing w:line="360" w:lineRule="atLeast"/>
              <w:rPr>
                <w:rFonts w:hint="eastAsia" w:ascii="Times New Roman" w:hAnsi="Times New Roman" w:eastAsia="宋体" w:cs="Times New Roman"/>
                <w:color w:val="auto"/>
                <w:spacing w:val="-2"/>
                <w:szCs w:val="21"/>
                <w:highlight w:val="none"/>
                <w:lang w:val="en-US" w:eastAsia="zh-CN"/>
              </w:rPr>
            </w:pPr>
            <w:r>
              <w:rPr>
                <w:rFonts w:hint="default" w:ascii="Times New Roman" w:hAnsi="Times New Roman" w:eastAsia="宋体" w:cs="Times New Roman"/>
                <w:color w:val="auto"/>
                <w:spacing w:val="-2"/>
                <w:szCs w:val="21"/>
                <w:highlight w:val="none"/>
              </w:rPr>
              <w:t>6</w:t>
            </w:r>
            <w:r>
              <w:rPr>
                <w:rFonts w:hint="eastAsia" w:cs="Times New Roman"/>
                <w:color w:val="auto"/>
                <w:spacing w:val="-2"/>
                <w:szCs w:val="21"/>
                <w:highlight w:val="none"/>
                <w:lang w:val="en-US" w:eastAsia="zh-CN"/>
              </w:rPr>
              <w:t>7</w:t>
            </w:r>
          </w:p>
        </w:tc>
        <w:tc>
          <w:tcPr>
            <w:tcW w:w="1111" w:type="dxa"/>
            <w:shd w:val="clear" w:color="auto" w:fill="auto"/>
            <w:noWrap w:val="0"/>
            <w:vAlign w:val="center"/>
          </w:tcPr>
          <w:p w14:paraId="18F47BAA">
            <w:pPr>
              <w:widowControl/>
              <w:autoSpaceDE w:val="0"/>
              <w:autoSpaceDN w:val="0"/>
              <w:adjustRightInd w:val="0"/>
              <w:snapToGrid w:val="0"/>
              <w:spacing w:line="400" w:lineRule="exact"/>
              <w:jc w:val="center"/>
              <w:textAlignment w:val="baseline"/>
              <w:rPr>
                <w:rFonts w:hint="default" w:ascii="Times New Roman" w:hAnsi="Times New Roman" w:eastAsia="宋体" w:cs="Times New Roman"/>
                <w:color w:val="auto"/>
                <w:kern w:val="2"/>
                <w:sz w:val="21"/>
                <w:szCs w:val="21"/>
                <w:highlight w:val="none"/>
                <w:lang w:val="en-US" w:eastAsia="en-US" w:bidi="ar-SA"/>
              </w:rPr>
            </w:pPr>
            <w:r>
              <w:rPr>
                <w:rFonts w:hint="eastAsia"/>
                <w:color w:val="auto"/>
                <w:szCs w:val="21"/>
                <w:highlight w:val="none"/>
              </w:rPr>
              <w:t>22.1.2</w:t>
            </w:r>
          </w:p>
        </w:tc>
        <w:tc>
          <w:tcPr>
            <w:tcW w:w="7304" w:type="dxa"/>
            <w:shd w:val="clear" w:color="auto" w:fill="auto"/>
            <w:noWrap w:val="0"/>
            <w:vAlign w:val="center"/>
          </w:tcPr>
          <w:p w14:paraId="2CAD789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44"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22.</w:t>
            </w:r>
            <w:r>
              <w:rPr>
                <w:rFonts w:hint="eastAsia" w:ascii="宋体" w:hAnsi="宋体" w:eastAsia="宋体" w:cs="宋体"/>
                <w:color w:val="auto"/>
                <w:spacing w:val="3"/>
                <w:sz w:val="21"/>
                <w:szCs w:val="21"/>
                <w:highlight w:val="none"/>
              </w:rPr>
              <w:t>1.2对承包人违约的处理</w:t>
            </w:r>
          </w:p>
          <w:p w14:paraId="66DA802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6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承包人发生第22.1.1项(1)至(10)目约定的违约情况时，发包人可视承包人违约的具体行</w:t>
            </w:r>
            <w:r>
              <w:rPr>
                <w:rFonts w:hint="eastAsia" w:ascii="宋体" w:hAnsi="宋体" w:eastAsia="宋体" w:cs="宋体"/>
                <w:color w:val="auto"/>
                <w:spacing w:val="9"/>
                <w:sz w:val="21"/>
                <w:szCs w:val="21"/>
                <w:highlight w:val="none"/>
              </w:rPr>
              <w:t>为和严重程度采取下列措施之一：</w:t>
            </w:r>
          </w:p>
          <w:p w14:paraId="65CBB0B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50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(1)</w:t>
            </w:r>
            <w:r>
              <w:rPr>
                <w:rFonts w:hint="eastAsia" w:ascii="宋体" w:hAnsi="宋体" w:eastAsia="宋体" w:cs="宋体"/>
                <w:color w:val="auto"/>
                <w:spacing w:val="10"/>
                <w:sz w:val="21"/>
                <w:szCs w:val="21"/>
                <w:highlight w:val="none"/>
              </w:rPr>
              <w:t>发包人可按不超过签约合同价10%的金额扣缴承包人违约金，即使交纳</w:t>
            </w:r>
            <w:r>
              <w:rPr>
                <w:rFonts w:hint="eastAsia" w:ascii="宋体" w:hAnsi="宋体" w:eastAsia="宋体" w:cs="宋体"/>
                <w:color w:val="auto"/>
                <w:spacing w:val="14"/>
                <w:sz w:val="21"/>
                <w:szCs w:val="21"/>
                <w:highlight w:val="none"/>
              </w:rPr>
              <w:t>了</w:t>
            </w:r>
            <w:r>
              <w:rPr>
                <w:rFonts w:hint="eastAsia" w:ascii="宋体" w:hAnsi="宋体" w:eastAsia="宋体" w:cs="宋体"/>
                <w:color w:val="auto"/>
                <w:spacing w:val="12"/>
                <w:sz w:val="21"/>
                <w:szCs w:val="21"/>
                <w:highlight w:val="none"/>
              </w:rPr>
              <w:t>违约金，承包人仍应按合同规定继续实施和完成本合同工程及其缺陷修复；若</w:t>
            </w:r>
            <w:r>
              <w:rPr>
                <w:rFonts w:hint="eastAsia" w:ascii="宋体" w:hAnsi="宋体" w:eastAsia="宋体" w:cs="宋体"/>
                <w:color w:val="auto"/>
                <w:spacing w:val="14"/>
                <w:sz w:val="21"/>
                <w:szCs w:val="21"/>
                <w:highlight w:val="none"/>
              </w:rPr>
              <w:t>承</w:t>
            </w:r>
            <w:r>
              <w:rPr>
                <w:rFonts w:hint="eastAsia" w:ascii="宋体" w:hAnsi="宋体" w:eastAsia="宋体" w:cs="宋体"/>
                <w:color w:val="auto"/>
                <w:spacing w:val="12"/>
                <w:sz w:val="21"/>
                <w:szCs w:val="21"/>
                <w:highlight w:val="none"/>
              </w:rPr>
              <w:t>包人未经批准擅自撤离工地，发包人除扣除承包人的全部履约担保和剩余工程</w:t>
            </w:r>
            <w:r>
              <w:rPr>
                <w:rFonts w:hint="eastAsia" w:ascii="宋体" w:hAnsi="宋体" w:eastAsia="宋体" w:cs="宋体"/>
                <w:color w:val="auto"/>
                <w:spacing w:val="14"/>
                <w:sz w:val="21"/>
                <w:szCs w:val="21"/>
                <w:highlight w:val="none"/>
              </w:rPr>
              <w:t>款</w:t>
            </w:r>
            <w:r>
              <w:rPr>
                <w:rFonts w:hint="eastAsia" w:ascii="宋体" w:hAnsi="宋体" w:eastAsia="宋体" w:cs="宋体"/>
                <w:color w:val="auto"/>
                <w:spacing w:val="12"/>
                <w:sz w:val="21"/>
                <w:szCs w:val="21"/>
                <w:highlight w:val="none"/>
              </w:rPr>
              <w:t>项之外，并不承担承包人与其它承包人、供货商等的经济纠纷和法律责任，也</w:t>
            </w:r>
            <w:r>
              <w:rPr>
                <w:rFonts w:hint="eastAsia" w:ascii="宋体" w:hAnsi="宋体" w:eastAsia="宋体" w:cs="宋体"/>
                <w:color w:val="auto"/>
                <w:spacing w:val="11"/>
                <w:sz w:val="21"/>
                <w:szCs w:val="21"/>
                <w:highlight w:val="none"/>
              </w:rPr>
              <w:t>不</w:t>
            </w:r>
            <w:r>
              <w:rPr>
                <w:rFonts w:hint="eastAsia" w:ascii="宋体" w:hAnsi="宋体" w:eastAsia="宋体" w:cs="宋体"/>
                <w:color w:val="auto"/>
                <w:spacing w:val="7"/>
                <w:sz w:val="21"/>
                <w:szCs w:val="21"/>
                <w:highlight w:val="none"/>
              </w:rPr>
              <w:t>赔偿任何费用。</w:t>
            </w:r>
          </w:p>
          <w:p w14:paraId="7ED40E4B">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96"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w:t>
            </w:r>
            <w:r>
              <w:rPr>
                <w:rFonts w:hint="eastAsia" w:ascii="宋体" w:hAnsi="宋体" w:eastAsia="宋体" w:cs="宋体"/>
                <w:color w:val="auto"/>
                <w:spacing w:val="13"/>
                <w:sz w:val="21"/>
                <w:szCs w:val="21"/>
                <w:highlight w:val="none"/>
              </w:rPr>
              <w:t>2)发包人可雇用其他承包人完成部分工程。承包人无权对此提出反对意见</w:t>
            </w:r>
            <w:r>
              <w:rPr>
                <w:rFonts w:hint="eastAsia" w:ascii="宋体" w:hAnsi="宋体" w:eastAsia="宋体" w:cs="宋体"/>
                <w:color w:val="auto"/>
                <w:spacing w:val="14"/>
                <w:sz w:val="21"/>
                <w:szCs w:val="21"/>
                <w:highlight w:val="none"/>
              </w:rPr>
              <w:t>并</w:t>
            </w:r>
            <w:r>
              <w:rPr>
                <w:rFonts w:hint="eastAsia" w:ascii="宋体" w:hAnsi="宋体" w:eastAsia="宋体" w:cs="宋体"/>
                <w:color w:val="auto"/>
                <w:spacing w:val="12"/>
                <w:sz w:val="21"/>
                <w:szCs w:val="21"/>
                <w:highlight w:val="none"/>
              </w:rPr>
              <w:t>应按合同规定完成合同工程其余部分的施工和缺陷修复。在这种情况下，发包</w:t>
            </w:r>
            <w:r>
              <w:rPr>
                <w:rFonts w:hint="eastAsia" w:ascii="宋体" w:hAnsi="宋体" w:eastAsia="宋体" w:cs="宋体"/>
                <w:color w:val="auto"/>
                <w:spacing w:val="14"/>
                <w:sz w:val="21"/>
                <w:szCs w:val="21"/>
                <w:highlight w:val="none"/>
              </w:rPr>
              <w:t>人</w:t>
            </w:r>
            <w:r>
              <w:rPr>
                <w:rFonts w:hint="eastAsia" w:ascii="宋体" w:hAnsi="宋体" w:eastAsia="宋体" w:cs="宋体"/>
                <w:color w:val="auto"/>
                <w:spacing w:val="12"/>
                <w:sz w:val="21"/>
                <w:szCs w:val="21"/>
                <w:highlight w:val="none"/>
              </w:rPr>
              <w:t>向承包人支付的合同价格中不应包括由其他承包人完成的那部分工程的价格。</w:t>
            </w:r>
            <w:r>
              <w:rPr>
                <w:rFonts w:hint="eastAsia" w:ascii="宋体" w:hAnsi="宋体" w:eastAsia="宋体" w:cs="宋体"/>
                <w:color w:val="auto"/>
                <w:spacing w:val="14"/>
                <w:sz w:val="21"/>
                <w:szCs w:val="21"/>
                <w:highlight w:val="none"/>
              </w:rPr>
              <w:t>发</w:t>
            </w:r>
            <w:r>
              <w:rPr>
                <w:rFonts w:hint="eastAsia" w:ascii="宋体" w:hAnsi="宋体" w:eastAsia="宋体" w:cs="宋体"/>
                <w:color w:val="auto"/>
                <w:spacing w:val="12"/>
                <w:sz w:val="21"/>
                <w:szCs w:val="21"/>
                <w:highlight w:val="none"/>
              </w:rPr>
              <w:t>包人有权扣除承包人的全部履约担保作为违约金，监理人还应确定由于承包人</w:t>
            </w:r>
            <w:r>
              <w:rPr>
                <w:rFonts w:hint="eastAsia" w:ascii="宋体" w:hAnsi="宋体" w:eastAsia="宋体" w:cs="宋体"/>
                <w:color w:val="auto"/>
                <w:spacing w:val="14"/>
                <w:sz w:val="21"/>
                <w:szCs w:val="21"/>
                <w:highlight w:val="none"/>
              </w:rPr>
              <w:t>违</w:t>
            </w:r>
            <w:r>
              <w:rPr>
                <w:rFonts w:hint="eastAsia" w:ascii="宋体" w:hAnsi="宋体" w:eastAsia="宋体" w:cs="宋体"/>
                <w:color w:val="auto"/>
                <w:spacing w:val="12"/>
                <w:sz w:val="21"/>
                <w:szCs w:val="21"/>
                <w:highlight w:val="none"/>
              </w:rPr>
              <w:t>约而给发包人造成的费用增加和其他损失，报发包人批准后从应付或到期应付</w:t>
            </w:r>
            <w:r>
              <w:rPr>
                <w:rFonts w:hint="eastAsia" w:ascii="宋体" w:hAnsi="宋体" w:eastAsia="宋体" w:cs="宋体"/>
                <w:color w:val="auto"/>
                <w:spacing w:val="18"/>
                <w:sz w:val="21"/>
                <w:szCs w:val="21"/>
                <w:highlight w:val="none"/>
              </w:rPr>
              <w:t>给</w:t>
            </w:r>
            <w:r>
              <w:rPr>
                <w:rFonts w:hint="eastAsia" w:ascii="宋体" w:hAnsi="宋体" w:eastAsia="宋体" w:cs="宋体"/>
                <w:color w:val="auto"/>
                <w:spacing w:val="12"/>
                <w:sz w:val="21"/>
                <w:szCs w:val="21"/>
                <w:highlight w:val="none"/>
              </w:rPr>
              <w:t>承</w:t>
            </w:r>
            <w:r>
              <w:rPr>
                <w:rFonts w:hint="eastAsia" w:ascii="宋体" w:hAnsi="宋体" w:eastAsia="宋体" w:cs="宋体"/>
                <w:color w:val="auto"/>
                <w:spacing w:val="9"/>
                <w:sz w:val="21"/>
                <w:szCs w:val="21"/>
                <w:highlight w:val="none"/>
              </w:rPr>
              <w:t>包人的款项中扣除，监理人应将上述决定通知承包人，并抄送发包人；</w:t>
            </w:r>
          </w:p>
          <w:p w14:paraId="09EA22E9">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84"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w:t>
            </w:r>
            <w:r>
              <w:rPr>
                <w:rFonts w:hint="eastAsia" w:ascii="宋体" w:hAnsi="宋体" w:eastAsia="宋体" w:cs="宋体"/>
                <w:color w:val="auto"/>
                <w:spacing w:val="14"/>
                <w:sz w:val="21"/>
                <w:szCs w:val="21"/>
                <w:highlight w:val="none"/>
              </w:rPr>
              <w:t>3</w:t>
            </w:r>
            <w:r>
              <w:rPr>
                <w:rFonts w:hint="eastAsia" w:ascii="宋体" w:hAnsi="宋体" w:eastAsia="宋体" w:cs="宋体"/>
                <w:color w:val="auto"/>
                <w:spacing w:val="8"/>
                <w:sz w:val="21"/>
                <w:szCs w:val="21"/>
                <w:highlight w:val="none"/>
              </w:rPr>
              <w:t>)发包人在向承包人发出书面通知的14天之后可以进驻现场和接管工程，</w:t>
            </w:r>
            <w:r>
              <w:rPr>
                <w:rFonts w:hint="eastAsia" w:ascii="宋体" w:hAnsi="宋体" w:eastAsia="宋体" w:cs="宋体"/>
                <w:color w:val="auto"/>
                <w:spacing w:val="12"/>
                <w:sz w:val="21"/>
                <w:szCs w:val="21"/>
                <w:highlight w:val="none"/>
              </w:rPr>
              <w:t>终止承包人对本合同工程的承包，但不因此解除合同规定的承包人的任何义务</w:t>
            </w:r>
            <w:r>
              <w:rPr>
                <w:rFonts w:hint="eastAsia" w:ascii="宋体" w:hAnsi="宋体" w:eastAsia="宋体" w:cs="宋体"/>
                <w:color w:val="auto"/>
                <w:spacing w:val="11"/>
                <w:sz w:val="21"/>
                <w:szCs w:val="21"/>
                <w:highlight w:val="none"/>
              </w:rPr>
              <w:t>和</w:t>
            </w:r>
            <w:r>
              <w:rPr>
                <w:rFonts w:hint="eastAsia" w:ascii="宋体" w:hAnsi="宋体" w:eastAsia="宋体" w:cs="宋体"/>
                <w:color w:val="auto"/>
                <w:spacing w:val="12"/>
                <w:sz w:val="21"/>
                <w:szCs w:val="21"/>
                <w:highlight w:val="none"/>
              </w:rPr>
              <w:t>责任，或影响合同赋予发包人或监理人的各种权利和权限。发包人可自行完成</w:t>
            </w:r>
            <w:r>
              <w:rPr>
                <w:rFonts w:hint="eastAsia" w:ascii="宋体" w:hAnsi="宋体" w:eastAsia="宋体" w:cs="宋体"/>
                <w:color w:val="auto"/>
                <w:spacing w:val="11"/>
                <w:sz w:val="21"/>
                <w:szCs w:val="21"/>
                <w:highlight w:val="none"/>
              </w:rPr>
              <w:t>该</w:t>
            </w:r>
            <w:r>
              <w:rPr>
                <w:rFonts w:hint="eastAsia" w:ascii="宋体" w:hAnsi="宋体" w:eastAsia="宋体" w:cs="宋体"/>
                <w:color w:val="auto"/>
                <w:spacing w:val="12"/>
                <w:sz w:val="21"/>
                <w:szCs w:val="21"/>
                <w:highlight w:val="none"/>
              </w:rPr>
              <w:t>工程，或邀请其他承包人完成该工程。发包人或其他承包人为了完成本工程可</w:t>
            </w:r>
            <w:r>
              <w:rPr>
                <w:rFonts w:hint="eastAsia" w:ascii="宋体" w:hAnsi="宋体" w:eastAsia="宋体" w:cs="宋体"/>
                <w:color w:val="auto"/>
                <w:spacing w:val="11"/>
                <w:sz w:val="21"/>
                <w:szCs w:val="21"/>
                <w:highlight w:val="none"/>
              </w:rPr>
              <w:t>以</w:t>
            </w:r>
            <w:r>
              <w:rPr>
                <w:rFonts w:hint="eastAsia" w:ascii="宋体" w:hAnsi="宋体" w:eastAsia="宋体" w:cs="宋体"/>
                <w:color w:val="auto"/>
                <w:spacing w:val="13"/>
                <w:sz w:val="21"/>
                <w:szCs w:val="21"/>
                <w:highlight w:val="none"/>
              </w:rPr>
              <w:t>使</w:t>
            </w:r>
            <w:r>
              <w:rPr>
                <w:rFonts w:hint="eastAsia" w:ascii="宋体" w:hAnsi="宋体" w:eastAsia="宋体" w:cs="宋体"/>
                <w:color w:val="auto"/>
                <w:spacing w:val="12"/>
                <w:sz w:val="21"/>
                <w:szCs w:val="21"/>
                <w:highlight w:val="none"/>
              </w:rPr>
              <w:t>用任何的承包人设备、临时工程和材料。发包人有权扣除承包人的全部履约担</w:t>
            </w:r>
            <w:r>
              <w:rPr>
                <w:rFonts w:hint="eastAsia" w:ascii="宋体" w:hAnsi="宋体" w:eastAsia="宋体" w:cs="宋体"/>
                <w:color w:val="auto"/>
                <w:spacing w:val="13"/>
                <w:sz w:val="21"/>
                <w:szCs w:val="21"/>
                <w:highlight w:val="none"/>
              </w:rPr>
              <w:t>保</w:t>
            </w:r>
            <w:r>
              <w:rPr>
                <w:rFonts w:hint="eastAsia" w:ascii="宋体" w:hAnsi="宋体" w:eastAsia="宋体" w:cs="宋体"/>
                <w:color w:val="auto"/>
                <w:spacing w:val="12"/>
                <w:sz w:val="21"/>
                <w:szCs w:val="21"/>
                <w:highlight w:val="none"/>
              </w:rPr>
              <w:t>作为违约金，监理人还应确定由于承包人违约而给发包人造成的费用增加和其</w:t>
            </w:r>
            <w:r>
              <w:rPr>
                <w:rFonts w:hint="eastAsia" w:ascii="宋体" w:hAnsi="宋体" w:eastAsia="宋体" w:cs="宋体"/>
                <w:color w:val="auto"/>
                <w:spacing w:val="17"/>
                <w:sz w:val="21"/>
                <w:szCs w:val="21"/>
                <w:highlight w:val="none"/>
              </w:rPr>
              <w:t>他</w:t>
            </w:r>
            <w:r>
              <w:rPr>
                <w:rFonts w:hint="eastAsia" w:ascii="宋体" w:hAnsi="宋体" w:eastAsia="宋体" w:cs="宋体"/>
                <w:color w:val="auto"/>
                <w:spacing w:val="12"/>
                <w:sz w:val="21"/>
                <w:szCs w:val="21"/>
                <w:highlight w:val="none"/>
              </w:rPr>
              <w:t>损失，报发包人批准后从应付或到期应付给承包人的款项中扣除，监理人应将</w:t>
            </w:r>
            <w:r>
              <w:rPr>
                <w:rFonts w:hint="eastAsia" w:ascii="宋体" w:hAnsi="宋体" w:eastAsia="宋体" w:cs="宋体"/>
                <w:color w:val="auto"/>
                <w:spacing w:val="8"/>
                <w:sz w:val="21"/>
                <w:szCs w:val="21"/>
                <w:highlight w:val="none"/>
              </w:rPr>
              <w:t>上述决定通知承包人，并抄送发包人。合同终止后的有关事宜应按照第22.1.4</w:t>
            </w:r>
            <w:r>
              <w:rPr>
                <w:rFonts w:hint="eastAsia" w:ascii="宋体" w:hAnsi="宋体" w:eastAsia="宋体" w:cs="宋体"/>
                <w:color w:val="auto"/>
                <w:spacing w:val="3"/>
                <w:sz w:val="21"/>
                <w:szCs w:val="21"/>
                <w:highlight w:val="none"/>
              </w:rPr>
              <w:t>和</w:t>
            </w:r>
            <w:r>
              <w:rPr>
                <w:rFonts w:hint="eastAsia" w:ascii="宋体" w:hAnsi="宋体" w:eastAsia="宋体" w:cs="宋体"/>
                <w:color w:val="auto"/>
                <w:spacing w:val="2"/>
                <w:sz w:val="21"/>
                <w:szCs w:val="21"/>
                <w:highlight w:val="none"/>
              </w:rPr>
              <w:t>22.1.5款的规定办理</w:t>
            </w:r>
            <w:r>
              <w:rPr>
                <w:rFonts w:hint="eastAsia" w:ascii="宋体" w:hAnsi="宋体" w:eastAsia="宋体" w:cs="宋体"/>
                <w:color w:val="auto"/>
                <w:spacing w:val="1"/>
                <w:sz w:val="21"/>
                <w:szCs w:val="21"/>
                <w:highlight w:val="none"/>
              </w:rPr>
              <w:t>。</w:t>
            </w:r>
          </w:p>
          <w:p w14:paraId="1906B5BE">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此外，当承包人发生了下述违约现象之后，发包人可依据下列具体情况扣除承包人的违约金：</w:t>
            </w:r>
          </w:p>
          <w:p w14:paraId="44909130">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承包人在监理人规定的截止日前，项目经理、项目总工没有按时进场，或进场后未经发包人项目指挥部和总监办主任(或设驻地办的驻地办主任)批准又离开工地，发包人将按10000元/人·天扣除违约金；其他管理人员没有按时进场，或进场后未经总监办主任(或设驻地办的驻地办主任)和承包人项目经理批准又离开工地，发包人将按5000元/人·天扣除违约金，直至缺员进场为止。根据本项规定扣除的违约金累计不得超过签约合同价的2％。</w:t>
            </w:r>
          </w:p>
          <w:p w14:paraId="35BADA1A">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照监理人规定进场的项目经理、项目总工及其他管理人员每人每月在岗时间不得少于22天，否则发包人将对项目经理、项目总工按10000元/人·天扣除违约金，对其他管理人员按5000元/人·天扣除违约金。根据本项规定扣除的违约金累计不得超过签约合同价的2％。</w:t>
            </w:r>
          </w:p>
          <w:p w14:paraId="4298FCC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承包人按照监理人规定进场的每个专业岗位人员同时离开工地人数不得超过1人，否则发包人将按5000元/人·天扣除违约金。根据本项规定扣除的违约金累计不得超过签约合同价的2％。</w:t>
            </w:r>
          </w:p>
          <w:p w14:paraId="57F7EE10">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(2)项目经理每更换一人次将向发包人提交违约金，违约金金额按5‰签约合同价计算，但违约金金额应不低于20万且不高于100万。</w:t>
            </w:r>
          </w:p>
          <w:p w14:paraId="5DC12B14">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(3)项目总工每更换一人次将向发包人提交违约金，违约金金额按3‰签约合同价计算，但违约金金额应不低于15万且不高于80万。</w:t>
            </w:r>
          </w:p>
          <w:p w14:paraId="0AFAEA5F">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由于承包人自身原因造成其进场的人员的替换，将按照本项(2)、(3)目的规定交纳违约金；由于相关人员不能胜任本职工作、行为不端或玩忽职守而被监理人按合同条款第4.7款规定要求撤换的，除按照本项(2)、(3)目的规定交纳违约金外，项目经理或项目总工每更换一人次还应向发包人另行支付10万元的违约金，其他管理人员每更换一人次还应向发包人另行支付5万元的违约金。</w:t>
            </w:r>
          </w:p>
          <w:p w14:paraId="0FD05F47">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承包人在监理人规定的截止日前，合同谈判期间承包人所承诺的主要机械及试验、测量设备(如有)不能按时进场，每迟到1天，发包人可按照该设备的台班费(以交通运输部现行《预算定额》为准)的三倍扣除违约金，直到设备进场为止。</w:t>
            </w:r>
          </w:p>
          <w:p w14:paraId="0B1C06EC">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(6)在工程实施期间，未经监理人批准，承包人进场的施工机械和材料试验、质检仪器设备撤离现场，发包人可按该设备的重置价值从工程期中支付款中扣除违约金。</w:t>
            </w:r>
          </w:p>
          <w:p w14:paraId="3BF40893">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(7)在施工期间，承包人若违反施工操作及管理程序，则按5万元/次标准扣除承包人的违约金。</w:t>
            </w:r>
          </w:p>
          <w:p w14:paraId="26564399">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(8)承包人在施工期间如果在各种报表及检查试验记录中自己作假或诱导监理人作假，发包人可按每次1万~10万元的标准扣除承包人的违约金。</w:t>
            </w:r>
          </w:p>
          <w:p w14:paraId="1BD17F74">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承包人应无条件接受上级交通主管部门、质量监督部门、发包人监理单位的质量检查或抽查，如发现承包人出现降低施工标准或偷工减料或出现较大质量问题，发包人将按每次10万元的标准扣除承包人的违约金。</w:t>
            </w:r>
          </w:p>
          <w:p w14:paraId="5BCC39C0">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(10)承包人在施工期间未能做好环境保护工作，使得周边环境遭到破坏或污染，经监理人认可后，每次按照10万元的标准扣除承包人的违约金。</w:t>
            </w:r>
          </w:p>
          <w:p w14:paraId="4FA68973">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(11)承包人存在安全问题或有违反安全管理规章制度的情况时，视其情节轻重，分别给予承包人通报批评、警告、责令停工等处罚，并可扣处1万~10万元的违约金。</w:t>
            </w:r>
          </w:p>
          <w:p w14:paraId="75B3C42B">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承包人应按劳动合同及时发放薪酬，不得因此影响工程的正常进展及发包人的声誉。因此造成的劳务纠纷，发包人在收到劳动部门的仲裁结果后，有权根据仲裁结果从应付给承包人的工程款中代为扣付。对工程的正常进展及发包人声誉造成影响的，发包人可以向承包人课以10万元以内的违约金。</w:t>
            </w:r>
          </w:p>
          <w:p w14:paraId="42F9BC59">
            <w:pPr>
              <w:keepNext w:val="0"/>
              <w:keepLines w:val="0"/>
              <w:pageBreakBefore w:val="0"/>
              <w:widowControl w:val="0"/>
              <w:kinsoku/>
              <w:wordWrap/>
              <w:overflowPunct/>
              <w:topLinePunct w:val="0"/>
              <w:autoSpaceDE/>
              <w:autoSpaceDN/>
              <w:bidi w:val="0"/>
              <w:adjustRightInd/>
              <w:snapToGrid w:val="0"/>
              <w:spacing w:line="360" w:lineRule="auto"/>
              <w:ind w:left="105" w:leftChars="50" w:right="283"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(13)由于承包人原因导致本工程质量未达到合同约定的目标，将扣除质量保证金的20％作为违约金。</w:t>
            </w:r>
          </w:p>
          <w:p w14:paraId="52A39359">
            <w:pPr>
              <w:widowControl/>
              <w:autoSpaceDE w:val="0"/>
              <w:autoSpaceDN w:val="0"/>
              <w:adjustRightInd w:val="0"/>
              <w:snapToGrid w:val="0"/>
              <w:spacing w:line="400" w:lineRule="exact"/>
              <w:ind w:firstLine="210" w:firstLineChars="100"/>
              <w:textAlignment w:val="baseline"/>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rPr>
              <w:t>本款提及的所有违约金(包括由于承包人违约而给发包人造成的费用增加和其他损失，下同)将从期中支付证书中扣除或通知履约保函开具银行支付，直至通过诉讼手段向承包人进行追索。所有扣缴的违约金将按照《中华人民共和国企业所得税法》(中华人民共和国主席令第63号)、《中华人民共和国企业所得税暂行条例》(中华人民共和国国务院令第512号)、《基本建设财务规则》(中华人民共和国财政部令第81号)的相关规定处理。</w:t>
            </w:r>
          </w:p>
        </w:tc>
      </w:tr>
      <w:tr w14:paraId="7C06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67828320">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68</w:t>
            </w:r>
          </w:p>
        </w:tc>
        <w:tc>
          <w:tcPr>
            <w:tcW w:w="1111" w:type="dxa"/>
            <w:shd w:val="clear" w:color="auto" w:fill="auto"/>
            <w:noWrap w:val="0"/>
            <w:vAlign w:val="center"/>
          </w:tcPr>
          <w:p w14:paraId="79A30E88">
            <w:pPr>
              <w:widowControl/>
              <w:autoSpaceDE w:val="0"/>
              <w:autoSpaceDN w:val="0"/>
              <w:adjustRightInd w:val="0"/>
              <w:snapToGrid w:val="0"/>
              <w:spacing w:line="400" w:lineRule="exact"/>
              <w:jc w:val="center"/>
              <w:textAlignment w:val="baseline"/>
              <w:rPr>
                <w:rFonts w:hint="default" w:ascii="Times New Roman" w:hAnsi="Times New Roman" w:eastAsia="宋体" w:cs="Times New Roman"/>
                <w:kern w:val="2"/>
                <w:sz w:val="21"/>
                <w:szCs w:val="21"/>
                <w:highlight w:val="none"/>
                <w:lang w:val="en-US" w:eastAsia="zh-CN" w:bidi="ar-SA"/>
              </w:rPr>
            </w:pPr>
            <w:r>
              <w:rPr>
                <w:rFonts w:hint="eastAsia"/>
                <w:szCs w:val="21"/>
                <w:highlight w:val="none"/>
              </w:rPr>
              <w:t>22.1.3</w:t>
            </w:r>
          </w:p>
        </w:tc>
        <w:tc>
          <w:tcPr>
            <w:tcW w:w="7304" w:type="dxa"/>
            <w:shd w:val="clear" w:color="auto" w:fill="auto"/>
            <w:noWrap w:val="0"/>
            <w:vAlign w:val="center"/>
          </w:tcPr>
          <w:p w14:paraId="4AEBB414">
            <w:pPr>
              <w:widowControl/>
              <w:autoSpaceDE w:val="0"/>
              <w:autoSpaceDN w:val="0"/>
              <w:adjustRightInd w:val="0"/>
              <w:snapToGrid w:val="0"/>
              <w:spacing w:line="400" w:lineRule="exact"/>
              <w:textAlignment w:val="baseline"/>
              <w:rPr>
                <w:szCs w:val="21"/>
                <w:highlight w:val="none"/>
              </w:rPr>
            </w:pPr>
            <w:r>
              <w:rPr>
                <w:rFonts w:hint="eastAsia"/>
                <w:szCs w:val="21"/>
                <w:highlight w:val="none"/>
              </w:rPr>
              <w:t>22.1.3承包人违约解除合同</w:t>
            </w:r>
          </w:p>
          <w:p w14:paraId="019BF276">
            <w:pPr>
              <w:widowControl/>
              <w:autoSpaceDE w:val="0"/>
              <w:autoSpaceDN w:val="0"/>
              <w:adjustRightInd w:val="0"/>
              <w:snapToGrid w:val="0"/>
              <w:spacing w:line="400" w:lineRule="exact"/>
              <w:ind w:firstLine="210" w:firstLineChars="100"/>
              <w:textAlignment w:val="baseline"/>
              <w:rPr>
                <w:rFonts w:hint="default" w:ascii="Times New Roman" w:hAnsi="Times New Roman" w:eastAsia="宋体" w:cs="Times New Roman"/>
                <w:kern w:val="2"/>
                <w:sz w:val="21"/>
                <w:szCs w:val="21"/>
                <w:highlight w:val="none"/>
                <w:lang w:val="en-US" w:eastAsia="zh-CN" w:bidi="ar-SA"/>
              </w:rPr>
            </w:pPr>
            <w:r>
              <w:rPr>
                <w:rFonts w:hint="eastAsia"/>
                <w:szCs w:val="21"/>
                <w:highlight w:val="none"/>
              </w:rPr>
              <w:t>当承包人发生违约情形，且监理人发出整改通知14天后，承包人仍不纠正违约行为的，发包人可向承包人发出解除合同通知，终止承包人对本合同工程的承包，但不因此解除合同规定的承包人的任何义务和责任，或影响合同赋予发包人或监理人的各种权利和权限。合同解除后，发包人可派员进驻施工场地接管工程，自行完成该工程或邀请其他承包人完成该工程。发包人或其他承包人因继续完成该工程的需要，有权扣留使用承包人在现场的材料、设备和临时设施。合同解除后的有关事宜应按照第22.1.4和22.1.5款的规定办理。</w:t>
            </w:r>
          </w:p>
        </w:tc>
      </w:tr>
      <w:tr w14:paraId="56EA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3EE3D8B3">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69</w:t>
            </w:r>
          </w:p>
        </w:tc>
        <w:tc>
          <w:tcPr>
            <w:tcW w:w="1111" w:type="dxa"/>
            <w:shd w:val="clear" w:color="auto" w:fill="auto"/>
            <w:noWrap w:val="0"/>
            <w:vAlign w:val="center"/>
          </w:tcPr>
          <w:p w14:paraId="34D0CC3F">
            <w:pPr>
              <w:widowControl/>
              <w:autoSpaceDE w:val="0"/>
              <w:autoSpaceDN w:val="0"/>
              <w:adjustRightInd w:val="0"/>
              <w:snapToGrid w:val="0"/>
              <w:spacing w:line="400" w:lineRule="exact"/>
              <w:jc w:val="center"/>
              <w:textAlignment w:val="baseline"/>
              <w:rPr>
                <w:rFonts w:hint="default" w:ascii="Times New Roman" w:hAnsi="Times New Roman" w:eastAsia="宋体" w:cs="Times New Roman"/>
                <w:kern w:val="2"/>
                <w:sz w:val="21"/>
                <w:szCs w:val="21"/>
                <w:highlight w:val="none"/>
                <w:lang w:val="en-US" w:eastAsia="zh-CN" w:bidi="ar-SA"/>
              </w:rPr>
            </w:pPr>
            <w:r>
              <w:rPr>
                <w:rFonts w:hint="eastAsia"/>
                <w:szCs w:val="21"/>
                <w:highlight w:val="none"/>
              </w:rPr>
              <w:t>22.2.2</w:t>
            </w:r>
          </w:p>
        </w:tc>
        <w:tc>
          <w:tcPr>
            <w:tcW w:w="7304" w:type="dxa"/>
            <w:shd w:val="clear" w:color="auto" w:fill="auto"/>
            <w:noWrap w:val="0"/>
            <w:vAlign w:val="center"/>
          </w:tcPr>
          <w:p w14:paraId="049B03B9">
            <w:pPr>
              <w:widowControl/>
              <w:autoSpaceDE w:val="0"/>
              <w:autoSpaceDN w:val="0"/>
              <w:adjustRightInd w:val="0"/>
              <w:snapToGrid w:val="0"/>
              <w:spacing w:line="400" w:lineRule="exact"/>
              <w:textAlignment w:val="baseline"/>
              <w:rPr>
                <w:szCs w:val="21"/>
                <w:highlight w:val="none"/>
                <w:u w:val="single"/>
              </w:rPr>
            </w:pPr>
            <w:r>
              <w:rPr>
                <w:rFonts w:hint="eastAsia"/>
                <w:szCs w:val="21"/>
                <w:highlight w:val="none"/>
              </w:rPr>
              <w:t>如承包人采用现金形式向发包人提交履约保证金</w:t>
            </w:r>
            <w:r>
              <w:rPr>
                <w:szCs w:val="21"/>
                <w:highlight w:val="none"/>
              </w:rPr>
              <w:fldChar w:fldCharType="begin"/>
            </w:r>
            <w:r>
              <w:rPr>
                <w:rFonts w:hint="eastAsia"/>
                <w:szCs w:val="21"/>
                <w:highlight w:val="none"/>
              </w:rPr>
              <w:instrText xml:space="preserve">INDEX \o "S" \z "2052"</w:instrText>
            </w:r>
            <w:r>
              <w:rPr>
                <w:szCs w:val="21"/>
                <w:highlight w:val="none"/>
              </w:rPr>
              <w:fldChar w:fldCharType="end"/>
            </w:r>
            <w:r>
              <w:rPr>
                <w:rFonts w:hint="eastAsia"/>
                <w:szCs w:val="21"/>
                <w:highlight w:val="none"/>
              </w:rPr>
              <w:t>或质量保证金时，发包人无正当理由不按时返还的，发包人应向承包人支付的违约金：</w:t>
            </w:r>
            <w:r>
              <w:rPr>
                <w:rFonts w:hint="eastAsia"/>
                <w:szCs w:val="21"/>
                <w:highlight w:val="none"/>
                <w:u w:val="single"/>
              </w:rPr>
              <w:t>本项目进度付款涉及政府投资资金，</w:t>
            </w:r>
            <w:r>
              <w:rPr>
                <w:rFonts w:hint="eastAsia" w:ascii="宋体" w:hAnsi="宋体" w:cs="宋体"/>
                <w:szCs w:val="21"/>
                <w:highlight w:val="none"/>
                <w:u w:val="single"/>
              </w:rPr>
              <w:t>进度付款按照国库集中支付等国家及项目所在地省市及地区的政府及各级行业主管部门的相关规定办理。</w:t>
            </w:r>
          </w:p>
          <w:p w14:paraId="40DD7F63">
            <w:pPr>
              <w:widowControl/>
              <w:autoSpaceDE w:val="0"/>
              <w:autoSpaceDN w:val="0"/>
              <w:adjustRightInd w:val="0"/>
              <w:snapToGrid w:val="0"/>
              <w:spacing w:line="400" w:lineRule="exact"/>
              <w:textAlignment w:val="baseline"/>
              <w:rPr>
                <w:rFonts w:hint="default" w:ascii="Times New Roman" w:hAnsi="Times New Roman" w:eastAsia="宋体" w:cs="Times New Roman"/>
                <w:kern w:val="2"/>
                <w:sz w:val="21"/>
                <w:szCs w:val="21"/>
                <w:highlight w:val="none"/>
                <w:lang w:val="en-US" w:eastAsia="zh-CN" w:bidi="ar-SA"/>
              </w:rPr>
            </w:pPr>
            <w:r>
              <w:rPr>
                <w:rFonts w:hint="eastAsia"/>
                <w:szCs w:val="21"/>
                <w:highlight w:val="none"/>
              </w:rPr>
              <w:t>发包人无正当理由不按时返还农民工工资保证金的，应向承包人支付的违约金：</w:t>
            </w:r>
            <w:r>
              <w:rPr>
                <w:rFonts w:hint="eastAsia"/>
                <w:szCs w:val="21"/>
                <w:highlight w:val="none"/>
                <w:u w:val="single"/>
              </w:rPr>
              <w:t>不适用</w:t>
            </w:r>
            <w:r>
              <w:rPr>
                <w:rFonts w:hint="eastAsia"/>
                <w:szCs w:val="21"/>
                <w:highlight w:val="none"/>
              </w:rPr>
              <w:t>。</w:t>
            </w:r>
          </w:p>
        </w:tc>
      </w:tr>
      <w:tr w14:paraId="2B64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BA310B2">
            <w:pPr>
              <w:pageBreakBefore w:val="0"/>
              <w:kinsoku/>
              <w:wordWrap w:val="0"/>
              <w:bidi w:val="0"/>
              <w:snapToGrid w:val="0"/>
              <w:spacing w:line="36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70</w:t>
            </w:r>
          </w:p>
        </w:tc>
        <w:tc>
          <w:tcPr>
            <w:tcW w:w="1111" w:type="dxa"/>
            <w:shd w:val="clear" w:color="auto" w:fill="auto"/>
            <w:noWrap w:val="0"/>
            <w:vAlign w:val="top"/>
          </w:tcPr>
          <w:p w14:paraId="26639B46">
            <w:pPr>
              <w:keepNext/>
              <w:keepLines w:val="0"/>
              <w:pageBreakBefore w:val="0"/>
              <w:widowControl w:val="0"/>
              <w:kinsoku/>
              <w:overflowPunct/>
              <w:topLinePunct w:val="0"/>
              <w:autoSpaceDE/>
              <w:autoSpaceDN/>
              <w:bidi w:val="0"/>
              <w:snapToGrid w:val="0"/>
              <w:spacing w:before="135" w:line="195" w:lineRule="auto"/>
              <w:ind w:left="105" w:leftChars="50" w:right="283" w:rightChars="0"/>
              <w:textAlignment w:val="auto"/>
              <w:rPr>
                <w:rFonts w:hint="eastAsia" w:ascii="宋体" w:hAnsi="宋体" w:eastAsia="宋体" w:cs="宋体"/>
                <w:color w:val="auto"/>
                <w:spacing w:val="-6"/>
                <w:kern w:val="2"/>
                <w:sz w:val="21"/>
                <w:szCs w:val="21"/>
                <w:highlight w:val="none"/>
                <w:lang w:val="en-US" w:eastAsia="zh-CN" w:bidi="ar-SA"/>
              </w:rPr>
            </w:pPr>
            <w:r>
              <w:rPr>
                <w:rFonts w:hint="eastAsia" w:ascii="宋体" w:hAnsi="宋体" w:eastAsia="宋体" w:cs="宋体"/>
                <w:color w:val="auto"/>
                <w:spacing w:val="3"/>
                <w:sz w:val="21"/>
                <w:szCs w:val="21"/>
                <w:highlight w:val="none"/>
              </w:rPr>
              <w:t>2</w:t>
            </w:r>
            <w:r>
              <w:rPr>
                <w:rFonts w:hint="eastAsia" w:ascii="宋体" w:hAnsi="宋体" w:eastAsia="宋体" w:cs="宋体"/>
                <w:color w:val="auto"/>
                <w:spacing w:val="2"/>
                <w:sz w:val="21"/>
                <w:szCs w:val="21"/>
                <w:highlight w:val="none"/>
              </w:rPr>
              <w:t>5</w:t>
            </w:r>
          </w:p>
        </w:tc>
        <w:tc>
          <w:tcPr>
            <w:tcW w:w="7304" w:type="dxa"/>
            <w:shd w:val="clear" w:color="auto" w:fill="auto"/>
            <w:noWrap w:val="0"/>
            <w:vAlign w:val="top"/>
          </w:tcPr>
          <w:p w14:paraId="6C8D6742">
            <w:pPr>
              <w:keepNext/>
              <w:keepLines w:val="0"/>
              <w:pageBreakBefore w:val="0"/>
              <w:widowControl w:val="0"/>
              <w:kinsoku/>
              <w:overflowPunct/>
              <w:topLinePunct w:val="0"/>
              <w:autoSpaceDE/>
              <w:autoSpaceDN/>
              <w:bidi w:val="0"/>
              <w:snapToGrid w:val="0"/>
              <w:spacing w:before="138" w:line="228" w:lineRule="auto"/>
              <w:ind w:left="105" w:leftChars="50" w:right="283"/>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6"/>
                <w:sz w:val="21"/>
                <w:szCs w:val="21"/>
                <w:highlight w:val="none"/>
              </w:rPr>
              <w:t>为加</w:t>
            </w:r>
            <w:r>
              <w:rPr>
                <w:rFonts w:hint="eastAsia" w:ascii="宋体" w:hAnsi="宋体" w:eastAsia="宋体" w:cs="宋体"/>
                <w:color w:val="auto"/>
                <w:spacing w:val="15"/>
                <w:sz w:val="21"/>
                <w:szCs w:val="21"/>
                <w:highlight w:val="none"/>
              </w:rPr>
              <w:t>强</w:t>
            </w:r>
            <w:r>
              <w:rPr>
                <w:rFonts w:hint="eastAsia" w:ascii="宋体" w:hAnsi="宋体" w:eastAsia="宋体" w:cs="宋体"/>
                <w:color w:val="auto"/>
                <w:spacing w:val="8"/>
                <w:sz w:val="21"/>
                <w:szCs w:val="21"/>
                <w:highlight w:val="none"/>
              </w:rPr>
              <w:t>安全生产管理工作，规范本工程交通封闭作业行为，在合同执行过程中，</w:t>
            </w:r>
            <w:r>
              <w:rPr>
                <w:rFonts w:hint="eastAsia" w:ascii="宋体" w:hAnsi="宋体" w:eastAsia="宋体" w:cs="宋体"/>
                <w:color w:val="auto"/>
                <w:spacing w:val="14"/>
                <w:sz w:val="21"/>
                <w:szCs w:val="21"/>
                <w:highlight w:val="none"/>
              </w:rPr>
              <w:t>结</w:t>
            </w:r>
            <w:r>
              <w:rPr>
                <w:rFonts w:hint="eastAsia" w:ascii="宋体" w:hAnsi="宋体" w:eastAsia="宋体" w:cs="宋体"/>
                <w:color w:val="auto"/>
                <w:spacing w:val="9"/>
                <w:sz w:val="21"/>
                <w:szCs w:val="21"/>
                <w:highlight w:val="none"/>
              </w:rPr>
              <w:t>合项目施工特点，严格按照相关要求开展道路交通封闭施工作业。</w:t>
            </w:r>
          </w:p>
          <w:p w14:paraId="40902B6A">
            <w:pPr>
              <w:keepNext/>
              <w:keepLines w:val="0"/>
              <w:pageBreakBefore w:val="0"/>
              <w:widowControl w:val="0"/>
              <w:kinsoku/>
              <w:overflowPunct/>
              <w:topLinePunct w:val="0"/>
              <w:autoSpaceDE/>
              <w:autoSpaceDN/>
              <w:bidi w:val="0"/>
              <w:snapToGrid w:val="0"/>
              <w:spacing w:before="153" w:line="369" w:lineRule="auto"/>
              <w:ind w:left="105" w:leftChars="50" w:right="283" w:firstLine="207"/>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施</w:t>
            </w:r>
            <w:r>
              <w:rPr>
                <w:rFonts w:hint="eastAsia" w:ascii="宋体" w:hAnsi="宋体" w:eastAsia="宋体" w:cs="宋体"/>
                <w:color w:val="auto"/>
                <w:spacing w:val="12"/>
                <w:sz w:val="21"/>
                <w:szCs w:val="21"/>
                <w:highlight w:val="none"/>
              </w:rPr>
              <w:t>工结束时，承包人必须将因施工而损坏的路面及附属设施恢复到原有良好状</w:t>
            </w:r>
            <w:r>
              <w:rPr>
                <w:rFonts w:hint="eastAsia" w:ascii="宋体" w:hAnsi="宋体" w:eastAsia="宋体" w:cs="宋体"/>
                <w:color w:val="auto"/>
                <w:spacing w:val="14"/>
                <w:sz w:val="21"/>
                <w:szCs w:val="21"/>
                <w:highlight w:val="none"/>
              </w:rPr>
              <w:t>态</w:t>
            </w:r>
            <w:r>
              <w:rPr>
                <w:rFonts w:hint="eastAsia" w:ascii="宋体" w:hAnsi="宋体" w:eastAsia="宋体" w:cs="宋体"/>
                <w:color w:val="auto"/>
                <w:spacing w:val="12"/>
                <w:sz w:val="21"/>
                <w:szCs w:val="21"/>
                <w:highlight w:val="none"/>
              </w:rPr>
              <w:t>。及时施划道路标志、标线，确保道路标志、标线的完整有效。拆除安全隔离</w:t>
            </w:r>
            <w:r>
              <w:rPr>
                <w:rFonts w:hint="eastAsia" w:ascii="宋体" w:hAnsi="宋体" w:eastAsia="宋体" w:cs="宋体"/>
                <w:color w:val="auto"/>
                <w:spacing w:val="14"/>
                <w:sz w:val="21"/>
                <w:szCs w:val="21"/>
                <w:highlight w:val="none"/>
              </w:rPr>
              <w:t>设</w:t>
            </w:r>
            <w:r>
              <w:rPr>
                <w:rFonts w:hint="eastAsia" w:ascii="宋体" w:hAnsi="宋体" w:eastAsia="宋体" w:cs="宋体"/>
                <w:color w:val="auto"/>
                <w:spacing w:val="12"/>
                <w:sz w:val="21"/>
                <w:szCs w:val="21"/>
                <w:highlight w:val="none"/>
              </w:rPr>
              <w:t>施，并报经所在路域分公司、公安交警大队进行验收合格后，方可撤离现场恢</w:t>
            </w:r>
            <w:r>
              <w:rPr>
                <w:rFonts w:hint="eastAsia" w:ascii="宋体" w:hAnsi="宋体" w:eastAsia="宋体" w:cs="宋体"/>
                <w:color w:val="auto"/>
                <w:spacing w:val="7"/>
                <w:sz w:val="21"/>
                <w:szCs w:val="21"/>
                <w:highlight w:val="none"/>
              </w:rPr>
              <w:t>复道路交通</w:t>
            </w:r>
            <w:r>
              <w:rPr>
                <w:rFonts w:hint="eastAsia" w:ascii="宋体" w:hAnsi="宋体" w:eastAsia="宋体" w:cs="宋体"/>
                <w:color w:val="auto"/>
                <w:spacing w:val="5"/>
                <w:sz w:val="21"/>
                <w:szCs w:val="21"/>
                <w:highlight w:val="none"/>
              </w:rPr>
              <w:t>。</w:t>
            </w:r>
          </w:p>
          <w:p w14:paraId="0656FEF8">
            <w:pPr>
              <w:keepNext/>
              <w:keepLines w:val="0"/>
              <w:pageBreakBefore w:val="0"/>
              <w:widowControl w:val="0"/>
              <w:kinsoku/>
              <w:overflowPunct/>
              <w:topLinePunct w:val="0"/>
              <w:autoSpaceDE/>
              <w:autoSpaceDN/>
              <w:bidi w:val="0"/>
              <w:snapToGrid w:val="0"/>
              <w:spacing w:before="1" w:line="368" w:lineRule="auto"/>
              <w:ind w:left="105" w:leftChars="50" w:right="283" w:firstLine="209"/>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工</w:t>
            </w:r>
            <w:r>
              <w:rPr>
                <w:rFonts w:hint="eastAsia" w:ascii="宋体" w:hAnsi="宋体" w:eastAsia="宋体" w:cs="宋体"/>
                <w:color w:val="auto"/>
                <w:spacing w:val="17"/>
                <w:sz w:val="21"/>
                <w:szCs w:val="21"/>
                <w:highlight w:val="none"/>
              </w:rPr>
              <w:t>程</w:t>
            </w:r>
            <w:r>
              <w:rPr>
                <w:rFonts w:hint="eastAsia" w:ascii="宋体" w:hAnsi="宋体" w:eastAsia="宋体" w:cs="宋体"/>
                <w:color w:val="auto"/>
                <w:spacing w:val="10"/>
                <w:sz w:val="21"/>
                <w:szCs w:val="21"/>
                <w:highlight w:val="none"/>
              </w:rPr>
              <w:t>正式开工前，承包人必须向监理及发包人上报详细的交通封闭组织方案，</w:t>
            </w:r>
            <w:r>
              <w:rPr>
                <w:rFonts w:hint="eastAsia" w:ascii="宋体" w:hAnsi="宋体" w:eastAsia="宋体" w:cs="宋体"/>
                <w:color w:val="auto"/>
                <w:spacing w:val="16"/>
                <w:sz w:val="21"/>
                <w:szCs w:val="21"/>
                <w:highlight w:val="none"/>
              </w:rPr>
              <w:t>经</w:t>
            </w:r>
            <w:r>
              <w:rPr>
                <w:rFonts w:hint="eastAsia" w:ascii="宋体" w:hAnsi="宋体" w:eastAsia="宋体" w:cs="宋体"/>
                <w:color w:val="auto"/>
                <w:spacing w:val="11"/>
                <w:sz w:val="21"/>
                <w:szCs w:val="21"/>
                <w:highlight w:val="none"/>
              </w:rPr>
              <w:t>发</w:t>
            </w:r>
            <w:r>
              <w:rPr>
                <w:rFonts w:hint="eastAsia" w:ascii="宋体" w:hAnsi="宋体" w:eastAsia="宋体" w:cs="宋体"/>
                <w:color w:val="auto"/>
                <w:spacing w:val="8"/>
                <w:sz w:val="21"/>
                <w:szCs w:val="21"/>
                <w:highlight w:val="none"/>
              </w:rPr>
              <w:t>包人审核通过后，方可正式施工。</w:t>
            </w:r>
          </w:p>
          <w:p w14:paraId="45E247D3">
            <w:pPr>
              <w:keepNext/>
              <w:keepLines w:val="0"/>
              <w:pageBreakBefore w:val="0"/>
              <w:widowControl w:val="0"/>
              <w:kinsoku/>
              <w:overflowPunct/>
              <w:topLinePunct w:val="0"/>
              <w:autoSpaceDE/>
              <w:autoSpaceDN/>
              <w:bidi w:val="0"/>
              <w:snapToGrid w:val="0"/>
              <w:spacing w:before="2" w:line="369" w:lineRule="auto"/>
              <w:ind w:left="105" w:leftChars="50" w:right="283" w:rightChars="0" w:firstLine="207" w:firstLineChars="0"/>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4"/>
                <w:sz w:val="21"/>
                <w:szCs w:val="21"/>
                <w:highlight w:val="none"/>
              </w:rPr>
              <w:t>承</w:t>
            </w:r>
            <w:r>
              <w:rPr>
                <w:rFonts w:hint="eastAsia" w:ascii="宋体" w:hAnsi="宋体" w:eastAsia="宋体" w:cs="宋体"/>
                <w:color w:val="auto"/>
                <w:spacing w:val="12"/>
                <w:sz w:val="21"/>
                <w:szCs w:val="21"/>
                <w:highlight w:val="none"/>
              </w:rPr>
              <w:t>包人应充分考虑本项目施工过程中执行上述交通封闭作业要求所需的相关费用，且交通封闭规范化作业费用已包含在本合同的相关报价中，发包人将不另行</w:t>
            </w:r>
            <w:r>
              <w:rPr>
                <w:rFonts w:hint="eastAsia" w:ascii="宋体" w:hAnsi="宋体" w:eastAsia="宋体" w:cs="宋体"/>
                <w:color w:val="auto"/>
                <w:spacing w:val="3"/>
                <w:sz w:val="21"/>
                <w:szCs w:val="21"/>
                <w:highlight w:val="none"/>
              </w:rPr>
              <w:t>支付</w:t>
            </w:r>
            <w:r>
              <w:rPr>
                <w:rFonts w:hint="eastAsia" w:ascii="宋体" w:hAnsi="宋体" w:eastAsia="宋体" w:cs="宋体"/>
                <w:color w:val="auto"/>
                <w:spacing w:val="2"/>
                <w:sz w:val="21"/>
                <w:szCs w:val="21"/>
                <w:highlight w:val="none"/>
              </w:rPr>
              <w:t>。</w:t>
            </w:r>
          </w:p>
        </w:tc>
      </w:tr>
      <w:tr w14:paraId="3DCF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noWrap w:val="0"/>
            <w:vAlign w:val="center"/>
          </w:tcPr>
          <w:p w14:paraId="58E436DF">
            <w:pPr>
              <w:pageBreakBefore w:val="0"/>
              <w:kinsoku/>
              <w:wordWrap w:val="0"/>
              <w:bidi w:val="0"/>
              <w:snapToGrid w:val="0"/>
              <w:spacing w:line="36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71</w:t>
            </w:r>
          </w:p>
        </w:tc>
        <w:tc>
          <w:tcPr>
            <w:tcW w:w="1111" w:type="dxa"/>
            <w:shd w:val="clear" w:color="auto" w:fill="auto"/>
            <w:noWrap w:val="0"/>
            <w:vAlign w:val="center"/>
          </w:tcPr>
          <w:p w14:paraId="27AD6509">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补充项目专用合同条款1</w:t>
            </w:r>
          </w:p>
        </w:tc>
        <w:tc>
          <w:tcPr>
            <w:tcW w:w="7304" w:type="dxa"/>
            <w:shd w:val="clear" w:color="auto" w:fill="auto"/>
            <w:noWrap w:val="0"/>
            <w:vAlign w:val="center"/>
          </w:tcPr>
          <w:p w14:paraId="76F941D7">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承包人应按合同要求确保建设工期，按批准的施工组织设计、设备、材料、人员进场，延迟开工或因承包人资金不足、进场慢、组织不力、工期利用不当等原因，未能按合同工期保质保量完成所承担的工程施工任务，每拖延一天，承包人应支付2万元/天逾期完工违约金，逾期完工违约金限额为10%签约合同价。工程竣工结算时核减相应工程投资，将在最终合同中扣除相应金额。</w:t>
            </w:r>
          </w:p>
        </w:tc>
      </w:tr>
      <w:tr w14:paraId="7386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center"/>
          </w:tcPr>
          <w:p w14:paraId="545046D3">
            <w:pPr>
              <w:pageBreakBefore w:val="0"/>
              <w:kinsoku/>
              <w:wordWrap w:val="0"/>
              <w:bidi w:val="0"/>
              <w:snapToGrid w:val="0"/>
              <w:spacing w:line="360" w:lineRule="atLeast"/>
              <w:jc w:val="center"/>
              <w:rPr>
                <w:rFonts w:hint="default" w:cs="Times New Roman"/>
                <w:color w:val="auto"/>
                <w:szCs w:val="21"/>
                <w:highlight w:val="none"/>
                <w:lang w:val="en-US" w:eastAsia="zh-CN"/>
              </w:rPr>
            </w:pPr>
            <w:bookmarkStart w:id="1707" w:name="_Toc234833222"/>
            <w:r>
              <w:rPr>
                <w:rFonts w:hint="eastAsia" w:cs="Times New Roman"/>
                <w:color w:val="auto"/>
                <w:szCs w:val="21"/>
                <w:highlight w:val="none"/>
                <w:lang w:val="en-US" w:eastAsia="zh-CN"/>
              </w:rPr>
              <w:t>72</w:t>
            </w:r>
          </w:p>
        </w:tc>
        <w:tc>
          <w:tcPr>
            <w:tcW w:w="1111" w:type="dxa"/>
            <w:shd w:val="clear" w:color="auto" w:fill="auto"/>
            <w:noWrap w:val="0"/>
            <w:vAlign w:val="center"/>
          </w:tcPr>
          <w:p w14:paraId="37B1BEE0">
            <w:pPr>
              <w:pageBreakBefore w:val="0"/>
              <w:kinsoku/>
              <w:wordWrap w:val="0"/>
              <w:bidi w:val="0"/>
              <w:snapToGrid w:val="0"/>
              <w:spacing w:line="360" w:lineRule="atLeast"/>
              <w:jc w:val="center"/>
              <w:rPr>
                <w:rFonts w:hint="default" w:ascii="Times New Roman" w:hAnsi="Times New Roman" w:cs="Times New Roman"/>
                <w:color w:val="auto"/>
                <w:szCs w:val="21"/>
                <w:highlight w:val="none"/>
                <w:lang w:val="en-US"/>
              </w:rPr>
            </w:pPr>
            <w:r>
              <w:rPr>
                <w:rFonts w:hint="eastAsia" w:cs="Times New Roman"/>
                <w:color w:val="auto"/>
                <w:kern w:val="2"/>
                <w:sz w:val="21"/>
                <w:szCs w:val="21"/>
                <w:highlight w:val="none"/>
                <w:lang w:val="en-US" w:eastAsia="zh-CN" w:bidi="ar-SA"/>
              </w:rPr>
              <w:t>补充项目专用合同条款2</w:t>
            </w:r>
          </w:p>
        </w:tc>
        <w:tc>
          <w:tcPr>
            <w:tcW w:w="7304" w:type="dxa"/>
            <w:shd w:val="clear" w:color="auto" w:fill="auto"/>
            <w:noWrap w:val="0"/>
            <w:vAlign w:val="center"/>
          </w:tcPr>
          <w:p w14:paraId="395A89D1">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除不可抗力因素外，承包人未能按合同进度计划及时完成合同约定的工作，已造成或预期造成工期延误，发包人可视承包人违约的具体行为和严重程度采取下列措施：</w:t>
            </w:r>
          </w:p>
          <w:p w14:paraId="3543D7A0">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发包人可按不超过签约合同价10%的金额扣缴承包人违约金，即使交纳了违约金，承包人仍应按合同规定继续实施和完成本合同工程及其缺陷修复；若承包人未经批准擅自撤离工地，发包人除扣除承包人的全部履约担保和剩余工程款项之外，并不承担承包人与其它承包人、供货商等的经济纠纷和法律责任，也不赔偿任何费用；</w:t>
            </w:r>
          </w:p>
          <w:p w14:paraId="33F33874">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2.发包人可雇用其他承包人完成部分工程。承包人无权提出反对意见并应按合同规定完成合同工程其余部分的施工和缺陷修复。在这种情况下，发包人向承包人支付的合同价格中不应包括由其他承包人完成的那部分工程的价格。监理人应确定由于承包人违约而给发包人造成的费用增加和其他损失，报发包人批准后从应付或到期应付给承包人的款项中扣除，监理人应将上述决定通知承包人，并抄送发包人；</w:t>
            </w:r>
          </w:p>
          <w:p w14:paraId="0A153FF7">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 3.发包人在向承包人发出书面通知的14 天之后可以进驻现场和接管工程，终止承包人对本合同工程的承包，但不因此解除合同规定的承包人的任何义务和责任，或影响合同赋予发包人或监理人的各种权利和权限。发包人可自行完成该工程，或邀请其他承包人完成该工程。发包人或其他承包人为了完成本工程可以使用任何的承包人设备、临时工程和材料。</w:t>
            </w:r>
          </w:p>
        </w:tc>
      </w:tr>
      <w:tr w14:paraId="3497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9" w:type="dxa"/>
            <w:shd w:val="clear" w:color="auto" w:fill="auto"/>
            <w:noWrap w:val="0"/>
            <w:vAlign w:val="center"/>
          </w:tcPr>
          <w:p w14:paraId="2D6359D3">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73</w:t>
            </w:r>
          </w:p>
        </w:tc>
        <w:tc>
          <w:tcPr>
            <w:tcW w:w="1111" w:type="dxa"/>
            <w:shd w:val="clear" w:color="auto" w:fill="auto"/>
            <w:noWrap w:val="0"/>
            <w:vAlign w:val="center"/>
          </w:tcPr>
          <w:p w14:paraId="0775EE5F">
            <w:pPr>
              <w:pageBreakBefore w:val="0"/>
              <w:kinsoku/>
              <w:wordWrap w:val="0"/>
              <w:bidi w:val="0"/>
              <w:snapToGrid w:val="0"/>
              <w:spacing w:line="36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rPr>
              <w:t>24.1</w:t>
            </w:r>
          </w:p>
        </w:tc>
        <w:tc>
          <w:tcPr>
            <w:tcW w:w="7304" w:type="dxa"/>
            <w:shd w:val="clear" w:color="auto" w:fill="auto"/>
            <w:noWrap w:val="0"/>
            <w:vAlign w:val="center"/>
          </w:tcPr>
          <w:p w14:paraId="17DDE9A7">
            <w:pPr>
              <w:pageBreakBefore w:val="0"/>
              <w:kinsoku/>
              <w:wordWrap w:val="0"/>
              <w:bidi w:val="0"/>
              <w:spacing w:line="360" w:lineRule="atLeast"/>
              <w:ind w:left="-17" w:leftChars="-8" w:firstLine="237" w:firstLineChars="113"/>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争议的最终解决方式：</w:t>
            </w:r>
            <w:r>
              <w:rPr>
                <w:rFonts w:hint="default" w:ascii="Times New Roman" w:hAnsi="Times New Roman" w:cs="Times New Roman"/>
                <w:color w:val="auto"/>
                <w:szCs w:val="21"/>
                <w:highlight w:val="none"/>
                <w:u w:val="single"/>
              </w:rPr>
              <w:t xml:space="preserve">  </w:t>
            </w:r>
            <w:r>
              <w:rPr>
                <w:szCs w:val="21"/>
                <w:highlight w:val="none"/>
                <w:u w:val="single"/>
              </w:rPr>
              <w:t xml:space="preserve">诉讼  </w:t>
            </w:r>
          </w:p>
          <w:p w14:paraId="527CBE4B">
            <w:pPr>
              <w:pStyle w:val="26"/>
              <w:pageBreakBefore w:val="0"/>
              <w:tabs>
                <w:tab w:val="clear" w:pos="4153"/>
                <w:tab w:val="clear" w:pos="8306"/>
              </w:tabs>
              <w:kinsoku/>
              <w:wordWrap w:val="0"/>
              <w:bidi w:val="0"/>
              <w:spacing w:line="360" w:lineRule="atLeast"/>
              <w:ind w:firstLine="237" w:firstLineChars="113"/>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如采用仲裁，仲裁委员会名称：</w:t>
            </w:r>
            <w:r>
              <w:rPr>
                <w:rFonts w:hint="default" w:ascii="Times New Roman" w:hAnsi="Times New Roman" w:cs="Times New Roman"/>
                <w:color w:val="auto"/>
                <w:sz w:val="21"/>
                <w:szCs w:val="21"/>
                <w:highlight w:val="none"/>
                <w:u w:val="single"/>
              </w:rPr>
              <w:t xml:space="preserve"> </w:t>
            </w:r>
            <w:r>
              <w:rPr>
                <w:rFonts w:hint="eastAsia" w:cs="Times New Roman"/>
                <w:color w:val="auto"/>
                <w:sz w:val="21"/>
                <w:szCs w:val="21"/>
                <w:highlight w:val="none"/>
                <w:u w:val="single"/>
                <w:lang w:val="en-US" w:eastAsia="zh-CN"/>
              </w:rPr>
              <w:t>/</w:t>
            </w:r>
            <w:r>
              <w:rPr>
                <w:rFonts w:hint="default" w:ascii="Times New Roman" w:hAnsi="Times New Roman" w:cs="Times New Roman"/>
                <w:color w:val="auto"/>
                <w:sz w:val="21"/>
                <w:szCs w:val="21"/>
                <w:highlight w:val="none"/>
                <w:u w:val="single"/>
              </w:rPr>
              <w:t xml:space="preserve">      </w:t>
            </w:r>
          </w:p>
        </w:tc>
      </w:tr>
    </w:tbl>
    <w:p w14:paraId="63A1F394">
      <w:pPr>
        <w:pStyle w:val="2"/>
        <w:pageBreakBefore w:val="0"/>
        <w:kinsoku/>
        <w:wordWrap w:val="0"/>
        <w:bidi w:val="0"/>
        <w:spacing w:before="240" w:after="240" w:line="380" w:lineRule="atLeast"/>
        <w:jc w:val="center"/>
        <w:outlineLvl w:val="9"/>
        <w:rPr>
          <w:rFonts w:hint="default" w:ascii="Times New Roman" w:hAnsi="Times New Roman" w:eastAsia="黑体" w:cs="Times New Roman"/>
          <w:b w:val="0"/>
          <w:color w:val="auto"/>
          <w:sz w:val="32"/>
          <w:szCs w:val="32"/>
          <w:highlight w:val="none"/>
        </w:rPr>
        <w:sectPr>
          <w:headerReference r:id="rId33" w:type="default"/>
          <w:footerReference r:id="rId35" w:type="default"/>
          <w:headerReference r:id="rId34" w:type="even"/>
          <w:footerReference r:id="rId36"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03B260E6">
      <w:pPr>
        <w:pStyle w:val="2"/>
        <w:pageBreakBefore w:val="0"/>
        <w:kinsoku/>
        <w:wordWrap w:val="0"/>
        <w:bidi w:val="0"/>
        <w:spacing w:before="240" w:after="240" w:line="380" w:lineRule="atLeast"/>
        <w:jc w:val="center"/>
        <w:rPr>
          <w:rFonts w:hint="default" w:ascii="Times New Roman" w:hAnsi="Times New Roman" w:eastAsia="黑体" w:cs="Times New Roman"/>
          <w:b w:val="0"/>
          <w:color w:val="auto"/>
          <w:sz w:val="32"/>
          <w:szCs w:val="32"/>
          <w:highlight w:val="none"/>
        </w:rPr>
      </w:pPr>
      <w:bookmarkStart w:id="1708" w:name="_Toc28935"/>
      <w:bookmarkStart w:id="1709" w:name="_Toc206"/>
      <w:bookmarkStart w:id="1710" w:name="_Toc21888"/>
      <w:bookmarkStart w:id="1711" w:name="_Toc1829"/>
      <w:r>
        <w:rPr>
          <w:rFonts w:hint="default" w:ascii="Times New Roman" w:hAnsi="Times New Roman" w:eastAsia="黑体" w:cs="Times New Roman"/>
          <w:b w:val="0"/>
          <w:color w:val="auto"/>
          <w:sz w:val="32"/>
          <w:szCs w:val="32"/>
          <w:highlight w:val="none"/>
        </w:rPr>
        <w:t>项目专用合同条款</w:t>
      </w:r>
      <w:bookmarkEnd w:id="1707"/>
      <w:bookmarkEnd w:id="1708"/>
      <w:r>
        <w:rPr>
          <w:rStyle w:val="47"/>
          <w:rFonts w:hint="default" w:ascii="Times New Roman" w:hAnsi="Times New Roman" w:eastAsia="黑体" w:cs="Times New Roman"/>
          <w:b w:val="0"/>
          <w:color w:val="auto"/>
          <w:sz w:val="32"/>
          <w:szCs w:val="32"/>
          <w:highlight w:val="none"/>
        </w:rPr>
        <w:footnoteReference w:id="38"/>
      </w:r>
      <w:bookmarkEnd w:id="1709"/>
      <w:bookmarkEnd w:id="1710"/>
      <w:bookmarkEnd w:id="1711"/>
    </w:p>
    <w:p w14:paraId="29D9FA9B">
      <w:pPr>
        <w:pageBreakBefore w:val="0"/>
        <w:kinsoku/>
        <w:wordWrap w:val="0"/>
        <w:bidi w:val="0"/>
        <w:rPr>
          <w:rFonts w:hint="default" w:ascii="Times New Roman" w:hAnsi="Times New Roman" w:cs="Times New Roman"/>
          <w:color w:val="auto"/>
          <w:highlight w:val="none"/>
        </w:rPr>
      </w:pPr>
    </w:p>
    <w:p w14:paraId="2A4CB0C8">
      <w:pPr>
        <w:pStyle w:val="17"/>
        <w:pageBreakBefore w:val="0"/>
        <w:kinsoku/>
        <w:wordWrap w:val="0"/>
        <w:bidi w:val="0"/>
        <w:snapToGrid w:val="0"/>
        <w:spacing w:after="0" w:line="400" w:lineRule="atLeast"/>
        <w:ind w:left="660" w:leftChars="0" w:hanging="660" w:hangingChars="275"/>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说明：</w:t>
      </w:r>
      <w:r>
        <w:rPr>
          <w:rFonts w:hint="default" w:ascii="Times New Roman" w:hAnsi="Times New Roman" w:eastAsia="楷体_GB2312" w:cs="Times New Roman"/>
          <w:color w:val="auto"/>
          <w:sz w:val="24"/>
          <w:highlight w:val="none"/>
        </w:rPr>
        <w:t>本部分所列的项目专用合同条款是对</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公路工程专用合同条款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中规定必须在项目专用合同条款中明确的内容的集中，招标人编制的</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项目专用合同条款</w:t>
      </w:r>
      <w:r>
        <w:rPr>
          <w:rFonts w:hint="eastAsia" w:ascii="宋体" w:hAnsi="宋体" w:eastAsia="宋体" w:cs="宋体"/>
          <w:color w:val="auto"/>
          <w:sz w:val="24"/>
          <w:highlight w:val="none"/>
        </w:rPr>
        <w:t>”</w:t>
      </w:r>
      <w:r>
        <w:rPr>
          <w:rFonts w:hint="default" w:ascii="Times New Roman" w:hAnsi="Times New Roman" w:eastAsia="楷体_GB2312" w:cs="Times New Roman"/>
          <w:color w:val="auto"/>
          <w:sz w:val="24"/>
          <w:highlight w:val="none"/>
        </w:rPr>
        <w:t>不限于本部分所列内容。</w:t>
      </w:r>
    </w:p>
    <w:p w14:paraId="5F479ED4">
      <w:pPr>
        <w:pStyle w:val="2"/>
        <w:pageBreakBefore w:val="0"/>
        <w:kinsoku/>
        <w:wordWrap w:val="0"/>
        <w:bidi w:val="0"/>
        <w:spacing w:before="240" w:after="240" w:line="380" w:lineRule="atLeast"/>
        <w:rPr>
          <w:rFonts w:hint="default" w:ascii="Times New Roman" w:hAnsi="Times New Roman" w:eastAsia="黑体" w:cs="Times New Roman"/>
          <w:b w:val="0"/>
          <w:color w:val="auto"/>
          <w:sz w:val="24"/>
          <w:szCs w:val="24"/>
          <w:highlight w:val="none"/>
        </w:rPr>
      </w:pPr>
      <w:bookmarkStart w:id="1712" w:name="_Toc23600"/>
      <w:bookmarkStart w:id="1713" w:name="_Toc22768"/>
      <w:bookmarkStart w:id="1714" w:name="_Toc5802"/>
      <w:bookmarkStart w:id="1715" w:name="_Toc3467"/>
      <w:bookmarkStart w:id="1716" w:name="_Toc234833223"/>
      <w:r>
        <w:rPr>
          <w:rFonts w:hint="default" w:ascii="Times New Roman" w:hAnsi="Times New Roman" w:eastAsia="黑体" w:cs="Times New Roman"/>
          <w:b w:val="0"/>
          <w:color w:val="auto"/>
          <w:sz w:val="24"/>
          <w:szCs w:val="24"/>
          <w:highlight w:val="none"/>
        </w:rPr>
        <w:t>4.1 承包人的一般义务</w:t>
      </w:r>
      <w:bookmarkEnd w:id="1712"/>
      <w:bookmarkEnd w:id="1713"/>
      <w:bookmarkEnd w:id="1714"/>
      <w:bookmarkEnd w:id="1715"/>
      <w:bookmarkEnd w:id="1716"/>
    </w:p>
    <w:p w14:paraId="780F884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17" w:name="_Toc18399"/>
      <w:bookmarkStart w:id="1718" w:name="_Toc121"/>
      <w:bookmarkStart w:id="1719" w:name="_Toc21641"/>
      <w:bookmarkStart w:id="1720" w:name="_Toc12950"/>
      <w:bookmarkStart w:id="1721" w:name="_Toc234833224"/>
      <w:r>
        <w:rPr>
          <w:rFonts w:hint="default" w:ascii="Times New Roman" w:hAnsi="Times New Roman" w:eastAsia="宋体" w:cs="Times New Roman"/>
          <w:bCs w:val="0"/>
          <w:color w:val="auto"/>
          <w:kern w:val="2"/>
          <w:sz w:val="24"/>
          <w:szCs w:val="24"/>
          <w:highlight w:val="none"/>
          <w:lang w:val="en-US" w:eastAsia="zh-CN" w:bidi="ar-SA"/>
        </w:rPr>
        <w:t>4.</w:t>
      </w:r>
      <w:r>
        <w:rPr>
          <w:rFonts w:hint="eastAsia" w:ascii="Times New Roman" w:hAnsi="Times New Roman" w:eastAsia="宋体" w:cs="Times New Roman"/>
          <w:bCs w:val="0"/>
          <w:color w:val="auto"/>
          <w:kern w:val="2"/>
          <w:sz w:val="24"/>
          <w:szCs w:val="24"/>
          <w:highlight w:val="none"/>
          <w:lang w:val="en-US" w:eastAsia="zh-CN" w:bidi="ar-SA"/>
        </w:rPr>
        <w:t>6</w:t>
      </w:r>
      <w:r>
        <w:rPr>
          <w:rFonts w:hint="default" w:ascii="Times New Roman" w:hAnsi="Times New Roman" w:eastAsia="宋体" w:cs="Times New Roman"/>
          <w:bCs w:val="0"/>
          <w:color w:val="auto"/>
          <w:kern w:val="2"/>
          <w:sz w:val="24"/>
          <w:szCs w:val="24"/>
          <w:highlight w:val="none"/>
          <w:lang w:val="en-US" w:eastAsia="zh-CN" w:bidi="ar-SA"/>
        </w:rPr>
        <w:t xml:space="preserve"> 承包人人员的管理</w:t>
      </w:r>
      <w:bookmarkEnd w:id="1717"/>
    </w:p>
    <w:p w14:paraId="3195E86C">
      <w:pPr>
        <w:pageBreakBefore w:val="0"/>
        <w:kinsoku/>
        <w:wordWrap/>
        <w:bidi w:val="0"/>
        <w:spacing w:before="240" w:after="240" w:line="420" w:lineRule="exact"/>
        <w:ind w:firstLine="480" w:firstLineChars="200"/>
        <w:rPr>
          <w:rFonts w:hint="eastAsia"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4.6.6 </w:t>
      </w:r>
      <w:r>
        <w:rPr>
          <w:rFonts w:hint="eastAsia" w:ascii="Times New Roman" w:hAnsi="Times New Roman" w:eastAsia="宋体" w:cs="Times New Roman"/>
          <w:bCs w:val="0"/>
          <w:color w:val="auto"/>
          <w:kern w:val="2"/>
          <w:sz w:val="24"/>
          <w:szCs w:val="24"/>
          <w:highlight w:val="none"/>
          <w:lang w:val="en-US" w:eastAsia="zh-CN" w:bidi="ar-SA"/>
        </w:rPr>
        <w:t>承包人（总承包单位和分包单位）</w:t>
      </w:r>
      <w:r>
        <w:rPr>
          <w:rFonts w:hint="default" w:ascii="Times New Roman" w:hAnsi="Times New Roman" w:eastAsia="宋体" w:cs="Times New Roman"/>
          <w:bCs w:val="0"/>
          <w:color w:val="auto"/>
          <w:kern w:val="2"/>
          <w:sz w:val="24"/>
          <w:szCs w:val="24"/>
          <w:highlight w:val="none"/>
          <w:lang w:val="en-US" w:eastAsia="zh-CN" w:bidi="ar-SA"/>
        </w:rPr>
        <w:t>应严格执行辽宁省交通运输厅关于印发《辽宁省公路工程施工现场主要人员履约监督管理办法》的通知</w:t>
      </w:r>
      <w:r>
        <w:rPr>
          <w:rFonts w:hint="eastAsia" w:ascii="Times New Roman" w:hAnsi="Times New Roman" w:eastAsia="宋体" w:cs="Times New Roman"/>
          <w:bCs w:val="0"/>
          <w:color w:val="auto"/>
          <w:kern w:val="2"/>
          <w:sz w:val="24"/>
          <w:szCs w:val="24"/>
          <w:highlight w:val="none"/>
          <w:lang w:val="en-US" w:eastAsia="zh-CN" w:bidi="ar-SA"/>
        </w:rPr>
        <w:t>（辽交公路规﹝2025﹞3号）中关于主要人员履约考核管理的规定。</w:t>
      </w:r>
      <w:bookmarkStart w:id="1722" w:name="_Toc9683"/>
    </w:p>
    <w:p w14:paraId="16793B1D">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4.11 不利物质条件</w:t>
      </w:r>
      <w:bookmarkEnd w:id="1718"/>
      <w:bookmarkEnd w:id="1719"/>
      <w:bookmarkEnd w:id="1720"/>
      <w:bookmarkEnd w:id="1721"/>
      <w:bookmarkEnd w:id="1722"/>
    </w:p>
    <w:p w14:paraId="2F170A25">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23" w:name="_Toc18605"/>
      <w:bookmarkStart w:id="1724" w:name="_Toc6510"/>
      <w:bookmarkStart w:id="1725" w:name="_Toc1967"/>
      <w:bookmarkStart w:id="1726" w:name="_Toc234833225"/>
      <w:bookmarkStart w:id="1727" w:name="_Toc9469"/>
      <w:r>
        <w:rPr>
          <w:rFonts w:hint="default" w:ascii="Times New Roman" w:hAnsi="Times New Roman" w:eastAsia="宋体" w:cs="Times New Roman"/>
          <w:bCs w:val="0"/>
          <w:color w:val="auto"/>
          <w:kern w:val="2"/>
          <w:sz w:val="24"/>
          <w:szCs w:val="24"/>
          <w:highlight w:val="none"/>
          <w:lang w:val="en-US" w:eastAsia="zh-CN" w:bidi="ar-SA"/>
        </w:rPr>
        <w:t>本项(1)目补充：</w:t>
      </w:r>
    </w:p>
    <w:p w14:paraId="47B63EA9">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(1)承包人应根据工程实际情况确定临时占地最长使用期限，临时占地的租地费用 的计量和支付：  详见《项目专用合同条款数据表》</w:t>
      </w:r>
    </w:p>
    <w:p w14:paraId="5F264848">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本项(3)目补充：</w:t>
      </w:r>
    </w:p>
    <w:p w14:paraId="1535B771">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承包人对于农民工工资的发放应严格遵守的规定： 详见《项目专用合同条款数据 表 》  °</w:t>
      </w:r>
    </w:p>
    <w:p w14:paraId="667D50FC">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本项(6)目约定为：</w:t>
      </w:r>
    </w:p>
    <w:p w14:paraId="525ADAE7">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(6)承包人还应履行本目约定的义务，除另有约定外，承包人因履行如下义务所发 生的费用应认为已含入其他支付项中，</w:t>
      </w:r>
      <w:r>
        <w:rPr>
          <w:rFonts w:hint="eastAsia" w:cs="Times New Roman"/>
          <w:bCs w:val="0"/>
          <w:color w:val="auto"/>
          <w:kern w:val="2"/>
          <w:sz w:val="24"/>
          <w:szCs w:val="24"/>
          <w:highlight w:val="none"/>
          <w:lang w:val="en-US" w:eastAsia="zh-CN" w:bidi="ar-SA"/>
        </w:rPr>
        <w:t>招标人</w:t>
      </w:r>
      <w:r>
        <w:rPr>
          <w:rFonts w:hint="default" w:ascii="Times New Roman" w:hAnsi="Times New Roman" w:eastAsia="宋体" w:cs="Times New Roman"/>
          <w:bCs w:val="0"/>
          <w:color w:val="auto"/>
          <w:kern w:val="2"/>
          <w:sz w:val="24"/>
          <w:szCs w:val="24"/>
          <w:highlight w:val="none"/>
          <w:lang w:val="en-US" w:eastAsia="zh-CN" w:bidi="ar-SA"/>
        </w:rPr>
        <w:t>不另行支付：</w:t>
      </w:r>
    </w:p>
    <w:p w14:paraId="2F192B1D">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a.  承包人应接受质监机构对其工程施工质量的监督与检查，凡工程质量不合格的工 程发包人将不验收、不支付，并由承包人自费拆除重建。</w:t>
      </w:r>
    </w:p>
    <w:p w14:paraId="1FEBE11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b. 如现场遇有重大问题或应发包人的要求，承包人的法定代表人和相关的技术、财 务等主要人员应及时到达施工现场，协调、解决重大问题。</w:t>
      </w:r>
    </w:p>
    <w:p w14:paraId="24FE4F42">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c.承包人与本合同段的分包、雇用劳务、运输、供料等委托单位之间发生的经济纠 纷，应由承包人承担一切经济和法律责任。承包人因承担实施其他项目工程引起的经济 纠纷，应采取必要措施，不得牵连干扰本项目。</w:t>
      </w:r>
    </w:p>
    <w:p w14:paraId="025C197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d. 承包人应负责处理好施工现场的邻里关系，确保人员、材料、设备的进出场，以 及施工的顺利进行。如在施工过程中由于承包人与周边单位或个人的关系处理不当造成 了阻工和停工，承包人应自行负责解决。发包人的配合协助协调工作并不免除承包人自 行解决矛盾的责任。</w:t>
      </w:r>
    </w:p>
    <w:p w14:paraId="71668647">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e. 凡是合同段内与各种公共设施有交叉、干扰的地段，承包人应在不干扰相关设施 运营的前提下合理安排施工组织计划，采取有效措施保证运营需求和施工安全。如因承 包人采取的措施不力，而给其它部门或个人造成损失，或由上述原因造成本工程工期的 拖延或施工费用的增加，均由承包人自行负责。</w:t>
      </w:r>
    </w:p>
    <w:p w14:paraId="2277D058">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f. 多个施工单位在同一区域施工时，监理人有权协调工程的实施并对工程的衔接提 出指示，承包人应在监理人的统一协调下工作。</w:t>
      </w:r>
    </w:p>
    <w:p w14:paraId="2507AAEF">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g.  有关单位对本项目的各种检查和视察等活动，承包人有义务予以积极配合。</w:t>
      </w:r>
    </w:p>
    <w:p w14:paraId="0D8E2E88">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h. 承包人在购买工程施工所需地平材料时，因地平材料的采集、购买引起的一切经 济、法律争端全部由承包人负责。</w:t>
      </w:r>
    </w:p>
    <w:p w14:paraId="16F1FEB8">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i. 承包人应对设计文件进行认真的审核和校对，及时发现设计图纸中常识性错误， 否则由此造成的返工，承包人承担全部责任并承担返工费用。</w:t>
      </w:r>
    </w:p>
    <w:p w14:paraId="44B4897B">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j.  承包人在施工过程中必须采取有效措施保证临时排水畅通，由于承包人原因造成 的水毁、水淹农田等一切经济损失由承包人承担。</w:t>
      </w:r>
    </w:p>
    <w:p w14:paraId="2F169852">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k. 由于承包人原因引起的法律纠纷，由承包人自行解决；在法律纠纷中，承包人不 得以质量保证金作为抵押；因承包人原因引起的法律纠纷影响发包人正常工作时，按承 包人违约处理。</w:t>
      </w:r>
    </w:p>
    <w:p w14:paraId="741ADED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1.承包人应做好施工期的环境保护、水土保持和文物保护，由此产生的费用以及引 起的与外界的所有争端、索赔责任均由承包人承担。</w:t>
      </w:r>
    </w:p>
    <w:p w14:paraId="4010C927">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m. 未经发包人同意，承包人不得将施工现场用于本工程施工以外的目的，不得将永 久占地作为生产(办公)、生活等临时设施用地。</w:t>
      </w:r>
    </w:p>
    <w:p w14:paraId="3E282CDC">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n. 本工程项目有关的各类统计报表和汇报材料包括项目后评价报告，承包人有义务 配合发包人做好编制工作并提供相应的资料。</w:t>
      </w:r>
    </w:p>
    <w:p w14:paraId="7E376B56">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o.  承包人应按发包人和有关文件要求，建立相应的计量、支付和变更台帐，同时承 包人应配合发包人建立相应的台帐，发包人、承包人、监理人三方各自的台帐应相应保 持一致并保持其持续有效直至工程结算完成。</w:t>
      </w:r>
    </w:p>
    <w:p w14:paraId="11DF065E">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p.  施工工艺要求</w:t>
      </w:r>
    </w:p>
    <w:p w14:paraId="1078AD36">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承包人应采取一切必要的措施，严格执行施工过程中发包人下发的施工技术指导意 见和技术规范的各项规定，以保证达到合同规定的质量要求。</w:t>
      </w:r>
    </w:p>
    <w:p w14:paraId="29669C63">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q. 承包人应按发包人的要求配合发包人进行的科研和试验课题研究，提供必要的试 验场地、设备及人员等，并将其详细成果资料报发包人备案。承包人的工地试验室的试 验检测必须遵守各级交通运输主管部门的相关规定，监理人在必要时可以无偿使用承包 人的试验检测设备。</w:t>
      </w:r>
    </w:p>
    <w:p w14:paraId="76F68471">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r.承包人应对发包人的机密资料以及完成的阶段性、成果性文件承担保密义务，并 自愿承担泄密的法律责任，如因承包人违反上述约定给发包人造成损失的，承包人应承 担相关的法律及经济责任。</w:t>
      </w:r>
    </w:p>
    <w:p w14:paraId="6711C619">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s.  承包人应严格遵守国家及项目所在地相关的法律法规及各项规定，因承包人自身 原因违规所产生的一切直接或间接责任、经济纠纷均由承包人自行承担。</w:t>
      </w:r>
    </w:p>
    <w:p w14:paraId="7B5154F5">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t.项目审计、检查、管理等的配合</w:t>
      </w:r>
    </w:p>
    <w:p w14:paraId="2DFB18E7">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(a) 与本工程项目相关的审计和检查，承包人应委派专人积极予以配合，对审计 和检查提出的有关意见及时整改。</w:t>
      </w:r>
    </w:p>
    <w:p w14:paraId="56093D5F">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(b)与本工程项目有关的各类统计报表、管理台账、总结报告等，承包人应配合 发包人做好编制工作并提供相应的资料。</w:t>
      </w:r>
    </w:p>
    <w:p w14:paraId="76462F61">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10.1 合同进度计划</w:t>
      </w:r>
      <w:bookmarkEnd w:id="1723"/>
      <w:bookmarkEnd w:id="1724"/>
      <w:bookmarkEnd w:id="1725"/>
      <w:bookmarkEnd w:id="1726"/>
      <w:bookmarkEnd w:id="1727"/>
    </w:p>
    <w:p w14:paraId="3A90DCD2">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承包人编制施工方案的内容：详见《项目专用合同条款数据表》 </w:t>
      </w:r>
    </w:p>
    <w:p w14:paraId="22EFC605">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28" w:name="_Toc234833226"/>
      <w:bookmarkStart w:id="1729" w:name="_Toc12199"/>
      <w:bookmarkStart w:id="1730" w:name="_Toc5467"/>
      <w:bookmarkStart w:id="1731" w:name="_Toc19055"/>
      <w:bookmarkStart w:id="1732" w:name="_Toc24011"/>
      <w:r>
        <w:rPr>
          <w:rFonts w:hint="default" w:ascii="Times New Roman" w:hAnsi="Times New Roman" w:eastAsia="宋体" w:cs="Times New Roman"/>
          <w:bCs w:val="0"/>
          <w:color w:val="auto"/>
          <w:kern w:val="2"/>
          <w:sz w:val="24"/>
          <w:szCs w:val="24"/>
          <w:highlight w:val="none"/>
          <w:lang w:val="en-US" w:eastAsia="zh-CN" w:bidi="ar-SA"/>
        </w:rPr>
        <w:t>11.4异常恶劣的气候条件</w:t>
      </w:r>
      <w:bookmarkEnd w:id="1728"/>
      <w:bookmarkEnd w:id="1729"/>
      <w:bookmarkEnd w:id="1730"/>
      <w:bookmarkEnd w:id="1731"/>
      <w:bookmarkEnd w:id="1732"/>
    </w:p>
    <w:p w14:paraId="179CA8C7">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33" w:name="_Toc3031"/>
      <w:bookmarkStart w:id="1734" w:name="_Toc9009"/>
      <w:bookmarkStart w:id="1735" w:name="_Toc234833227"/>
      <w:bookmarkStart w:id="1736" w:name="_Toc3471"/>
      <w:bookmarkStart w:id="1737" w:name="_Toc27699"/>
      <w:r>
        <w:rPr>
          <w:rFonts w:hint="default" w:ascii="Times New Roman" w:hAnsi="Times New Roman" w:eastAsia="宋体" w:cs="Times New Roman"/>
          <w:bCs w:val="0"/>
          <w:color w:val="auto"/>
          <w:kern w:val="2"/>
          <w:sz w:val="24"/>
          <w:szCs w:val="24"/>
          <w:highlight w:val="none"/>
          <w:lang w:val="en-US" w:eastAsia="zh-CN" w:bidi="ar-SA"/>
        </w:rPr>
        <w:t>本款细化为：</w:t>
      </w:r>
    </w:p>
    <w:p w14:paraId="6FF3A8C6">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异常气候是指项目所在地30年以上一遇的罕见气候现象(包括温度、降水、降雪、 风等)。异常恶劣的气候条件，指发生烈度八度(含八度)以上地震、龙卷风、工地受 淹超过桥梁设计洪水水位以及不利的降水等引起的延误的情况。</w:t>
      </w:r>
    </w:p>
    <w:p w14:paraId="2B7C200F">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上述不利降水的衡量标准如下：</w:t>
      </w:r>
    </w:p>
    <w:p w14:paraId="3B6B1D91">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a.  按本省气象部门统计的降水资料，取最近二十年的平均降水天数为标准；</w:t>
      </w:r>
    </w:p>
    <w:p w14:paraId="29A2E318">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b. 按实际统计的年降水天数与a 所指的年降水天数之差，每年计算一次；监理人将 根据承包人的申请予以评定，监理人评定恶劣气候对工程的影响还将考虑用施工期限内 其它月份的异常良好的气候的时间予以补偿。异常气候在每一个月对工程进度影响的评 定应在整个合同期内予以累计。</w:t>
      </w:r>
    </w:p>
    <w:p w14:paraId="376BC070">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c.  不考虑每一降水过程后所影响的施工时间。</w:t>
      </w:r>
    </w:p>
    <w:p w14:paraId="1BE6B2FD">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12.1 承包人暂停施工的责任</w:t>
      </w:r>
      <w:bookmarkEnd w:id="1733"/>
      <w:bookmarkEnd w:id="1734"/>
      <w:bookmarkEnd w:id="1735"/>
      <w:bookmarkEnd w:id="1736"/>
      <w:bookmarkEnd w:id="1737"/>
    </w:p>
    <w:p w14:paraId="07537ACA">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12.1 （6）由承包人承担的其他暂停施工：      </w:t>
      </w:r>
      <w:r>
        <w:rPr>
          <w:rFonts w:hint="eastAsia" w:ascii="Times New Roman" w:hAnsi="Times New Roman" w:eastAsia="宋体" w:cs="Times New Roman"/>
          <w:bCs w:val="0"/>
          <w:color w:val="auto"/>
          <w:kern w:val="2"/>
          <w:sz w:val="24"/>
          <w:szCs w:val="24"/>
          <w:highlight w:val="none"/>
          <w:lang w:val="en-US" w:eastAsia="zh-CN" w:bidi="ar-SA"/>
        </w:rPr>
        <w:t>无</w:t>
      </w:r>
      <w:r>
        <w:rPr>
          <w:rFonts w:hint="default" w:ascii="Times New Roman" w:hAnsi="Times New Roman" w:eastAsia="宋体" w:cs="Times New Roman"/>
          <w:bCs w:val="0"/>
          <w:color w:val="auto"/>
          <w:kern w:val="2"/>
          <w:sz w:val="24"/>
          <w:szCs w:val="24"/>
          <w:highlight w:val="none"/>
          <w:lang w:val="en-US" w:eastAsia="zh-CN" w:bidi="ar-SA"/>
        </w:rPr>
        <w:t xml:space="preserve">  </w:t>
      </w:r>
    </w:p>
    <w:p w14:paraId="2B4594C7">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38" w:name="_Toc30476"/>
      <w:bookmarkStart w:id="1739" w:name="_Toc6894"/>
      <w:bookmarkStart w:id="1740" w:name="_Toc31576"/>
      <w:bookmarkStart w:id="1741" w:name="_Toc18562"/>
      <w:r>
        <w:rPr>
          <w:rFonts w:hint="default" w:ascii="Times New Roman" w:hAnsi="Times New Roman" w:eastAsia="宋体" w:cs="Times New Roman"/>
          <w:bCs w:val="0"/>
          <w:color w:val="auto"/>
          <w:kern w:val="2"/>
          <w:sz w:val="24"/>
          <w:szCs w:val="24"/>
          <w:highlight w:val="none"/>
          <w:lang w:val="en-US" w:eastAsia="zh-CN" w:bidi="ar-SA"/>
        </w:rPr>
        <w:t>17.1 计量</w:t>
      </w:r>
      <w:bookmarkEnd w:id="1738"/>
      <w:bookmarkEnd w:id="1739"/>
      <w:bookmarkEnd w:id="1740"/>
      <w:bookmarkEnd w:id="1741"/>
    </w:p>
    <w:p w14:paraId="78B1C6EC">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42" w:name="_Toc12223"/>
      <w:bookmarkStart w:id="1743" w:name="_Toc6486"/>
      <w:bookmarkStart w:id="1744" w:name="_Toc30430"/>
      <w:bookmarkStart w:id="1745" w:name="_Toc16941"/>
      <w:bookmarkStart w:id="1746" w:name="_Toc234833228"/>
      <w:r>
        <w:rPr>
          <w:rFonts w:hint="default" w:ascii="Times New Roman" w:hAnsi="Times New Roman" w:eastAsia="宋体" w:cs="Times New Roman"/>
          <w:bCs w:val="0"/>
          <w:color w:val="auto"/>
          <w:kern w:val="2"/>
          <w:sz w:val="24"/>
          <w:szCs w:val="24"/>
          <w:highlight w:val="none"/>
          <w:lang w:val="en-US" w:eastAsia="zh-CN" w:bidi="ar-SA"/>
        </w:rPr>
        <w:t>17.1.3计量周期</w:t>
      </w:r>
    </w:p>
    <w:p w14:paraId="24AB2172">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本项约定为：   详见《项目专用合同条款数据表》   </w:t>
      </w:r>
    </w:p>
    <w:p w14:paraId="45337A95">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17.1.4单价子目的计量</w:t>
      </w:r>
    </w:p>
    <w:p w14:paraId="60161295">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本项补充：  详见《项目专用合同条款数据表》  </w:t>
      </w:r>
    </w:p>
    <w:p w14:paraId="452F291D">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17.1.5本项目工程量清单中总额价子目的支付原则和支付进度： 详见《项目专用 合同条款数据表》 </w:t>
      </w:r>
    </w:p>
    <w:p w14:paraId="5EBD0FE0">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17.3 工程进度付款</w:t>
      </w:r>
      <w:bookmarkEnd w:id="1742"/>
      <w:bookmarkEnd w:id="1743"/>
      <w:bookmarkEnd w:id="1744"/>
      <w:bookmarkEnd w:id="1745"/>
    </w:p>
    <w:p w14:paraId="087DD928">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17.3.5 农民工工资保证金的缴存时间：                       </w:t>
      </w:r>
    </w:p>
    <w:p w14:paraId="05A033CF">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农民工工资保证金的缴存金额：                       </w:t>
      </w:r>
    </w:p>
    <w:p w14:paraId="686E590C">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农民工工资保证金的扣留条件：                       </w:t>
      </w:r>
    </w:p>
    <w:p w14:paraId="1237938E">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农民工工资保证金的返还时间：                       </w:t>
      </w:r>
    </w:p>
    <w:p w14:paraId="5D4541A5">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47" w:name="_Toc29939"/>
      <w:bookmarkStart w:id="1748" w:name="_Toc22128"/>
      <w:bookmarkStart w:id="1749" w:name="_Toc27005"/>
      <w:bookmarkStart w:id="1750" w:name="_Toc13982"/>
      <w:r>
        <w:rPr>
          <w:rFonts w:hint="default" w:ascii="Times New Roman" w:hAnsi="Times New Roman" w:eastAsia="宋体" w:cs="Times New Roman"/>
          <w:bCs w:val="0"/>
          <w:color w:val="auto"/>
          <w:kern w:val="2"/>
          <w:sz w:val="24"/>
          <w:szCs w:val="24"/>
          <w:highlight w:val="none"/>
          <w:lang w:val="en-US" w:eastAsia="zh-CN" w:bidi="ar-SA"/>
        </w:rPr>
        <w:t>21.1 不可抗力的确认</w:t>
      </w:r>
      <w:bookmarkEnd w:id="1746"/>
      <w:bookmarkEnd w:id="1747"/>
      <w:bookmarkEnd w:id="1748"/>
      <w:bookmarkEnd w:id="1749"/>
      <w:bookmarkEnd w:id="1750"/>
    </w:p>
    <w:p w14:paraId="480E1C9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21.1.1 21.1.1(6)不可抗力的其他情形：   无</w:t>
      </w:r>
    </w:p>
    <w:p w14:paraId="0ABC090D">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21.1.1项补充：</w:t>
      </w:r>
    </w:p>
    <w:p w14:paraId="31DFB641">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本项所述(1)、(4)目风险应按照合同条款第20条的规定办理保险，以便在风 险发生时，能保护发包人和承包人的利益不受到损害。</w:t>
      </w:r>
    </w:p>
    <w:p w14:paraId="72498100">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51" w:name="_Toc234833229"/>
      <w:bookmarkStart w:id="1752" w:name="_Toc21348"/>
      <w:bookmarkStart w:id="1753" w:name="_Toc527"/>
      <w:bookmarkStart w:id="1754" w:name="_Toc1677"/>
      <w:bookmarkStart w:id="1755" w:name="_Toc28435"/>
      <w:r>
        <w:rPr>
          <w:rFonts w:hint="default" w:ascii="Times New Roman" w:hAnsi="Times New Roman" w:eastAsia="宋体" w:cs="Times New Roman"/>
          <w:bCs w:val="0"/>
          <w:color w:val="auto"/>
          <w:kern w:val="2"/>
          <w:sz w:val="24"/>
          <w:szCs w:val="24"/>
          <w:highlight w:val="none"/>
          <w:lang w:val="en-US" w:eastAsia="zh-CN" w:bidi="ar-SA"/>
        </w:rPr>
        <w:t>22.1 承包人违约</w:t>
      </w:r>
      <w:bookmarkEnd w:id="1751"/>
      <w:bookmarkEnd w:id="1752"/>
      <w:bookmarkEnd w:id="1753"/>
      <w:bookmarkEnd w:id="1754"/>
      <w:bookmarkEnd w:id="1755"/>
    </w:p>
    <w:p w14:paraId="7855CF0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bookmarkStart w:id="1756" w:name="_Toc10655"/>
      <w:bookmarkStart w:id="1757" w:name="_Toc8006"/>
      <w:bookmarkStart w:id="1758" w:name="_Toc29318"/>
      <w:bookmarkStart w:id="1759" w:name="_Toc27242"/>
      <w:r>
        <w:rPr>
          <w:rFonts w:hint="default" w:ascii="Times New Roman" w:hAnsi="Times New Roman" w:eastAsia="宋体" w:cs="Times New Roman"/>
          <w:bCs w:val="0"/>
          <w:color w:val="auto"/>
          <w:kern w:val="2"/>
          <w:sz w:val="24"/>
          <w:szCs w:val="24"/>
          <w:highlight w:val="none"/>
          <w:lang w:val="en-US" w:eastAsia="zh-CN" w:bidi="ar-SA"/>
        </w:rPr>
        <w:t>22.1.1 承包人违约的情形</w:t>
      </w:r>
    </w:p>
    <w:p w14:paraId="1FE2F265">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本项约定为：   详见《项目专用合同条款数据表》   </w:t>
      </w:r>
    </w:p>
    <w:p w14:paraId="20B29E92">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22.1.2 对承包人违约的处理</w:t>
      </w:r>
    </w:p>
    <w:p w14:paraId="46E0DCD3">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 xml:space="preserve">对承包人违约的处理：详见《项目专用合同条款数据表》  </w:t>
      </w:r>
    </w:p>
    <w:p w14:paraId="6F2A920B">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22.1.3  承包人违约解除合同</w:t>
      </w:r>
    </w:p>
    <w:p w14:paraId="3BEC5020">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本项补充：</w:t>
      </w:r>
    </w:p>
    <w:p w14:paraId="21D1337F">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承包人对本工程进行转包或违规分包，除没收其履约担保外，还应赔偿发包人工程 损失费，同时发包人有权解除合同并上报交通主管部门记入其信用档案中。</w:t>
      </w:r>
    </w:p>
    <w:p w14:paraId="7DAD422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22.2 发包人违约</w:t>
      </w:r>
      <w:bookmarkEnd w:id="1756"/>
      <w:bookmarkEnd w:id="1757"/>
      <w:bookmarkEnd w:id="1758"/>
      <w:bookmarkEnd w:id="1759"/>
    </w:p>
    <w:p w14:paraId="00E43F94">
      <w:pPr>
        <w:pageBreakBefore w:val="0"/>
        <w:kinsoku/>
        <w:wordWrap/>
        <w:bidi w:val="0"/>
        <w:spacing w:before="240" w:after="240" w:line="420" w:lineRule="exact"/>
        <w:ind w:firstLine="480" w:firstLineChars="200"/>
        <w:rPr>
          <w:rFonts w:hint="default" w:ascii="Times New Roman" w:hAnsi="Times New Roman" w:eastAsia="宋体" w:cs="Times New Roman"/>
          <w:bCs w:val="0"/>
          <w:color w:val="auto"/>
          <w:kern w:val="2"/>
          <w:sz w:val="24"/>
          <w:szCs w:val="24"/>
          <w:highlight w:val="none"/>
          <w:lang w:val="en-US" w:eastAsia="zh-CN" w:bidi="ar-SA"/>
        </w:rPr>
      </w:pPr>
      <w:r>
        <w:rPr>
          <w:rFonts w:hint="default" w:ascii="Times New Roman" w:hAnsi="Times New Roman" w:eastAsia="宋体" w:cs="Times New Roman"/>
          <w:bCs w:val="0"/>
          <w:color w:val="auto"/>
          <w:kern w:val="2"/>
          <w:sz w:val="24"/>
          <w:szCs w:val="24"/>
          <w:highlight w:val="none"/>
          <w:lang w:val="en-US" w:eastAsia="zh-CN" w:bidi="ar-SA"/>
        </w:rPr>
        <w:t>22.2.2发包人无正当理由不按时返还履约保证金、质量保证金或农民工工资保证金的，发包人应向承包人支付的违约金如下： 详见《项目专用合同条款数据表》</w:t>
      </w:r>
    </w:p>
    <w:p w14:paraId="1D12CFF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p>
    <w:p w14:paraId="1BA83A35">
      <w:pPr>
        <w:pageBreakBefore w:val="0"/>
        <w:kinsoku/>
        <w:wordWrap w:val="0"/>
        <w:bidi w:val="0"/>
        <w:spacing w:line="380" w:lineRule="atLeas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4"/>
          <w:highlight w:val="none"/>
        </w:rPr>
        <w:br w:type="page"/>
      </w:r>
    </w:p>
    <w:p w14:paraId="658C351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bookmarkStart w:id="1760" w:name="_Toc234833230"/>
    </w:p>
    <w:p w14:paraId="434D292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F5320C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BF61E4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096B68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D1EC37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97F4D9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1A7E91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C066AE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3CD9A3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17FAE7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8433554">
      <w:pPr>
        <w:pStyle w:val="2"/>
        <w:pageBreakBefore w:val="0"/>
        <w:kinsoku/>
        <w:wordWrap w:val="0"/>
        <w:bidi w:val="0"/>
        <w:spacing w:before="240" w:after="240" w:line="380" w:lineRule="atLeast"/>
        <w:jc w:val="center"/>
        <w:outlineLvl w:val="1"/>
        <w:rPr>
          <w:rFonts w:hint="default" w:ascii="Times New Roman" w:hAnsi="Times New Roman" w:eastAsia="黑体" w:cs="Times New Roman"/>
          <w:b w:val="0"/>
          <w:color w:val="auto"/>
          <w:sz w:val="42"/>
          <w:szCs w:val="42"/>
          <w:highlight w:val="none"/>
        </w:rPr>
      </w:pPr>
      <w:bookmarkStart w:id="1761" w:name="_Toc20691"/>
      <w:bookmarkStart w:id="1762" w:name="_Toc26085"/>
      <w:bookmarkStart w:id="1763" w:name="_Toc25493"/>
      <w:r>
        <w:rPr>
          <w:rFonts w:hint="default" w:ascii="Times New Roman" w:hAnsi="Times New Roman" w:eastAsia="黑体" w:cs="Times New Roman"/>
          <w:b w:val="0"/>
          <w:color w:val="auto"/>
          <w:sz w:val="42"/>
          <w:szCs w:val="42"/>
          <w:highlight w:val="none"/>
        </w:rPr>
        <w:t>第三节  合同附件格式</w:t>
      </w:r>
      <w:bookmarkEnd w:id="1760"/>
      <w:bookmarkEnd w:id="1761"/>
      <w:bookmarkEnd w:id="1762"/>
      <w:bookmarkEnd w:id="1763"/>
    </w:p>
    <w:p w14:paraId="485D33A5">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 xml:space="preserve"> </w:t>
      </w:r>
    </w:p>
    <w:p w14:paraId="16CE39B3">
      <w:pPr>
        <w:pStyle w:val="2"/>
        <w:pageBreakBefore w:val="0"/>
        <w:kinsoku/>
        <w:wordWrap w:val="0"/>
        <w:bidi w:val="0"/>
        <w:spacing w:before="0" w:after="0" w:line="380" w:lineRule="atLeast"/>
        <w:outlineLvl w:val="0"/>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0"/>
          <w:szCs w:val="20"/>
          <w:highlight w:val="none"/>
        </w:rPr>
        <w:br w:type="page"/>
      </w:r>
      <w:bookmarkStart w:id="1764" w:name="_Toc234833231"/>
      <w:bookmarkStart w:id="1765" w:name="_Toc24256"/>
      <w:bookmarkStart w:id="1766" w:name="_Toc24087"/>
      <w:bookmarkStart w:id="1767" w:name="_Toc3639"/>
      <w:bookmarkStart w:id="1768" w:name="_Toc17942"/>
      <w:r>
        <w:rPr>
          <w:rFonts w:hint="default" w:ascii="Times New Roman" w:hAnsi="Times New Roman" w:eastAsia="黑体" w:cs="Times New Roman"/>
          <w:b w:val="0"/>
          <w:color w:val="auto"/>
          <w:sz w:val="24"/>
          <w:szCs w:val="24"/>
          <w:highlight w:val="none"/>
        </w:rPr>
        <w:t>附件一</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合同协议书</w:t>
      </w:r>
      <w:bookmarkEnd w:id="1764"/>
      <w:bookmarkEnd w:id="1765"/>
      <w:bookmarkEnd w:id="1766"/>
      <w:bookmarkEnd w:id="1767"/>
      <w:bookmarkEnd w:id="1768"/>
    </w:p>
    <w:p w14:paraId="479E20D3">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合 同 协 议 书</w:t>
      </w:r>
    </w:p>
    <w:p w14:paraId="0D0CBA13">
      <w:pPr>
        <w:pageBreakBefore w:val="0"/>
        <w:kinsoku/>
        <w:wordWrap w:val="0"/>
        <w:bidi w:val="0"/>
        <w:spacing w:line="440" w:lineRule="exact"/>
        <w:ind w:firstLine="480" w:firstLineChars="200"/>
        <w:rPr>
          <w:rFonts w:hint="default" w:ascii="Times New Roman" w:hAnsi="Times New Roman" w:cs="Times New Roman"/>
          <w:color w:val="auto"/>
          <w:sz w:val="24"/>
          <w:highlight w:val="none"/>
          <w:u w:val="single"/>
        </w:rPr>
      </w:pPr>
    </w:p>
    <w:p w14:paraId="0D645872">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）为实施</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（项目名称），已接受</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（承包人名称，以下简称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）对该项目</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标段施工的投标。发包人和承包人共同达成如下协议。</w:t>
      </w:r>
    </w:p>
    <w:p w14:paraId="758E5C0A">
      <w:pPr>
        <w:pageBreakBefore w:val="0"/>
        <w:kinsoku/>
        <w:wordWrap w:val="0"/>
        <w:bidi w:val="0"/>
        <w:spacing w:line="440" w:lineRule="exac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第</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标段由K</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至K</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，长约</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km，公路等级为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，设计速度为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路面，有</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立交</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处；特大桥</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座，计长</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m；大中桥</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座，计长</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m；隧道</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座，计长</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m以及其他构造物工程等。</w:t>
      </w:r>
    </w:p>
    <w:p w14:paraId="109045AF">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 下列文件应视为构成合同文件的组成部分：</w:t>
      </w:r>
    </w:p>
    <w:p w14:paraId="05DE4524">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（1）本协议书及各种合同附件（含评标期间和合同谈判过程中的澄清文件和补充资料）；</w:t>
      </w:r>
    </w:p>
    <w:p w14:paraId="48361F75">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（2）中标通知书；</w:t>
      </w:r>
    </w:p>
    <w:p w14:paraId="691BBE97">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（3）投标函及投标函附录；</w:t>
      </w:r>
    </w:p>
    <w:p w14:paraId="4C9B9BE4">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（4）项目专用合同条款；</w:t>
      </w:r>
    </w:p>
    <w:p w14:paraId="1025B19A">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（5）公路工程专用合同条款；</w:t>
      </w:r>
    </w:p>
    <w:p w14:paraId="251C5350">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（6）通用合同条款；</w:t>
      </w:r>
    </w:p>
    <w:p w14:paraId="5AD0321B">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（7）工程量清单计量规则；</w:t>
      </w:r>
    </w:p>
    <w:p w14:paraId="66553C55">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（8）技术规范；</w:t>
      </w:r>
    </w:p>
    <w:p w14:paraId="7AFBCD0D">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（9）图纸；</w:t>
      </w:r>
    </w:p>
    <w:p w14:paraId="07CF1CE5">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（10）已标价工程量清单；</w:t>
      </w:r>
    </w:p>
    <w:p w14:paraId="4642D86F">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（11）承包人有关人员、设备投入的承诺及投标文件中的施工组织设计；</w:t>
      </w:r>
    </w:p>
    <w:p w14:paraId="58009026">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（12）其他合同文件。</w:t>
      </w:r>
    </w:p>
    <w:p w14:paraId="0E5CC5BA">
      <w:pPr>
        <w:pageBreakBefore w:val="0"/>
        <w:kinsoku/>
        <w:wordWrap w:val="0"/>
        <w:bidi w:val="0"/>
        <w:spacing w:line="440" w:lineRule="exact"/>
        <w:ind w:right="34" w:rightChars="16"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上述合同文件互相补充和解释。如果合同文件之间存在矛盾或不一致之处，以上述文件的排列顺序在先者为准。</w:t>
      </w:r>
    </w:p>
    <w:p w14:paraId="18C7F37F">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 根据工程量清单所列的预计数量和单价或总额价计算的签约合同价：人民币（大写）________元（¥________）。</w:t>
      </w:r>
    </w:p>
    <w:p w14:paraId="6436A945">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4. 承包人项目经理：</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。承包人项目总工：</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78105606">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 工程质量符合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标准。工程安全目标：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0C49E1B9">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 承包人承诺按合同约定承担工程的实施、完成及缺陷修复。</w:t>
      </w:r>
    </w:p>
    <w:p w14:paraId="01B4D134">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 发包人承诺按合同约定的条件、时间和方式向承包人支付合同价款。</w:t>
      </w:r>
    </w:p>
    <w:p w14:paraId="03AD6619">
      <w:pPr>
        <w:pageBreakBefore w:val="0"/>
        <w:kinsoku/>
        <w:wordWrap w:val="0"/>
        <w:bidi w:val="0"/>
        <w:spacing w:line="440" w:lineRule="exact"/>
        <w:ind w:right="34" w:rightChars="16"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 承包人应按照监理人指示开工，工期为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日历天。</w:t>
      </w:r>
    </w:p>
    <w:p w14:paraId="0DC034BF">
      <w:pPr>
        <w:pageBreakBefore w:val="0"/>
        <w:kinsoku/>
        <w:wordWrap w:val="0"/>
        <w:bidi w:val="0"/>
        <w:spacing w:line="440" w:lineRule="exac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 本协议书在承包人提供履约保证金后，由双方法定代表人或其委托代理人签署并加盖单位章后生效。全部工程完工后经交工验收合格、缺陷责任期满签发缺陷责任终止证书后失效。</w:t>
      </w:r>
    </w:p>
    <w:p w14:paraId="3CCE489D">
      <w:pPr>
        <w:pageBreakBefore w:val="0"/>
        <w:kinsoku/>
        <w:wordWrap w:val="0"/>
        <w:bidi w:val="0"/>
        <w:spacing w:line="440" w:lineRule="exac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 本协议书正本二份、副本____份，合同双方各执正本一份，副本____份，当正本与副本的内容不一致时，以正本为准。</w:t>
      </w:r>
    </w:p>
    <w:p w14:paraId="63BE4D1D">
      <w:pPr>
        <w:pageBreakBefore w:val="0"/>
        <w:kinsoku/>
        <w:wordWrap w:val="0"/>
        <w:bidi w:val="0"/>
        <w:spacing w:line="440" w:lineRule="exac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 合同未尽事宜，双方另行签订补充协议。补充协议是合同的组成部分。</w:t>
      </w:r>
    </w:p>
    <w:p w14:paraId="25FAE49F">
      <w:pPr>
        <w:pageBreakBefore w:val="0"/>
        <w:kinsoku/>
        <w:wordWrap w:val="0"/>
        <w:bidi w:val="0"/>
        <w:spacing w:line="440" w:lineRule="exact"/>
        <w:rPr>
          <w:rFonts w:hint="default" w:ascii="Times New Roman" w:hAnsi="Times New Roman" w:cs="Times New Roman"/>
          <w:color w:val="auto"/>
          <w:sz w:val="24"/>
          <w:highlight w:val="none"/>
        </w:rPr>
      </w:pPr>
    </w:p>
    <w:p w14:paraId="3E135872">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24B992D1">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  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6A2571AC">
      <w:pPr>
        <w:pageBreakBefore w:val="0"/>
        <w:kinsoku/>
        <w:wordWrap w:val="0"/>
        <w:bidi w:val="0"/>
        <w:spacing w:line="440" w:lineRule="exact"/>
        <w:ind w:firstLine="840" w:firstLineChars="3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日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335C3CF2">
      <w:pPr>
        <w:pageBreakBefore w:val="0"/>
        <w:kinsoku/>
        <w:wordWrap w:val="0"/>
        <w:bidi w:val="0"/>
        <w:spacing w:line="440" w:lineRule="exact"/>
        <w:rPr>
          <w:rFonts w:hint="default" w:ascii="Times New Roman" w:hAnsi="Times New Roman" w:cs="Times New Roman"/>
          <w:color w:val="auto"/>
          <w:sz w:val="24"/>
          <w:highlight w:val="none"/>
        </w:rPr>
      </w:pPr>
    </w:p>
    <w:p w14:paraId="0C772C0D">
      <w:pPr>
        <w:pStyle w:val="2"/>
        <w:pageBreakBefore w:val="0"/>
        <w:kinsoku/>
        <w:wordWrap w:val="0"/>
        <w:bidi w:val="0"/>
        <w:spacing w:before="0" w:after="0" w:line="380" w:lineRule="atLeast"/>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bookmarkStart w:id="1769" w:name="_Toc5419"/>
      <w:bookmarkStart w:id="1770" w:name="_Toc7242"/>
      <w:bookmarkStart w:id="1771" w:name="_Toc234833232"/>
      <w:bookmarkStart w:id="1772" w:name="_Toc22527"/>
      <w:bookmarkStart w:id="1773" w:name="_Toc6478"/>
      <w:r>
        <w:rPr>
          <w:rFonts w:hint="default" w:ascii="Times New Roman" w:hAnsi="Times New Roman" w:eastAsia="黑体" w:cs="Times New Roman"/>
          <w:b w:val="0"/>
          <w:color w:val="auto"/>
          <w:sz w:val="24"/>
          <w:szCs w:val="24"/>
          <w:highlight w:val="none"/>
        </w:rPr>
        <w:t>附件二</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廉政合同</w:t>
      </w:r>
      <w:bookmarkEnd w:id="1769"/>
      <w:bookmarkEnd w:id="1770"/>
      <w:bookmarkEnd w:id="1771"/>
      <w:bookmarkEnd w:id="1772"/>
      <w:bookmarkEnd w:id="1773"/>
    </w:p>
    <w:p w14:paraId="371A4307">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廉 政 合 同</w:t>
      </w:r>
    </w:p>
    <w:p w14:paraId="1E84413D">
      <w:pPr>
        <w:pageBreakBefore w:val="0"/>
        <w:kinsoku/>
        <w:wordWrap w:val="0"/>
        <w:bidi w:val="0"/>
        <w:spacing w:line="400" w:lineRule="atLeast"/>
        <w:rPr>
          <w:rFonts w:hint="default" w:ascii="Times New Roman" w:hAnsi="Times New Roman" w:eastAsia="黑体" w:cs="Times New Roman"/>
          <w:b/>
          <w:color w:val="auto"/>
          <w:spacing w:val="30"/>
          <w:sz w:val="24"/>
          <w:highlight w:val="none"/>
        </w:rPr>
      </w:pPr>
    </w:p>
    <w:p w14:paraId="25E97423">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（项目名称）的项目法人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（项目法人名称，以下简称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）与该项目</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标段的施工单位</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（施工单位名称，以下简称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），特订立如下合同。</w:t>
      </w:r>
    </w:p>
    <w:p w14:paraId="7663B701">
      <w:pPr>
        <w:pageBreakBefore w:val="0"/>
        <w:kinsoku/>
        <w:wordWrap w:val="0"/>
        <w:bidi w:val="0"/>
        <w:spacing w:line="400" w:lineRule="atLeast"/>
        <w:ind w:firstLine="616" w:firstLineChars="257"/>
        <w:outlineLvl w:val="2"/>
        <w:rPr>
          <w:rFonts w:hint="default" w:ascii="Times New Roman" w:hAnsi="Times New Roman" w:eastAsia="黑体" w:cs="Times New Roman"/>
          <w:color w:val="auto"/>
          <w:sz w:val="24"/>
          <w:highlight w:val="none"/>
        </w:rPr>
      </w:pPr>
      <w:bookmarkStart w:id="1774" w:name="_Toc16895"/>
      <w:r>
        <w:rPr>
          <w:rFonts w:hint="default" w:ascii="Times New Roman" w:hAnsi="Times New Roman" w:eastAsia="黑体" w:cs="Times New Roman"/>
          <w:color w:val="auto"/>
          <w:sz w:val="24"/>
          <w:highlight w:val="none"/>
        </w:rPr>
        <w:t>1. 发包人和承包人双方的权利和义务</w:t>
      </w:r>
      <w:bookmarkEnd w:id="1774"/>
    </w:p>
    <w:p w14:paraId="74CCD107">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（1）严格遵守党的政策规定和国家有关法律法规及交通运输部的有关规定。</w:t>
      </w:r>
    </w:p>
    <w:p w14:paraId="59C609DC">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（2）严格执行</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标段施工合同文件，自觉按合同办事。</w:t>
      </w:r>
    </w:p>
    <w:p w14:paraId="6871B56E">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（3）双方的业务活动坚持公开、公正、诚信、透明的原则（法律认定的商业秘密和合同文件另有规定除外），不得损害国家和集体利益，不得违反工程建设管理规章制度。</w:t>
      </w:r>
    </w:p>
    <w:p w14:paraId="075A4AFD">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（4）建立健全廉政制度，开展廉政教育，设立廉政告示牌，公布举报电话，监督并认真查处违法违纪行为。</w:t>
      </w:r>
    </w:p>
    <w:p w14:paraId="19710AD5">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（5）发现对方在业务活动中有违反廉政规定的行为，有及时提醒对方纠正的权利和义务。</w:t>
      </w:r>
    </w:p>
    <w:p w14:paraId="49CE779F">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（6）发现对方严重违反本合同义务条款的行为，有向其上级有关部门举报、建议给予处理并要求告知处理结果的权利。</w:t>
      </w:r>
    </w:p>
    <w:p w14:paraId="56B57976">
      <w:pPr>
        <w:pageBreakBefore w:val="0"/>
        <w:kinsoku/>
        <w:wordWrap w:val="0"/>
        <w:bidi w:val="0"/>
        <w:spacing w:line="400" w:lineRule="atLeast"/>
        <w:ind w:firstLine="616" w:firstLineChars="257"/>
        <w:outlineLvl w:val="2"/>
        <w:rPr>
          <w:rFonts w:hint="default" w:ascii="Times New Roman" w:hAnsi="Times New Roman" w:eastAsia="黑体" w:cs="Times New Roman"/>
          <w:color w:val="auto"/>
          <w:sz w:val="24"/>
          <w:highlight w:val="none"/>
        </w:rPr>
      </w:pPr>
      <w:bookmarkStart w:id="1775" w:name="_Toc26938"/>
      <w:r>
        <w:rPr>
          <w:rFonts w:hint="default" w:ascii="Times New Roman" w:hAnsi="Times New Roman" w:eastAsia="黑体" w:cs="Times New Roman"/>
          <w:color w:val="auto"/>
          <w:sz w:val="24"/>
          <w:highlight w:val="none"/>
        </w:rPr>
        <w:t>2. 发包人的义务</w:t>
      </w:r>
      <w:bookmarkEnd w:id="1775"/>
    </w:p>
    <w:p w14:paraId="172291B2">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（1）发包人及其工作人员不得索要或接受承包人的礼金、有价证券和贵重物品，不得让承包人报销任何应由发包人或发包人工作人员个人支付的费用等。</w:t>
      </w:r>
    </w:p>
    <w:p w14:paraId="05BBFB72">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（2）发包人工作人员不得参加承包人安排的超标准宴请和娱乐活动；不得接受承包人提供的通信工具、交通工具和高档办公用品等。</w:t>
      </w:r>
    </w:p>
    <w:p w14:paraId="14EDD1CF">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（3）发包人及其工作人员不得要求或者接受承包人为其住房装修、婚丧嫁娶活动、配偶子女的工作安排以及出国出境、旅游等提供方便等。</w:t>
      </w:r>
    </w:p>
    <w:p w14:paraId="3805033F">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（4）发包人工作人员及其配偶、子女不得从事与发包人工程有关的材料设备供应、工程分包、劳务等经济活动等。</w:t>
      </w:r>
    </w:p>
    <w:p w14:paraId="481DDC71">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（5）发包人及其工作人员不得以任何理由向承包人推荐分包单位或推销材料，不得要求承包人购买合同规定外的材料和设备。</w:t>
      </w:r>
    </w:p>
    <w:p w14:paraId="79B5A483">
      <w:pPr>
        <w:pageBreakBefore w:val="0"/>
        <w:kinsoku/>
        <w:wordWrap w:val="0"/>
        <w:bidi w:val="0"/>
        <w:spacing w:line="400" w:lineRule="atLeast"/>
        <w:ind w:firstLine="616" w:firstLineChars="257"/>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（6）发包人工作人员要秉公办事，不准营私舞弊，不准利用职权从事各种个人有偿中介活动和安排个人施工队伍。</w:t>
      </w:r>
    </w:p>
    <w:p w14:paraId="218409AC">
      <w:pPr>
        <w:pageBreakBefore w:val="0"/>
        <w:kinsoku/>
        <w:wordWrap w:val="0"/>
        <w:bidi w:val="0"/>
        <w:spacing w:line="400" w:lineRule="atLeast"/>
        <w:ind w:firstLine="616" w:firstLineChars="257"/>
        <w:outlineLvl w:val="9"/>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3. 承包人的义务</w:t>
      </w:r>
    </w:p>
    <w:p w14:paraId="0FEA33F2">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（1）承包人不得以任何理由向发包人及其工作人员行贿或馈赠礼金、有价证券、贵重礼品。</w:t>
      </w:r>
    </w:p>
    <w:p w14:paraId="283E6144">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（2）承包人不得以任何名义为发包人及其工作人员报销应由发包人单位或个人支付的任何费用。</w:t>
      </w:r>
    </w:p>
    <w:p w14:paraId="7B535269">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（3）承包人不得以任何理由安排发包人工作人员参加超标准宴请及娱乐活动。</w:t>
      </w:r>
    </w:p>
    <w:p w14:paraId="7BD5C52A">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（4）承包人不得为发包人单位和个人购置或提供通信工具、交通工具和高档办公用品等。</w:t>
      </w:r>
    </w:p>
    <w:p w14:paraId="41DE3E92">
      <w:pPr>
        <w:pageBreakBefore w:val="0"/>
        <w:kinsoku/>
        <w:wordWrap w:val="0"/>
        <w:bidi w:val="0"/>
        <w:spacing w:line="400" w:lineRule="atLeast"/>
        <w:ind w:firstLine="616" w:firstLineChars="257"/>
        <w:outlineLvl w:val="2"/>
        <w:rPr>
          <w:rFonts w:hint="default" w:ascii="Times New Roman" w:hAnsi="Times New Roman" w:eastAsia="黑体" w:cs="Times New Roman"/>
          <w:color w:val="auto"/>
          <w:sz w:val="24"/>
          <w:highlight w:val="none"/>
        </w:rPr>
      </w:pPr>
      <w:bookmarkStart w:id="1776" w:name="_Toc21007"/>
      <w:r>
        <w:rPr>
          <w:rFonts w:hint="default" w:ascii="Times New Roman" w:hAnsi="Times New Roman" w:eastAsia="黑体" w:cs="Times New Roman"/>
          <w:color w:val="auto"/>
          <w:sz w:val="24"/>
          <w:highlight w:val="none"/>
        </w:rPr>
        <w:t>4. 违约责任</w:t>
      </w:r>
      <w:bookmarkEnd w:id="1776"/>
    </w:p>
    <w:p w14:paraId="6F3F42D1">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（1）发包人及其工作人员违反本合同第1、2条，按管理权限，依据有关规定给予党纪、政纪或组织处理；涉嫌犯罪的，移交司法机关追究刑事责任；给承包人单位造成经济损失的，应予以赔偿。</w:t>
      </w:r>
    </w:p>
    <w:p w14:paraId="41084FA0">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承包人及其工作人员违反本合同第1、3条，按管理权限，依据有关规定给予党纪、政纪或组织处理；给发包人单位造成经济损失的，应予以赔偿；情节严重的，发包人建议交通运输主管部门给予承包人一至三年内不得进入其主管的公路建设市场的处罚。</w:t>
      </w:r>
    </w:p>
    <w:p w14:paraId="4458D470">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5.</w:t>
      </w:r>
      <w:r>
        <w:rPr>
          <w:rFonts w:hint="default" w:ascii="Times New Roman" w:hAnsi="Times New Roman" w:cs="Times New Roman"/>
          <w:color w:val="auto"/>
          <w:sz w:val="24"/>
          <w:highlight w:val="none"/>
        </w:rPr>
        <w:t xml:space="preserve"> 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B11AC0A">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 xml:space="preserve">6. </w:t>
      </w:r>
      <w:r>
        <w:rPr>
          <w:rFonts w:hint="default" w:ascii="Times New Roman" w:hAnsi="Times New Roman" w:cs="Times New Roman"/>
          <w:color w:val="auto"/>
          <w:sz w:val="24"/>
          <w:highlight w:val="none"/>
        </w:rPr>
        <w:t>本合同有效期为发包人和承包人签署之日起至该工程项目竣工验收后止。</w:t>
      </w:r>
    </w:p>
    <w:p w14:paraId="4C0E6215">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 xml:space="preserve">7. </w:t>
      </w:r>
      <w:r>
        <w:rPr>
          <w:rFonts w:hint="default" w:ascii="Times New Roman" w:hAnsi="Times New Roman" w:cs="Times New Roman"/>
          <w:color w:val="auto"/>
          <w:sz w:val="24"/>
          <w:highlight w:val="none"/>
        </w:rPr>
        <w:t>本合同作为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标段施工合同的附件，与工程施工合同具有同等的法律效力，经合同双方签署后立即生效。</w:t>
      </w:r>
    </w:p>
    <w:p w14:paraId="044CF9FB">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rPr>
        <w:t>8.</w:t>
      </w:r>
      <w:r>
        <w:rPr>
          <w:rFonts w:hint="default" w:ascii="Times New Roman" w:hAnsi="Times New Roman" w:cs="Times New Roman"/>
          <w:color w:val="auto"/>
          <w:sz w:val="24"/>
          <w:highlight w:val="none"/>
        </w:rPr>
        <w:t xml:space="preserve"> 本合同一式四份，由发包人和承包人各执一份，送交发包人和承包人的监督单位各一份。</w:t>
      </w:r>
    </w:p>
    <w:p w14:paraId="3B82CF62">
      <w:pPr>
        <w:pageBreakBefore w:val="0"/>
        <w:kinsoku/>
        <w:wordWrap w:val="0"/>
        <w:bidi w:val="0"/>
        <w:spacing w:line="400" w:lineRule="atLeast"/>
        <w:rPr>
          <w:rFonts w:hint="default" w:ascii="Times New Roman" w:hAnsi="Times New Roman" w:cs="Times New Roman"/>
          <w:color w:val="auto"/>
          <w:sz w:val="24"/>
          <w:highlight w:val="none"/>
        </w:rPr>
      </w:pPr>
    </w:p>
    <w:p w14:paraId="00B31FA4">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2C03AF1E">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  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4A36A36C">
      <w:pPr>
        <w:pageBreakBefore w:val="0"/>
        <w:kinsoku/>
        <w:wordWrap w:val="0"/>
        <w:bidi w:val="0"/>
        <w:spacing w:line="440" w:lineRule="exact"/>
        <w:ind w:firstLine="840" w:firstLineChars="3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日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07FEC616">
      <w:pPr>
        <w:pageBreakBefore w:val="0"/>
        <w:kinsoku/>
        <w:wordWrap w:val="0"/>
        <w:bidi w:val="0"/>
        <w:spacing w:line="440" w:lineRule="exact"/>
        <w:ind w:firstLine="360" w:firstLineChars="150"/>
        <w:rPr>
          <w:rFonts w:hint="default" w:ascii="Times New Roman" w:hAnsi="Times New Roman" w:cs="Times New Roman"/>
          <w:color w:val="auto"/>
          <w:sz w:val="24"/>
          <w:highlight w:val="none"/>
        </w:rPr>
      </w:pPr>
    </w:p>
    <w:p w14:paraId="6CC9EB88">
      <w:pPr>
        <w:pageBreakBefore w:val="0"/>
        <w:kinsoku/>
        <w:wordWrap w:val="0"/>
        <w:bidi w:val="0"/>
        <w:spacing w:line="400" w:lineRule="atLeas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发包人监督单位：</w:t>
      </w:r>
      <w:r>
        <w:rPr>
          <w:rFonts w:hint="default" w:ascii="Times New Roman" w:hAnsi="Times New Roman" w:cs="Times New Roman"/>
          <w:color w:val="auto"/>
          <w:sz w:val="24"/>
          <w:highlight w:val="none"/>
          <w:u w:val="single"/>
        </w:rPr>
        <w:t>（全称）（盖单位章）</w:t>
      </w:r>
      <w:r>
        <w:rPr>
          <w:rFonts w:hint="default" w:ascii="Times New Roman" w:hAnsi="Times New Roman" w:cs="Times New Roman"/>
          <w:color w:val="auto"/>
          <w:sz w:val="24"/>
          <w:highlight w:val="none"/>
        </w:rPr>
        <w:t xml:space="preserve">     承包人监督单位：</w:t>
      </w:r>
      <w:r>
        <w:rPr>
          <w:rFonts w:hint="default" w:ascii="Times New Roman" w:hAnsi="Times New Roman" w:cs="Times New Roman"/>
          <w:color w:val="auto"/>
          <w:sz w:val="24"/>
          <w:highlight w:val="none"/>
          <w:u w:val="single"/>
        </w:rPr>
        <w:t>（全称）（盖单位章）</w:t>
      </w:r>
    </w:p>
    <w:p w14:paraId="1678CD19">
      <w:pPr>
        <w:pageBreakBefore w:val="0"/>
        <w:kinsoku/>
        <w:wordWrap w:val="0"/>
        <w:bidi w:val="0"/>
        <w:spacing w:line="400" w:lineRule="atLeast"/>
        <w:rPr>
          <w:rFonts w:hint="default" w:ascii="Times New Roman" w:hAnsi="Times New Roman" w:cs="Times New Roman"/>
          <w:color w:val="auto"/>
          <w:sz w:val="24"/>
          <w:highlight w:val="none"/>
        </w:rPr>
      </w:pPr>
    </w:p>
    <w:p w14:paraId="0AB10EDF">
      <w:pPr>
        <w:pStyle w:val="2"/>
        <w:pageBreakBefore w:val="0"/>
        <w:kinsoku/>
        <w:wordWrap w:val="0"/>
        <w:bidi w:val="0"/>
        <w:spacing w:before="0" w:after="0" w:line="380" w:lineRule="atLeast"/>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4"/>
          <w:highlight w:val="none"/>
        </w:rPr>
        <w:br w:type="page"/>
      </w:r>
      <w:bookmarkStart w:id="1777" w:name="_Toc20728"/>
      <w:bookmarkStart w:id="1778" w:name="_Toc29870"/>
      <w:bookmarkStart w:id="1779" w:name="_Toc234833233"/>
      <w:bookmarkStart w:id="1780" w:name="_Toc1095"/>
      <w:bookmarkStart w:id="1781" w:name="_Toc7071"/>
      <w:r>
        <w:rPr>
          <w:rFonts w:hint="default" w:ascii="Times New Roman" w:hAnsi="Times New Roman" w:eastAsia="黑体" w:cs="Times New Roman"/>
          <w:b w:val="0"/>
          <w:color w:val="auto"/>
          <w:sz w:val="24"/>
          <w:szCs w:val="24"/>
          <w:highlight w:val="none"/>
        </w:rPr>
        <w:t>附件三</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安全生产合同</w:t>
      </w:r>
      <w:bookmarkEnd w:id="1777"/>
      <w:bookmarkEnd w:id="1778"/>
      <w:bookmarkEnd w:id="1779"/>
      <w:bookmarkEnd w:id="1780"/>
      <w:bookmarkEnd w:id="1781"/>
    </w:p>
    <w:p w14:paraId="473B558B">
      <w:pPr>
        <w:pageBreakBefore w:val="0"/>
        <w:kinsoku/>
        <w:wordWrap w:val="0"/>
        <w:bidi w:val="0"/>
        <w:spacing w:line="39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安全生产合同</w:t>
      </w:r>
    </w:p>
    <w:p w14:paraId="6CC0DB08">
      <w:pPr>
        <w:pageBreakBefore w:val="0"/>
        <w:kinsoku/>
        <w:wordWrap w:val="0"/>
        <w:bidi w:val="0"/>
        <w:spacing w:line="390" w:lineRule="atLeast"/>
        <w:rPr>
          <w:rFonts w:hint="default" w:ascii="Times New Roman" w:hAnsi="Times New Roman" w:eastAsia="黑体" w:cs="Times New Roman"/>
          <w:b/>
          <w:color w:val="auto"/>
          <w:sz w:val="24"/>
          <w:highlight w:val="none"/>
        </w:rPr>
      </w:pPr>
    </w:p>
    <w:p w14:paraId="4B3439AA">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标段施工合同的实施过程中创造安全、高效的施工环境，切实搞好本项目的安全管理工作，本项目发包人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）与承包人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（承包人名称，以下简称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）特此签订安全生产合同。</w:t>
      </w:r>
    </w:p>
    <w:p w14:paraId="60D8DC18">
      <w:pPr>
        <w:pageBreakBefore w:val="0"/>
        <w:kinsoku/>
        <w:wordWrap w:val="0"/>
        <w:bidi w:val="0"/>
        <w:spacing w:line="390" w:lineRule="atLeast"/>
        <w:ind w:firstLine="616" w:firstLineChars="257"/>
        <w:outlineLvl w:val="2"/>
        <w:rPr>
          <w:rFonts w:hint="default" w:ascii="Times New Roman" w:hAnsi="Times New Roman" w:eastAsia="黑体" w:cs="Times New Roman"/>
          <w:color w:val="auto"/>
          <w:sz w:val="24"/>
          <w:highlight w:val="none"/>
        </w:rPr>
      </w:pPr>
      <w:bookmarkStart w:id="1782" w:name="_Toc19308"/>
      <w:r>
        <w:rPr>
          <w:rFonts w:hint="default" w:ascii="Times New Roman" w:hAnsi="Times New Roman" w:eastAsia="黑体" w:cs="Times New Roman"/>
          <w:color w:val="auto"/>
          <w:sz w:val="24"/>
          <w:highlight w:val="none"/>
        </w:rPr>
        <w:t>1.发包人职责</w:t>
      </w:r>
      <w:bookmarkEnd w:id="1782"/>
    </w:p>
    <w:p w14:paraId="2965D04E">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（1）严格遵守国家有关安全生产的法律法规，认真执行工程承包合同中的有关安全要求。</w:t>
      </w:r>
    </w:p>
    <w:p w14:paraId="1B427887">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（2）按照</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安全第一、预防为主、综合治理</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和坚持</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管生产必须管安全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的原则进行安全生产管理，做到生产与安全工作同时计划、布置、检查、总结和评比。</w:t>
      </w:r>
    </w:p>
    <w:p w14:paraId="5690D5AE">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（3）重要的安全设施必须坚持与主体工程</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三同时</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的原则，即：同时设计、审批，同时施工，同时验收，投入使用。</w:t>
      </w:r>
    </w:p>
    <w:p w14:paraId="204BDA46">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（4）定期召开安全生产调度会，及时传达中央及地方有关安全生产的精神。</w:t>
      </w:r>
    </w:p>
    <w:p w14:paraId="6FD7E394">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（5）组织对承包人施工现场进行安全生产检查，监督承包人及时处理发现的各种安全隐患。</w:t>
      </w:r>
    </w:p>
    <w:p w14:paraId="7093E7B5">
      <w:pPr>
        <w:pageBreakBefore w:val="0"/>
        <w:kinsoku/>
        <w:wordWrap w:val="0"/>
        <w:bidi w:val="0"/>
        <w:spacing w:line="390" w:lineRule="atLeast"/>
        <w:ind w:firstLine="616" w:firstLineChars="257"/>
        <w:outlineLvl w:val="2"/>
        <w:rPr>
          <w:rFonts w:hint="default" w:ascii="Times New Roman" w:hAnsi="Times New Roman" w:eastAsia="黑体" w:cs="Times New Roman"/>
          <w:color w:val="auto"/>
          <w:sz w:val="24"/>
          <w:highlight w:val="none"/>
        </w:rPr>
      </w:pPr>
      <w:bookmarkStart w:id="1783" w:name="_Toc18835"/>
      <w:r>
        <w:rPr>
          <w:rFonts w:hint="default" w:ascii="Times New Roman" w:hAnsi="Times New Roman" w:eastAsia="黑体" w:cs="Times New Roman"/>
          <w:color w:val="auto"/>
          <w:sz w:val="24"/>
          <w:highlight w:val="none"/>
        </w:rPr>
        <w:t>2.承包人职责</w:t>
      </w:r>
      <w:bookmarkEnd w:id="1783"/>
    </w:p>
    <w:p w14:paraId="51D624DE">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严格遵守《中华人民共和国安全生产法》《建设工程安全生产管理条例》等国家有关安全生产的法律法规、《公路水运工程安全生产监督管理办法》和《公路工程施工安全技术规范》等有关安全生产的规定。认真执行工程承包合同中的有关安全要求。</w:t>
      </w:r>
    </w:p>
    <w:p w14:paraId="0E1A4E45">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（2）坚持</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安全第一、预防为主、综合治理</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和</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管生产必须管安全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CC469BC">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352FD4A9">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（4）承包人在任何时候都应采取各种合理的预防措施，防止其员工发生任何违法、违禁、暴力或妨碍治安的行为。</w:t>
      </w:r>
    </w:p>
    <w:p w14:paraId="0DCD7786">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42B3B833">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194F38CA">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（7）操作人员上岗，必须按规定穿戴防护用品。施工负责人和安全检查员应随时检查劳动防护用品的穿戴情况，不按规定穿戴防护用品的人员不得上岗。</w:t>
      </w:r>
    </w:p>
    <w:p w14:paraId="4F64C788">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（8）所有施工机具设备和高空作业的设备均应定期检查，并有安全员的签字记录，保证其经常处于完好状态；不合格的机具、设备和劳动保护用品严禁使用。</w:t>
      </w:r>
    </w:p>
    <w:p w14:paraId="4A195A00">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（9）施工中采用新技术、新工艺、新设备、新材料时，必须制定相应的安全技术措施，施工现场必须具有相关的安全标志牌。</w:t>
      </w:r>
    </w:p>
    <w:p w14:paraId="49874272">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四不放过</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的原则，严肃处理相关责任人。</w:t>
      </w:r>
    </w:p>
    <w:p w14:paraId="60AC38B6">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（11）安全生产费用按照</w:t>
      </w:r>
      <w:bookmarkStart w:id="1784" w:name="_Toc187470650"/>
      <w:r>
        <w:rPr>
          <w:rFonts w:hint="default" w:ascii="Times New Roman" w:hAnsi="Times New Roman" w:cs="Times New Roman"/>
          <w:color w:val="auto"/>
          <w:sz w:val="24"/>
          <w:highlight w:val="none"/>
        </w:rPr>
        <w:t>《公路水运工程安全生产监督管理办法</w:t>
      </w:r>
      <w:bookmarkEnd w:id="1784"/>
      <w:r>
        <w:rPr>
          <w:rFonts w:hint="default" w:ascii="Times New Roman" w:hAnsi="Times New Roman" w:cs="Times New Roman"/>
          <w:color w:val="auto"/>
          <w:sz w:val="24"/>
          <w:highlight w:val="none"/>
        </w:rPr>
        <w:t>》的相关规定使用和管理。</w:t>
      </w:r>
    </w:p>
    <w:p w14:paraId="06B1D135">
      <w:pPr>
        <w:pageBreakBefore w:val="0"/>
        <w:kinsoku/>
        <w:wordWrap w:val="0"/>
        <w:bidi w:val="0"/>
        <w:spacing w:line="390" w:lineRule="atLeast"/>
        <w:ind w:firstLine="616" w:firstLineChars="257"/>
        <w:outlineLvl w:val="2"/>
        <w:rPr>
          <w:rFonts w:hint="default" w:ascii="Times New Roman" w:hAnsi="Times New Roman" w:eastAsia="黑体" w:cs="Times New Roman"/>
          <w:color w:val="auto"/>
          <w:sz w:val="24"/>
          <w:highlight w:val="none"/>
        </w:rPr>
      </w:pPr>
      <w:bookmarkStart w:id="1785" w:name="_Toc19815"/>
      <w:r>
        <w:rPr>
          <w:rFonts w:hint="default" w:ascii="Times New Roman" w:hAnsi="Times New Roman" w:eastAsia="黑体" w:cs="Times New Roman"/>
          <w:color w:val="auto"/>
          <w:sz w:val="24"/>
          <w:highlight w:val="none"/>
        </w:rPr>
        <w:t>3.违约责任</w:t>
      </w:r>
      <w:bookmarkEnd w:id="1785"/>
    </w:p>
    <w:p w14:paraId="032846D4">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如因发包人或承包人违约造成安全事故，将依法追究责任。</w:t>
      </w:r>
    </w:p>
    <w:p w14:paraId="7905143C">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 本合同由双方法定代表人或其授权的代理人签署并加盖单位章后生效，全部工程竣工验收后失效。</w:t>
      </w:r>
    </w:p>
    <w:p w14:paraId="3DF81B0B">
      <w:pPr>
        <w:pageBreakBefore w:val="0"/>
        <w:kinsoku/>
        <w:wordWrap w:val="0"/>
        <w:bidi w:val="0"/>
        <w:spacing w:line="39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 本合同正本二份、副本____份，合同双方各执正本一份，副本____份，当正本与副本的内容不一致时，以正本为准。</w:t>
      </w:r>
    </w:p>
    <w:p w14:paraId="50EB56CE">
      <w:pPr>
        <w:pageBreakBefore w:val="0"/>
        <w:kinsoku/>
        <w:wordWrap w:val="0"/>
        <w:bidi w:val="0"/>
        <w:spacing w:line="400" w:lineRule="atLeast"/>
        <w:ind w:firstLine="525"/>
        <w:rPr>
          <w:rFonts w:hint="default" w:ascii="Times New Roman" w:hAnsi="Times New Roman" w:cs="Times New Roman"/>
          <w:color w:val="auto"/>
          <w:sz w:val="24"/>
          <w:highlight w:val="none"/>
        </w:rPr>
      </w:pPr>
    </w:p>
    <w:p w14:paraId="0AB45943">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0079177B">
      <w:pPr>
        <w:pageBreakBefore w:val="0"/>
        <w:kinsoku/>
        <w:wordWrap w:val="0"/>
        <w:bidi w:val="0"/>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i/>
          <w:color w:val="auto"/>
          <w:sz w:val="24"/>
          <w:highlight w:val="none"/>
        </w:rPr>
        <w:t>（</w:t>
      </w:r>
      <w:r>
        <w:rPr>
          <w:rFonts w:hint="default" w:ascii="Times New Roman" w:hAnsi="Times New Roman" w:cs="Times New Roman"/>
          <w:color w:val="auto"/>
          <w:sz w:val="24"/>
          <w:highlight w:val="none"/>
        </w:rPr>
        <w:t>签字）  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6E6630A6">
      <w:pPr>
        <w:pageBreakBefore w:val="0"/>
        <w:kinsoku/>
        <w:wordWrap w:val="0"/>
        <w:bidi w:val="0"/>
        <w:spacing w:line="440" w:lineRule="exact"/>
        <w:ind w:firstLine="840" w:firstLineChars="3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日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1D414DA0">
      <w:pPr>
        <w:pStyle w:val="2"/>
        <w:pageBreakBefore w:val="0"/>
        <w:kinsoku/>
        <w:wordWrap w:val="0"/>
        <w:bidi w:val="0"/>
        <w:spacing w:before="0" w:after="0" w:line="380" w:lineRule="atLeast"/>
        <w:rPr>
          <w:rFonts w:hint="default" w:ascii="Times New Roman" w:hAnsi="Times New Roman" w:eastAsia="黑体" w:cs="Times New Roman"/>
          <w:b w:val="0"/>
          <w:color w:val="auto"/>
          <w:sz w:val="24"/>
          <w:szCs w:val="24"/>
          <w:highlight w:val="yellow"/>
        </w:rPr>
      </w:pPr>
      <w:r>
        <w:rPr>
          <w:rFonts w:hint="default" w:ascii="Times New Roman" w:hAnsi="Times New Roman" w:eastAsia="黑体" w:cs="Times New Roman"/>
          <w:color w:val="auto"/>
          <w:sz w:val="24"/>
          <w:highlight w:val="none"/>
        </w:rPr>
        <w:br w:type="page"/>
      </w:r>
      <w:bookmarkStart w:id="1786" w:name="_Toc14696"/>
      <w:bookmarkStart w:id="1787" w:name="_Toc234833234"/>
      <w:bookmarkStart w:id="1788" w:name="_Toc30403"/>
      <w:bookmarkStart w:id="1789" w:name="_Toc24497"/>
      <w:bookmarkStart w:id="1790" w:name="_Toc5077"/>
      <w:r>
        <w:rPr>
          <w:rFonts w:hint="default" w:ascii="Times New Roman" w:hAnsi="Times New Roman" w:eastAsia="黑体" w:cs="Times New Roman"/>
          <w:b w:val="0"/>
          <w:color w:val="auto"/>
          <w:sz w:val="24"/>
          <w:szCs w:val="24"/>
          <w:highlight w:val="yellow"/>
        </w:rPr>
        <w:t>附件四</w:t>
      </w:r>
      <w:r>
        <w:rPr>
          <w:rFonts w:hint="default" w:ascii="Times New Roman" w:hAnsi="Times New Roman" w:eastAsia="黑体" w:cs="Times New Roman"/>
          <w:b w:val="0"/>
          <w:color w:val="auto"/>
          <w:sz w:val="24"/>
          <w:szCs w:val="24"/>
          <w:highlight w:val="yellow"/>
          <w:lang w:eastAsia="zh-CN"/>
        </w:rPr>
        <w:t xml:space="preserve"> </w:t>
      </w:r>
      <w:r>
        <w:rPr>
          <w:rFonts w:hint="default" w:ascii="Times New Roman" w:hAnsi="Times New Roman" w:eastAsia="黑体" w:cs="Times New Roman"/>
          <w:b w:val="0"/>
          <w:color w:val="auto"/>
          <w:sz w:val="24"/>
          <w:szCs w:val="24"/>
          <w:highlight w:val="yellow"/>
        </w:rPr>
        <w:t xml:space="preserve">其他管理和技术人员最低要求 </w:t>
      </w:r>
      <w:r>
        <w:rPr>
          <w:rFonts w:hint="default" w:ascii="Times New Roman" w:hAnsi="Times New Roman" w:cs="Times New Roman"/>
          <w:color w:val="auto"/>
          <w:kern w:val="2"/>
          <w:sz w:val="24"/>
          <w:szCs w:val="24"/>
          <w:highlight w:val="yellow"/>
          <w:vertAlign w:val="superscript"/>
        </w:rPr>
        <w:footnoteReference w:id="39"/>
      </w:r>
      <w:bookmarkEnd w:id="1786"/>
      <w:bookmarkEnd w:id="1787"/>
      <w:bookmarkEnd w:id="1788"/>
      <w:bookmarkEnd w:id="1789"/>
      <w:bookmarkEnd w:id="1790"/>
    </w:p>
    <w:p w14:paraId="64375887">
      <w:pPr>
        <w:pageBreakBefore w:val="0"/>
        <w:kinsoku/>
        <w:wordWrap w:val="0"/>
        <w:bidi w:val="0"/>
        <w:adjustRightInd w:val="0"/>
        <w:snapToGrid w:val="0"/>
        <w:spacing w:line="400" w:lineRule="atLeast"/>
        <w:rPr>
          <w:rFonts w:hint="default" w:ascii="Times New Roman" w:hAnsi="Times New Roman" w:cs="Times New Roman"/>
          <w:color w:val="auto"/>
          <w:sz w:val="24"/>
          <w:highlight w:val="yellow"/>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2161"/>
        <w:gridCol w:w="4282"/>
      </w:tblGrid>
      <w:tr w14:paraId="203E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2448" w:type="dxa"/>
            <w:noWrap w:val="0"/>
            <w:vAlign w:val="center"/>
          </w:tcPr>
          <w:p w14:paraId="6EF6E33F">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yellow"/>
              </w:rPr>
              <w:t>人  员</w:t>
            </w:r>
          </w:p>
        </w:tc>
        <w:tc>
          <w:tcPr>
            <w:tcW w:w="2161" w:type="dxa"/>
            <w:noWrap w:val="0"/>
            <w:vAlign w:val="center"/>
          </w:tcPr>
          <w:p w14:paraId="5C6195B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yellow"/>
              </w:rPr>
              <w:t>数  量</w:t>
            </w:r>
          </w:p>
        </w:tc>
        <w:tc>
          <w:tcPr>
            <w:tcW w:w="4282" w:type="dxa"/>
            <w:noWrap w:val="0"/>
            <w:vAlign w:val="center"/>
          </w:tcPr>
          <w:p w14:paraId="0A33152A">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yellow"/>
              </w:rPr>
              <w:t>资 格 要 求</w:t>
            </w:r>
          </w:p>
        </w:tc>
      </w:tr>
      <w:tr w14:paraId="537C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shd w:val="clear" w:color="auto" w:fill="auto"/>
            <w:noWrap w:val="0"/>
            <w:vAlign w:val="center"/>
          </w:tcPr>
          <w:p w14:paraId="22AF3EC4">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生产负责人</w:t>
            </w:r>
          </w:p>
        </w:tc>
        <w:tc>
          <w:tcPr>
            <w:tcW w:w="2161" w:type="dxa"/>
            <w:shd w:val="clear" w:color="auto" w:fill="auto"/>
            <w:noWrap w:val="0"/>
            <w:vAlign w:val="center"/>
          </w:tcPr>
          <w:p w14:paraId="2B37A61C">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1</w:t>
            </w:r>
          </w:p>
        </w:tc>
        <w:tc>
          <w:tcPr>
            <w:tcW w:w="4282" w:type="dxa"/>
            <w:shd w:val="clear" w:color="auto" w:fill="auto"/>
            <w:noWrap w:val="0"/>
            <w:vAlign w:val="center"/>
          </w:tcPr>
          <w:p w14:paraId="55CAB227">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具有道桥相关专业中专及以上学历，从事公路施工管理</w:t>
            </w:r>
            <w:r>
              <w:rPr>
                <w:rFonts w:hint="eastAsia" w:ascii="仿宋" w:hAnsi="仿宋" w:eastAsia="仿宋" w:cs="仿宋"/>
                <w:sz w:val="24"/>
                <w:szCs w:val="24"/>
                <w:highlight w:val="yellow"/>
                <w:lang w:val="en-US" w:eastAsia="zh-CN"/>
              </w:rPr>
              <w:t xml:space="preserve"> 3</w:t>
            </w:r>
            <w:r>
              <w:rPr>
                <w:rFonts w:hint="eastAsia" w:ascii="仿宋" w:hAnsi="仿宋" w:eastAsia="仿宋" w:cs="仿宋"/>
                <w:sz w:val="24"/>
                <w:szCs w:val="24"/>
                <w:highlight w:val="yellow"/>
              </w:rPr>
              <w:t>年以上工</w:t>
            </w:r>
            <w:r>
              <w:rPr>
                <w:rFonts w:hint="eastAsia" w:ascii="仿宋" w:hAnsi="仿宋" w:eastAsia="仿宋" w:cs="仿宋"/>
                <w:sz w:val="24"/>
                <w:szCs w:val="24"/>
                <w:highlight w:val="yellow"/>
                <w:lang w:val="en-US" w:eastAsia="zh-CN"/>
              </w:rPr>
              <w:t>作</w:t>
            </w:r>
            <w:r>
              <w:rPr>
                <w:rFonts w:hint="eastAsia" w:ascii="仿宋" w:hAnsi="仿宋" w:eastAsia="仿宋" w:cs="仿宋"/>
                <w:sz w:val="24"/>
                <w:szCs w:val="24"/>
                <w:highlight w:val="yellow"/>
              </w:rPr>
              <w:t>经历，具备类似工程施工经验，曾担任过类似工程的生产负责人。</w:t>
            </w:r>
          </w:p>
        </w:tc>
      </w:tr>
      <w:tr w14:paraId="35266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shd w:val="clear" w:color="auto" w:fill="auto"/>
            <w:noWrap w:val="0"/>
            <w:vAlign w:val="center"/>
          </w:tcPr>
          <w:p w14:paraId="300C147B">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质量管理负责人</w:t>
            </w:r>
          </w:p>
        </w:tc>
        <w:tc>
          <w:tcPr>
            <w:tcW w:w="2161" w:type="dxa"/>
            <w:shd w:val="clear" w:color="auto" w:fill="auto"/>
            <w:noWrap w:val="0"/>
            <w:vAlign w:val="center"/>
          </w:tcPr>
          <w:p w14:paraId="597FED40">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1</w:t>
            </w:r>
          </w:p>
        </w:tc>
        <w:tc>
          <w:tcPr>
            <w:tcW w:w="4282" w:type="dxa"/>
            <w:shd w:val="clear" w:color="auto" w:fill="auto"/>
            <w:noWrap w:val="0"/>
            <w:vAlign w:val="center"/>
          </w:tcPr>
          <w:p w14:paraId="67A93689">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lang w:val="en-US" w:eastAsia="zh-CN"/>
              </w:rPr>
              <w:t>具有</w:t>
            </w:r>
            <w:r>
              <w:rPr>
                <w:rFonts w:hint="eastAsia" w:ascii="仿宋" w:hAnsi="仿宋" w:eastAsia="仿宋" w:cs="仿宋"/>
                <w:sz w:val="24"/>
                <w:szCs w:val="24"/>
                <w:highlight w:val="yellow"/>
              </w:rPr>
              <w:t>相关专业中级及以上职称</w:t>
            </w:r>
            <w:r>
              <w:rPr>
                <w:rFonts w:hint="eastAsia" w:ascii="仿宋" w:hAnsi="仿宋" w:eastAsia="仿宋" w:cs="仿宋"/>
                <w:sz w:val="24"/>
                <w:szCs w:val="24"/>
                <w:highlight w:val="yellow"/>
                <w:lang w:eastAsia="zh-CN"/>
              </w:rPr>
              <w:t>，</w:t>
            </w:r>
            <w:r>
              <w:rPr>
                <w:rFonts w:hint="eastAsia" w:ascii="仿宋" w:hAnsi="仿宋" w:eastAsia="仿宋" w:cs="仿宋"/>
                <w:sz w:val="24"/>
                <w:szCs w:val="24"/>
                <w:highlight w:val="yellow"/>
              </w:rPr>
              <w:t>从事公路施工技术管理</w:t>
            </w:r>
            <w:r>
              <w:rPr>
                <w:rFonts w:hint="eastAsia" w:ascii="仿宋" w:hAnsi="仿宋" w:eastAsia="仿宋" w:cs="仿宋"/>
                <w:sz w:val="24"/>
                <w:szCs w:val="24"/>
                <w:highlight w:val="yellow"/>
                <w:lang w:val="en-US" w:eastAsia="zh-CN"/>
              </w:rPr>
              <w:t>3</w:t>
            </w:r>
            <w:r>
              <w:rPr>
                <w:rFonts w:hint="eastAsia" w:ascii="仿宋" w:hAnsi="仿宋" w:eastAsia="仿宋" w:cs="仿宋"/>
                <w:sz w:val="24"/>
                <w:szCs w:val="24"/>
                <w:highlight w:val="yellow"/>
              </w:rPr>
              <w:t>年以上工</w:t>
            </w:r>
            <w:r>
              <w:rPr>
                <w:rFonts w:hint="eastAsia" w:ascii="仿宋" w:hAnsi="仿宋" w:eastAsia="仿宋" w:cs="仿宋"/>
                <w:sz w:val="24"/>
                <w:szCs w:val="24"/>
                <w:highlight w:val="yellow"/>
                <w:lang w:val="en-US" w:eastAsia="zh-CN"/>
              </w:rPr>
              <w:t>作</w:t>
            </w:r>
            <w:r>
              <w:rPr>
                <w:rFonts w:hint="eastAsia" w:ascii="仿宋" w:hAnsi="仿宋" w:eastAsia="仿宋" w:cs="仿宋"/>
                <w:sz w:val="24"/>
                <w:szCs w:val="24"/>
                <w:highlight w:val="yellow"/>
              </w:rPr>
              <w:t>经历。</w:t>
            </w:r>
          </w:p>
        </w:tc>
      </w:tr>
      <w:tr w14:paraId="5D4F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shd w:val="clear" w:color="auto" w:fill="auto"/>
            <w:noWrap w:val="0"/>
            <w:vAlign w:val="center"/>
          </w:tcPr>
          <w:p w14:paraId="6EE3D61C">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lang w:val="en-US" w:eastAsia="zh-CN"/>
              </w:rPr>
              <w:t>计量</w:t>
            </w:r>
            <w:r>
              <w:rPr>
                <w:rFonts w:hint="eastAsia" w:ascii="仿宋" w:hAnsi="仿宋" w:eastAsia="仿宋" w:cs="仿宋"/>
                <w:sz w:val="24"/>
                <w:szCs w:val="24"/>
                <w:highlight w:val="yellow"/>
              </w:rPr>
              <w:t>负责人</w:t>
            </w:r>
          </w:p>
        </w:tc>
        <w:tc>
          <w:tcPr>
            <w:tcW w:w="2161" w:type="dxa"/>
            <w:shd w:val="clear" w:color="auto" w:fill="auto"/>
            <w:noWrap w:val="0"/>
            <w:vAlign w:val="center"/>
          </w:tcPr>
          <w:p w14:paraId="077A0C0A">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1</w:t>
            </w:r>
          </w:p>
        </w:tc>
        <w:tc>
          <w:tcPr>
            <w:tcW w:w="4282" w:type="dxa"/>
            <w:shd w:val="clear" w:color="auto" w:fill="auto"/>
            <w:noWrap w:val="0"/>
            <w:vAlign w:val="center"/>
          </w:tcPr>
          <w:p w14:paraId="1E296DAA">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至少有</w:t>
            </w:r>
            <w:r>
              <w:rPr>
                <w:rFonts w:hint="eastAsia" w:ascii="仿宋" w:hAnsi="仿宋" w:eastAsia="仿宋" w:cs="仿宋"/>
                <w:sz w:val="24"/>
                <w:szCs w:val="24"/>
                <w:highlight w:val="yellow"/>
                <w:lang w:val="en-US" w:eastAsia="zh-CN"/>
              </w:rPr>
              <w:t>3</w:t>
            </w:r>
            <w:r>
              <w:rPr>
                <w:rFonts w:hint="eastAsia" w:ascii="仿宋" w:hAnsi="仿宋" w:eastAsia="仿宋" w:cs="仿宋"/>
                <w:sz w:val="24"/>
                <w:szCs w:val="24"/>
                <w:highlight w:val="yellow"/>
              </w:rPr>
              <w:t>年的专业工</w:t>
            </w:r>
            <w:r>
              <w:rPr>
                <w:rFonts w:hint="eastAsia" w:ascii="仿宋" w:hAnsi="仿宋" w:eastAsia="仿宋" w:cs="仿宋"/>
                <w:sz w:val="24"/>
                <w:szCs w:val="24"/>
                <w:highlight w:val="yellow"/>
                <w:lang w:val="en-US" w:eastAsia="zh-CN"/>
              </w:rPr>
              <w:t>作</w:t>
            </w:r>
            <w:r>
              <w:rPr>
                <w:rFonts w:hint="eastAsia" w:ascii="仿宋" w:hAnsi="仿宋" w:eastAsia="仿宋" w:cs="仿宋"/>
                <w:sz w:val="24"/>
                <w:szCs w:val="24"/>
                <w:highlight w:val="yellow"/>
              </w:rPr>
              <w:t>经历。</w:t>
            </w:r>
          </w:p>
        </w:tc>
      </w:tr>
      <w:tr w14:paraId="4F4A6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shd w:val="clear" w:color="auto" w:fill="auto"/>
            <w:noWrap w:val="0"/>
            <w:vAlign w:val="center"/>
          </w:tcPr>
          <w:p w14:paraId="60BC87F2">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专职安全生产管理人员</w:t>
            </w:r>
          </w:p>
        </w:tc>
        <w:tc>
          <w:tcPr>
            <w:tcW w:w="2161" w:type="dxa"/>
            <w:shd w:val="clear" w:color="auto" w:fill="auto"/>
            <w:noWrap w:val="0"/>
            <w:vAlign w:val="center"/>
          </w:tcPr>
          <w:p w14:paraId="39E5B853">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1</w:t>
            </w:r>
          </w:p>
        </w:tc>
        <w:tc>
          <w:tcPr>
            <w:tcW w:w="4282" w:type="dxa"/>
            <w:shd w:val="clear" w:color="auto" w:fill="auto"/>
            <w:noWrap w:val="0"/>
            <w:vAlign w:val="center"/>
          </w:tcPr>
          <w:p w14:paraId="287C79FB">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lang w:val="en-US" w:eastAsia="zh-CN"/>
              </w:rPr>
              <w:t>具有</w:t>
            </w:r>
            <w:r>
              <w:rPr>
                <w:rFonts w:hint="eastAsia" w:ascii="仿宋" w:hAnsi="仿宋" w:eastAsia="仿宋" w:cs="仿宋"/>
                <w:sz w:val="24"/>
                <w:szCs w:val="24"/>
                <w:highlight w:val="yellow"/>
              </w:rPr>
              <w:t>相关专业初级以上技术职称，负责类似工程施工安全生产工作</w:t>
            </w:r>
            <w:r>
              <w:rPr>
                <w:rFonts w:hint="eastAsia" w:ascii="仿宋" w:hAnsi="仿宋" w:eastAsia="仿宋" w:cs="仿宋"/>
                <w:sz w:val="24"/>
                <w:szCs w:val="24"/>
                <w:highlight w:val="yellow"/>
                <w:lang w:val="en-US" w:eastAsia="zh-CN"/>
              </w:rPr>
              <w:t>3</w:t>
            </w:r>
            <w:r>
              <w:rPr>
                <w:rFonts w:hint="eastAsia" w:ascii="仿宋" w:hAnsi="仿宋" w:eastAsia="仿宋" w:cs="仿宋"/>
                <w:sz w:val="24"/>
                <w:szCs w:val="24"/>
                <w:highlight w:val="yellow"/>
              </w:rPr>
              <w:t>年以上工</w:t>
            </w:r>
            <w:r>
              <w:rPr>
                <w:rFonts w:hint="eastAsia" w:ascii="仿宋" w:hAnsi="仿宋" w:eastAsia="仿宋" w:cs="仿宋"/>
                <w:sz w:val="24"/>
                <w:szCs w:val="24"/>
                <w:highlight w:val="yellow"/>
                <w:lang w:val="en-US" w:eastAsia="zh-CN"/>
              </w:rPr>
              <w:t>作</w:t>
            </w:r>
            <w:r>
              <w:rPr>
                <w:rFonts w:hint="eastAsia" w:ascii="仿宋" w:hAnsi="仿宋" w:eastAsia="仿宋" w:cs="仿宋"/>
                <w:sz w:val="24"/>
                <w:szCs w:val="24"/>
                <w:highlight w:val="yellow"/>
              </w:rPr>
              <w:t>经历，持有安全生产考核C类合格证书并在有效期内。</w:t>
            </w:r>
          </w:p>
        </w:tc>
      </w:tr>
      <w:tr w14:paraId="4946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shd w:val="clear" w:color="auto" w:fill="auto"/>
            <w:noWrap w:val="0"/>
            <w:vAlign w:val="center"/>
          </w:tcPr>
          <w:p w14:paraId="192AB4CF">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textAlignment w:val="baseline"/>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试验检测师</w:t>
            </w:r>
          </w:p>
        </w:tc>
        <w:tc>
          <w:tcPr>
            <w:tcW w:w="2161" w:type="dxa"/>
            <w:shd w:val="clear" w:color="auto" w:fill="auto"/>
            <w:noWrap w:val="0"/>
            <w:vAlign w:val="center"/>
          </w:tcPr>
          <w:p w14:paraId="5D22B7B3">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jc w:val="center"/>
              <w:textAlignment w:val="baseline"/>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1</w:t>
            </w:r>
          </w:p>
        </w:tc>
        <w:tc>
          <w:tcPr>
            <w:tcW w:w="4282" w:type="dxa"/>
            <w:shd w:val="clear" w:color="auto" w:fill="auto"/>
            <w:noWrap w:val="0"/>
            <w:vAlign w:val="center"/>
          </w:tcPr>
          <w:p w14:paraId="7203E60C">
            <w:pPr>
              <w:keepNext w:val="0"/>
              <w:keepLines w:val="0"/>
              <w:pageBreakBefore w:val="0"/>
              <w:widowControl/>
              <w:kinsoku w:val="0"/>
              <w:wordWrap/>
              <w:overflowPunct/>
              <w:topLinePunct w:val="0"/>
              <w:autoSpaceDE w:val="0"/>
              <w:autoSpaceDN w:val="0"/>
              <w:bidi w:val="0"/>
              <w:adjustRightInd w:val="0"/>
              <w:snapToGrid w:val="0"/>
              <w:spacing w:line="400" w:lineRule="atLeast"/>
              <w:ind w:left="105" w:leftChars="50" w:right="105" w:rightChars="50"/>
              <w:textAlignment w:val="baseline"/>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yellow"/>
                <w:lang w:val="en-US" w:eastAsia="zh-CN"/>
              </w:rPr>
              <w:t>公路水运工程试验检测师</w:t>
            </w:r>
          </w:p>
        </w:tc>
      </w:tr>
      <w:tr w14:paraId="3CDB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448" w:type="dxa"/>
            <w:shd w:val="clear" w:color="auto" w:fill="auto"/>
            <w:noWrap w:val="0"/>
            <w:vAlign w:val="center"/>
          </w:tcPr>
          <w:p w14:paraId="39534059">
            <w:pPr>
              <w:pageBreakBefore w:val="0"/>
              <w:kinsoku/>
              <w:wordWrap w:val="0"/>
              <w:bidi w:val="0"/>
              <w:spacing w:line="400" w:lineRule="atLeast"/>
              <w:jc w:val="center"/>
              <w:rPr>
                <w:rFonts w:hint="eastAsia" w:ascii="Times New Roman" w:hAnsi="Times New Roman" w:eastAsia="宋体" w:cs="Times New Roman"/>
                <w:color w:val="auto"/>
                <w:kern w:val="2"/>
                <w:sz w:val="24"/>
                <w:szCs w:val="24"/>
                <w:highlight w:val="yellow"/>
                <w:lang w:val="en-US" w:eastAsia="zh-CN" w:bidi="ar-SA"/>
              </w:rPr>
            </w:pPr>
            <w:r>
              <w:rPr>
                <w:rFonts w:hint="eastAsia" w:ascii="仿宋" w:hAnsi="仿宋" w:eastAsia="仿宋" w:cs="仿宋"/>
                <w:sz w:val="24"/>
                <w:szCs w:val="24"/>
                <w:highlight w:val="yellow"/>
              </w:rPr>
              <w:t>内业</w:t>
            </w:r>
            <w:r>
              <w:rPr>
                <w:rFonts w:hint="eastAsia" w:ascii="仿宋" w:hAnsi="仿宋" w:eastAsia="仿宋" w:cs="仿宋"/>
                <w:sz w:val="24"/>
                <w:szCs w:val="24"/>
                <w:highlight w:val="yellow"/>
                <w:lang w:val="en-US" w:eastAsia="zh-CN"/>
              </w:rPr>
              <w:t>管理</w:t>
            </w:r>
            <w:r>
              <w:rPr>
                <w:rFonts w:hint="eastAsia" w:ascii="仿宋" w:hAnsi="仿宋" w:eastAsia="仿宋" w:cs="仿宋"/>
                <w:sz w:val="24"/>
                <w:szCs w:val="24"/>
                <w:highlight w:val="yellow"/>
              </w:rPr>
              <w:t>负责人</w:t>
            </w:r>
          </w:p>
        </w:tc>
        <w:tc>
          <w:tcPr>
            <w:tcW w:w="2161" w:type="dxa"/>
            <w:shd w:val="clear" w:color="auto" w:fill="auto"/>
            <w:noWrap w:val="0"/>
            <w:vAlign w:val="center"/>
          </w:tcPr>
          <w:p w14:paraId="68EC9510">
            <w:pPr>
              <w:pageBreakBefore w:val="0"/>
              <w:kinsoku/>
              <w:wordWrap w:val="0"/>
              <w:bidi w:val="0"/>
              <w:adjustRightInd w:val="0"/>
              <w:snapToGrid w:val="0"/>
              <w:spacing w:line="400" w:lineRule="atLeast"/>
              <w:jc w:val="center"/>
              <w:rPr>
                <w:rFonts w:hint="eastAsia" w:ascii="Times New Roman" w:hAnsi="Times New Roman" w:eastAsia="宋体" w:cs="Times New Roman"/>
                <w:color w:val="auto"/>
                <w:kern w:val="2"/>
                <w:sz w:val="24"/>
                <w:szCs w:val="24"/>
                <w:highlight w:val="yellow"/>
                <w:lang w:val="en-US" w:eastAsia="zh-CN" w:bidi="ar-SA"/>
              </w:rPr>
            </w:pPr>
            <w:r>
              <w:rPr>
                <w:rFonts w:hint="eastAsia" w:cs="Times New Roman"/>
                <w:color w:val="auto"/>
                <w:sz w:val="24"/>
                <w:highlight w:val="yellow"/>
                <w:lang w:val="en-US" w:eastAsia="zh-CN"/>
              </w:rPr>
              <w:t>1</w:t>
            </w:r>
          </w:p>
        </w:tc>
        <w:tc>
          <w:tcPr>
            <w:tcW w:w="4282" w:type="dxa"/>
            <w:shd w:val="clear" w:color="auto" w:fill="auto"/>
            <w:noWrap w:val="0"/>
            <w:vAlign w:val="center"/>
          </w:tcPr>
          <w:p w14:paraId="2BE9D11B">
            <w:pPr>
              <w:pageBreakBefore w:val="0"/>
              <w:kinsoku/>
              <w:wordWrap w:val="0"/>
              <w:bidi w:val="0"/>
              <w:spacing w:line="400" w:lineRule="atLeast"/>
              <w:rPr>
                <w:rFonts w:hint="eastAsia" w:ascii="Times New Roman" w:hAnsi="Times New Roman" w:eastAsia="宋体" w:cs="Times New Roman"/>
                <w:color w:val="auto"/>
                <w:kern w:val="2"/>
                <w:sz w:val="24"/>
                <w:szCs w:val="24"/>
                <w:highlight w:val="yellow"/>
                <w:lang w:val="en-US" w:eastAsia="zh-CN" w:bidi="ar-SA"/>
              </w:rPr>
            </w:pPr>
            <w:r>
              <w:rPr>
                <w:rFonts w:hint="eastAsia" w:ascii="仿宋" w:hAnsi="仿宋" w:eastAsia="仿宋" w:cs="仿宋"/>
                <w:sz w:val="24"/>
                <w:szCs w:val="24"/>
                <w:highlight w:val="yellow"/>
              </w:rPr>
              <w:t>具有相关专业中级及以上技术职称，至少有</w:t>
            </w:r>
            <w:r>
              <w:rPr>
                <w:rFonts w:hint="eastAsia" w:ascii="仿宋" w:hAnsi="仿宋" w:eastAsia="仿宋" w:cs="仿宋"/>
                <w:sz w:val="24"/>
                <w:szCs w:val="24"/>
                <w:highlight w:val="yellow"/>
                <w:lang w:val="en-US" w:eastAsia="zh-CN"/>
              </w:rPr>
              <w:t>3</w:t>
            </w:r>
            <w:r>
              <w:rPr>
                <w:rFonts w:hint="eastAsia" w:ascii="仿宋" w:hAnsi="仿宋" w:eastAsia="仿宋" w:cs="仿宋"/>
                <w:sz w:val="24"/>
                <w:szCs w:val="24"/>
                <w:highlight w:val="yellow"/>
              </w:rPr>
              <w:t>年的专业工</w:t>
            </w:r>
            <w:r>
              <w:rPr>
                <w:rFonts w:hint="eastAsia" w:ascii="仿宋" w:hAnsi="仿宋" w:eastAsia="仿宋" w:cs="仿宋"/>
                <w:sz w:val="24"/>
                <w:szCs w:val="24"/>
                <w:highlight w:val="yellow"/>
                <w:lang w:val="en-US" w:eastAsia="zh-CN"/>
              </w:rPr>
              <w:t>作</w:t>
            </w:r>
            <w:r>
              <w:rPr>
                <w:rFonts w:hint="eastAsia" w:ascii="仿宋" w:hAnsi="仿宋" w:eastAsia="仿宋" w:cs="仿宋"/>
                <w:sz w:val="24"/>
                <w:szCs w:val="24"/>
                <w:highlight w:val="yellow"/>
              </w:rPr>
              <w:t>经历。</w:t>
            </w:r>
          </w:p>
        </w:tc>
      </w:tr>
      <w:tr w14:paraId="4C4B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891" w:type="dxa"/>
            <w:gridSpan w:val="3"/>
            <w:noWrap w:val="0"/>
            <w:vAlign w:val="center"/>
          </w:tcPr>
          <w:p w14:paraId="3471DD26">
            <w:pPr>
              <w:pageBreakBefore w:val="0"/>
              <w:kinsoku/>
              <w:wordWrap w:val="0"/>
              <w:bidi w:val="0"/>
              <w:spacing w:line="400" w:lineRule="atLeast"/>
              <w:rPr>
                <w:rFonts w:hint="eastAsia" w:cs="Times New Roman"/>
                <w:color w:val="auto"/>
                <w:sz w:val="24"/>
                <w:highlight w:val="yellow"/>
                <w:lang w:val="en-US" w:eastAsia="zh-CN"/>
              </w:rPr>
            </w:pPr>
            <w:r>
              <w:rPr>
                <w:rFonts w:hint="eastAsia" w:cs="Times New Roman"/>
                <w:color w:val="auto"/>
                <w:sz w:val="24"/>
                <w:highlight w:val="yellow"/>
                <w:lang w:val="en-US" w:eastAsia="zh-CN"/>
              </w:rPr>
              <w:t>注：</w:t>
            </w:r>
            <w:r>
              <w:rPr>
                <w:rFonts w:hint="eastAsia" w:ascii="仿宋" w:hAnsi="仿宋" w:eastAsia="仿宋" w:cs="仿宋"/>
                <w:spacing w:val="-17"/>
                <w:highlight w:val="yellow"/>
              </w:rPr>
              <w:t>上述人员应是投标人自有，具体人选由中标人在进行合同谈判之前确定，并应向招标人报送人员身份证、职称证、相关资格证书等的彩色影印件。如中标人派驻的人员数量和资格条件不满足本表要求，招标人将取消其中标资格。上述人员经招标人审批后作为派驻本标段的项目管理机构主要人员，原则上不允许更换。</w:t>
            </w:r>
          </w:p>
          <w:p w14:paraId="7D64E2CA">
            <w:pPr>
              <w:pageBreakBefore w:val="0"/>
              <w:kinsoku/>
              <w:wordWrap w:val="0"/>
              <w:bidi w:val="0"/>
              <w:spacing w:line="400" w:lineRule="atLeast"/>
              <w:rPr>
                <w:rFonts w:hint="default" w:ascii="Times New Roman" w:hAnsi="Times New Roman" w:cs="Times New Roman"/>
                <w:color w:val="auto"/>
                <w:sz w:val="24"/>
                <w:highlight w:val="yellow"/>
              </w:rPr>
            </w:pPr>
          </w:p>
        </w:tc>
      </w:tr>
    </w:tbl>
    <w:p w14:paraId="5D33B586">
      <w:pPr>
        <w:pageBreakBefore w:val="0"/>
        <w:kinsoku/>
        <w:wordWrap w:val="0"/>
        <w:bidi w:val="0"/>
        <w:adjustRightInd w:val="0"/>
        <w:snapToGrid w:val="0"/>
        <w:spacing w:line="400" w:lineRule="atLeast"/>
        <w:jc w:val="center"/>
        <w:rPr>
          <w:rFonts w:hint="default" w:ascii="Times New Roman" w:hAnsi="Times New Roman" w:eastAsia="黑体" w:cs="Times New Roman"/>
          <w:color w:val="auto"/>
          <w:sz w:val="24"/>
          <w:highlight w:val="yellow"/>
        </w:rPr>
      </w:pPr>
      <w:r>
        <w:rPr>
          <w:rFonts w:hint="default" w:ascii="Times New Roman" w:hAnsi="Times New Roman" w:eastAsia="黑体" w:cs="Times New Roman"/>
          <w:color w:val="auto"/>
          <w:sz w:val="24"/>
          <w:highlight w:val="yellow"/>
        </w:rPr>
        <w:br w:type="page"/>
      </w:r>
      <w:bookmarkStart w:id="1791" w:name="_Toc22982"/>
      <w:bookmarkStart w:id="1792" w:name="_Toc234833235"/>
      <w:bookmarkStart w:id="1793" w:name="_Toc3353"/>
      <w:bookmarkStart w:id="1794" w:name="_Toc28190"/>
      <w:bookmarkStart w:id="1795" w:name="_Toc28672"/>
    </w:p>
    <w:p w14:paraId="40F427F5">
      <w:pPr>
        <w:pStyle w:val="2"/>
        <w:pageBreakBefore w:val="0"/>
        <w:kinsoku/>
        <w:wordWrap w:val="0"/>
        <w:bidi w:val="0"/>
        <w:spacing w:before="0" w:after="0" w:line="380" w:lineRule="atLeast"/>
        <w:rPr>
          <w:rFonts w:hint="default" w:ascii="Times New Roman" w:hAnsi="Times New Roman" w:eastAsia="黑体" w:cs="Times New Roman"/>
          <w:b w:val="0"/>
          <w:color w:val="auto"/>
          <w:sz w:val="24"/>
          <w:szCs w:val="24"/>
          <w:highlight w:val="yellow"/>
        </w:rPr>
      </w:pPr>
      <w:r>
        <w:rPr>
          <w:rFonts w:hint="default" w:ascii="Times New Roman" w:hAnsi="Times New Roman" w:eastAsia="黑体" w:cs="Times New Roman"/>
          <w:b w:val="0"/>
          <w:color w:val="auto"/>
          <w:sz w:val="24"/>
          <w:szCs w:val="24"/>
          <w:highlight w:val="yellow"/>
        </w:rPr>
        <w:t>附件五</w:t>
      </w:r>
      <w:r>
        <w:rPr>
          <w:rFonts w:hint="default" w:ascii="Times New Roman" w:hAnsi="Times New Roman" w:eastAsia="黑体" w:cs="Times New Roman"/>
          <w:b w:val="0"/>
          <w:color w:val="auto"/>
          <w:sz w:val="24"/>
          <w:szCs w:val="24"/>
          <w:highlight w:val="yellow"/>
          <w:lang w:eastAsia="zh-CN"/>
        </w:rPr>
        <w:t xml:space="preserve"> </w:t>
      </w:r>
      <w:r>
        <w:rPr>
          <w:rFonts w:hint="default" w:ascii="Times New Roman" w:hAnsi="Times New Roman" w:eastAsia="黑体" w:cs="Times New Roman"/>
          <w:b w:val="0"/>
          <w:color w:val="auto"/>
          <w:sz w:val="24"/>
          <w:szCs w:val="24"/>
          <w:highlight w:val="yellow"/>
        </w:rPr>
        <w:t>主要机械设备和试验检测设备最低要求</w:t>
      </w:r>
      <w:r>
        <w:rPr>
          <w:rFonts w:hint="default" w:ascii="Times New Roman" w:hAnsi="Times New Roman" w:cs="Times New Roman"/>
          <w:color w:val="auto"/>
          <w:sz w:val="24"/>
          <w:szCs w:val="24"/>
          <w:highlight w:val="yellow"/>
          <w:vertAlign w:val="superscript"/>
        </w:rPr>
        <w:footnoteReference w:id="40"/>
      </w:r>
      <w:bookmarkEnd w:id="1791"/>
      <w:bookmarkEnd w:id="1792"/>
      <w:bookmarkEnd w:id="1793"/>
      <w:bookmarkEnd w:id="1794"/>
      <w:bookmarkEnd w:id="1795"/>
    </w:p>
    <w:p w14:paraId="036A0497">
      <w:pPr>
        <w:pageBreakBefore w:val="0"/>
        <w:kinsoku/>
        <w:wordWrap w:val="0"/>
        <w:bidi w:val="0"/>
        <w:adjustRightInd w:val="0"/>
        <w:snapToGrid w:val="0"/>
        <w:spacing w:line="400" w:lineRule="atLeast"/>
        <w:rPr>
          <w:rFonts w:hint="default" w:ascii="Times New Roman" w:hAnsi="Times New Roman" w:cs="Times New Roman"/>
          <w:bCs/>
          <w:color w:val="auto"/>
          <w:highlight w:val="yellow"/>
        </w:rPr>
      </w:pPr>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6"/>
        <w:gridCol w:w="4610"/>
        <w:gridCol w:w="720"/>
        <w:gridCol w:w="1021"/>
      </w:tblGrid>
      <w:tr w14:paraId="288ED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06" w:type="dxa"/>
            <w:noWrap w:val="0"/>
            <w:vAlign w:val="center"/>
          </w:tcPr>
          <w:p w14:paraId="32BA15F7">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yellow"/>
              </w:rPr>
              <w:t>设备名称</w:t>
            </w:r>
          </w:p>
        </w:tc>
        <w:tc>
          <w:tcPr>
            <w:tcW w:w="4610" w:type="dxa"/>
            <w:noWrap w:val="0"/>
            <w:vAlign w:val="center"/>
          </w:tcPr>
          <w:p w14:paraId="5DFADEA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yellow"/>
              </w:rPr>
              <w:t>规格、功率及容量</w:t>
            </w:r>
          </w:p>
        </w:tc>
        <w:tc>
          <w:tcPr>
            <w:tcW w:w="720" w:type="dxa"/>
            <w:noWrap w:val="0"/>
            <w:vAlign w:val="center"/>
          </w:tcPr>
          <w:p w14:paraId="75913EE4">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yellow"/>
              </w:rPr>
              <w:t>单位</w:t>
            </w:r>
          </w:p>
        </w:tc>
        <w:tc>
          <w:tcPr>
            <w:tcW w:w="1021" w:type="dxa"/>
            <w:noWrap w:val="0"/>
            <w:vAlign w:val="center"/>
          </w:tcPr>
          <w:p w14:paraId="7114BBC1">
            <w:pPr>
              <w:pageBreakBefore w:val="0"/>
              <w:kinsoku/>
              <w:wordWrap w:val="0"/>
              <w:bidi w:val="0"/>
              <w:adjustRightInd w:val="0"/>
              <w:snapToGrid w:val="0"/>
              <w:spacing w:line="400" w:lineRule="atLeast"/>
              <w:jc w:val="center"/>
              <w:rPr>
                <w:rFonts w:hint="default" w:ascii="Times New Roman" w:hAnsi="Times New Roman" w:cs="Times New Roman"/>
                <w:color w:val="auto"/>
                <w:sz w:val="24"/>
                <w:highlight w:val="yellow"/>
              </w:rPr>
            </w:pPr>
            <w:r>
              <w:rPr>
                <w:rFonts w:hint="default" w:ascii="Times New Roman" w:hAnsi="Times New Roman" w:cs="Times New Roman"/>
                <w:color w:val="auto"/>
                <w:sz w:val="24"/>
                <w:highlight w:val="yellow"/>
              </w:rPr>
              <w:t>最低数量要求</w:t>
            </w:r>
          </w:p>
        </w:tc>
      </w:tr>
      <w:tr w14:paraId="143BE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2206" w:type="dxa"/>
            <w:shd w:val="clear" w:color="auto" w:fill="auto"/>
            <w:noWrap w:val="0"/>
            <w:vAlign w:val="center"/>
          </w:tcPr>
          <w:p w14:paraId="1156AA19">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沥青混凝土摊铺机</w:t>
            </w:r>
          </w:p>
        </w:tc>
        <w:tc>
          <w:tcPr>
            <w:tcW w:w="4610" w:type="dxa"/>
            <w:shd w:val="clear" w:color="auto" w:fill="auto"/>
            <w:noWrap w:val="0"/>
            <w:vAlign w:val="center"/>
          </w:tcPr>
          <w:p w14:paraId="36F885DA">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满足项目施工实际需求</w:t>
            </w:r>
          </w:p>
        </w:tc>
        <w:tc>
          <w:tcPr>
            <w:tcW w:w="720" w:type="dxa"/>
            <w:shd w:val="clear" w:color="auto" w:fill="auto"/>
            <w:noWrap w:val="0"/>
            <w:vAlign w:val="center"/>
          </w:tcPr>
          <w:p w14:paraId="34F2CD71">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台</w:t>
            </w:r>
          </w:p>
        </w:tc>
        <w:tc>
          <w:tcPr>
            <w:tcW w:w="1021" w:type="dxa"/>
            <w:shd w:val="clear" w:color="auto" w:fill="auto"/>
            <w:noWrap w:val="0"/>
            <w:vAlign w:val="center"/>
          </w:tcPr>
          <w:p w14:paraId="46B274A8">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lang w:val="en-US" w:eastAsia="zh-CN"/>
              </w:rPr>
              <w:t>2</w:t>
            </w:r>
          </w:p>
        </w:tc>
      </w:tr>
      <w:tr w14:paraId="35EA5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2206" w:type="dxa"/>
            <w:shd w:val="clear" w:color="auto" w:fill="auto"/>
            <w:noWrap w:val="0"/>
            <w:vAlign w:val="center"/>
          </w:tcPr>
          <w:p w14:paraId="137C8474">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双驱双振压路机</w:t>
            </w:r>
          </w:p>
        </w:tc>
        <w:tc>
          <w:tcPr>
            <w:tcW w:w="4610" w:type="dxa"/>
            <w:shd w:val="clear" w:color="auto" w:fill="auto"/>
            <w:noWrap w:val="0"/>
            <w:vAlign w:val="center"/>
          </w:tcPr>
          <w:p w14:paraId="746B5966">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满足项目施工实际需求</w:t>
            </w:r>
          </w:p>
        </w:tc>
        <w:tc>
          <w:tcPr>
            <w:tcW w:w="720" w:type="dxa"/>
            <w:shd w:val="clear" w:color="auto" w:fill="auto"/>
            <w:noWrap w:val="0"/>
            <w:vAlign w:val="center"/>
          </w:tcPr>
          <w:p w14:paraId="0B3B4EE7">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台</w:t>
            </w:r>
          </w:p>
        </w:tc>
        <w:tc>
          <w:tcPr>
            <w:tcW w:w="1021" w:type="dxa"/>
            <w:shd w:val="clear" w:color="auto" w:fill="auto"/>
            <w:noWrap w:val="0"/>
            <w:vAlign w:val="center"/>
          </w:tcPr>
          <w:p w14:paraId="633E9E6E">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lang w:val="en-US" w:eastAsia="zh-CN"/>
              </w:rPr>
              <w:t>2</w:t>
            </w:r>
          </w:p>
        </w:tc>
      </w:tr>
      <w:tr w14:paraId="0C42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206" w:type="dxa"/>
            <w:shd w:val="clear" w:color="auto" w:fill="auto"/>
            <w:noWrap w:val="0"/>
            <w:vAlign w:val="center"/>
          </w:tcPr>
          <w:p w14:paraId="166A644E">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胶轮压路机</w:t>
            </w:r>
          </w:p>
        </w:tc>
        <w:tc>
          <w:tcPr>
            <w:tcW w:w="4610" w:type="dxa"/>
            <w:shd w:val="clear" w:color="auto" w:fill="auto"/>
            <w:noWrap w:val="0"/>
            <w:vAlign w:val="center"/>
          </w:tcPr>
          <w:p w14:paraId="6B76D06D">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满足项目施工实际需求</w:t>
            </w:r>
          </w:p>
        </w:tc>
        <w:tc>
          <w:tcPr>
            <w:tcW w:w="720" w:type="dxa"/>
            <w:shd w:val="clear" w:color="auto" w:fill="auto"/>
            <w:noWrap w:val="0"/>
            <w:vAlign w:val="center"/>
          </w:tcPr>
          <w:p w14:paraId="4371190E">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台</w:t>
            </w:r>
          </w:p>
        </w:tc>
        <w:tc>
          <w:tcPr>
            <w:tcW w:w="1021" w:type="dxa"/>
            <w:shd w:val="clear" w:color="auto" w:fill="auto"/>
            <w:noWrap w:val="0"/>
            <w:vAlign w:val="center"/>
          </w:tcPr>
          <w:p w14:paraId="584C3C44">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lang w:val="en-US" w:eastAsia="zh-CN"/>
              </w:rPr>
              <w:t>2</w:t>
            </w:r>
          </w:p>
        </w:tc>
      </w:tr>
      <w:tr w14:paraId="1C83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22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15DDC5">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kern w:val="2"/>
                <w:sz w:val="24"/>
                <w:szCs w:val="24"/>
                <w:highlight w:val="yellow"/>
                <w:lang w:val="en-US" w:eastAsia="zh-CN" w:bidi="ar-SA"/>
              </w:rPr>
              <w:t>强制式混凝土搅拌机</w:t>
            </w:r>
          </w:p>
        </w:tc>
        <w:tc>
          <w:tcPr>
            <w:tcW w:w="4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4F728C">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满足项目施工实际需求</w:t>
            </w:r>
          </w:p>
        </w:tc>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3003C6">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台</w:t>
            </w:r>
          </w:p>
        </w:tc>
        <w:tc>
          <w:tcPr>
            <w:tcW w:w="10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2C33A4B">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kern w:val="2"/>
                <w:sz w:val="24"/>
                <w:szCs w:val="24"/>
                <w:highlight w:val="yellow"/>
                <w:lang w:val="en-US" w:eastAsia="zh-CN" w:bidi="ar-SA"/>
              </w:rPr>
              <w:t>2</w:t>
            </w:r>
          </w:p>
        </w:tc>
      </w:tr>
      <w:tr w14:paraId="405F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A35158">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沥青混凝土拌合站</w:t>
            </w:r>
          </w:p>
        </w:tc>
        <w:tc>
          <w:tcPr>
            <w:tcW w:w="4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62F2B2">
            <w:pPr>
              <w:keepNext w:val="0"/>
              <w:keepLines w:val="0"/>
              <w:pageBreakBefore w:val="0"/>
              <w:widowControl/>
              <w:kinsoku w:val="0"/>
              <w:wordWrap/>
              <w:overflowPunct/>
              <w:topLinePunct w:val="0"/>
              <w:autoSpaceDE w:val="0"/>
              <w:autoSpaceDN w:val="0"/>
              <w:bidi w:val="0"/>
              <w:adjustRightInd w:val="0"/>
              <w:snapToGrid w:val="0"/>
              <w:ind w:left="105" w:leftChars="50"/>
              <w:jc w:val="left"/>
              <w:textAlignment w:val="baseline"/>
              <w:rPr>
                <w:rFonts w:hint="default" w:ascii="仿宋" w:hAnsi="仿宋" w:eastAsia="仿宋" w:cs="仿宋"/>
                <w:kern w:val="2"/>
                <w:sz w:val="24"/>
                <w:szCs w:val="24"/>
                <w:highlight w:val="yellow"/>
                <w:lang w:val="en-US" w:eastAsia="zh-CN" w:bidi="ar-SA"/>
              </w:rPr>
            </w:pPr>
            <w:r>
              <w:rPr>
                <w:rFonts w:hint="eastAsia" w:ascii="仿宋" w:hAnsi="仿宋" w:eastAsia="仿宋" w:cs="仿宋"/>
                <w:bCs/>
                <w:sz w:val="24"/>
                <w:szCs w:val="24"/>
                <w:highlight w:val="yellow"/>
                <w:lang w:val="en-US" w:eastAsia="zh-CN"/>
              </w:rPr>
              <w:t>一般要求</w:t>
            </w:r>
            <w:r>
              <w:rPr>
                <w:rFonts w:hint="eastAsia" w:ascii="仿宋" w:hAnsi="仿宋" w:eastAsia="仿宋" w:cs="仿宋"/>
                <w:bCs/>
                <w:sz w:val="24"/>
                <w:szCs w:val="24"/>
                <w:highlight w:val="yellow"/>
              </w:rPr>
              <w:t>：根据《辽宁省交通运输厅关于全省公路沥青拌和站加快办理环保审批手续的通知》（辽交财审发[2019]254号）要求，沥青拌合站必须取得环保部门的审批手续；拌和设备应为3000型及以上</w:t>
            </w:r>
            <w:r>
              <w:rPr>
                <w:rFonts w:hint="eastAsia" w:ascii="仿宋" w:hAnsi="仿宋" w:eastAsia="仿宋" w:cs="仿宋"/>
                <w:bCs/>
                <w:sz w:val="24"/>
                <w:szCs w:val="24"/>
                <w:highlight w:val="yellow"/>
                <w:lang w:eastAsia="zh-CN"/>
              </w:rPr>
              <w:t>，</w:t>
            </w:r>
            <w:r>
              <w:rPr>
                <w:rFonts w:hint="eastAsia" w:ascii="仿宋" w:hAnsi="仿宋" w:eastAsia="仿宋" w:cs="仿宋"/>
                <w:bCs/>
                <w:sz w:val="24"/>
                <w:szCs w:val="24"/>
                <w:highlight w:val="yellow"/>
              </w:rPr>
              <w:t>拌和设备产能满足工期要求，具备匹配满足产能需求的沥青和改性沥青存储装置，具备技术监督部门标定的载重称重装置（地中衡），具有满足规范要求的沥青及沥青混合料试验检测能力的试验室，具备经技术监督部门标定的相关试化验检测仪器和相应检测资质的试化验人员，能够完成满足部颁规范要求的沥青混凝土配合比设计，能够独立完成生产配合比试验和验证，能够达到规范规定的自检和频次要求。</w:t>
            </w:r>
          </w:p>
        </w:tc>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54FB20">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座</w:t>
            </w:r>
          </w:p>
        </w:tc>
        <w:tc>
          <w:tcPr>
            <w:tcW w:w="102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01CFC7">
            <w:pPr>
              <w:jc w:val="center"/>
              <w:rPr>
                <w:rFonts w:hint="default" w:ascii="仿宋" w:hAnsi="仿宋" w:eastAsia="仿宋" w:cs="仿宋"/>
                <w:kern w:val="2"/>
                <w:sz w:val="24"/>
                <w:szCs w:val="24"/>
                <w:highlight w:val="yellow"/>
                <w:lang w:val="en-US" w:eastAsia="zh-CN" w:bidi="ar-SA"/>
              </w:rPr>
            </w:pPr>
            <w:r>
              <w:rPr>
                <w:rFonts w:hint="eastAsia" w:ascii="仿宋" w:hAnsi="仿宋" w:eastAsia="仿宋" w:cs="仿宋"/>
                <w:sz w:val="24"/>
                <w:szCs w:val="24"/>
                <w:highlight w:val="yellow"/>
              </w:rPr>
              <w:t>1</w:t>
            </w:r>
          </w:p>
        </w:tc>
      </w:tr>
      <w:tr w14:paraId="1DC4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8557" w:type="dxa"/>
            <w:gridSpan w:val="4"/>
            <w:tcBorders>
              <w:top w:val="single" w:color="auto" w:sz="4" w:space="0"/>
              <w:left w:val="single" w:color="auto" w:sz="4" w:space="0"/>
              <w:bottom w:val="single" w:color="auto" w:sz="4" w:space="0"/>
              <w:right w:val="single" w:color="auto" w:sz="4" w:space="0"/>
            </w:tcBorders>
            <w:noWrap w:val="0"/>
            <w:vAlign w:val="center"/>
          </w:tcPr>
          <w:p w14:paraId="6C777A91">
            <w:pPr>
              <w:pageBreakBefore w:val="0"/>
              <w:kinsoku/>
              <w:wordWrap w:val="0"/>
              <w:bidi w:val="0"/>
              <w:spacing w:line="400" w:lineRule="atLeast"/>
              <w:rPr>
                <w:rFonts w:hint="default" w:ascii="Times New Roman" w:hAnsi="Times New Roman" w:cs="Times New Roman"/>
                <w:color w:val="auto"/>
                <w:sz w:val="24"/>
                <w:highlight w:val="none"/>
              </w:rPr>
            </w:pPr>
            <w:r>
              <w:rPr>
                <w:rFonts w:hint="eastAsia" w:cs="Times New Roman"/>
                <w:color w:val="auto"/>
                <w:sz w:val="24"/>
                <w:highlight w:val="none"/>
                <w:lang w:val="en-US" w:eastAsia="zh-CN"/>
              </w:rPr>
              <w:t>注：上述主要机械及试验测量设备应是投标人自有或租赁，由中标人在进行合同谈判之前确定，并应向招标人报送证明材料（如资质证书、设备发票、租赁协议等）。如中标人投入现场的主要机械及试验测量设备不满足本表要求，招标人将取消其中标资格。上述主要机械及试验测量设备经招标人审批后作为投入本标段的主要设备，原则上不允许更换。</w:t>
            </w:r>
          </w:p>
        </w:tc>
      </w:tr>
    </w:tbl>
    <w:p w14:paraId="4EE54E25">
      <w:pPr>
        <w:pageBreakBefore w:val="0"/>
        <w:kinsoku/>
        <w:wordWrap w:val="0"/>
        <w:bidi w:val="0"/>
        <w:spacing w:line="400" w:lineRule="atLeast"/>
        <w:rPr>
          <w:rFonts w:hint="default" w:ascii="Times New Roman" w:hAnsi="Times New Roman" w:eastAsia="黑体" w:cs="Times New Roman"/>
          <w:color w:val="auto"/>
          <w:sz w:val="24"/>
          <w:highlight w:val="none"/>
        </w:rPr>
      </w:pPr>
    </w:p>
    <w:p w14:paraId="5E280A15">
      <w:pPr>
        <w:rPr>
          <w:rFonts w:hint="default" w:ascii="Times New Roman" w:hAnsi="Times New Roman" w:eastAsia="黑体" w:cs="Times New Roman"/>
          <w:b w:val="0"/>
          <w:color w:val="auto"/>
          <w:sz w:val="24"/>
          <w:szCs w:val="24"/>
          <w:highlight w:val="none"/>
        </w:rPr>
      </w:pPr>
      <w:bookmarkStart w:id="1796" w:name="_Toc32399"/>
      <w:bookmarkStart w:id="1797" w:name="_Toc234833236"/>
      <w:bookmarkStart w:id="1798" w:name="_Toc9623"/>
      <w:bookmarkStart w:id="1799" w:name="_Toc16392"/>
      <w:bookmarkStart w:id="1800" w:name="_Toc13117"/>
      <w:r>
        <w:rPr>
          <w:rFonts w:hint="default" w:ascii="Times New Roman" w:hAnsi="Times New Roman" w:eastAsia="黑体" w:cs="Times New Roman"/>
          <w:b w:val="0"/>
          <w:color w:val="auto"/>
          <w:sz w:val="24"/>
          <w:szCs w:val="24"/>
          <w:highlight w:val="none"/>
        </w:rPr>
        <w:br w:type="page"/>
      </w:r>
      <w:r>
        <w:rPr>
          <w:rFonts w:hint="default" w:ascii="Times New Roman" w:hAnsi="Times New Roman" w:eastAsia="黑体" w:cs="Times New Roman"/>
          <w:b w:val="0"/>
          <w:color w:val="auto"/>
          <w:sz w:val="24"/>
          <w:szCs w:val="24"/>
          <w:highlight w:val="none"/>
        </w:rPr>
        <w:t>附件六</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项目经理委任书</w:t>
      </w:r>
      <w:bookmarkEnd w:id="1796"/>
      <w:bookmarkEnd w:id="1797"/>
      <w:bookmarkEnd w:id="1798"/>
      <w:bookmarkEnd w:id="1799"/>
      <w:bookmarkEnd w:id="1800"/>
    </w:p>
    <w:p w14:paraId="7DD139F1">
      <w:pPr>
        <w:pageBreakBefore w:val="0"/>
        <w:kinsoku/>
        <w:wordWrap w:val="0"/>
        <w:bidi w:val="0"/>
        <w:snapToGrid w:val="0"/>
        <w:spacing w:line="400" w:lineRule="atLeast"/>
        <w:jc w:val="center"/>
        <w:rPr>
          <w:rFonts w:hint="default" w:ascii="Times New Roman" w:hAnsi="Times New Roman" w:eastAsia="黑体" w:cs="Times New Roman"/>
          <w:color w:val="auto"/>
          <w:sz w:val="28"/>
          <w:szCs w:val="28"/>
          <w:highlight w:val="none"/>
          <w:u w:val="single"/>
        </w:rPr>
      </w:pPr>
      <w:r>
        <w:rPr>
          <w:rFonts w:hint="default" w:ascii="Times New Roman" w:hAnsi="Times New Roman" w:eastAsia="黑体" w:cs="Times New Roman"/>
          <w:color w:val="auto"/>
          <w:sz w:val="28"/>
          <w:szCs w:val="28"/>
          <w:highlight w:val="none"/>
          <w:u w:val="single"/>
        </w:rPr>
        <w:t>（承包人全称）</w:t>
      </w:r>
    </w:p>
    <w:p w14:paraId="653AC948">
      <w:pPr>
        <w:pageBreakBefore w:val="0"/>
        <w:kinsoku/>
        <w:wordWrap w:val="0"/>
        <w:bidi w:val="0"/>
        <w:snapToGrid w:val="0"/>
        <w:spacing w:line="40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（合同工程名称） </w:t>
      </w:r>
      <w:r>
        <w:rPr>
          <w:rFonts w:hint="default" w:ascii="Times New Roman" w:hAnsi="Times New Roman" w:eastAsia="黑体" w:cs="Times New Roman"/>
          <w:color w:val="auto"/>
          <w:sz w:val="28"/>
          <w:szCs w:val="28"/>
          <w:highlight w:val="none"/>
        </w:rPr>
        <w:t>项目经理委任书</w:t>
      </w:r>
    </w:p>
    <w:p w14:paraId="69BCCF3F">
      <w:pPr>
        <w:pageBreakBefore w:val="0"/>
        <w:kinsoku/>
        <w:wordWrap w:val="0"/>
        <w:bidi w:val="0"/>
        <w:snapToGrid w:val="0"/>
        <w:spacing w:line="400" w:lineRule="atLeast"/>
        <w:rPr>
          <w:rFonts w:hint="default" w:ascii="Times New Roman" w:hAnsi="Times New Roman" w:eastAsia="黑体" w:cs="Times New Roman"/>
          <w:color w:val="auto"/>
          <w:sz w:val="24"/>
          <w:highlight w:val="none"/>
        </w:rPr>
      </w:pPr>
    </w:p>
    <w:p w14:paraId="32183039">
      <w:pPr>
        <w:pageBreakBefore w:val="0"/>
        <w:kinsoku/>
        <w:wordWrap w:val="0"/>
        <w:bidi w:val="0"/>
        <w:snapToGrid w:val="0"/>
        <w:spacing w:line="400" w:lineRule="atLeast"/>
        <w:rPr>
          <w:rFonts w:hint="default" w:ascii="Times New Roman" w:hAnsi="Times New Roman" w:eastAsia="黑体" w:cs="Times New Roman"/>
          <w:color w:val="auto"/>
          <w:sz w:val="24"/>
          <w:highlight w:val="none"/>
        </w:rPr>
      </w:pPr>
    </w:p>
    <w:p w14:paraId="5396D1AA">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致：</w:t>
      </w:r>
      <w:r>
        <w:rPr>
          <w:rFonts w:hint="default" w:ascii="Times New Roman" w:hAnsi="Times New Roman" w:cs="Times New Roman"/>
          <w:color w:val="auto"/>
          <w:sz w:val="24"/>
          <w:highlight w:val="none"/>
          <w:u w:val="single"/>
        </w:rPr>
        <w:t>（发包人全称）</w:t>
      </w:r>
    </w:p>
    <w:p w14:paraId="67959169">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（承包人全称） </w:t>
      </w: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（职务、姓名） </w:t>
      </w:r>
      <w:r>
        <w:rPr>
          <w:rFonts w:hint="default" w:ascii="Times New Roman" w:hAnsi="Times New Roman" w:cs="Times New Roman"/>
          <w:color w:val="auto"/>
          <w:sz w:val="24"/>
          <w:highlight w:val="none"/>
        </w:rPr>
        <w:t>代表本单位委任</w:t>
      </w:r>
      <w:r>
        <w:rPr>
          <w:rFonts w:hint="default" w:ascii="Times New Roman" w:hAnsi="Times New Roman" w:cs="Times New Roman"/>
          <w:color w:val="auto"/>
          <w:sz w:val="24"/>
          <w:highlight w:val="none"/>
          <w:u w:val="single"/>
        </w:rPr>
        <w:t xml:space="preserve"> （职务、姓名） </w:t>
      </w:r>
      <w:r>
        <w:rPr>
          <w:rFonts w:hint="default" w:ascii="Times New Roman" w:hAnsi="Times New Roman" w:cs="Times New Roman"/>
          <w:color w:val="auto"/>
          <w:sz w:val="24"/>
          <w:highlight w:val="none"/>
        </w:rPr>
        <w:t>为</w:t>
      </w:r>
      <w:r>
        <w:rPr>
          <w:rFonts w:hint="default" w:ascii="Times New Roman" w:hAnsi="Times New Roman" w:cs="Times New Roman"/>
          <w:color w:val="auto"/>
          <w:sz w:val="24"/>
          <w:highlight w:val="none"/>
          <w:u w:val="single"/>
        </w:rPr>
        <w:t>（合同工程名称）</w:t>
      </w:r>
      <w:r>
        <w:rPr>
          <w:rFonts w:hint="default" w:ascii="Times New Roman" w:hAnsi="Times New Roman" w:cs="Times New Roman"/>
          <w:color w:val="auto"/>
          <w:sz w:val="24"/>
          <w:highlight w:val="none"/>
        </w:rPr>
        <w:t>的项目经理。凡本合同执行中的有关技术、工程进度、现场管理、质量检验、结算与支付等方面工作，由</w:t>
      </w:r>
      <w:r>
        <w:rPr>
          <w:rFonts w:hint="default" w:ascii="Times New Roman" w:hAnsi="Times New Roman" w:cs="Times New Roman"/>
          <w:color w:val="auto"/>
          <w:sz w:val="24"/>
          <w:highlight w:val="none"/>
          <w:u w:val="single"/>
        </w:rPr>
        <w:t xml:space="preserve">  （姓名） </w:t>
      </w:r>
      <w:r>
        <w:rPr>
          <w:rFonts w:hint="default" w:ascii="Times New Roman" w:hAnsi="Times New Roman" w:cs="Times New Roman"/>
          <w:color w:val="auto"/>
          <w:sz w:val="24"/>
          <w:highlight w:val="none"/>
        </w:rPr>
        <w:t>代表本单位全面负责。</w:t>
      </w:r>
    </w:p>
    <w:p w14:paraId="527A0C32">
      <w:pPr>
        <w:pageBreakBefore w:val="0"/>
        <w:kinsoku/>
        <w:wordWrap w:val="0"/>
        <w:bidi w:val="0"/>
        <w:spacing w:line="400" w:lineRule="atLeast"/>
        <w:ind w:firstLine="616" w:firstLineChars="257"/>
        <w:rPr>
          <w:rFonts w:hint="default" w:ascii="Times New Roman" w:hAnsi="Times New Roman" w:cs="Times New Roman"/>
          <w:color w:val="auto"/>
          <w:sz w:val="24"/>
          <w:highlight w:val="none"/>
        </w:rPr>
      </w:pPr>
    </w:p>
    <w:p w14:paraId="64C751B6">
      <w:pPr>
        <w:pageBreakBefore w:val="0"/>
        <w:kinsoku/>
        <w:wordWrap w:val="0"/>
        <w:bidi w:val="0"/>
        <w:snapToGrid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42BC5D03">
      <w:pPr>
        <w:pageBreakBefore w:val="0"/>
        <w:kinsoku/>
        <w:wordWrap w:val="0"/>
        <w:bidi w:val="0"/>
        <w:snapToGrid w:val="0"/>
        <w:spacing w:line="400" w:lineRule="atLeast"/>
        <w:ind w:firstLine="4603" w:firstLineChars="1918"/>
        <w:jc w:val="lef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（职务）        </w:t>
      </w:r>
    </w:p>
    <w:p w14:paraId="7198E62B">
      <w:pPr>
        <w:pageBreakBefore w:val="0"/>
        <w:kinsoku/>
        <w:wordWrap w:val="0"/>
        <w:bidi w:val="0"/>
        <w:snapToGrid w:val="0"/>
        <w:spacing w:line="400" w:lineRule="atLeas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（姓名）       </w:t>
      </w:r>
    </w:p>
    <w:p w14:paraId="517D66B9">
      <w:pPr>
        <w:pageBreakBefore w:val="0"/>
        <w:kinsoku/>
        <w:wordWrap w:val="0"/>
        <w:bidi w:val="0"/>
        <w:snapToGrid w:val="0"/>
        <w:spacing w:line="400" w:lineRule="atLeast"/>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（签字）       </w:t>
      </w:r>
    </w:p>
    <w:p w14:paraId="2FA72632">
      <w:pPr>
        <w:pageBreakBefore w:val="0"/>
        <w:kinsoku/>
        <w:wordWrap w:val="0"/>
        <w:bidi w:val="0"/>
        <w:snapToGrid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50F4847E">
      <w:pPr>
        <w:pStyle w:val="27"/>
        <w:pageBreakBefore w:val="0"/>
        <w:tabs>
          <w:tab w:val="clear" w:pos="4153"/>
          <w:tab w:val="clear" w:pos="8306"/>
        </w:tabs>
        <w:kinsoku/>
        <w:wordWrap w:val="0"/>
        <w:bidi w:val="0"/>
        <w:spacing w:line="400" w:lineRule="atLeas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w:t>
      </w:r>
    </w:p>
    <w:p w14:paraId="6788BAD7">
      <w:pPr>
        <w:pStyle w:val="27"/>
        <w:pageBreakBefore w:val="0"/>
        <w:tabs>
          <w:tab w:val="clear" w:pos="4153"/>
          <w:tab w:val="clear" w:pos="8306"/>
        </w:tabs>
        <w:kinsoku/>
        <w:wordWrap w:val="0"/>
        <w:bidi w:val="0"/>
        <w:spacing w:line="400" w:lineRule="atLeast"/>
        <w:rPr>
          <w:rFonts w:hint="default" w:ascii="Times New Roman" w:hAnsi="Times New Roman" w:cs="Times New Roman"/>
          <w:color w:val="auto"/>
          <w:sz w:val="24"/>
          <w:szCs w:val="24"/>
          <w:highlight w:val="none"/>
        </w:rPr>
      </w:pPr>
    </w:p>
    <w:p w14:paraId="6CE3B70E">
      <w:pPr>
        <w:pageBreakBefore w:val="0"/>
        <w:kinsoku/>
        <w:wordWrap w:val="0"/>
        <w:bidi w:val="0"/>
        <w:snapToGrid w:val="0"/>
        <w:spacing w:line="400" w:lineRule="atLeast"/>
        <w:rPr>
          <w:rFonts w:hint="default" w:ascii="Times New Roman" w:hAnsi="Times New Roman" w:cs="Times New Roman"/>
          <w:color w:val="auto"/>
          <w:sz w:val="24"/>
          <w:highlight w:val="none"/>
        </w:rPr>
      </w:pPr>
    </w:p>
    <w:p w14:paraId="1433FE7D">
      <w:pPr>
        <w:pageBreakBefore w:val="0"/>
        <w:kinsoku/>
        <w:wordWrap w:val="0"/>
        <w:bidi w:val="0"/>
        <w:snapToGrid w:val="0"/>
        <w:spacing w:line="400" w:lineRule="atLeast"/>
        <w:rPr>
          <w:rFonts w:hint="default" w:ascii="Times New Roman" w:hAnsi="Times New Roman" w:eastAsia="黑体" w:cs="Times New Roman"/>
          <w:bCs/>
          <w:color w:val="auto"/>
          <w:kern w:val="44"/>
          <w:sz w:val="24"/>
          <w:highlight w:val="none"/>
        </w:rPr>
      </w:pPr>
      <w:r>
        <w:rPr>
          <w:rFonts w:hint="default" w:ascii="Times New Roman" w:hAnsi="Times New Roman" w:cs="Times New Roman"/>
          <w:color w:val="auto"/>
          <w:sz w:val="24"/>
          <w:highlight w:val="none"/>
        </w:rPr>
        <w:t>抄送：</w:t>
      </w:r>
      <w:r>
        <w:rPr>
          <w:rFonts w:hint="default" w:ascii="Times New Roman" w:hAnsi="Times New Roman" w:cs="Times New Roman"/>
          <w:color w:val="auto"/>
          <w:sz w:val="24"/>
          <w:highlight w:val="none"/>
          <w:u w:val="single"/>
        </w:rPr>
        <w:t xml:space="preserve">  （监理人）  </w:t>
      </w:r>
      <w:r>
        <w:rPr>
          <w:rFonts w:hint="default" w:ascii="Times New Roman" w:hAnsi="Times New Roman" w:cs="Times New Roman"/>
          <w:color w:val="auto"/>
          <w:sz w:val="24"/>
          <w:highlight w:val="none"/>
        </w:rPr>
        <w:br w:type="page"/>
      </w:r>
      <w:r>
        <w:rPr>
          <w:rFonts w:hint="default" w:ascii="Times New Roman" w:hAnsi="Times New Roman" w:eastAsia="黑体" w:cs="Times New Roman"/>
          <w:bCs/>
          <w:color w:val="auto"/>
          <w:kern w:val="44"/>
          <w:sz w:val="24"/>
          <w:highlight w:val="none"/>
        </w:rPr>
        <w:t>附件七 履约保证金格式</w:t>
      </w:r>
    </w:p>
    <w:p w14:paraId="52A9C11D">
      <w:pPr>
        <w:pageBreakBefore w:val="0"/>
        <w:kinsoku/>
        <w:wordWrap w:val="0"/>
        <w:bidi w:val="0"/>
        <w:spacing w:line="400" w:lineRule="atLeast"/>
        <w:rPr>
          <w:rFonts w:hint="default" w:ascii="Times New Roman" w:hAnsi="Times New Roman" w:eastAsia="黑体" w:cs="Times New Roman"/>
          <w:color w:val="auto"/>
          <w:sz w:val="28"/>
          <w:szCs w:val="28"/>
          <w:highlight w:val="none"/>
        </w:rPr>
      </w:pPr>
      <w:r>
        <w:rPr>
          <w:rFonts w:hint="default" w:ascii="Times New Roman" w:hAnsi="Times New Roman" w:cs="Times New Roman"/>
          <w:color w:val="auto"/>
          <w:sz w:val="24"/>
          <w:highlight w:val="none"/>
        </w:rPr>
        <w:t>如采用银行保函，格式如下。</w:t>
      </w:r>
    </w:p>
    <w:p w14:paraId="1FC9E92D">
      <w:pPr>
        <w:pageBreakBefore w:val="0"/>
        <w:kinsoku/>
        <w:wordWrap w:val="0"/>
        <w:bidi w:val="0"/>
        <w:spacing w:line="40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履约保证金</w:t>
      </w:r>
    </w:p>
    <w:p w14:paraId="7AA6E70E">
      <w:pPr>
        <w:pageBreakBefore w:val="0"/>
        <w:kinsoku/>
        <w:wordWrap w:val="0"/>
        <w:bidi w:val="0"/>
        <w:spacing w:line="400" w:lineRule="atLeast"/>
        <w:rPr>
          <w:rFonts w:hint="default" w:ascii="Times New Roman" w:hAnsi="Times New Roman" w:cs="Times New Roman"/>
          <w:color w:val="auto"/>
          <w:sz w:val="24"/>
          <w:highlight w:val="none"/>
        </w:rPr>
      </w:pPr>
    </w:p>
    <w:p w14:paraId="01379227">
      <w:pPr>
        <w:pageBreakBefore w:val="0"/>
        <w:kinsoku/>
        <w:wordWrap w:val="0"/>
        <w:bidi w:val="0"/>
        <w:spacing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w:t>
      </w:r>
    </w:p>
    <w:p w14:paraId="238A4F81">
      <w:pPr>
        <w:pageBreakBefore w:val="0"/>
        <w:kinsoku/>
        <w:wordWrap w:val="0"/>
        <w:bidi w:val="0"/>
        <w:spacing w:line="400" w:lineRule="atLeast"/>
        <w:rPr>
          <w:rFonts w:hint="default" w:ascii="Times New Roman" w:hAnsi="Times New Roman" w:cs="Times New Roman"/>
          <w:color w:val="auto"/>
          <w:sz w:val="24"/>
          <w:highlight w:val="none"/>
        </w:rPr>
      </w:pPr>
    </w:p>
    <w:p w14:paraId="751639C0">
      <w:pPr>
        <w:pageBreakBefore w:val="0"/>
        <w:kinsoku/>
        <w:wordWrap w:val="0"/>
        <w:bidi w:val="0"/>
        <w:spacing w:line="400" w:lineRule="atLeast"/>
        <w:ind w:firstLine="600" w:firstLineChars="25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鉴于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（发包人名称，以下简称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发包人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）接受</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（承包人名称，以下简称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承包人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日参加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标段施工的投标。我方愿意无条件地、不可撤销地就承包人履行与你方订立的合同，向你方提供担保。</w:t>
      </w:r>
    </w:p>
    <w:p w14:paraId="56D468FB">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担保金额人民币（大写）</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5D5D66A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 担保有效期自发包人与承包人签订的合同生效之日起至发包人签发交工验收证书且承包人按照合同约定缴纳质量保证金之日止。</w:t>
      </w:r>
      <w:r>
        <w:rPr>
          <w:rStyle w:val="47"/>
          <w:rFonts w:hint="default" w:ascii="Times New Roman" w:hAnsi="Times New Roman" w:eastAsia="黑体" w:cs="Times New Roman"/>
          <w:color w:val="auto"/>
          <w:sz w:val="28"/>
          <w:szCs w:val="28"/>
          <w:highlight w:val="none"/>
        </w:rPr>
        <w:footnoteReference w:id="41"/>
      </w:r>
    </w:p>
    <w:p w14:paraId="25BA700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 在本担保有效期内，因承包人违反合同约定的义务给你方造成经济损失时，我方在收到你方以书面形式提出的在担保金额内的赔偿要求后，在7日内无条件支付，无须你方出具证明或陈述理由。</w:t>
      </w:r>
    </w:p>
    <w:p w14:paraId="58DDB5EC">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 发包人和承包人按合同条款第15条变更合同时，无论我方是否收到该变更，我方承担本担保规定的义务不变。</w:t>
      </w:r>
    </w:p>
    <w:p w14:paraId="31C129E4">
      <w:pPr>
        <w:pageBreakBefore w:val="0"/>
        <w:kinsoku/>
        <w:wordWrap w:val="0"/>
        <w:bidi w:val="0"/>
        <w:spacing w:line="400" w:lineRule="atLeast"/>
        <w:rPr>
          <w:rFonts w:hint="default" w:ascii="Times New Roman" w:hAnsi="Times New Roman" w:cs="Times New Roman"/>
          <w:color w:val="auto"/>
          <w:sz w:val="24"/>
          <w:highlight w:val="none"/>
        </w:rPr>
      </w:pPr>
    </w:p>
    <w:p w14:paraId="4F063675">
      <w:pPr>
        <w:pageBreakBefore w:val="0"/>
        <w:kinsoku/>
        <w:wordWrap w:val="0"/>
        <w:bidi w:val="0"/>
        <w:spacing w:line="400" w:lineRule="atLeast"/>
        <w:rPr>
          <w:rFonts w:hint="default" w:ascii="Times New Roman" w:hAnsi="Times New Roman" w:cs="Times New Roman"/>
          <w:color w:val="auto"/>
          <w:sz w:val="24"/>
          <w:highlight w:val="none"/>
        </w:rPr>
      </w:pPr>
    </w:p>
    <w:p w14:paraId="305671DC">
      <w:pPr>
        <w:pageBreakBefore w:val="0"/>
        <w:kinsoku/>
        <w:wordWrap w:val="0"/>
        <w:bidi w:val="0"/>
        <w:spacing w:line="400" w:lineRule="atLeast"/>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担保人名称：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44568A8C">
      <w:pPr>
        <w:pageBreakBefore w:val="0"/>
        <w:kinsoku/>
        <w:wordWrap w:val="0"/>
        <w:bidi w:val="0"/>
        <w:spacing w:line="400" w:lineRule="atLeast"/>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p>
    <w:p w14:paraId="5F66607B">
      <w:pPr>
        <w:pageBreakBefore w:val="0"/>
        <w:kinsoku/>
        <w:wordWrap w:val="0"/>
        <w:bidi w:val="0"/>
        <w:spacing w:line="400" w:lineRule="atLeast"/>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p>
    <w:p w14:paraId="656E4C6F">
      <w:pPr>
        <w:pageBreakBefore w:val="0"/>
        <w:kinsoku/>
        <w:wordWrap w:val="0"/>
        <w:bidi w:val="0"/>
        <w:spacing w:line="400" w:lineRule="atLeast"/>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邮政编码：</w:t>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r>
        <w:rPr>
          <w:rFonts w:hint="default" w:ascii="Times New Roman" w:hAnsi="Times New Roman" w:cs="Times New Roman"/>
          <w:color w:val="auto"/>
          <w:sz w:val="24"/>
          <w:highlight w:val="none"/>
          <w:u w:val="single"/>
        </w:rPr>
        <w:tab/>
      </w:r>
    </w:p>
    <w:p w14:paraId="619B522C">
      <w:pPr>
        <w:pageBreakBefore w:val="0"/>
        <w:kinsoku/>
        <w:wordWrap w:val="0"/>
        <w:bidi w:val="0"/>
        <w:spacing w:line="400" w:lineRule="atLeast"/>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21C35E49">
      <w:pPr>
        <w:pageBreakBefore w:val="0"/>
        <w:kinsoku/>
        <w:wordWrap w:val="0"/>
        <w:bidi w:val="0"/>
        <w:spacing w:line="400" w:lineRule="atLeast"/>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传    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5853FCBA">
      <w:pPr>
        <w:pageBreakBefore w:val="0"/>
        <w:kinsoku/>
        <w:wordWrap w:val="0"/>
        <w:bidi w:val="0"/>
        <w:spacing w:line="400" w:lineRule="atLeast"/>
        <w:ind w:firstLine="4216" w:firstLineChars="1757"/>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1469333D">
      <w:pPr>
        <w:pageBreakBefore w:val="0"/>
        <w:kinsoku/>
        <w:wordWrap w:val="0"/>
        <w:bidi w:val="0"/>
        <w:spacing w:line="400" w:lineRule="atLeast"/>
        <w:rPr>
          <w:rFonts w:hint="default" w:ascii="Times New Roman" w:hAnsi="Times New Roman" w:cs="Times New Roman"/>
          <w:color w:val="auto"/>
          <w:sz w:val="24"/>
          <w:highlight w:val="none"/>
        </w:rPr>
      </w:pPr>
    </w:p>
    <w:p w14:paraId="012F3E66">
      <w:pPr>
        <w:pStyle w:val="2"/>
        <w:pageBreakBefore w:val="0"/>
        <w:kinsoku/>
        <w:wordWrap w:val="0"/>
        <w:bidi w:val="0"/>
        <w:spacing w:before="0" w:after="0" w:line="380" w:lineRule="atLeast"/>
        <w:rPr>
          <w:rFonts w:hint="default" w:ascii="Times New Roman" w:hAnsi="Times New Roman" w:eastAsia="黑体" w:cs="Times New Roman"/>
          <w:b w:val="0"/>
          <w:color w:val="auto"/>
          <w:sz w:val="24"/>
          <w:szCs w:val="24"/>
          <w:highlight w:val="none"/>
        </w:rPr>
      </w:pPr>
      <w:bookmarkStart w:id="1801" w:name="_Toc21835"/>
      <w:bookmarkStart w:id="1802" w:name="_Toc24417"/>
      <w:bookmarkStart w:id="1803" w:name="_Toc234833238"/>
      <w:bookmarkStart w:id="1804" w:name="_Toc32209"/>
      <w:bookmarkStart w:id="1805" w:name="_Toc18852"/>
      <w:r>
        <w:rPr>
          <w:rFonts w:hint="default" w:ascii="Times New Roman" w:hAnsi="Times New Roman" w:eastAsia="黑体" w:cs="Times New Roman"/>
          <w:b w:val="0"/>
          <w:color w:val="auto"/>
          <w:sz w:val="24"/>
          <w:szCs w:val="24"/>
          <w:highlight w:val="none"/>
        </w:rPr>
        <w:t>附件八</w:t>
      </w:r>
      <w:r>
        <w:rPr>
          <w:rFonts w:hint="default" w:ascii="Times New Roman" w:hAnsi="Times New Roman" w:eastAsia="黑体" w:cs="Times New Roman"/>
          <w:b w:val="0"/>
          <w:color w:val="auto"/>
          <w:sz w:val="24"/>
          <w:szCs w:val="24"/>
          <w:highlight w:val="none"/>
          <w:lang w:eastAsia="zh-CN"/>
        </w:rPr>
        <w:t xml:space="preserve"> </w:t>
      </w:r>
      <w:r>
        <w:rPr>
          <w:rFonts w:hint="default" w:ascii="Times New Roman" w:hAnsi="Times New Roman" w:eastAsia="黑体" w:cs="Times New Roman"/>
          <w:b w:val="0"/>
          <w:color w:val="auto"/>
          <w:sz w:val="24"/>
          <w:szCs w:val="24"/>
          <w:highlight w:val="none"/>
        </w:rPr>
        <w:t>工程资金监管协议格式</w:t>
      </w:r>
      <w:bookmarkEnd w:id="1801"/>
      <w:bookmarkEnd w:id="1802"/>
      <w:bookmarkEnd w:id="1803"/>
      <w:bookmarkEnd w:id="1804"/>
      <w:bookmarkEnd w:id="1805"/>
    </w:p>
    <w:p w14:paraId="2603F3A4">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（发包人与承包人签订合同协议书时应与发包人指定的银行签署工程资金监管协议，工程资金监管协议内容在保证本项目资金有效监管的前提下由三方共同商定）</w:t>
      </w:r>
    </w:p>
    <w:p w14:paraId="0FD63CDB">
      <w:pPr>
        <w:pageBreakBefore w:val="0"/>
        <w:kinsoku/>
        <w:wordWrap w:val="0"/>
        <w:bidi w:val="0"/>
        <w:spacing w:line="380" w:lineRule="atLeast"/>
        <w:rPr>
          <w:rFonts w:hint="default" w:ascii="Times New Roman" w:hAnsi="Times New Roman" w:eastAsia="黑体" w:cs="Times New Roman"/>
          <w:color w:val="auto"/>
          <w:sz w:val="24"/>
          <w:highlight w:val="none"/>
        </w:rPr>
      </w:pPr>
    </w:p>
    <w:p w14:paraId="345BCFC6">
      <w:pPr>
        <w:pageBreakBefore w:val="0"/>
        <w:kinsoku/>
        <w:wordWrap w:val="0"/>
        <w:bidi w:val="0"/>
        <w:spacing w:line="380" w:lineRule="atLeas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工程资金监管协议</w:t>
      </w:r>
    </w:p>
    <w:p w14:paraId="11F53D37">
      <w:pPr>
        <w:pageBreakBefore w:val="0"/>
        <w:kinsoku/>
        <w:wordWrap w:val="0"/>
        <w:bidi w:val="0"/>
        <w:spacing w:line="380" w:lineRule="atLeast"/>
        <w:jc w:val="center"/>
        <w:rPr>
          <w:rFonts w:hint="default" w:ascii="Times New Roman" w:hAnsi="Times New Roman" w:eastAsia="黑体" w:cs="Times New Roman"/>
          <w:color w:val="auto"/>
          <w:sz w:val="28"/>
          <w:szCs w:val="28"/>
          <w:highlight w:val="none"/>
        </w:rPr>
      </w:pPr>
    </w:p>
    <w:p w14:paraId="7BC0D546">
      <w:pPr>
        <w:pageBreakBefore w:val="0"/>
        <w:kinsoku/>
        <w:wordWrap w:val="0"/>
        <w:bidi w:val="0"/>
        <w:spacing w:line="380" w:lineRule="atLeast"/>
        <w:rPr>
          <w:rFonts w:hint="default" w:ascii="Times New Roman" w:hAnsi="Times New Roman" w:cs="Times New Roman"/>
          <w:color w:val="auto"/>
          <w:sz w:val="24"/>
          <w:highlight w:val="none"/>
        </w:rPr>
      </w:pPr>
      <w:bookmarkStart w:id="1806" w:name="_Toc234833239"/>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甲方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bookmarkEnd w:id="1806"/>
    </w:p>
    <w:p w14:paraId="18AA09EB">
      <w:pPr>
        <w:pageBreakBefore w:val="0"/>
        <w:kinsoku/>
        <w:wordWrap w:val="0"/>
        <w:bidi w:val="0"/>
        <w:spacing w:line="38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乙方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p>
    <w:p w14:paraId="40B99D2C">
      <w:pPr>
        <w:pageBreakBefore w:val="0"/>
        <w:kinsoku/>
        <w:wordWrap w:val="0"/>
        <w:bidi w:val="0"/>
        <w:spacing w:line="38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经办银行：</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丙方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p>
    <w:p w14:paraId="6B998ECC">
      <w:pPr>
        <w:pageBreakBefore w:val="0"/>
        <w:kinsoku/>
        <w:wordWrap w:val="0"/>
        <w:bidi w:val="0"/>
        <w:spacing w:line="380" w:lineRule="atLeast"/>
        <w:jc w:val="left"/>
        <w:rPr>
          <w:rFonts w:hint="default" w:ascii="Times New Roman" w:hAnsi="Times New Roman" w:cs="Times New Roman"/>
          <w:color w:val="auto"/>
          <w:sz w:val="24"/>
          <w:highlight w:val="none"/>
        </w:rPr>
      </w:pPr>
    </w:p>
    <w:p w14:paraId="78890AF0">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为了促进</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（项目名称）的顺利实施，管好用好建设资金，确保工程资金专款专用，同时为承包人提供便捷有效的银行业务服务，根据</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（项目名称）合同条款有关规定，经甲、乙、丙三方协商，达成协议如下：</w:t>
      </w:r>
    </w:p>
    <w:p w14:paraId="3164418C">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资金管理的内容</w:t>
      </w:r>
    </w:p>
    <w:p w14:paraId="150A3D6F">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（1）乙方为完成</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（项目名称）工程成立的项目经理部在丙方开设基本结算户；</w:t>
      </w:r>
    </w:p>
    <w:p w14:paraId="38412459">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（2）甲方应按合同规定将工程款汇入乙方在丙方开设的账户；</w:t>
      </w:r>
    </w:p>
    <w:p w14:paraId="5DF3E913">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（3）乙方应将流动资金及甲方所拨付资金专项用于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p>
    <w:p w14:paraId="6C6DEC66">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（4）丙方应为乙方提供便捷有效的银行业务服务，并接受甲方委托对乙方在丙方开设的基本结算户资金使用情况进行监督。</w:t>
      </w:r>
    </w:p>
    <w:p w14:paraId="02AFFB26">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 甲方的权责</w:t>
      </w:r>
    </w:p>
    <w:p w14:paraId="5387D25A">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（1）按照</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（项目名称）合同有关条款规定的时间和方式，向乙方支付工程款；</w:t>
      </w:r>
    </w:p>
    <w:p w14:paraId="4721BC06">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（2）在发现乙方将本项目资金挪用、转移时，甲方有权中止工程支付，直至乙方改正为止；</w:t>
      </w:r>
    </w:p>
    <w:p w14:paraId="74DBA7C3">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（3）不定期审查丙方对乙方的资金使用监督情况，如丙方不能履行其责任，甲方有权随时终止本协议；</w:t>
      </w:r>
    </w:p>
    <w:p w14:paraId="6C9DC3B7">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（4）在乙、丙双方发生争议时，甲方应负责协调、解决。</w:t>
      </w:r>
    </w:p>
    <w:p w14:paraId="14113237">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 乙方的权责</w:t>
      </w:r>
    </w:p>
    <w:p w14:paraId="1B4FD687">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（1）项目经理部成立以后，乙方应尽快在丙方开设基本结算户；</w:t>
      </w:r>
    </w:p>
    <w:p w14:paraId="35D5F456">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（2）确保本项目资金专款专用，不发生挪用、转移资金的现象；保证不通过权益转让、抵押、担保承担债务等任何其他方式使用基本结算户的资金；</w:t>
      </w:r>
    </w:p>
    <w:p w14:paraId="4785897C">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（3）办理材料、设备等采购业务金额在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万元以上的，应出示购货合同、协议和发票；在办理总额超过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万元以上的采购业务时，应将合同、协议和发票复印件送丙方备案；购买应急材料、设备时可先办理支付手续，但事后必须补备有关资料；</w:t>
      </w:r>
    </w:p>
    <w:p w14:paraId="477B4EBF">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（4）用银行转账支票办理支付款项时，必须将转账支票送交丙方，由丙方负责办理支票转付手续；</w:t>
      </w:r>
    </w:p>
    <w:p w14:paraId="30C04C6A">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（5）向分包单位支付工程进度款时，应附甲方批准分包的文件；</w:t>
      </w:r>
    </w:p>
    <w:p w14:paraId="27110011">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（6）向上级单位缴纳管理费、机械设备及周转材料租赁摊销费等款项时，应附上级单位出具的转账通知等有关资料，以确保资金专款专用。</w:t>
      </w:r>
    </w:p>
    <w:p w14:paraId="6B15A55B">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 丙方的权责</w:t>
      </w:r>
    </w:p>
    <w:p w14:paraId="418663FE">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（1）成立</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（项目名称）工程资金管理服务小组，明确业务流程，提高工作效率，杜绝</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压票</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现象；</w:t>
      </w:r>
    </w:p>
    <w:p w14:paraId="622C1AA8">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w:t>
      </w:r>
      <w:r>
        <w:rPr>
          <w:rFonts w:hint="default" w:ascii="Times New Roman" w:hAnsi="Times New Roman" w:cs="Times New Roman"/>
          <w:color w:val="auto"/>
          <w:spacing w:val="-6"/>
          <w:sz w:val="24"/>
          <w:highlight w:val="none"/>
        </w:rPr>
        <w:t>根据乙方提供的购货合同、协议和发票，检查其所购材料、设备是否用于</w:t>
      </w:r>
      <w:r>
        <w:rPr>
          <w:rFonts w:hint="default" w:ascii="Times New Roman" w:hAnsi="Times New Roman" w:cs="Times New Roman"/>
          <w:color w:val="auto"/>
          <w:spacing w:val="-6"/>
          <w:sz w:val="24"/>
          <w:highlight w:val="none"/>
          <w:u w:val="single"/>
        </w:rPr>
        <w:t xml:space="preserve">   </w:t>
      </w:r>
      <w:r>
        <w:rPr>
          <w:rFonts w:hint="default" w:ascii="Times New Roman" w:hAnsi="Times New Roman" w:cs="Times New Roman"/>
          <w:color w:val="auto"/>
          <w:sz w:val="24"/>
          <w:highlight w:val="none"/>
        </w:rPr>
        <w:t>（项目名称）工程建设，对本标段以外的购货款项，有权拒绝办理，并及时报告甲方；</w:t>
      </w:r>
    </w:p>
    <w:p w14:paraId="70149606">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（3）根据乙方与分包单位签订的合同及支付文件，检查其支付款项是否符合有关条件，向分包单位以外单位的支付有权拒绝办理，并及时报告甲方；</w:t>
      </w:r>
    </w:p>
    <w:p w14:paraId="7A91CA28">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（4）根据乙方提供的上级单位出具的转账通知等有关资料，办理管理费、机械设备及周转材料租赁摊销费等款项的支付；对超出转账通知等有关资料以外的支付，有权拒绝办理，并及时报告甲方；</w:t>
      </w:r>
    </w:p>
    <w:p w14:paraId="0997322B">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（5）定期将乙方前一个周期的支付情况，整理后书面报送甲方；乙方复印备案的材料一并送甲方。</w:t>
      </w:r>
    </w:p>
    <w:p w14:paraId="27F53F7C">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 甲、乙、丙三方都应履行保密责任，不得将其他两方的业务情况透露给三方以外的其他单位或个人。</w:t>
      </w:r>
    </w:p>
    <w:p w14:paraId="2A7D6945">
      <w:pPr>
        <w:pageBreakBefore w:val="0"/>
        <w:kinsoku/>
        <w:wordWrap w:val="0"/>
        <w:bidi w:val="0"/>
        <w:spacing w:line="38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 本协议有效期自乙方在丙方开户起，至工程交工验收甲方向乙方颁发交工验收证书后结束。</w:t>
      </w:r>
    </w:p>
    <w:p w14:paraId="56308BD8">
      <w:pPr>
        <w:pageBreakBefore w:val="0"/>
        <w:kinsoku/>
        <w:wordWrap w:val="0"/>
        <w:bidi w:val="0"/>
        <w:spacing w:line="380" w:lineRule="atLeast"/>
        <w:ind w:firstLine="480" w:firstLineChars="200"/>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 本协议未尽事宜，由甲方牵头，三方协商解决。</w:t>
      </w:r>
    </w:p>
    <w:p w14:paraId="6B770DA4">
      <w:pPr>
        <w:pageBreakBefore w:val="0"/>
        <w:kinsoku/>
        <w:wordWrap w:val="0"/>
        <w:bidi w:val="0"/>
        <w:spacing w:line="380" w:lineRule="atLeast"/>
        <w:ind w:firstLine="480" w:firstLineChars="200"/>
        <w:rPr>
          <w:rFonts w:hint="default" w:ascii="Times New Roman" w:hAnsi="Times New Roman" w:cs="Times New Roman"/>
          <w:b/>
          <w:color w:val="auto"/>
          <w:sz w:val="24"/>
          <w:highlight w:val="none"/>
        </w:rPr>
      </w:pPr>
      <w:r>
        <w:rPr>
          <w:rFonts w:hint="default" w:ascii="Times New Roman" w:hAnsi="Times New Roman" w:cs="Times New Roman"/>
          <w:color w:val="auto"/>
          <w:sz w:val="24"/>
          <w:highlight w:val="none"/>
        </w:rPr>
        <w:t>8. 本协议正本三份、副本</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份。合同三方各执正本一份、副本</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份，当正本与副本内容不一致时，以正本为准。</w:t>
      </w:r>
    </w:p>
    <w:p w14:paraId="0E674B67">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发包人：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（盖单位章）    </w:t>
      </w:r>
    </w:p>
    <w:p w14:paraId="79917A77">
      <w:pPr>
        <w:pageBreakBefore w:val="0"/>
        <w:kinsoku/>
        <w:wordWrap w:val="0"/>
        <w:bidi w:val="0"/>
        <w:spacing w:line="340" w:lineRule="atLeast"/>
        <w:outlineLvl w:val="9"/>
        <w:rPr>
          <w:rFonts w:hint="default" w:ascii="Times New Roman" w:hAnsi="Times New Roman" w:cs="Times New Roman"/>
          <w:color w:val="auto"/>
          <w:sz w:val="24"/>
          <w:highlight w:val="none"/>
        </w:rPr>
      </w:pPr>
      <w:bookmarkStart w:id="1807" w:name="_Toc27026"/>
      <w:bookmarkStart w:id="1808" w:name="_Toc25487"/>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bookmarkEnd w:id="1807"/>
      <w:bookmarkEnd w:id="1808"/>
      <w:r>
        <w:rPr>
          <w:rFonts w:hint="default" w:ascii="Times New Roman" w:hAnsi="Times New Roman" w:cs="Times New Roman"/>
          <w:color w:val="auto"/>
          <w:sz w:val="24"/>
          <w:highlight w:val="none"/>
        </w:rPr>
        <w:t xml:space="preserve">  </w:t>
      </w:r>
    </w:p>
    <w:p w14:paraId="362401CA">
      <w:pPr>
        <w:pageBreakBefore w:val="0"/>
        <w:kinsoku/>
        <w:wordWrap w:val="0"/>
        <w:bidi w:val="0"/>
        <w:spacing w:line="340" w:lineRule="atLeast"/>
        <w:ind w:firstLine="1920" w:firstLineChars="800"/>
        <w:rPr>
          <w:rFonts w:hint="default" w:ascii="Times New Roman" w:hAnsi="Times New Roman" w:cs="Times New Roman"/>
          <w:b/>
          <w:bCs/>
          <w:color w:val="auto"/>
          <w:sz w:val="4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    </w:t>
      </w:r>
    </w:p>
    <w:p w14:paraId="71AB86B2">
      <w:pPr>
        <w:pageBreakBefore w:val="0"/>
        <w:kinsoku/>
        <w:wordWrap w:val="0"/>
        <w:bidi w:val="0"/>
        <w:spacing w:line="340" w:lineRule="atLeast"/>
        <w:rPr>
          <w:rFonts w:hint="default" w:ascii="Times New Roman" w:hAnsi="Times New Roman" w:cs="Times New Roman"/>
          <w:color w:val="auto"/>
          <w:sz w:val="24"/>
          <w:highlight w:val="none"/>
        </w:rPr>
      </w:pPr>
    </w:p>
    <w:p w14:paraId="6FC99DAE">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承包人：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（盖单位章）    </w:t>
      </w:r>
    </w:p>
    <w:p w14:paraId="5CC3544C">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（签字）  </w:t>
      </w:r>
    </w:p>
    <w:p w14:paraId="6B6A197D">
      <w:pPr>
        <w:pageBreakBefore w:val="0"/>
        <w:kinsoku/>
        <w:wordWrap w:val="0"/>
        <w:bidi w:val="0"/>
        <w:spacing w:line="340" w:lineRule="atLeast"/>
        <w:ind w:firstLine="1920" w:firstLineChars="800"/>
        <w:rPr>
          <w:rFonts w:hint="default" w:ascii="Times New Roman" w:hAnsi="Times New Roman" w:cs="Times New Roman"/>
          <w:b/>
          <w:bCs/>
          <w:color w:val="auto"/>
          <w:sz w:val="4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    </w:t>
      </w:r>
    </w:p>
    <w:p w14:paraId="7E9FF43B">
      <w:pPr>
        <w:pageBreakBefore w:val="0"/>
        <w:kinsoku/>
        <w:wordWrap w:val="0"/>
        <w:bidi w:val="0"/>
        <w:spacing w:line="340" w:lineRule="atLeast"/>
        <w:rPr>
          <w:rFonts w:hint="default" w:ascii="Times New Roman" w:hAnsi="Times New Roman" w:cs="Times New Roman"/>
          <w:color w:val="auto"/>
          <w:sz w:val="24"/>
          <w:highlight w:val="none"/>
        </w:rPr>
      </w:pPr>
    </w:p>
    <w:p w14:paraId="513E7E77">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经办银行：</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（盖单位章）    </w:t>
      </w:r>
    </w:p>
    <w:p w14:paraId="247C5EE6">
      <w:pPr>
        <w:pageBreakBefore w:val="0"/>
        <w:kinsoku/>
        <w:wordWrap w:val="0"/>
        <w:bidi w:val="0"/>
        <w:spacing w:line="34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（签字）  </w:t>
      </w:r>
    </w:p>
    <w:p w14:paraId="10FA6425">
      <w:pPr>
        <w:pageBreakBefore w:val="0"/>
        <w:kinsoku/>
        <w:wordWrap w:val="0"/>
        <w:bidi w:val="0"/>
        <w:spacing w:line="340" w:lineRule="atLeast"/>
        <w:ind w:firstLine="1920" w:firstLineChars="800"/>
        <w:rPr>
          <w:rFonts w:hint="default" w:ascii="Times New Roman" w:hAnsi="Times New Roman" w:cs="Times New Roman"/>
          <w:color w:val="auto"/>
          <w:sz w:val="24"/>
          <w:highlight w:val="none"/>
        </w:rPr>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   </w:t>
      </w:r>
    </w:p>
    <w:p w14:paraId="422089AE">
      <w:pPr>
        <w:pageBreakBefore w:val="0"/>
        <w:kinsoku/>
        <w:wordWrap w:val="0"/>
        <w:bidi w:val="0"/>
        <w:spacing w:line="340" w:lineRule="atLeast"/>
        <w:ind w:firstLine="3534" w:firstLineChars="800"/>
        <w:rPr>
          <w:rFonts w:hint="default" w:ascii="Times New Roman" w:hAnsi="Times New Roman" w:cs="Times New Roman"/>
          <w:b/>
          <w:bCs/>
          <w:color w:val="auto"/>
          <w:sz w:val="44"/>
          <w:highlight w:val="none"/>
        </w:rPr>
      </w:pPr>
    </w:p>
    <w:p w14:paraId="79A08ABA">
      <w:pPr>
        <w:pageBreakBefore w:val="0"/>
        <w:kinsoku/>
        <w:wordWrap w:val="0"/>
        <w:bidi w:val="0"/>
        <w:spacing w:line="400" w:lineRule="exact"/>
        <w:rPr>
          <w:rFonts w:hint="default" w:ascii="Times New Roman" w:hAnsi="Times New Roman" w:cs="Times New Roman"/>
          <w:color w:val="auto"/>
          <w:sz w:val="24"/>
          <w:highlight w:val="none"/>
        </w:rPr>
      </w:pPr>
    </w:p>
    <w:p w14:paraId="7F1DDBA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5C47D2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A15D24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DD3CE6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BA12E7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C425038">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56"/>
          <w:szCs w:val="56"/>
          <w:highlight w:val="none"/>
        </w:rPr>
      </w:pPr>
    </w:p>
    <w:p w14:paraId="151EBCD8">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56"/>
          <w:szCs w:val="56"/>
          <w:highlight w:val="none"/>
        </w:rPr>
      </w:pPr>
    </w:p>
    <w:p w14:paraId="618426BA">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56"/>
          <w:szCs w:val="56"/>
          <w:highlight w:val="none"/>
        </w:rPr>
      </w:pPr>
    </w:p>
    <w:p w14:paraId="24B9C1DA">
      <w:pPr>
        <w:pageBreakBefore w:val="0"/>
        <w:kinsoku/>
        <w:wordWrap w:val="0"/>
        <w:bidi w:val="0"/>
        <w:spacing w:before="0" w:after="480" w:afterLines="200" w:line="380" w:lineRule="atLeast"/>
        <w:ind w:firstLine="1680" w:firstLineChars="300"/>
        <w:jc w:val="center"/>
        <w:outlineLvl w:val="0"/>
        <w:rPr>
          <w:rFonts w:hint="eastAsia" w:eastAsia="黑体" w:cs="Times New Roman"/>
          <w:color w:val="auto"/>
          <w:sz w:val="56"/>
          <w:szCs w:val="56"/>
          <w:highlight w:val="none"/>
          <w:lang w:eastAsia="zh-CN"/>
        </w:rPr>
      </w:pPr>
      <w:bookmarkStart w:id="1809" w:name="_Toc28723"/>
      <w:bookmarkStart w:id="1810" w:name="_Toc234835927"/>
      <w:bookmarkStart w:id="1811" w:name="_Toc234833240"/>
      <w:bookmarkStart w:id="1812" w:name="_Toc15757"/>
      <w:bookmarkStart w:id="1813" w:name="_Toc22372"/>
      <w:r>
        <w:rPr>
          <w:rFonts w:hint="default" w:ascii="Times New Roman" w:hAnsi="Times New Roman" w:eastAsia="黑体" w:cs="Times New Roman"/>
          <w:color w:val="auto"/>
          <w:sz w:val="56"/>
          <w:szCs w:val="56"/>
          <w:highlight w:val="none"/>
        </w:rPr>
        <w:t>第五章  工程量清单</w:t>
      </w:r>
      <w:bookmarkEnd w:id="1809"/>
      <w:bookmarkEnd w:id="1810"/>
      <w:bookmarkEnd w:id="1811"/>
      <w:bookmarkEnd w:id="1812"/>
      <w:bookmarkStart w:id="1814" w:name="_Toc234833241"/>
      <w:r>
        <w:rPr>
          <w:rFonts w:hint="eastAsia" w:eastAsia="黑体" w:cs="Times New Roman"/>
          <w:color w:val="auto"/>
          <w:sz w:val="56"/>
          <w:szCs w:val="56"/>
          <w:highlight w:val="none"/>
          <w:lang w:eastAsia="zh-CN"/>
        </w:rPr>
        <w:t>（另册）</w:t>
      </w:r>
      <w:bookmarkEnd w:id="1813"/>
    </w:p>
    <w:p w14:paraId="53733A4B">
      <w:pPr>
        <w:pageBreakBefore w:val="0"/>
        <w:kinsoku/>
        <w:wordWrap w:val="0"/>
        <w:bidi w:val="0"/>
        <w:spacing w:line="400" w:lineRule="atLeast"/>
        <w:ind w:firstLine="540" w:firstLineChars="225"/>
        <w:outlineLvl w:val="2"/>
        <w:rPr>
          <w:rFonts w:hint="eastAsia"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说明:本招标文件第五章（工程量清单)将在百度网盘（</w:t>
      </w:r>
      <w:r>
        <w:rPr>
          <w:rFonts w:hint="default" w:ascii="Times New Roman" w:hAnsi="Times New Roman" w:cs="Times New Roman"/>
          <w:color w:val="auto"/>
          <w:sz w:val="24"/>
          <w:highlight w:val="yellow"/>
          <w:lang w:val="en-US" w:eastAsia="zh-CN"/>
        </w:rPr>
        <w:t>链接: https://pan.baidu.com/s/1WtL-9sdeDTs2pstT9WSSEg 提取码: ykzx</w:t>
      </w:r>
      <w:r>
        <w:rPr>
          <w:rFonts w:hint="default" w:ascii="Times New Roman" w:hAnsi="Times New Roman" w:cs="Times New Roman"/>
          <w:color w:val="auto"/>
          <w:sz w:val="24"/>
          <w:highlight w:val="none"/>
          <w:lang w:val="en-US" w:eastAsia="zh-CN"/>
        </w:rPr>
        <w:t xml:space="preserve"> 详见第二章“投标人须知 ”第2.2.2 项） 中发布给各投标人。各潜在投标人应自行随时密切关注百度网盘，及时获取本项目工程量清单，避免影响投标文件的编制及递交，否则一切后果由投标人自行承担。投标人在百度网盘中获 取的工程量清单无需回函确认，上传完成即视为潜在投标人已收悉</w:t>
      </w:r>
      <w:r>
        <w:rPr>
          <w:rFonts w:hint="eastAsia" w:cs="Times New Roman"/>
          <w:color w:val="auto"/>
          <w:sz w:val="24"/>
          <w:highlight w:val="none"/>
          <w:lang w:val="en-US" w:eastAsia="zh-CN"/>
        </w:rPr>
        <w:t>。</w:t>
      </w:r>
    </w:p>
    <w:p w14:paraId="1E25D2E2">
      <w:pPr>
        <w:pageBreakBefore w:val="0"/>
        <w:kinsoku/>
        <w:wordWrap w:val="0"/>
        <w:bidi w:val="0"/>
        <w:spacing w:line="400" w:lineRule="atLeast"/>
        <w:ind w:firstLine="540" w:firstLineChars="225"/>
        <w:outlineLvl w:val="2"/>
        <w:rPr>
          <w:rFonts w:hint="eastAsia" w:cs="Times New Roman"/>
          <w:color w:val="auto"/>
          <w:sz w:val="24"/>
          <w:highlight w:val="none"/>
          <w:lang w:val="en-US" w:eastAsia="zh-CN"/>
        </w:rPr>
      </w:pPr>
    </w:p>
    <w:p w14:paraId="1AD429F5">
      <w:pPr>
        <w:pageBreakBefore w:val="0"/>
        <w:kinsoku/>
        <w:wordWrap w:val="0"/>
        <w:bidi w:val="0"/>
        <w:spacing w:line="400" w:lineRule="atLeast"/>
        <w:ind w:firstLine="540" w:firstLineChars="225"/>
        <w:outlineLvl w:val="2"/>
        <w:rPr>
          <w:rFonts w:hint="default" w:cs="Times New Roman"/>
          <w:color w:val="auto"/>
          <w:sz w:val="24"/>
          <w:highlight w:val="none"/>
          <w:lang w:val="en-US" w:eastAsia="zh-CN"/>
        </w:rPr>
        <w:sectPr>
          <w:footerReference r:id="rId37" w:type="default"/>
          <w:pgSz w:w="11906" w:h="16838"/>
          <w:pgMar w:top="1984" w:right="1800" w:bottom="1440" w:left="1800" w:header="851" w:footer="992" w:gutter="0"/>
          <w:pgNumType w:fmt="decimal"/>
          <w:cols w:space="425" w:num="1"/>
          <w:docGrid w:type="lines" w:linePitch="312" w:charSpace="0"/>
        </w:sectPr>
      </w:pPr>
    </w:p>
    <w:p w14:paraId="5D78598D">
      <w:pPr>
        <w:pStyle w:val="2"/>
        <w:pageBreakBefore w:val="0"/>
        <w:kinsoku/>
        <w:wordWrap w:val="0"/>
        <w:bidi w:val="0"/>
        <w:spacing w:before="360" w:beforeLines="150" w:after="240" w:afterLines="100" w:line="380" w:lineRule="atLeast"/>
        <w:outlineLvl w:val="1"/>
        <w:rPr>
          <w:rFonts w:hint="default" w:ascii="Times New Roman" w:hAnsi="Times New Roman" w:eastAsia="黑体" w:cs="Times New Roman"/>
          <w:b w:val="0"/>
          <w:color w:val="auto"/>
          <w:sz w:val="28"/>
          <w:szCs w:val="28"/>
          <w:highlight w:val="none"/>
        </w:rPr>
      </w:pPr>
      <w:bookmarkStart w:id="1815" w:name="_Toc14229"/>
      <w:bookmarkStart w:id="1816" w:name="_Toc30213"/>
      <w:bookmarkStart w:id="1817" w:name="_Toc18734"/>
      <w:bookmarkStart w:id="1818" w:name="_Toc22314"/>
      <w:bookmarkStart w:id="1819" w:name="_Toc234833246"/>
      <w:r>
        <w:rPr>
          <w:rFonts w:hint="default" w:ascii="Times New Roman" w:hAnsi="Times New Roman" w:eastAsia="黑体" w:cs="Times New Roman"/>
          <w:b w:val="0"/>
          <w:color w:val="auto"/>
          <w:sz w:val="28"/>
          <w:szCs w:val="28"/>
          <w:highlight w:val="none"/>
        </w:rPr>
        <w:t>5. 工程量清单</w:t>
      </w:r>
      <w:bookmarkEnd w:id="1815"/>
      <w:bookmarkEnd w:id="1816"/>
      <w:bookmarkEnd w:id="1817"/>
      <w:bookmarkEnd w:id="1818"/>
      <w:bookmarkEnd w:id="1819"/>
    </w:p>
    <w:p w14:paraId="4F20DC92">
      <w:pPr>
        <w:pageBreakBefore w:val="0"/>
        <w:kinsoku/>
        <w:wordWrap w:val="0"/>
        <w:bidi w:val="0"/>
        <w:spacing w:line="400" w:lineRule="atLeast"/>
        <w:ind w:firstLine="540" w:firstLineChars="225"/>
        <w:outlineLvl w:val="2"/>
        <w:rPr>
          <w:rFonts w:hint="default" w:ascii="Times New Roman" w:hAnsi="Times New Roman" w:cs="Times New Roman"/>
          <w:color w:val="auto"/>
          <w:sz w:val="24"/>
          <w:highlight w:val="none"/>
        </w:rPr>
      </w:pPr>
      <w:bookmarkStart w:id="1820" w:name="_Toc7522"/>
      <w:r>
        <w:rPr>
          <w:rFonts w:hint="default" w:ascii="Times New Roman" w:hAnsi="Times New Roman" w:cs="Times New Roman"/>
          <w:color w:val="auto"/>
          <w:sz w:val="24"/>
          <w:highlight w:val="none"/>
        </w:rPr>
        <w:t>5.1 工程量清单表</w:t>
      </w:r>
      <w:bookmarkEnd w:id="1820"/>
    </w:p>
    <w:p w14:paraId="3724DE5F">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AA71C51">
      <w:pPr>
        <w:pageBreakBefore w:val="0"/>
        <w:kinsoku/>
        <w:wordWrap w:val="0"/>
        <w:bidi w:val="0"/>
        <w:jc w:val="center"/>
        <w:rPr>
          <w:rFonts w:hint="default" w:ascii="Times New Roman" w:hAnsi="Times New Roman" w:eastAsia="黑体" w:cs="Times New Roman"/>
          <w:color w:val="auto"/>
          <w:sz w:val="28"/>
          <w:highlight w:val="none"/>
        </w:rPr>
      </w:pPr>
      <w:r>
        <w:rPr>
          <w:rFonts w:hint="default" w:ascii="Times New Roman" w:hAnsi="Times New Roman" w:eastAsia="黑体" w:cs="Times New Roman"/>
          <w:color w:val="auto"/>
          <w:sz w:val="28"/>
          <w:highlight w:val="none"/>
        </w:rPr>
        <w:t>工 程 量 清 单</w:t>
      </w:r>
    </w:p>
    <w:p w14:paraId="603DEBFE">
      <w:pPr>
        <w:pageBreakBefore w:val="0"/>
        <w:kinsoku/>
        <w:wordWrap w:val="0"/>
        <w:bidi w:val="0"/>
        <w:jc w:val="center"/>
        <w:rPr>
          <w:rFonts w:hint="default" w:ascii="Times New Roman" w:hAnsi="Times New Roman" w:cs="Times New Roman"/>
          <w:color w:val="auto"/>
          <w:sz w:val="24"/>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32"/>
        <w:gridCol w:w="749"/>
        <w:gridCol w:w="837"/>
        <w:gridCol w:w="837"/>
        <w:gridCol w:w="837"/>
      </w:tblGrid>
      <w:tr w14:paraId="26D7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601223C9">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第100章   总  则</w:t>
            </w:r>
          </w:p>
        </w:tc>
      </w:tr>
      <w:tr w14:paraId="3735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8" w:space="0"/>
              <w:left w:val="single" w:color="auto" w:sz="12" w:space="0"/>
              <w:bottom w:val="single" w:color="auto" w:sz="4" w:space="0"/>
              <w:right w:val="single" w:color="auto" w:sz="4" w:space="0"/>
            </w:tcBorders>
            <w:noWrap w:val="0"/>
            <w:vAlign w:val="center"/>
          </w:tcPr>
          <w:p w14:paraId="2EDAD2A5">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center"/>
          </w:tcPr>
          <w:p w14:paraId="5650D918">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center"/>
          </w:tcPr>
          <w:p w14:paraId="27C10EAE">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678530C9">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5FF39400">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12F0D113">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7BA1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top w:val="single" w:color="auto" w:sz="4" w:space="0"/>
              <w:left w:val="single" w:color="auto" w:sz="12" w:space="0"/>
              <w:bottom w:val="single" w:color="auto" w:sz="4" w:space="0"/>
              <w:right w:val="single" w:color="auto" w:sz="4" w:space="0"/>
            </w:tcBorders>
            <w:noWrap w:val="0"/>
            <w:vAlign w:val="center"/>
          </w:tcPr>
          <w:p w14:paraId="7DD7C70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101</w:t>
            </w:r>
          </w:p>
        </w:tc>
        <w:tc>
          <w:tcPr>
            <w:tcW w:w="4732" w:type="dxa"/>
            <w:tcBorders>
              <w:top w:val="single" w:color="auto" w:sz="4" w:space="0"/>
              <w:left w:val="single" w:color="auto" w:sz="4" w:space="0"/>
              <w:bottom w:val="single" w:color="auto" w:sz="4" w:space="0"/>
              <w:right w:val="single" w:color="auto" w:sz="4" w:space="0"/>
            </w:tcBorders>
            <w:noWrap w:val="0"/>
            <w:vAlign w:val="center"/>
          </w:tcPr>
          <w:p w14:paraId="78C81F8D">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通则</w:t>
            </w:r>
          </w:p>
        </w:tc>
        <w:tc>
          <w:tcPr>
            <w:tcW w:w="749" w:type="dxa"/>
            <w:tcBorders>
              <w:top w:val="single" w:color="auto" w:sz="4" w:space="0"/>
              <w:left w:val="single" w:color="auto" w:sz="4" w:space="0"/>
              <w:bottom w:val="single" w:color="auto" w:sz="4" w:space="0"/>
              <w:right w:val="single" w:color="auto" w:sz="4" w:space="0"/>
            </w:tcBorders>
            <w:noWrap w:val="0"/>
            <w:vAlign w:val="top"/>
          </w:tcPr>
          <w:p w14:paraId="6605F7E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446DEE6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5C5A42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12" w:space="0"/>
            </w:tcBorders>
            <w:noWrap w:val="0"/>
            <w:vAlign w:val="center"/>
          </w:tcPr>
          <w:p w14:paraId="2A7CC1F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16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top w:val="single" w:color="auto" w:sz="4" w:space="0"/>
              <w:left w:val="single" w:color="auto" w:sz="12" w:space="0"/>
              <w:bottom w:val="single" w:color="auto" w:sz="4" w:space="0"/>
              <w:right w:val="single" w:color="auto" w:sz="4" w:space="0"/>
            </w:tcBorders>
            <w:noWrap w:val="0"/>
            <w:vAlign w:val="top"/>
          </w:tcPr>
          <w:p w14:paraId="1CD5E9F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101-1</w:t>
            </w:r>
          </w:p>
        </w:tc>
        <w:tc>
          <w:tcPr>
            <w:tcW w:w="4732" w:type="dxa"/>
            <w:tcBorders>
              <w:top w:val="single" w:color="auto" w:sz="4" w:space="0"/>
              <w:left w:val="single" w:color="auto" w:sz="4" w:space="0"/>
              <w:bottom w:val="single" w:color="auto" w:sz="4" w:space="0"/>
              <w:right w:val="single" w:color="auto" w:sz="4" w:space="0"/>
            </w:tcBorders>
            <w:noWrap w:val="0"/>
            <w:vAlign w:val="top"/>
          </w:tcPr>
          <w:p w14:paraId="75ECF2FB">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保险费 </w:t>
            </w:r>
          </w:p>
        </w:tc>
        <w:tc>
          <w:tcPr>
            <w:tcW w:w="749" w:type="dxa"/>
            <w:tcBorders>
              <w:top w:val="single" w:color="auto" w:sz="4" w:space="0"/>
              <w:left w:val="single" w:color="auto" w:sz="4" w:space="0"/>
              <w:bottom w:val="single" w:color="auto" w:sz="4" w:space="0"/>
              <w:right w:val="single" w:color="auto" w:sz="4" w:space="0"/>
            </w:tcBorders>
            <w:noWrap w:val="0"/>
            <w:vAlign w:val="top"/>
          </w:tcPr>
          <w:p w14:paraId="49FB553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5104F3B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3AF590F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12" w:space="0"/>
            </w:tcBorders>
            <w:noWrap w:val="0"/>
            <w:vAlign w:val="center"/>
          </w:tcPr>
          <w:p w14:paraId="283E6C3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4480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top w:val="single" w:color="auto" w:sz="4" w:space="0"/>
              <w:left w:val="single" w:color="auto" w:sz="12" w:space="0"/>
              <w:right w:val="single" w:color="auto" w:sz="4" w:space="0"/>
            </w:tcBorders>
            <w:noWrap w:val="0"/>
            <w:vAlign w:val="top"/>
          </w:tcPr>
          <w:p w14:paraId="152F65D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tcBorders>
              <w:top w:val="single" w:color="auto" w:sz="4" w:space="0"/>
              <w:left w:val="single" w:color="auto" w:sz="4" w:space="0"/>
              <w:right w:val="single" w:color="auto" w:sz="4" w:space="0"/>
            </w:tcBorders>
            <w:noWrap w:val="0"/>
            <w:vAlign w:val="top"/>
          </w:tcPr>
          <w:p w14:paraId="7C774906">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按合同条款规定，提供建筑工程一切险</w:t>
            </w:r>
          </w:p>
        </w:tc>
        <w:tc>
          <w:tcPr>
            <w:tcW w:w="749" w:type="dxa"/>
            <w:tcBorders>
              <w:top w:val="single" w:color="auto" w:sz="4" w:space="0"/>
              <w:left w:val="single" w:color="auto" w:sz="4" w:space="0"/>
              <w:right w:val="single" w:color="auto" w:sz="4" w:space="0"/>
            </w:tcBorders>
            <w:noWrap w:val="0"/>
            <w:vAlign w:val="top"/>
          </w:tcPr>
          <w:p w14:paraId="772CC04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tcBorders>
              <w:top w:val="single" w:color="auto" w:sz="4" w:space="0"/>
              <w:left w:val="single" w:color="auto" w:sz="4" w:space="0"/>
              <w:right w:val="single" w:color="auto" w:sz="4" w:space="0"/>
            </w:tcBorders>
            <w:noWrap w:val="0"/>
            <w:vAlign w:val="center"/>
          </w:tcPr>
          <w:p w14:paraId="7C301B8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435C38F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3A89711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42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top"/>
          </w:tcPr>
          <w:p w14:paraId="2DC9106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036CBBF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按合同条款规定，提供第三者责任险</w:t>
            </w:r>
          </w:p>
        </w:tc>
        <w:tc>
          <w:tcPr>
            <w:tcW w:w="749" w:type="dxa"/>
            <w:noWrap w:val="0"/>
            <w:vAlign w:val="top"/>
          </w:tcPr>
          <w:p w14:paraId="6EACD40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092BA2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F99BC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3ECE3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644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63FAEC9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102</w:t>
            </w:r>
          </w:p>
        </w:tc>
        <w:tc>
          <w:tcPr>
            <w:tcW w:w="4732" w:type="dxa"/>
            <w:noWrap w:val="0"/>
            <w:vAlign w:val="center"/>
          </w:tcPr>
          <w:p w14:paraId="506CE0CA">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工程管理</w:t>
            </w:r>
          </w:p>
        </w:tc>
        <w:tc>
          <w:tcPr>
            <w:tcW w:w="749" w:type="dxa"/>
            <w:noWrap w:val="0"/>
            <w:vAlign w:val="center"/>
          </w:tcPr>
          <w:p w14:paraId="26F577F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F9DBA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9857EB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80FE70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4647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4CEBA23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102-1</w:t>
            </w:r>
          </w:p>
        </w:tc>
        <w:tc>
          <w:tcPr>
            <w:tcW w:w="4732" w:type="dxa"/>
            <w:noWrap w:val="0"/>
            <w:vAlign w:val="center"/>
          </w:tcPr>
          <w:p w14:paraId="1137112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竣工文件</w:t>
            </w:r>
          </w:p>
        </w:tc>
        <w:tc>
          <w:tcPr>
            <w:tcW w:w="749" w:type="dxa"/>
            <w:noWrap w:val="0"/>
            <w:vAlign w:val="center"/>
          </w:tcPr>
          <w:p w14:paraId="470B820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240B150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C56253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43220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9A2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6050F8E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102-2</w:t>
            </w:r>
          </w:p>
        </w:tc>
        <w:tc>
          <w:tcPr>
            <w:tcW w:w="4732" w:type="dxa"/>
            <w:noWrap w:val="0"/>
            <w:vAlign w:val="center"/>
          </w:tcPr>
          <w:p w14:paraId="6C930D8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施工环保费</w:t>
            </w:r>
          </w:p>
        </w:tc>
        <w:tc>
          <w:tcPr>
            <w:tcW w:w="749" w:type="dxa"/>
            <w:noWrap w:val="0"/>
            <w:vAlign w:val="center"/>
          </w:tcPr>
          <w:p w14:paraId="6133740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46C91E6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107A2E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2E770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C9E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43634AD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102-3</w:t>
            </w:r>
          </w:p>
        </w:tc>
        <w:tc>
          <w:tcPr>
            <w:tcW w:w="4732" w:type="dxa"/>
            <w:noWrap w:val="0"/>
            <w:vAlign w:val="center"/>
          </w:tcPr>
          <w:p w14:paraId="6C8F289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安全生产费</w:t>
            </w:r>
          </w:p>
        </w:tc>
        <w:tc>
          <w:tcPr>
            <w:tcW w:w="749" w:type="dxa"/>
            <w:noWrap w:val="0"/>
            <w:vAlign w:val="center"/>
          </w:tcPr>
          <w:p w14:paraId="4178F1B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14941E0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1F0F6D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AE606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6C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6816408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102-4</w:t>
            </w:r>
          </w:p>
        </w:tc>
        <w:tc>
          <w:tcPr>
            <w:tcW w:w="4732" w:type="dxa"/>
            <w:noWrap w:val="0"/>
            <w:vAlign w:val="center"/>
          </w:tcPr>
          <w:p w14:paraId="34CCC526">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信息化系统（暂估价）</w:t>
            </w:r>
          </w:p>
        </w:tc>
        <w:tc>
          <w:tcPr>
            <w:tcW w:w="749" w:type="dxa"/>
            <w:noWrap w:val="0"/>
            <w:vAlign w:val="center"/>
          </w:tcPr>
          <w:p w14:paraId="580CC26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2901B7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5244E9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B99AE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84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5ADA193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103</w:t>
            </w:r>
          </w:p>
        </w:tc>
        <w:tc>
          <w:tcPr>
            <w:tcW w:w="4732" w:type="dxa"/>
            <w:noWrap w:val="0"/>
            <w:vAlign w:val="center"/>
          </w:tcPr>
          <w:p w14:paraId="4A4363A5">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临时工程与设施</w:t>
            </w:r>
          </w:p>
        </w:tc>
        <w:tc>
          <w:tcPr>
            <w:tcW w:w="749" w:type="dxa"/>
            <w:noWrap w:val="0"/>
            <w:vAlign w:val="top"/>
          </w:tcPr>
          <w:p w14:paraId="58511D1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05DDCE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3A677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0EF9BE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B46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top"/>
          </w:tcPr>
          <w:p w14:paraId="655C228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103-1</w:t>
            </w:r>
          </w:p>
        </w:tc>
        <w:tc>
          <w:tcPr>
            <w:tcW w:w="4732" w:type="dxa"/>
            <w:noWrap w:val="0"/>
            <w:vAlign w:val="top"/>
          </w:tcPr>
          <w:p w14:paraId="5804130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临时道路修建、养护与拆除（包括原道路的养护）</w:t>
            </w:r>
          </w:p>
        </w:tc>
        <w:tc>
          <w:tcPr>
            <w:tcW w:w="749" w:type="dxa"/>
            <w:noWrap w:val="0"/>
            <w:vAlign w:val="top"/>
          </w:tcPr>
          <w:p w14:paraId="7997912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724FE01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A79B4B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F8730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5A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top"/>
          </w:tcPr>
          <w:p w14:paraId="0BEA551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103-2</w:t>
            </w:r>
          </w:p>
        </w:tc>
        <w:tc>
          <w:tcPr>
            <w:tcW w:w="4732" w:type="dxa"/>
            <w:noWrap w:val="0"/>
            <w:vAlign w:val="top"/>
          </w:tcPr>
          <w:p w14:paraId="540E16AD">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临时占地</w:t>
            </w:r>
          </w:p>
        </w:tc>
        <w:tc>
          <w:tcPr>
            <w:tcW w:w="749" w:type="dxa"/>
            <w:noWrap w:val="0"/>
            <w:vAlign w:val="top"/>
          </w:tcPr>
          <w:p w14:paraId="026582D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387294D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B9CCFF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C5D9C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E02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top"/>
          </w:tcPr>
          <w:p w14:paraId="55E17A4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103-3</w:t>
            </w:r>
          </w:p>
        </w:tc>
        <w:tc>
          <w:tcPr>
            <w:tcW w:w="4732" w:type="dxa"/>
            <w:noWrap w:val="0"/>
            <w:vAlign w:val="center"/>
          </w:tcPr>
          <w:p w14:paraId="53666B8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临时供电设施架设、维护与拆除</w:t>
            </w:r>
          </w:p>
        </w:tc>
        <w:tc>
          <w:tcPr>
            <w:tcW w:w="749" w:type="dxa"/>
            <w:noWrap w:val="0"/>
            <w:vAlign w:val="center"/>
          </w:tcPr>
          <w:p w14:paraId="4F14042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3A9C6B6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79962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316FB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F99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top"/>
          </w:tcPr>
          <w:p w14:paraId="18B78A1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103-4</w:t>
            </w:r>
          </w:p>
        </w:tc>
        <w:tc>
          <w:tcPr>
            <w:tcW w:w="4732" w:type="dxa"/>
            <w:noWrap w:val="0"/>
            <w:vAlign w:val="top"/>
          </w:tcPr>
          <w:p w14:paraId="75DB00A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电信设施的提供、维修与拆除</w:t>
            </w:r>
          </w:p>
        </w:tc>
        <w:tc>
          <w:tcPr>
            <w:tcW w:w="749" w:type="dxa"/>
            <w:noWrap w:val="0"/>
            <w:vAlign w:val="top"/>
          </w:tcPr>
          <w:p w14:paraId="42AE878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4B0367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E815B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3AC406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0FC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top"/>
          </w:tcPr>
          <w:p w14:paraId="08C8E6F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103-5</w:t>
            </w:r>
          </w:p>
        </w:tc>
        <w:tc>
          <w:tcPr>
            <w:tcW w:w="4732" w:type="dxa"/>
            <w:noWrap w:val="0"/>
            <w:vAlign w:val="center"/>
          </w:tcPr>
          <w:p w14:paraId="1252E50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临时供水与排污设施</w:t>
            </w:r>
          </w:p>
        </w:tc>
        <w:tc>
          <w:tcPr>
            <w:tcW w:w="749" w:type="dxa"/>
            <w:noWrap w:val="0"/>
            <w:vAlign w:val="top"/>
          </w:tcPr>
          <w:p w14:paraId="7722290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1333BF3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BBC46F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39E0C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A9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3BDDBF0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104</w:t>
            </w:r>
          </w:p>
        </w:tc>
        <w:tc>
          <w:tcPr>
            <w:tcW w:w="4732" w:type="dxa"/>
            <w:noWrap w:val="0"/>
            <w:vAlign w:val="center"/>
          </w:tcPr>
          <w:p w14:paraId="4884017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承包人驻地建设</w:t>
            </w:r>
          </w:p>
        </w:tc>
        <w:tc>
          <w:tcPr>
            <w:tcW w:w="749" w:type="dxa"/>
            <w:noWrap w:val="0"/>
            <w:vAlign w:val="top"/>
          </w:tcPr>
          <w:p w14:paraId="0BEF017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19B2DB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01C214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B1E7F4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9F1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top"/>
          </w:tcPr>
          <w:p w14:paraId="226CDEA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104-1</w:t>
            </w:r>
          </w:p>
        </w:tc>
        <w:tc>
          <w:tcPr>
            <w:tcW w:w="4732" w:type="dxa"/>
            <w:noWrap w:val="0"/>
            <w:vAlign w:val="top"/>
          </w:tcPr>
          <w:p w14:paraId="4281053B">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承包人驻地建设</w:t>
            </w:r>
          </w:p>
        </w:tc>
        <w:tc>
          <w:tcPr>
            <w:tcW w:w="749" w:type="dxa"/>
            <w:noWrap w:val="0"/>
            <w:vAlign w:val="top"/>
          </w:tcPr>
          <w:p w14:paraId="0024094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12C637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5056DE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75160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BE8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0917393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w:t>
            </w:r>
          </w:p>
        </w:tc>
        <w:tc>
          <w:tcPr>
            <w:tcW w:w="4732" w:type="dxa"/>
            <w:noWrap w:val="0"/>
            <w:vAlign w:val="center"/>
          </w:tcPr>
          <w:p w14:paraId="0E620385">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施工标准化</w:t>
            </w:r>
          </w:p>
        </w:tc>
        <w:tc>
          <w:tcPr>
            <w:tcW w:w="749" w:type="dxa"/>
            <w:noWrap w:val="0"/>
            <w:vAlign w:val="center"/>
          </w:tcPr>
          <w:p w14:paraId="734E622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76D2C9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ABCF81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3F746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F5A2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5298113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105-1</w:t>
            </w:r>
          </w:p>
        </w:tc>
        <w:tc>
          <w:tcPr>
            <w:tcW w:w="4732" w:type="dxa"/>
            <w:noWrap w:val="0"/>
            <w:vAlign w:val="center"/>
          </w:tcPr>
          <w:p w14:paraId="1CDA6FF0">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施工驻地</w:t>
            </w:r>
          </w:p>
        </w:tc>
        <w:tc>
          <w:tcPr>
            <w:tcW w:w="749" w:type="dxa"/>
            <w:noWrap w:val="0"/>
            <w:vAlign w:val="center"/>
          </w:tcPr>
          <w:p w14:paraId="714A5F8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10BDEE3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9B5A37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FE900A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84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519CD5D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105-2</w:t>
            </w:r>
          </w:p>
        </w:tc>
        <w:tc>
          <w:tcPr>
            <w:tcW w:w="4732" w:type="dxa"/>
            <w:noWrap w:val="0"/>
            <w:vAlign w:val="center"/>
          </w:tcPr>
          <w:p w14:paraId="56AACE76">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工地试验室</w:t>
            </w:r>
          </w:p>
        </w:tc>
        <w:tc>
          <w:tcPr>
            <w:tcW w:w="749" w:type="dxa"/>
            <w:noWrap w:val="0"/>
            <w:vAlign w:val="center"/>
          </w:tcPr>
          <w:p w14:paraId="3DAAA31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47242B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F6C594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9CED6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7E0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516CE32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105-3</w:t>
            </w:r>
          </w:p>
        </w:tc>
        <w:tc>
          <w:tcPr>
            <w:tcW w:w="4732" w:type="dxa"/>
            <w:noWrap w:val="0"/>
            <w:vAlign w:val="center"/>
          </w:tcPr>
          <w:p w14:paraId="0006C21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拌和站</w:t>
            </w:r>
          </w:p>
        </w:tc>
        <w:tc>
          <w:tcPr>
            <w:tcW w:w="749" w:type="dxa"/>
            <w:noWrap w:val="0"/>
            <w:vAlign w:val="center"/>
          </w:tcPr>
          <w:p w14:paraId="11C630C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39B2E40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D4203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C83D2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1DAD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73B648B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105-4</w:t>
            </w:r>
          </w:p>
        </w:tc>
        <w:tc>
          <w:tcPr>
            <w:tcW w:w="4732" w:type="dxa"/>
            <w:noWrap w:val="0"/>
            <w:vAlign w:val="center"/>
          </w:tcPr>
          <w:p w14:paraId="7157CAD4">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钢筋加工场</w:t>
            </w:r>
          </w:p>
        </w:tc>
        <w:tc>
          <w:tcPr>
            <w:tcW w:w="749" w:type="dxa"/>
            <w:noWrap w:val="0"/>
            <w:vAlign w:val="center"/>
          </w:tcPr>
          <w:p w14:paraId="0C20995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58A868F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5F031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E71F02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38B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1F03138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105-5</w:t>
            </w:r>
          </w:p>
        </w:tc>
        <w:tc>
          <w:tcPr>
            <w:tcW w:w="4732" w:type="dxa"/>
            <w:noWrap w:val="0"/>
            <w:vAlign w:val="center"/>
          </w:tcPr>
          <w:p w14:paraId="5B72E8DF">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预制场</w:t>
            </w:r>
          </w:p>
        </w:tc>
        <w:tc>
          <w:tcPr>
            <w:tcW w:w="749" w:type="dxa"/>
            <w:noWrap w:val="0"/>
            <w:vAlign w:val="center"/>
          </w:tcPr>
          <w:p w14:paraId="77D1FEA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3F0027F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52A88A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1B7DE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EE8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1A07C6C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105-6</w:t>
            </w:r>
          </w:p>
        </w:tc>
        <w:tc>
          <w:tcPr>
            <w:tcW w:w="4732" w:type="dxa"/>
            <w:noWrap w:val="0"/>
            <w:vAlign w:val="center"/>
          </w:tcPr>
          <w:p w14:paraId="6FA4E2BA">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仓储存放地</w:t>
            </w:r>
          </w:p>
        </w:tc>
        <w:tc>
          <w:tcPr>
            <w:tcW w:w="749" w:type="dxa"/>
            <w:noWrap w:val="0"/>
            <w:vAlign w:val="center"/>
          </w:tcPr>
          <w:p w14:paraId="2E89407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6655FBC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D48E6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57C138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F1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36040BF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105-7</w:t>
            </w:r>
          </w:p>
        </w:tc>
        <w:tc>
          <w:tcPr>
            <w:tcW w:w="4732" w:type="dxa"/>
            <w:noWrap w:val="0"/>
            <w:vAlign w:val="center"/>
          </w:tcPr>
          <w:p w14:paraId="0E45B3B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各场（厂）区、作业区连接道路及施工主便道</w:t>
            </w:r>
          </w:p>
        </w:tc>
        <w:tc>
          <w:tcPr>
            <w:tcW w:w="749" w:type="dxa"/>
            <w:noWrap w:val="0"/>
            <w:vAlign w:val="center"/>
          </w:tcPr>
          <w:p w14:paraId="5AC25C0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1D9D605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0A8A4B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4852B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8D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64" w:type="dxa"/>
            <w:tcBorders>
              <w:left w:val="single" w:color="auto" w:sz="12" w:space="0"/>
            </w:tcBorders>
            <w:noWrap w:val="0"/>
            <w:vAlign w:val="center"/>
          </w:tcPr>
          <w:p w14:paraId="243B050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6B0D211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center"/>
          </w:tcPr>
          <w:p w14:paraId="4FA965A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17345C0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D113C6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F2F80B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FC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56" w:type="dxa"/>
            <w:gridSpan w:val="6"/>
            <w:tcBorders>
              <w:left w:val="single" w:color="auto" w:sz="12" w:space="0"/>
              <w:bottom w:val="single" w:color="auto" w:sz="12" w:space="0"/>
              <w:right w:val="single" w:color="auto" w:sz="12" w:space="0"/>
            </w:tcBorders>
            <w:noWrap w:val="0"/>
            <w:vAlign w:val="center"/>
          </w:tcPr>
          <w:p w14:paraId="6EEF4089">
            <w:pPr>
              <w:pageBreakBefore w:val="0"/>
              <w:kinsoku/>
              <w:wordWrap w:val="0"/>
              <w:bidi w:val="0"/>
              <w:spacing w:line="360" w:lineRule="atLeast"/>
              <w:jc w:val="center"/>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清单第100章合计  人民币</w:t>
            </w:r>
            <w:r>
              <w:rPr>
                <w:rFonts w:hint="default" w:ascii="Times New Roman" w:hAnsi="Times New Roman" w:cs="Times New Roman"/>
                <w:color w:val="auto"/>
                <w:szCs w:val="21"/>
                <w:highlight w:val="none"/>
                <w:u w:val="single"/>
              </w:rPr>
              <w:t xml:space="preserve">                    </w:t>
            </w:r>
          </w:p>
        </w:tc>
      </w:tr>
    </w:tbl>
    <w:p w14:paraId="0778F81F">
      <w:pPr>
        <w:pageBreakBefore w:val="0"/>
        <w:kinsoku/>
        <w:wordWrap w:val="0"/>
        <w:bidi w:val="0"/>
        <w:jc w:val="center"/>
        <w:rPr>
          <w:rFonts w:hint="default" w:ascii="Times New Roman" w:hAnsi="Times New Roman" w:eastAsia="黑体" w:cs="Times New Roman"/>
          <w:color w:val="auto"/>
          <w:sz w:val="28"/>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8"/>
          <w:highlight w:val="none"/>
        </w:rPr>
        <w:t>工 程 量 清 单</w:t>
      </w:r>
    </w:p>
    <w:p w14:paraId="27D3B37E">
      <w:pPr>
        <w:pageBreakBefore w:val="0"/>
        <w:kinsoku/>
        <w:wordWrap w:val="0"/>
        <w:bidi w:val="0"/>
        <w:jc w:val="center"/>
        <w:rPr>
          <w:rFonts w:hint="default" w:ascii="Times New Roman" w:hAnsi="Times New Roman" w:cs="Times New Roman"/>
          <w:color w:val="auto"/>
          <w:sz w:val="24"/>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32"/>
        <w:gridCol w:w="749"/>
        <w:gridCol w:w="837"/>
        <w:gridCol w:w="837"/>
        <w:gridCol w:w="837"/>
      </w:tblGrid>
      <w:tr w14:paraId="7B76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6BC38D67">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第200章   路  基</w:t>
            </w:r>
          </w:p>
        </w:tc>
      </w:tr>
      <w:tr w14:paraId="0E9B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244585E4">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center"/>
          </w:tcPr>
          <w:p w14:paraId="762DC674">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center"/>
          </w:tcPr>
          <w:p w14:paraId="2142C3C7">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6E62A279">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56606B8F">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20878F65">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4D24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12301E46">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202</w:t>
            </w:r>
          </w:p>
        </w:tc>
        <w:tc>
          <w:tcPr>
            <w:tcW w:w="4732" w:type="dxa"/>
            <w:tcBorders>
              <w:top w:val="single" w:color="auto" w:sz="4" w:space="0"/>
              <w:left w:val="single" w:color="auto" w:sz="4" w:space="0"/>
              <w:right w:val="single" w:color="auto" w:sz="4" w:space="0"/>
            </w:tcBorders>
            <w:noWrap w:val="0"/>
            <w:vAlign w:val="center"/>
          </w:tcPr>
          <w:p w14:paraId="409BB5D7">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场地清理</w:t>
            </w:r>
          </w:p>
        </w:tc>
        <w:tc>
          <w:tcPr>
            <w:tcW w:w="749" w:type="dxa"/>
            <w:tcBorders>
              <w:top w:val="single" w:color="auto" w:sz="4" w:space="0"/>
              <w:left w:val="single" w:color="auto" w:sz="4" w:space="0"/>
              <w:right w:val="single" w:color="auto" w:sz="4" w:space="0"/>
            </w:tcBorders>
            <w:noWrap w:val="0"/>
            <w:vAlign w:val="top"/>
          </w:tcPr>
          <w:p w14:paraId="101F7CC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37A007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3DC620A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5549EBF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70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top"/>
          </w:tcPr>
          <w:p w14:paraId="767D87A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202-1</w:t>
            </w:r>
          </w:p>
        </w:tc>
        <w:tc>
          <w:tcPr>
            <w:tcW w:w="4732" w:type="dxa"/>
            <w:tcBorders>
              <w:top w:val="single" w:color="auto" w:sz="4" w:space="0"/>
              <w:left w:val="single" w:color="auto" w:sz="4" w:space="0"/>
              <w:right w:val="single" w:color="auto" w:sz="4" w:space="0"/>
            </w:tcBorders>
            <w:noWrap w:val="0"/>
            <w:vAlign w:val="top"/>
          </w:tcPr>
          <w:p w14:paraId="778605D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清理与掘除</w:t>
            </w:r>
          </w:p>
        </w:tc>
        <w:tc>
          <w:tcPr>
            <w:tcW w:w="749" w:type="dxa"/>
            <w:tcBorders>
              <w:top w:val="single" w:color="auto" w:sz="4" w:space="0"/>
              <w:left w:val="single" w:color="auto" w:sz="4" w:space="0"/>
              <w:right w:val="single" w:color="auto" w:sz="4" w:space="0"/>
            </w:tcBorders>
            <w:noWrap w:val="0"/>
            <w:vAlign w:val="top"/>
          </w:tcPr>
          <w:p w14:paraId="0691E4A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19CC53F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20EA38E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7FF2B6A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EAA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977ED6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9797975">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清理现场</w:t>
            </w:r>
          </w:p>
        </w:tc>
        <w:tc>
          <w:tcPr>
            <w:tcW w:w="749" w:type="dxa"/>
            <w:noWrap w:val="0"/>
            <w:vAlign w:val="top"/>
          </w:tcPr>
          <w:p w14:paraId="67934050">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05CBA5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58ABD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E9CAC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4DA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347D64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67A1AE96">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砍伐树木</w:t>
            </w:r>
          </w:p>
        </w:tc>
        <w:tc>
          <w:tcPr>
            <w:tcW w:w="749" w:type="dxa"/>
            <w:noWrap w:val="0"/>
            <w:vAlign w:val="top"/>
          </w:tcPr>
          <w:p w14:paraId="65E1BC3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080A059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CBE09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8B749F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9C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8F921A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top"/>
          </w:tcPr>
          <w:p w14:paraId="362F685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挖除树根</w:t>
            </w:r>
          </w:p>
        </w:tc>
        <w:tc>
          <w:tcPr>
            <w:tcW w:w="749" w:type="dxa"/>
            <w:noWrap w:val="0"/>
            <w:vAlign w:val="top"/>
          </w:tcPr>
          <w:p w14:paraId="6A54332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0654B3C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0C0128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9044CD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BD6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1702D9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202-2</w:t>
            </w:r>
          </w:p>
        </w:tc>
        <w:tc>
          <w:tcPr>
            <w:tcW w:w="4732" w:type="dxa"/>
            <w:noWrap w:val="0"/>
            <w:vAlign w:val="top"/>
          </w:tcPr>
          <w:p w14:paraId="2BDDC43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挖除旧路面</w:t>
            </w:r>
          </w:p>
        </w:tc>
        <w:tc>
          <w:tcPr>
            <w:tcW w:w="749" w:type="dxa"/>
            <w:noWrap w:val="0"/>
            <w:vAlign w:val="top"/>
          </w:tcPr>
          <w:p w14:paraId="551D95E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AF1366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D318F5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32C87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6D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74FF76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0786E14A">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水泥混凝土路面</w:t>
            </w:r>
          </w:p>
        </w:tc>
        <w:tc>
          <w:tcPr>
            <w:tcW w:w="749" w:type="dxa"/>
            <w:noWrap w:val="0"/>
            <w:vAlign w:val="top"/>
          </w:tcPr>
          <w:p w14:paraId="5EC29CD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964B4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65A4C6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74B96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1E31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900698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1BEB34E5">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沥青混凝土路面</w:t>
            </w:r>
          </w:p>
        </w:tc>
        <w:tc>
          <w:tcPr>
            <w:tcW w:w="749" w:type="dxa"/>
            <w:noWrap w:val="0"/>
            <w:vAlign w:val="top"/>
          </w:tcPr>
          <w:p w14:paraId="5689D18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EB6B20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9DB3C6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03A895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5C5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D43C54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top"/>
          </w:tcPr>
          <w:p w14:paraId="1D970DC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碎石路面</w:t>
            </w:r>
          </w:p>
        </w:tc>
        <w:tc>
          <w:tcPr>
            <w:tcW w:w="749" w:type="dxa"/>
            <w:noWrap w:val="0"/>
            <w:vAlign w:val="top"/>
          </w:tcPr>
          <w:p w14:paraId="05C1BAC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D9DCD4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895BAC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DC82FC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086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B4A5D7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202-3</w:t>
            </w:r>
          </w:p>
        </w:tc>
        <w:tc>
          <w:tcPr>
            <w:tcW w:w="4732" w:type="dxa"/>
            <w:noWrap w:val="0"/>
            <w:vAlign w:val="top"/>
          </w:tcPr>
          <w:p w14:paraId="6CAD4AFB">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拆除结构物</w:t>
            </w:r>
          </w:p>
        </w:tc>
        <w:tc>
          <w:tcPr>
            <w:tcW w:w="749" w:type="dxa"/>
            <w:noWrap w:val="0"/>
            <w:vAlign w:val="top"/>
          </w:tcPr>
          <w:p w14:paraId="5974848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F4DA1C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1B7B6F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C5E80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3FD9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5EACE5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0EA7119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钢筋混凝土结构</w:t>
            </w:r>
          </w:p>
        </w:tc>
        <w:tc>
          <w:tcPr>
            <w:tcW w:w="749" w:type="dxa"/>
            <w:noWrap w:val="0"/>
            <w:vAlign w:val="top"/>
          </w:tcPr>
          <w:p w14:paraId="2EA058D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09BC95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E40E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D96C0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2CD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B42632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316BD48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混凝土结构</w:t>
            </w:r>
          </w:p>
        </w:tc>
        <w:tc>
          <w:tcPr>
            <w:tcW w:w="749" w:type="dxa"/>
            <w:noWrap w:val="0"/>
            <w:vAlign w:val="top"/>
          </w:tcPr>
          <w:p w14:paraId="03C7E80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6515FB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14BC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424925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F40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497B07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top"/>
          </w:tcPr>
          <w:p w14:paraId="3168126F">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砖、石及其他砌体结构</w:t>
            </w:r>
          </w:p>
        </w:tc>
        <w:tc>
          <w:tcPr>
            <w:tcW w:w="749" w:type="dxa"/>
            <w:noWrap w:val="0"/>
            <w:vAlign w:val="top"/>
          </w:tcPr>
          <w:p w14:paraId="2D00A8C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978B0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FAFFA2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BE6029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4E5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DC3601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w:t>
            </w:r>
          </w:p>
        </w:tc>
        <w:tc>
          <w:tcPr>
            <w:tcW w:w="4732" w:type="dxa"/>
            <w:noWrap w:val="0"/>
            <w:vAlign w:val="center"/>
          </w:tcPr>
          <w:p w14:paraId="488BDCD5">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金属结构</w:t>
            </w:r>
          </w:p>
        </w:tc>
        <w:tc>
          <w:tcPr>
            <w:tcW w:w="749" w:type="dxa"/>
            <w:noWrap w:val="0"/>
            <w:vAlign w:val="center"/>
          </w:tcPr>
          <w:p w14:paraId="6306E00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27FF345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77EA6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B5138C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81C7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CA45E1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202-4</w:t>
            </w:r>
          </w:p>
        </w:tc>
        <w:tc>
          <w:tcPr>
            <w:tcW w:w="4732" w:type="dxa"/>
            <w:noWrap w:val="0"/>
            <w:vAlign w:val="center"/>
          </w:tcPr>
          <w:p w14:paraId="3815D0FB">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植物移栽</w:t>
            </w:r>
          </w:p>
        </w:tc>
        <w:tc>
          <w:tcPr>
            <w:tcW w:w="749" w:type="dxa"/>
            <w:noWrap w:val="0"/>
            <w:vAlign w:val="center"/>
          </w:tcPr>
          <w:p w14:paraId="4E084F9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434752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B51E30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BA519E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865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7F2E56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42951D0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移栽乔（灌）木</w:t>
            </w:r>
          </w:p>
        </w:tc>
        <w:tc>
          <w:tcPr>
            <w:tcW w:w="749" w:type="dxa"/>
            <w:noWrap w:val="0"/>
            <w:vAlign w:val="center"/>
          </w:tcPr>
          <w:p w14:paraId="0A31CF5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00AD6FC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437D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7E5E58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51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F595D6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center"/>
          </w:tcPr>
          <w:p w14:paraId="01E4F81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移栽草皮</w:t>
            </w:r>
          </w:p>
        </w:tc>
        <w:tc>
          <w:tcPr>
            <w:tcW w:w="749" w:type="dxa"/>
            <w:noWrap w:val="0"/>
            <w:vAlign w:val="center"/>
          </w:tcPr>
          <w:p w14:paraId="2CE86DB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73EC74D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89308A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549D2E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B9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2F6F625">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203</w:t>
            </w:r>
          </w:p>
        </w:tc>
        <w:tc>
          <w:tcPr>
            <w:tcW w:w="4732" w:type="dxa"/>
            <w:noWrap w:val="0"/>
            <w:vAlign w:val="center"/>
          </w:tcPr>
          <w:p w14:paraId="61F2B2D2">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挖方路基</w:t>
            </w:r>
          </w:p>
        </w:tc>
        <w:tc>
          <w:tcPr>
            <w:tcW w:w="749" w:type="dxa"/>
            <w:noWrap w:val="0"/>
            <w:vAlign w:val="top"/>
          </w:tcPr>
          <w:p w14:paraId="693BEE0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E578B2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2B35A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29335D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33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AA4D6C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203-1</w:t>
            </w:r>
          </w:p>
        </w:tc>
        <w:tc>
          <w:tcPr>
            <w:tcW w:w="4732" w:type="dxa"/>
            <w:noWrap w:val="0"/>
            <w:vAlign w:val="top"/>
          </w:tcPr>
          <w:p w14:paraId="7700214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路基挖方</w:t>
            </w:r>
          </w:p>
        </w:tc>
        <w:tc>
          <w:tcPr>
            <w:tcW w:w="749" w:type="dxa"/>
            <w:noWrap w:val="0"/>
            <w:vAlign w:val="top"/>
          </w:tcPr>
          <w:p w14:paraId="05F9243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4C36D5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66B53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D0E506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625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C27806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1512AD8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挖土方</w:t>
            </w:r>
          </w:p>
        </w:tc>
        <w:tc>
          <w:tcPr>
            <w:tcW w:w="749" w:type="dxa"/>
            <w:noWrap w:val="0"/>
            <w:vAlign w:val="top"/>
          </w:tcPr>
          <w:p w14:paraId="01C8549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9BEBB8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F15AE9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7DC9AA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892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9A22EF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3D4C43B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挖石方</w:t>
            </w:r>
          </w:p>
        </w:tc>
        <w:tc>
          <w:tcPr>
            <w:tcW w:w="749" w:type="dxa"/>
            <w:noWrap w:val="0"/>
            <w:vAlign w:val="top"/>
          </w:tcPr>
          <w:p w14:paraId="6C018CE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44B024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2EAA7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921CFE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736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FB81E9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center"/>
          </w:tcPr>
          <w:p w14:paraId="3DA1F9B7">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挖除非适用材料（不含淤泥、岩盐、冻土）</w:t>
            </w:r>
          </w:p>
        </w:tc>
        <w:tc>
          <w:tcPr>
            <w:tcW w:w="749" w:type="dxa"/>
            <w:noWrap w:val="0"/>
            <w:vAlign w:val="top"/>
          </w:tcPr>
          <w:p w14:paraId="2D50C6D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406139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2EF237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919773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389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E6793B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w:t>
            </w:r>
          </w:p>
        </w:tc>
        <w:tc>
          <w:tcPr>
            <w:tcW w:w="4732" w:type="dxa"/>
            <w:noWrap w:val="0"/>
            <w:vAlign w:val="top"/>
          </w:tcPr>
          <w:p w14:paraId="02EC9B7F">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挖淤泥</w:t>
            </w:r>
          </w:p>
        </w:tc>
        <w:tc>
          <w:tcPr>
            <w:tcW w:w="749" w:type="dxa"/>
            <w:noWrap w:val="0"/>
            <w:vAlign w:val="top"/>
          </w:tcPr>
          <w:p w14:paraId="07C212E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7515E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80D513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621ECC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E61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858E33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41B99DDB">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挖岩盐</w:t>
            </w:r>
          </w:p>
        </w:tc>
        <w:tc>
          <w:tcPr>
            <w:tcW w:w="749" w:type="dxa"/>
            <w:noWrap w:val="0"/>
            <w:vAlign w:val="center"/>
          </w:tcPr>
          <w:p w14:paraId="717EB28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4C4F2B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22D48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2A8628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FBD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49A76F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732" w:type="dxa"/>
            <w:noWrap w:val="0"/>
            <w:vAlign w:val="center"/>
          </w:tcPr>
          <w:p w14:paraId="098391FF">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挖冻土</w:t>
            </w:r>
          </w:p>
        </w:tc>
        <w:tc>
          <w:tcPr>
            <w:tcW w:w="749" w:type="dxa"/>
            <w:noWrap w:val="0"/>
            <w:vAlign w:val="center"/>
          </w:tcPr>
          <w:p w14:paraId="214AC27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DA394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840097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9C8681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0B1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5BCA16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203-2</w:t>
            </w:r>
          </w:p>
        </w:tc>
        <w:tc>
          <w:tcPr>
            <w:tcW w:w="4732" w:type="dxa"/>
            <w:noWrap w:val="0"/>
            <w:vAlign w:val="top"/>
          </w:tcPr>
          <w:p w14:paraId="75C8E46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改河、改渠、改路挖方</w:t>
            </w:r>
          </w:p>
        </w:tc>
        <w:tc>
          <w:tcPr>
            <w:tcW w:w="749" w:type="dxa"/>
            <w:noWrap w:val="0"/>
            <w:vAlign w:val="top"/>
          </w:tcPr>
          <w:p w14:paraId="75F0A7E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92C143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F88EE4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45BA47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1EB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B143BF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5DE074B4">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挖土方</w:t>
            </w:r>
          </w:p>
        </w:tc>
        <w:tc>
          <w:tcPr>
            <w:tcW w:w="749" w:type="dxa"/>
            <w:noWrap w:val="0"/>
            <w:vAlign w:val="top"/>
          </w:tcPr>
          <w:p w14:paraId="11427E1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FAEB42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7809DB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CB282E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44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0EED5F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1DECFE5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挖石方</w:t>
            </w:r>
          </w:p>
        </w:tc>
        <w:tc>
          <w:tcPr>
            <w:tcW w:w="749" w:type="dxa"/>
            <w:noWrap w:val="0"/>
            <w:vAlign w:val="top"/>
          </w:tcPr>
          <w:p w14:paraId="418DCD8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5E629F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6CE2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C71843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451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8E6C7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0A291590">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挖除非适用材料（不含淤泥、岩盐、冻土）</w:t>
            </w:r>
          </w:p>
        </w:tc>
        <w:tc>
          <w:tcPr>
            <w:tcW w:w="749" w:type="dxa"/>
            <w:noWrap w:val="0"/>
            <w:vAlign w:val="center"/>
          </w:tcPr>
          <w:p w14:paraId="240D42B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34D029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85E199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B7081C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304F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C86440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0E013E94">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挖淤泥</w:t>
            </w:r>
          </w:p>
        </w:tc>
        <w:tc>
          <w:tcPr>
            <w:tcW w:w="749" w:type="dxa"/>
            <w:noWrap w:val="0"/>
            <w:vAlign w:val="center"/>
          </w:tcPr>
          <w:p w14:paraId="180D37C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9EF54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F5F02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7DB4AC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AFD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bottom w:val="single" w:color="auto" w:sz="4" w:space="0"/>
            </w:tcBorders>
            <w:noWrap w:val="0"/>
            <w:vAlign w:val="center"/>
          </w:tcPr>
          <w:p w14:paraId="5DACF38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tcBorders>
              <w:bottom w:val="single" w:color="auto" w:sz="4" w:space="0"/>
            </w:tcBorders>
            <w:noWrap w:val="0"/>
            <w:vAlign w:val="center"/>
          </w:tcPr>
          <w:p w14:paraId="749C62EA">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挖岩盐</w:t>
            </w:r>
          </w:p>
        </w:tc>
        <w:tc>
          <w:tcPr>
            <w:tcW w:w="749" w:type="dxa"/>
            <w:tcBorders>
              <w:bottom w:val="single" w:color="auto" w:sz="4" w:space="0"/>
            </w:tcBorders>
            <w:noWrap w:val="0"/>
            <w:vAlign w:val="center"/>
          </w:tcPr>
          <w:p w14:paraId="5B625AE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tcBorders>
              <w:bottom w:val="single" w:color="auto" w:sz="4" w:space="0"/>
            </w:tcBorders>
            <w:noWrap w:val="0"/>
            <w:vAlign w:val="center"/>
          </w:tcPr>
          <w:p w14:paraId="1482436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tcBorders>
            <w:noWrap w:val="0"/>
            <w:vAlign w:val="center"/>
          </w:tcPr>
          <w:p w14:paraId="797B8F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right w:val="single" w:color="auto" w:sz="12" w:space="0"/>
            </w:tcBorders>
            <w:noWrap w:val="0"/>
            <w:vAlign w:val="center"/>
          </w:tcPr>
          <w:p w14:paraId="463007D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C91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bottom w:val="single" w:color="auto" w:sz="4" w:space="0"/>
            </w:tcBorders>
            <w:noWrap w:val="0"/>
            <w:vAlign w:val="center"/>
          </w:tcPr>
          <w:p w14:paraId="24CFA6A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732" w:type="dxa"/>
            <w:tcBorders>
              <w:bottom w:val="single" w:color="auto" w:sz="4" w:space="0"/>
            </w:tcBorders>
            <w:noWrap w:val="0"/>
            <w:vAlign w:val="center"/>
          </w:tcPr>
          <w:p w14:paraId="6A707DD7">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挖冻土</w:t>
            </w:r>
          </w:p>
        </w:tc>
        <w:tc>
          <w:tcPr>
            <w:tcW w:w="749" w:type="dxa"/>
            <w:tcBorders>
              <w:bottom w:val="single" w:color="auto" w:sz="4" w:space="0"/>
            </w:tcBorders>
            <w:noWrap w:val="0"/>
            <w:vAlign w:val="center"/>
          </w:tcPr>
          <w:p w14:paraId="7D60786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tcBorders>
              <w:bottom w:val="single" w:color="auto" w:sz="4" w:space="0"/>
            </w:tcBorders>
            <w:noWrap w:val="0"/>
            <w:vAlign w:val="center"/>
          </w:tcPr>
          <w:p w14:paraId="52024A7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tcBorders>
            <w:noWrap w:val="0"/>
            <w:vAlign w:val="center"/>
          </w:tcPr>
          <w:p w14:paraId="77DB458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right w:val="single" w:color="auto" w:sz="12" w:space="0"/>
            </w:tcBorders>
            <w:noWrap w:val="0"/>
            <w:vAlign w:val="center"/>
          </w:tcPr>
          <w:p w14:paraId="182B2047">
            <w:pPr>
              <w:pageBreakBefore w:val="0"/>
              <w:kinsoku/>
              <w:wordWrap w:val="0"/>
              <w:bidi w:val="0"/>
              <w:spacing w:line="360" w:lineRule="atLeast"/>
              <w:jc w:val="center"/>
              <w:rPr>
                <w:rFonts w:hint="default" w:ascii="Times New Roman" w:hAnsi="Times New Roman" w:cs="Times New Roman"/>
                <w:color w:val="auto"/>
                <w:szCs w:val="21"/>
                <w:highlight w:val="none"/>
              </w:rPr>
            </w:pPr>
          </w:p>
        </w:tc>
      </w:tr>
    </w:tbl>
    <w:p w14:paraId="379F76F8">
      <w:pPr>
        <w:pageBreakBefore w:val="0"/>
        <w:kinsoku/>
        <w:wordWrap w:val="0"/>
        <w:bidi w:val="0"/>
        <w:rPr>
          <w:rFonts w:hint="default" w:ascii="Times New Roman" w:hAnsi="Times New Roman" w:cs="Times New Roman"/>
          <w:color w:val="auto"/>
          <w:sz w:val="10"/>
          <w:szCs w:val="10"/>
          <w:highlight w:val="none"/>
        </w:rPr>
      </w:pPr>
      <w:r>
        <w:rPr>
          <w:rFonts w:hint="default" w:ascii="Times New Roman" w:hAnsi="Times New Roman" w:cs="Times New Roman"/>
          <w:color w:val="auto"/>
          <w:highlight w:val="none"/>
        </w:rPr>
        <w:br w:type="page"/>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32"/>
        <w:gridCol w:w="749"/>
        <w:gridCol w:w="837"/>
        <w:gridCol w:w="837"/>
        <w:gridCol w:w="837"/>
      </w:tblGrid>
      <w:tr w14:paraId="7B96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620E6B44">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第200章   路  基</w:t>
            </w:r>
          </w:p>
        </w:tc>
      </w:tr>
      <w:tr w14:paraId="6948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top"/>
          </w:tcPr>
          <w:p w14:paraId="7322E1CD">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top"/>
          </w:tcPr>
          <w:p w14:paraId="6B8EA0E0">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top"/>
          </w:tcPr>
          <w:p w14:paraId="2A473A65">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79E538D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2EC8813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705B54A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024F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EB8F68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204</w:t>
            </w:r>
          </w:p>
        </w:tc>
        <w:tc>
          <w:tcPr>
            <w:tcW w:w="4732" w:type="dxa"/>
            <w:noWrap w:val="0"/>
            <w:vAlign w:val="center"/>
          </w:tcPr>
          <w:p w14:paraId="7FF13D60">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填方路基</w:t>
            </w:r>
          </w:p>
        </w:tc>
        <w:tc>
          <w:tcPr>
            <w:tcW w:w="749" w:type="dxa"/>
            <w:noWrap w:val="0"/>
            <w:vAlign w:val="top"/>
          </w:tcPr>
          <w:p w14:paraId="71F4CB3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DAF159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FD4DF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16F26E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EAFA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DDE302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204-1</w:t>
            </w:r>
          </w:p>
        </w:tc>
        <w:tc>
          <w:tcPr>
            <w:tcW w:w="4732" w:type="dxa"/>
            <w:noWrap w:val="0"/>
            <w:vAlign w:val="top"/>
          </w:tcPr>
          <w:p w14:paraId="360B244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路基填筑（包括填前压实）</w:t>
            </w:r>
          </w:p>
        </w:tc>
        <w:tc>
          <w:tcPr>
            <w:tcW w:w="749" w:type="dxa"/>
            <w:noWrap w:val="0"/>
            <w:vAlign w:val="top"/>
          </w:tcPr>
          <w:p w14:paraId="44F6E00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B16419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B3A1BE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536E00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FD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E64009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3DD1A3B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利用土方</w:t>
            </w:r>
          </w:p>
        </w:tc>
        <w:tc>
          <w:tcPr>
            <w:tcW w:w="749" w:type="dxa"/>
            <w:noWrap w:val="0"/>
            <w:vAlign w:val="center"/>
          </w:tcPr>
          <w:p w14:paraId="703127B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41DB34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E2B92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9E2BB4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DE9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B828FB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center"/>
          </w:tcPr>
          <w:p w14:paraId="61E3C2C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利用石方</w:t>
            </w:r>
          </w:p>
        </w:tc>
        <w:tc>
          <w:tcPr>
            <w:tcW w:w="749" w:type="dxa"/>
            <w:noWrap w:val="0"/>
            <w:vAlign w:val="center"/>
          </w:tcPr>
          <w:p w14:paraId="0D5961F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E6D669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BCEF1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38EF5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198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3EDB298">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center"/>
          </w:tcPr>
          <w:p w14:paraId="48A15EE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利用土石混填</w:t>
            </w:r>
          </w:p>
        </w:tc>
        <w:tc>
          <w:tcPr>
            <w:tcW w:w="749" w:type="dxa"/>
            <w:noWrap w:val="0"/>
            <w:vAlign w:val="center"/>
          </w:tcPr>
          <w:p w14:paraId="3A0877C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4C1903A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0C8DFA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F401D8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195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CF84F9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22D2A07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借土填方</w:t>
            </w:r>
          </w:p>
        </w:tc>
        <w:tc>
          <w:tcPr>
            <w:tcW w:w="749" w:type="dxa"/>
            <w:noWrap w:val="0"/>
            <w:vAlign w:val="center"/>
          </w:tcPr>
          <w:p w14:paraId="5F38141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D30377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CA07ED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6DCC70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650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35F9FC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32CC6F21">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粉煤灰及矿渣路堤</w:t>
            </w:r>
          </w:p>
        </w:tc>
        <w:tc>
          <w:tcPr>
            <w:tcW w:w="749" w:type="dxa"/>
            <w:noWrap w:val="0"/>
            <w:vAlign w:val="center"/>
          </w:tcPr>
          <w:p w14:paraId="4993564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328816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086DE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092CD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F78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404770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-f</w:t>
            </w:r>
          </w:p>
        </w:tc>
        <w:tc>
          <w:tcPr>
            <w:tcW w:w="4732" w:type="dxa"/>
            <w:noWrap w:val="0"/>
            <w:vAlign w:val="center"/>
          </w:tcPr>
          <w:p w14:paraId="012E8D8C">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吹填砂路堤</w:t>
            </w:r>
          </w:p>
        </w:tc>
        <w:tc>
          <w:tcPr>
            <w:tcW w:w="749" w:type="dxa"/>
            <w:noWrap w:val="0"/>
            <w:vAlign w:val="center"/>
          </w:tcPr>
          <w:p w14:paraId="3AECD47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2C12F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A206E2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A680B5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25CA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29933D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-g</w:t>
            </w:r>
          </w:p>
        </w:tc>
        <w:tc>
          <w:tcPr>
            <w:tcW w:w="4732" w:type="dxa"/>
            <w:noWrap w:val="0"/>
            <w:vAlign w:val="center"/>
          </w:tcPr>
          <w:p w14:paraId="55CAE3E0">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EPS路堤</w:t>
            </w:r>
          </w:p>
        </w:tc>
        <w:tc>
          <w:tcPr>
            <w:tcW w:w="749" w:type="dxa"/>
            <w:noWrap w:val="0"/>
            <w:vAlign w:val="center"/>
          </w:tcPr>
          <w:p w14:paraId="259957E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7B7AAD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A12E6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E8CFF7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79C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A435C5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-h</w:t>
            </w:r>
          </w:p>
        </w:tc>
        <w:tc>
          <w:tcPr>
            <w:tcW w:w="4732" w:type="dxa"/>
            <w:noWrap w:val="0"/>
            <w:vAlign w:val="center"/>
          </w:tcPr>
          <w:p w14:paraId="0A31C32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结构物台背回填</w:t>
            </w:r>
          </w:p>
        </w:tc>
        <w:tc>
          <w:tcPr>
            <w:tcW w:w="749" w:type="dxa"/>
            <w:noWrap w:val="0"/>
            <w:vAlign w:val="center"/>
          </w:tcPr>
          <w:p w14:paraId="67698B2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97CD1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5716F1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ABC94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DD7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EA9E76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-i</w:t>
            </w:r>
          </w:p>
        </w:tc>
        <w:tc>
          <w:tcPr>
            <w:tcW w:w="4732" w:type="dxa"/>
            <w:noWrap w:val="0"/>
            <w:vAlign w:val="center"/>
          </w:tcPr>
          <w:p w14:paraId="5E27999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锥坡及台前溜坡填土</w:t>
            </w:r>
          </w:p>
        </w:tc>
        <w:tc>
          <w:tcPr>
            <w:tcW w:w="749" w:type="dxa"/>
            <w:noWrap w:val="0"/>
            <w:vAlign w:val="center"/>
          </w:tcPr>
          <w:p w14:paraId="7C1BD26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BD8B91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7ED3CA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9CB7D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7F1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FD214E9">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204-2</w:t>
            </w:r>
          </w:p>
        </w:tc>
        <w:tc>
          <w:tcPr>
            <w:tcW w:w="4732" w:type="dxa"/>
            <w:noWrap w:val="0"/>
            <w:vAlign w:val="top"/>
          </w:tcPr>
          <w:p w14:paraId="6344480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改河、改渠、改路填筑</w:t>
            </w:r>
          </w:p>
        </w:tc>
        <w:tc>
          <w:tcPr>
            <w:tcW w:w="749" w:type="dxa"/>
            <w:noWrap w:val="0"/>
            <w:vAlign w:val="top"/>
          </w:tcPr>
          <w:p w14:paraId="32569F19">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18FD4E1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21CAC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A50B8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5B4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A1104A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2A71CB2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利用土方</w:t>
            </w:r>
          </w:p>
        </w:tc>
        <w:tc>
          <w:tcPr>
            <w:tcW w:w="749" w:type="dxa"/>
            <w:noWrap w:val="0"/>
            <w:vAlign w:val="top"/>
          </w:tcPr>
          <w:p w14:paraId="0A49B7D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D10371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34FB6D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C487BD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695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D88535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3919144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利用石方</w:t>
            </w:r>
          </w:p>
        </w:tc>
        <w:tc>
          <w:tcPr>
            <w:tcW w:w="749" w:type="dxa"/>
            <w:noWrap w:val="0"/>
            <w:vAlign w:val="top"/>
          </w:tcPr>
          <w:p w14:paraId="332586C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BE075E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FB3168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4A026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F5A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4BE690">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center"/>
          </w:tcPr>
          <w:p w14:paraId="052E064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利用土石混填</w:t>
            </w:r>
          </w:p>
        </w:tc>
        <w:tc>
          <w:tcPr>
            <w:tcW w:w="749" w:type="dxa"/>
            <w:noWrap w:val="0"/>
            <w:vAlign w:val="center"/>
          </w:tcPr>
          <w:p w14:paraId="3D0FD1C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5BEB35E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5C6B58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C1D63A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70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059F0B8">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3C8676F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借土填方</w:t>
            </w:r>
          </w:p>
        </w:tc>
        <w:tc>
          <w:tcPr>
            <w:tcW w:w="749" w:type="dxa"/>
            <w:noWrap w:val="0"/>
            <w:vAlign w:val="center"/>
          </w:tcPr>
          <w:p w14:paraId="68FA657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8AD49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1505F8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B22299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B2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E42D06">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205</w:t>
            </w:r>
          </w:p>
        </w:tc>
        <w:tc>
          <w:tcPr>
            <w:tcW w:w="4732" w:type="dxa"/>
            <w:noWrap w:val="0"/>
            <w:vAlign w:val="center"/>
          </w:tcPr>
          <w:p w14:paraId="1177426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特殊地区路基处理</w:t>
            </w:r>
          </w:p>
        </w:tc>
        <w:tc>
          <w:tcPr>
            <w:tcW w:w="749" w:type="dxa"/>
            <w:noWrap w:val="0"/>
            <w:vAlign w:val="top"/>
          </w:tcPr>
          <w:p w14:paraId="7A4CE12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084B2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0FBD8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744435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149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4163B52">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205-1</w:t>
            </w:r>
          </w:p>
        </w:tc>
        <w:tc>
          <w:tcPr>
            <w:tcW w:w="4732" w:type="dxa"/>
            <w:noWrap w:val="0"/>
            <w:vAlign w:val="top"/>
          </w:tcPr>
          <w:p w14:paraId="6367449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软土路基处理</w:t>
            </w:r>
          </w:p>
        </w:tc>
        <w:tc>
          <w:tcPr>
            <w:tcW w:w="749" w:type="dxa"/>
            <w:noWrap w:val="0"/>
            <w:vAlign w:val="top"/>
          </w:tcPr>
          <w:p w14:paraId="1E0FE836">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723D6F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DE70C3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8EE28A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CB60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4C283C">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007175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抛石挤淤</w:t>
            </w:r>
          </w:p>
        </w:tc>
        <w:tc>
          <w:tcPr>
            <w:tcW w:w="749" w:type="dxa"/>
            <w:noWrap w:val="0"/>
            <w:vAlign w:val="center"/>
          </w:tcPr>
          <w:p w14:paraId="444D33A6">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FFC50D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4874CC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6FA05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D38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D4A8D29">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06F35DDF">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爆炸挤淤</w:t>
            </w:r>
          </w:p>
        </w:tc>
        <w:tc>
          <w:tcPr>
            <w:tcW w:w="749" w:type="dxa"/>
            <w:noWrap w:val="0"/>
            <w:vAlign w:val="center"/>
          </w:tcPr>
          <w:p w14:paraId="08D5BF27">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7D391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B2AEA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ED108C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A595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7E918B4">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2D96E3B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垫层</w:t>
            </w:r>
          </w:p>
        </w:tc>
        <w:tc>
          <w:tcPr>
            <w:tcW w:w="749" w:type="dxa"/>
            <w:noWrap w:val="0"/>
            <w:vAlign w:val="center"/>
          </w:tcPr>
          <w:p w14:paraId="46EE1CEC">
            <w:pPr>
              <w:pageBreakBefore w:val="0"/>
              <w:widowControl/>
              <w:kinsoku/>
              <w:wordWrap w:val="0"/>
              <w:bidi w:val="0"/>
              <w:jc w:val="center"/>
              <w:rPr>
                <w:rFonts w:hint="default" w:ascii="Times New Roman" w:hAnsi="Times New Roman" w:cs="Times New Roman"/>
                <w:color w:val="auto"/>
                <w:kern w:val="0"/>
                <w:szCs w:val="21"/>
                <w:highlight w:val="none"/>
              </w:rPr>
            </w:pPr>
          </w:p>
        </w:tc>
        <w:tc>
          <w:tcPr>
            <w:tcW w:w="837" w:type="dxa"/>
            <w:noWrap w:val="0"/>
            <w:vAlign w:val="center"/>
          </w:tcPr>
          <w:p w14:paraId="001924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7FD62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B4654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8B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161B1C4">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-c-1</w:t>
            </w:r>
          </w:p>
        </w:tc>
        <w:tc>
          <w:tcPr>
            <w:tcW w:w="4732" w:type="dxa"/>
            <w:noWrap w:val="0"/>
            <w:vAlign w:val="center"/>
          </w:tcPr>
          <w:p w14:paraId="62D895CF">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砂垫层</w:t>
            </w:r>
          </w:p>
        </w:tc>
        <w:tc>
          <w:tcPr>
            <w:tcW w:w="749" w:type="dxa"/>
            <w:noWrap w:val="0"/>
            <w:vAlign w:val="center"/>
          </w:tcPr>
          <w:p w14:paraId="1FF90556">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2CFC2E2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41EB7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805432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24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AD7EE44">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-c-2</w:t>
            </w:r>
          </w:p>
        </w:tc>
        <w:tc>
          <w:tcPr>
            <w:tcW w:w="4732" w:type="dxa"/>
            <w:noWrap w:val="0"/>
            <w:vAlign w:val="center"/>
          </w:tcPr>
          <w:p w14:paraId="3D6C286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砂砾垫层</w:t>
            </w:r>
          </w:p>
        </w:tc>
        <w:tc>
          <w:tcPr>
            <w:tcW w:w="749" w:type="dxa"/>
            <w:noWrap w:val="0"/>
            <w:vAlign w:val="center"/>
          </w:tcPr>
          <w:p w14:paraId="6E809B5E">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5CE8BC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59D3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60F6B0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C11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81A6EE9">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-c-3</w:t>
            </w:r>
          </w:p>
        </w:tc>
        <w:tc>
          <w:tcPr>
            <w:tcW w:w="4732" w:type="dxa"/>
            <w:noWrap w:val="0"/>
            <w:vAlign w:val="center"/>
          </w:tcPr>
          <w:p w14:paraId="2DD24DA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碎石垫层</w:t>
            </w:r>
          </w:p>
        </w:tc>
        <w:tc>
          <w:tcPr>
            <w:tcW w:w="749" w:type="dxa"/>
            <w:noWrap w:val="0"/>
            <w:vAlign w:val="center"/>
          </w:tcPr>
          <w:p w14:paraId="65FCA073">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CA113A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048A43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7FAA0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39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DA2444C">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-c-4</w:t>
            </w:r>
          </w:p>
        </w:tc>
        <w:tc>
          <w:tcPr>
            <w:tcW w:w="4732" w:type="dxa"/>
            <w:noWrap w:val="0"/>
            <w:vAlign w:val="center"/>
          </w:tcPr>
          <w:p w14:paraId="5692F00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碎石土垫层</w:t>
            </w:r>
          </w:p>
        </w:tc>
        <w:tc>
          <w:tcPr>
            <w:tcW w:w="749" w:type="dxa"/>
            <w:noWrap w:val="0"/>
            <w:vAlign w:val="center"/>
          </w:tcPr>
          <w:p w14:paraId="131180CC">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E7D19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072AF8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AB63C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38D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96D8189">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-c-5</w:t>
            </w:r>
          </w:p>
        </w:tc>
        <w:tc>
          <w:tcPr>
            <w:tcW w:w="4732" w:type="dxa"/>
            <w:noWrap w:val="0"/>
            <w:vAlign w:val="center"/>
          </w:tcPr>
          <w:p w14:paraId="3884B86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灰土垫层</w:t>
            </w:r>
          </w:p>
        </w:tc>
        <w:tc>
          <w:tcPr>
            <w:tcW w:w="749" w:type="dxa"/>
            <w:noWrap w:val="0"/>
            <w:vAlign w:val="center"/>
          </w:tcPr>
          <w:p w14:paraId="660FADC5">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EB9CC8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1FCB04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FDC38A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592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1AB19F">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5DC350D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土工合成材料</w:t>
            </w:r>
          </w:p>
        </w:tc>
        <w:tc>
          <w:tcPr>
            <w:tcW w:w="749" w:type="dxa"/>
            <w:noWrap w:val="0"/>
            <w:vAlign w:val="center"/>
          </w:tcPr>
          <w:p w14:paraId="1B7BF513">
            <w:pPr>
              <w:pageBreakBefore w:val="0"/>
              <w:widowControl/>
              <w:kinsoku/>
              <w:wordWrap w:val="0"/>
              <w:bidi w:val="0"/>
              <w:jc w:val="center"/>
              <w:rPr>
                <w:rFonts w:hint="default" w:ascii="Times New Roman" w:hAnsi="Times New Roman" w:cs="Times New Roman"/>
                <w:color w:val="auto"/>
                <w:kern w:val="0"/>
                <w:szCs w:val="21"/>
                <w:highlight w:val="none"/>
              </w:rPr>
            </w:pPr>
          </w:p>
        </w:tc>
        <w:tc>
          <w:tcPr>
            <w:tcW w:w="837" w:type="dxa"/>
            <w:noWrap w:val="0"/>
            <w:vAlign w:val="center"/>
          </w:tcPr>
          <w:p w14:paraId="2A10B16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160E7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435FF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BE75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60F2976">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-d-1</w:t>
            </w:r>
          </w:p>
        </w:tc>
        <w:tc>
          <w:tcPr>
            <w:tcW w:w="4732" w:type="dxa"/>
            <w:noWrap w:val="0"/>
            <w:vAlign w:val="center"/>
          </w:tcPr>
          <w:p w14:paraId="78728CD4">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反滤土工布</w:t>
            </w:r>
          </w:p>
        </w:tc>
        <w:tc>
          <w:tcPr>
            <w:tcW w:w="749" w:type="dxa"/>
            <w:noWrap w:val="0"/>
            <w:vAlign w:val="center"/>
          </w:tcPr>
          <w:p w14:paraId="4D56341B">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75CE5D4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F501E4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0A6595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AF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D418DD">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-d-2</w:t>
            </w:r>
          </w:p>
        </w:tc>
        <w:tc>
          <w:tcPr>
            <w:tcW w:w="4732" w:type="dxa"/>
            <w:noWrap w:val="0"/>
            <w:vAlign w:val="center"/>
          </w:tcPr>
          <w:p w14:paraId="52D1FC4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防渗土工膜</w:t>
            </w:r>
          </w:p>
        </w:tc>
        <w:tc>
          <w:tcPr>
            <w:tcW w:w="749" w:type="dxa"/>
            <w:noWrap w:val="0"/>
            <w:vAlign w:val="center"/>
          </w:tcPr>
          <w:p w14:paraId="6F538DD9">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0838C35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642998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1FBABB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D18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0671793">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-d-3</w:t>
            </w:r>
          </w:p>
        </w:tc>
        <w:tc>
          <w:tcPr>
            <w:tcW w:w="4732" w:type="dxa"/>
            <w:noWrap w:val="0"/>
            <w:vAlign w:val="center"/>
          </w:tcPr>
          <w:p w14:paraId="3377D15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土工格栅</w:t>
            </w:r>
          </w:p>
        </w:tc>
        <w:tc>
          <w:tcPr>
            <w:tcW w:w="749" w:type="dxa"/>
            <w:noWrap w:val="0"/>
            <w:vAlign w:val="center"/>
          </w:tcPr>
          <w:p w14:paraId="429F3935">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71FACA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607AA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31EFC6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BE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bottom w:val="single" w:color="auto" w:sz="4" w:space="0"/>
            </w:tcBorders>
            <w:noWrap w:val="0"/>
            <w:vAlign w:val="center"/>
          </w:tcPr>
          <w:p w14:paraId="49CBB201">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-d-4</w:t>
            </w:r>
          </w:p>
        </w:tc>
        <w:tc>
          <w:tcPr>
            <w:tcW w:w="4732" w:type="dxa"/>
            <w:tcBorders>
              <w:bottom w:val="single" w:color="auto" w:sz="4" w:space="0"/>
            </w:tcBorders>
            <w:noWrap w:val="0"/>
            <w:vAlign w:val="center"/>
          </w:tcPr>
          <w:p w14:paraId="2788E7CB">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土工格室</w:t>
            </w:r>
          </w:p>
        </w:tc>
        <w:tc>
          <w:tcPr>
            <w:tcW w:w="749" w:type="dxa"/>
            <w:tcBorders>
              <w:bottom w:val="single" w:color="auto" w:sz="4" w:space="0"/>
            </w:tcBorders>
            <w:noWrap w:val="0"/>
            <w:vAlign w:val="center"/>
          </w:tcPr>
          <w:p w14:paraId="61D052F5">
            <w:pPr>
              <w:pageBreakBefore w:val="0"/>
              <w:widowControl/>
              <w:kinsoku/>
              <w:wordWrap w:val="0"/>
              <w:bidi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tcBorders>
              <w:bottom w:val="single" w:color="auto" w:sz="4" w:space="0"/>
            </w:tcBorders>
            <w:noWrap w:val="0"/>
            <w:vAlign w:val="center"/>
          </w:tcPr>
          <w:p w14:paraId="698C0DB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tcBorders>
            <w:noWrap w:val="0"/>
            <w:vAlign w:val="center"/>
          </w:tcPr>
          <w:p w14:paraId="118FE1B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right w:val="single" w:color="auto" w:sz="12" w:space="0"/>
            </w:tcBorders>
            <w:noWrap w:val="0"/>
            <w:vAlign w:val="center"/>
          </w:tcPr>
          <w:p w14:paraId="0F39CC9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AEA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bottom w:val="single" w:color="auto" w:sz="4" w:space="0"/>
            </w:tcBorders>
            <w:noWrap w:val="0"/>
            <w:vAlign w:val="center"/>
          </w:tcPr>
          <w:p w14:paraId="546A173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tcBorders>
              <w:bottom w:val="single" w:color="auto" w:sz="4" w:space="0"/>
            </w:tcBorders>
            <w:noWrap w:val="0"/>
            <w:vAlign w:val="center"/>
          </w:tcPr>
          <w:p w14:paraId="5F2F511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预压与超载预压</w:t>
            </w:r>
          </w:p>
        </w:tc>
        <w:tc>
          <w:tcPr>
            <w:tcW w:w="749" w:type="dxa"/>
            <w:tcBorders>
              <w:bottom w:val="single" w:color="auto" w:sz="4" w:space="0"/>
            </w:tcBorders>
            <w:noWrap w:val="0"/>
            <w:vAlign w:val="center"/>
          </w:tcPr>
          <w:p w14:paraId="0A1DF16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tcBorders>
              <w:bottom w:val="single" w:color="auto" w:sz="4" w:space="0"/>
            </w:tcBorders>
            <w:noWrap w:val="0"/>
            <w:vAlign w:val="center"/>
          </w:tcPr>
          <w:p w14:paraId="3C8939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tcBorders>
            <w:noWrap w:val="0"/>
            <w:vAlign w:val="center"/>
          </w:tcPr>
          <w:p w14:paraId="0A168ED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bottom w:val="single" w:color="auto" w:sz="4" w:space="0"/>
              <w:right w:val="single" w:color="auto" w:sz="12" w:space="0"/>
            </w:tcBorders>
            <w:noWrap w:val="0"/>
            <w:vAlign w:val="center"/>
          </w:tcPr>
          <w:p w14:paraId="79F8733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63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tcBorders>
            <w:noWrap w:val="0"/>
            <w:vAlign w:val="center"/>
          </w:tcPr>
          <w:p w14:paraId="1F26353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-e-1</w:t>
            </w:r>
          </w:p>
        </w:tc>
        <w:tc>
          <w:tcPr>
            <w:tcW w:w="4732" w:type="dxa"/>
            <w:tcBorders>
              <w:top w:val="single" w:color="auto" w:sz="4" w:space="0"/>
            </w:tcBorders>
            <w:noWrap w:val="0"/>
            <w:vAlign w:val="center"/>
          </w:tcPr>
          <w:p w14:paraId="7145643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真空预压</w:t>
            </w:r>
          </w:p>
        </w:tc>
        <w:tc>
          <w:tcPr>
            <w:tcW w:w="749" w:type="dxa"/>
            <w:tcBorders>
              <w:top w:val="single" w:color="auto" w:sz="4" w:space="0"/>
            </w:tcBorders>
            <w:noWrap w:val="0"/>
            <w:vAlign w:val="center"/>
          </w:tcPr>
          <w:p w14:paraId="0C785DF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tcBorders>
              <w:top w:val="single" w:color="auto" w:sz="4" w:space="0"/>
            </w:tcBorders>
            <w:noWrap w:val="0"/>
            <w:vAlign w:val="center"/>
          </w:tcPr>
          <w:p w14:paraId="2D2A9EF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tcBorders>
            <w:noWrap w:val="0"/>
            <w:vAlign w:val="center"/>
          </w:tcPr>
          <w:p w14:paraId="1FEEF4D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right w:val="single" w:color="auto" w:sz="12" w:space="0"/>
            </w:tcBorders>
            <w:noWrap w:val="0"/>
            <w:vAlign w:val="center"/>
          </w:tcPr>
          <w:p w14:paraId="4A98B6B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BF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B123CF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-e-2</w:t>
            </w:r>
          </w:p>
        </w:tc>
        <w:tc>
          <w:tcPr>
            <w:tcW w:w="4732" w:type="dxa"/>
            <w:noWrap w:val="0"/>
            <w:vAlign w:val="center"/>
          </w:tcPr>
          <w:p w14:paraId="6244D032">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超载预压</w:t>
            </w:r>
          </w:p>
        </w:tc>
        <w:tc>
          <w:tcPr>
            <w:tcW w:w="749" w:type="dxa"/>
            <w:noWrap w:val="0"/>
            <w:vAlign w:val="center"/>
          </w:tcPr>
          <w:p w14:paraId="3F0D447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D6F4D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BED51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441AB1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46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E94C8C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732" w:type="dxa"/>
            <w:noWrap w:val="0"/>
            <w:vAlign w:val="center"/>
          </w:tcPr>
          <w:p w14:paraId="21AF051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袋装砂井</w:t>
            </w:r>
          </w:p>
        </w:tc>
        <w:tc>
          <w:tcPr>
            <w:tcW w:w="749" w:type="dxa"/>
            <w:noWrap w:val="0"/>
            <w:vAlign w:val="center"/>
          </w:tcPr>
          <w:p w14:paraId="25417E6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55B5ED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6B10D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FE3A6A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146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4068A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w:t>
            </w:r>
          </w:p>
        </w:tc>
        <w:tc>
          <w:tcPr>
            <w:tcW w:w="4732" w:type="dxa"/>
            <w:noWrap w:val="0"/>
            <w:vAlign w:val="center"/>
          </w:tcPr>
          <w:p w14:paraId="7893857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塑料排水板</w:t>
            </w:r>
          </w:p>
        </w:tc>
        <w:tc>
          <w:tcPr>
            <w:tcW w:w="749" w:type="dxa"/>
            <w:noWrap w:val="0"/>
            <w:vAlign w:val="center"/>
          </w:tcPr>
          <w:p w14:paraId="1461CD4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3C129AA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AC09B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AB2F7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34A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66B97E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w:t>
            </w:r>
          </w:p>
        </w:tc>
        <w:tc>
          <w:tcPr>
            <w:tcW w:w="4732" w:type="dxa"/>
            <w:noWrap w:val="0"/>
            <w:vAlign w:val="center"/>
          </w:tcPr>
          <w:p w14:paraId="70E233C2">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粒料桩</w:t>
            </w:r>
          </w:p>
        </w:tc>
        <w:tc>
          <w:tcPr>
            <w:tcW w:w="749" w:type="dxa"/>
            <w:noWrap w:val="0"/>
            <w:vAlign w:val="center"/>
          </w:tcPr>
          <w:p w14:paraId="54640B4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4690C50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A2715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BF4FBF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4F1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B7B8D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-h-1</w:t>
            </w:r>
          </w:p>
        </w:tc>
        <w:tc>
          <w:tcPr>
            <w:tcW w:w="4732" w:type="dxa"/>
            <w:noWrap w:val="0"/>
            <w:vAlign w:val="center"/>
          </w:tcPr>
          <w:p w14:paraId="52765DB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砂桩</w:t>
            </w:r>
          </w:p>
        </w:tc>
        <w:tc>
          <w:tcPr>
            <w:tcW w:w="749" w:type="dxa"/>
            <w:noWrap w:val="0"/>
            <w:vAlign w:val="center"/>
          </w:tcPr>
          <w:p w14:paraId="5006D53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94AB64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113F4B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7E7DE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B71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DACEF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-h-2</w:t>
            </w:r>
          </w:p>
        </w:tc>
        <w:tc>
          <w:tcPr>
            <w:tcW w:w="4732" w:type="dxa"/>
            <w:noWrap w:val="0"/>
            <w:vAlign w:val="center"/>
          </w:tcPr>
          <w:p w14:paraId="373F979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碎石桩</w:t>
            </w:r>
          </w:p>
        </w:tc>
        <w:tc>
          <w:tcPr>
            <w:tcW w:w="749" w:type="dxa"/>
            <w:noWrap w:val="0"/>
            <w:vAlign w:val="center"/>
          </w:tcPr>
          <w:p w14:paraId="12602DB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8D0D4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B7B34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AEF88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08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D60643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-i</w:t>
            </w:r>
          </w:p>
        </w:tc>
        <w:tc>
          <w:tcPr>
            <w:tcW w:w="4732" w:type="dxa"/>
            <w:noWrap w:val="0"/>
            <w:vAlign w:val="center"/>
          </w:tcPr>
          <w:p w14:paraId="1959A426">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加固土桩</w:t>
            </w:r>
          </w:p>
        </w:tc>
        <w:tc>
          <w:tcPr>
            <w:tcW w:w="749" w:type="dxa"/>
            <w:noWrap w:val="0"/>
            <w:vAlign w:val="center"/>
          </w:tcPr>
          <w:p w14:paraId="64F8AF5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B2E3D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179C15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82BF16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F983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C68E55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-i-1</w:t>
            </w:r>
          </w:p>
        </w:tc>
        <w:tc>
          <w:tcPr>
            <w:tcW w:w="4732" w:type="dxa"/>
            <w:noWrap w:val="0"/>
            <w:vAlign w:val="center"/>
          </w:tcPr>
          <w:p w14:paraId="05C2986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粉喷桩</w:t>
            </w:r>
          </w:p>
        </w:tc>
        <w:tc>
          <w:tcPr>
            <w:tcW w:w="749" w:type="dxa"/>
            <w:noWrap w:val="0"/>
            <w:vAlign w:val="center"/>
          </w:tcPr>
          <w:p w14:paraId="657DDC6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39AA0E3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80B2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660553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C90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28C3E1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-i-2</w:t>
            </w:r>
          </w:p>
        </w:tc>
        <w:tc>
          <w:tcPr>
            <w:tcW w:w="4732" w:type="dxa"/>
            <w:noWrap w:val="0"/>
            <w:vAlign w:val="center"/>
          </w:tcPr>
          <w:p w14:paraId="7D11FAF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浆喷桩</w:t>
            </w:r>
          </w:p>
        </w:tc>
        <w:tc>
          <w:tcPr>
            <w:tcW w:w="749" w:type="dxa"/>
            <w:noWrap w:val="0"/>
            <w:vAlign w:val="center"/>
          </w:tcPr>
          <w:p w14:paraId="1B9CD30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63F4B99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213417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21A0DD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F74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FAEA37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-j</w:t>
            </w:r>
          </w:p>
        </w:tc>
        <w:tc>
          <w:tcPr>
            <w:tcW w:w="4732" w:type="dxa"/>
            <w:noWrap w:val="0"/>
            <w:vAlign w:val="center"/>
          </w:tcPr>
          <w:p w14:paraId="53D3FF8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CFG桩</w:t>
            </w:r>
          </w:p>
        </w:tc>
        <w:tc>
          <w:tcPr>
            <w:tcW w:w="749" w:type="dxa"/>
            <w:noWrap w:val="0"/>
            <w:vAlign w:val="center"/>
          </w:tcPr>
          <w:p w14:paraId="5A6DCE3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1BF4116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40C924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B979D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68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319995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w:t>
            </w:r>
          </w:p>
        </w:tc>
        <w:tc>
          <w:tcPr>
            <w:tcW w:w="4732" w:type="dxa"/>
            <w:noWrap w:val="0"/>
            <w:vAlign w:val="center"/>
          </w:tcPr>
          <w:p w14:paraId="1687A9E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Y形沉管灌注桩</w:t>
            </w:r>
          </w:p>
        </w:tc>
        <w:tc>
          <w:tcPr>
            <w:tcW w:w="749" w:type="dxa"/>
            <w:noWrap w:val="0"/>
            <w:vAlign w:val="center"/>
          </w:tcPr>
          <w:p w14:paraId="540A60E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59A089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EA616F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FA11D1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A5C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3092FD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-l</w:t>
            </w:r>
          </w:p>
        </w:tc>
        <w:tc>
          <w:tcPr>
            <w:tcW w:w="4732" w:type="dxa"/>
            <w:noWrap w:val="0"/>
            <w:vAlign w:val="center"/>
          </w:tcPr>
          <w:p w14:paraId="28892D1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薄壁筒型沉管灌注桩</w:t>
            </w:r>
          </w:p>
        </w:tc>
        <w:tc>
          <w:tcPr>
            <w:tcW w:w="749" w:type="dxa"/>
            <w:noWrap w:val="0"/>
            <w:vAlign w:val="center"/>
          </w:tcPr>
          <w:p w14:paraId="12BD12C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5306D5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FDB9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C6ECC7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73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E999DB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4732" w:type="dxa"/>
            <w:noWrap w:val="0"/>
            <w:vAlign w:val="center"/>
          </w:tcPr>
          <w:p w14:paraId="1774B90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静压管桩</w:t>
            </w:r>
          </w:p>
        </w:tc>
        <w:tc>
          <w:tcPr>
            <w:tcW w:w="749" w:type="dxa"/>
            <w:noWrap w:val="0"/>
            <w:vAlign w:val="center"/>
          </w:tcPr>
          <w:p w14:paraId="202914F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651BF7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A563B4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034486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69D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1C266F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-n</w:t>
            </w:r>
          </w:p>
        </w:tc>
        <w:tc>
          <w:tcPr>
            <w:tcW w:w="4732" w:type="dxa"/>
            <w:noWrap w:val="0"/>
            <w:vAlign w:val="center"/>
          </w:tcPr>
          <w:p w14:paraId="4AA3F4E0">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强夯及强夯置换</w:t>
            </w:r>
          </w:p>
        </w:tc>
        <w:tc>
          <w:tcPr>
            <w:tcW w:w="749" w:type="dxa"/>
            <w:noWrap w:val="0"/>
            <w:vAlign w:val="center"/>
          </w:tcPr>
          <w:p w14:paraId="73AE4A35">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5684A4E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14E344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88E47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4D9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2AA55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-n-1</w:t>
            </w:r>
          </w:p>
        </w:tc>
        <w:tc>
          <w:tcPr>
            <w:tcW w:w="4732" w:type="dxa"/>
            <w:noWrap w:val="0"/>
            <w:vAlign w:val="center"/>
          </w:tcPr>
          <w:p w14:paraId="0CD6517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强夯</w:t>
            </w:r>
          </w:p>
        </w:tc>
        <w:tc>
          <w:tcPr>
            <w:tcW w:w="749" w:type="dxa"/>
            <w:noWrap w:val="0"/>
            <w:vAlign w:val="center"/>
          </w:tcPr>
          <w:p w14:paraId="65593BB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3886B98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5B2205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94C82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0BF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66DDE0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-n-2</w:t>
            </w:r>
          </w:p>
        </w:tc>
        <w:tc>
          <w:tcPr>
            <w:tcW w:w="4732" w:type="dxa"/>
            <w:noWrap w:val="0"/>
            <w:vAlign w:val="center"/>
          </w:tcPr>
          <w:p w14:paraId="42738CCA">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强夯置换</w:t>
            </w:r>
          </w:p>
        </w:tc>
        <w:tc>
          <w:tcPr>
            <w:tcW w:w="749" w:type="dxa"/>
            <w:noWrap w:val="0"/>
            <w:vAlign w:val="center"/>
          </w:tcPr>
          <w:p w14:paraId="7636EB1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5C048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F022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1F6214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F0E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7D394A3">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205-2</w:t>
            </w:r>
          </w:p>
        </w:tc>
        <w:tc>
          <w:tcPr>
            <w:tcW w:w="4732" w:type="dxa"/>
            <w:noWrap w:val="0"/>
            <w:vAlign w:val="center"/>
          </w:tcPr>
          <w:p w14:paraId="6785FD72">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红黏土及膨胀土路基处理</w:t>
            </w:r>
          </w:p>
        </w:tc>
        <w:tc>
          <w:tcPr>
            <w:tcW w:w="749" w:type="dxa"/>
            <w:noWrap w:val="0"/>
            <w:vAlign w:val="center"/>
          </w:tcPr>
          <w:p w14:paraId="144B17C7">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p>
        </w:tc>
        <w:tc>
          <w:tcPr>
            <w:tcW w:w="837" w:type="dxa"/>
            <w:noWrap w:val="0"/>
            <w:vAlign w:val="center"/>
          </w:tcPr>
          <w:p w14:paraId="5A1F470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082D3F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4FCBB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BC43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893912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5A82E134">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石灰改良土</w:t>
            </w:r>
          </w:p>
        </w:tc>
        <w:tc>
          <w:tcPr>
            <w:tcW w:w="749" w:type="dxa"/>
            <w:noWrap w:val="0"/>
            <w:vAlign w:val="center"/>
          </w:tcPr>
          <w:p w14:paraId="16381DA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9F92E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5B02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A928D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F49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C2F031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28D49C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水泥改良土</w:t>
            </w:r>
          </w:p>
        </w:tc>
        <w:tc>
          <w:tcPr>
            <w:tcW w:w="749" w:type="dxa"/>
            <w:noWrap w:val="0"/>
            <w:vAlign w:val="center"/>
          </w:tcPr>
          <w:p w14:paraId="2766788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736A40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A3C656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B6E7CD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C00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421F6B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205-3</w:t>
            </w:r>
          </w:p>
        </w:tc>
        <w:tc>
          <w:tcPr>
            <w:tcW w:w="4732" w:type="dxa"/>
            <w:noWrap w:val="0"/>
            <w:vAlign w:val="center"/>
          </w:tcPr>
          <w:p w14:paraId="1D92757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滑坡处理</w:t>
            </w:r>
          </w:p>
        </w:tc>
        <w:tc>
          <w:tcPr>
            <w:tcW w:w="749" w:type="dxa"/>
            <w:noWrap w:val="0"/>
            <w:vAlign w:val="center"/>
          </w:tcPr>
          <w:p w14:paraId="2DCE249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CCD428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BC9C13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F1001F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7A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21CC73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AA7F72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清除滑坡体</w:t>
            </w:r>
          </w:p>
        </w:tc>
        <w:tc>
          <w:tcPr>
            <w:tcW w:w="749" w:type="dxa"/>
            <w:noWrap w:val="0"/>
            <w:vAlign w:val="center"/>
          </w:tcPr>
          <w:p w14:paraId="1CC0F9C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3B013A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BA6080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9BD9D7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1AE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A25652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205-4</w:t>
            </w:r>
          </w:p>
        </w:tc>
        <w:tc>
          <w:tcPr>
            <w:tcW w:w="4732" w:type="dxa"/>
            <w:noWrap w:val="0"/>
            <w:vAlign w:val="center"/>
          </w:tcPr>
          <w:p w14:paraId="228355E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岩溶洞处理</w:t>
            </w:r>
          </w:p>
        </w:tc>
        <w:tc>
          <w:tcPr>
            <w:tcW w:w="749" w:type="dxa"/>
            <w:noWrap w:val="0"/>
            <w:vAlign w:val="center"/>
          </w:tcPr>
          <w:p w14:paraId="2BA657C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713AF3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9EAE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2BFF89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327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AD8A21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1F08597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回填</w:t>
            </w:r>
          </w:p>
        </w:tc>
        <w:tc>
          <w:tcPr>
            <w:tcW w:w="749" w:type="dxa"/>
            <w:noWrap w:val="0"/>
            <w:vAlign w:val="center"/>
          </w:tcPr>
          <w:p w14:paraId="665BE3F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990AF7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6E231D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B8DEA9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23A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5B5374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205-5</w:t>
            </w:r>
          </w:p>
        </w:tc>
        <w:tc>
          <w:tcPr>
            <w:tcW w:w="4732" w:type="dxa"/>
            <w:noWrap w:val="0"/>
            <w:vAlign w:val="center"/>
          </w:tcPr>
          <w:p w14:paraId="04F5C40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湿陷性黄土路基处理</w:t>
            </w:r>
          </w:p>
        </w:tc>
        <w:tc>
          <w:tcPr>
            <w:tcW w:w="749" w:type="dxa"/>
            <w:noWrap w:val="0"/>
            <w:vAlign w:val="center"/>
          </w:tcPr>
          <w:p w14:paraId="1A22204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79A3D0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BF8D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2261C4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19E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3CABB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367CF2D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陷穴处理</w:t>
            </w:r>
          </w:p>
        </w:tc>
        <w:tc>
          <w:tcPr>
            <w:tcW w:w="749" w:type="dxa"/>
            <w:noWrap w:val="0"/>
            <w:vAlign w:val="center"/>
          </w:tcPr>
          <w:p w14:paraId="6FA80CA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777AEE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4925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09BBA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B2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F54AF2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-a-1</w:t>
            </w:r>
          </w:p>
        </w:tc>
        <w:tc>
          <w:tcPr>
            <w:tcW w:w="4732" w:type="dxa"/>
            <w:noWrap w:val="0"/>
            <w:vAlign w:val="center"/>
          </w:tcPr>
          <w:p w14:paraId="01D636B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灌砂</w:t>
            </w:r>
          </w:p>
        </w:tc>
        <w:tc>
          <w:tcPr>
            <w:tcW w:w="749" w:type="dxa"/>
            <w:noWrap w:val="0"/>
            <w:vAlign w:val="center"/>
          </w:tcPr>
          <w:p w14:paraId="2C7304D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21DFB9E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8E308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660D9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F8A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A1F5B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-a-2</w:t>
            </w:r>
          </w:p>
        </w:tc>
        <w:tc>
          <w:tcPr>
            <w:tcW w:w="4732" w:type="dxa"/>
            <w:noWrap w:val="0"/>
            <w:vAlign w:val="center"/>
          </w:tcPr>
          <w:p w14:paraId="4B62BACF">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灌水泥砂浆</w:t>
            </w:r>
          </w:p>
        </w:tc>
        <w:tc>
          <w:tcPr>
            <w:tcW w:w="749" w:type="dxa"/>
            <w:noWrap w:val="0"/>
            <w:vAlign w:val="center"/>
          </w:tcPr>
          <w:p w14:paraId="36A8821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C2000B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984CAA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DA8AA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0A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69C5BE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7948B81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强夯及强夯置换</w:t>
            </w:r>
          </w:p>
        </w:tc>
        <w:tc>
          <w:tcPr>
            <w:tcW w:w="749" w:type="dxa"/>
            <w:noWrap w:val="0"/>
            <w:vAlign w:val="center"/>
          </w:tcPr>
          <w:p w14:paraId="029A54A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2DC4974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43078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AFF14A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01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49C6A8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-b-1</w:t>
            </w:r>
          </w:p>
        </w:tc>
        <w:tc>
          <w:tcPr>
            <w:tcW w:w="4732" w:type="dxa"/>
            <w:noWrap w:val="0"/>
            <w:vAlign w:val="center"/>
          </w:tcPr>
          <w:p w14:paraId="01488902">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强夯</w:t>
            </w:r>
          </w:p>
        </w:tc>
        <w:tc>
          <w:tcPr>
            <w:tcW w:w="749" w:type="dxa"/>
            <w:noWrap w:val="0"/>
            <w:vAlign w:val="center"/>
          </w:tcPr>
          <w:p w14:paraId="7B29C0B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1365202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3DC03F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F61D35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FF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284EB5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-b-2</w:t>
            </w:r>
          </w:p>
        </w:tc>
        <w:tc>
          <w:tcPr>
            <w:tcW w:w="4732" w:type="dxa"/>
            <w:noWrap w:val="0"/>
            <w:vAlign w:val="center"/>
          </w:tcPr>
          <w:p w14:paraId="01AF5E1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强夯置换</w:t>
            </w:r>
          </w:p>
        </w:tc>
        <w:tc>
          <w:tcPr>
            <w:tcW w:w="749" w:type="dxa"/>
            <w:noWrap w:val="0"/>
            <w:vAlign w:val="center"/>
          </w:tcPr>
          <w:p w14:paraId="6A9C156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6D7F9D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021EE0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7CA194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977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3E527D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740045F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石灰改良土</w:t>
            </w:r>
          </w:p>
        </w:tc>
        <w:tc>
          <w:tcPr>
            <w:tcW w:w="749" w:type="dxa"/>
            <w:noWrap w:val="0"/>
            <w:vAlign w:val="center"/>
          </w:tcPr>
          <w:p w14:paraId="7585E47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C1CFC9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4E49A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4E4058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1B6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BCE9D3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1A96318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灰土桩</w:t>
            </w:r>
          </w:p>
        </w:tc>
        <w:tc>
          <w:tcPr>
            <w:tcW w:w="749" w:type="dxa"/>
            <w:noWrap w:val="0"/>
            <w:vAlign w:val="center"/>
          </w:tcPr>
          <w:p w14:paraId="704C8D3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69D814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EFDBF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8A9981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6A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659616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205-6</w:t>
            </w:r>
          </w:p>
        </w:tc>
        <w:tc>
          <w:tcPr>
            <w:tcW w:w="4732" w:type="dxa"/>
            <w:noWrap w:val="0"/>
            <w:vAlign w:val="center"/>
          </w:tcPr>
          <w:p w14:paraId="4D206C3E">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盐渍土路基处理</w:t>
            </w:r>
          </w:p>
        </w:tc>
        <w:tc>
          <w:tcPr>
            <w:tcW w:w="749" w:type="dxa"/>
            <w:noWrap w:val="0"/>
            <w:vAlign w:val="center"/>
          </w:tcPr>
          <w:p w14:paraId="54B8FA9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56DFD7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DE04F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A8160E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1FF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46D910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4D00C60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垫层</w:t>
            </w:r>
          </w:p>
        </w:tc>
        <w:tc>
          <w:tcPr>
            <w:tcW w:w="749" w:type="dxa"/>
            <w:noWrap w:val="0"/>
            <w:vAlign w:val="center"/>
          </w:tcPr>
          <w:p w14:paraId="7B4D40C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2A8310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85BF5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069429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5D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E6C00C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-a-1</w:t>
            </w:r>
          </w:p>
        </w:tc>
        <w:tc>
          <w:tcPr>
            <w:tcW w:w="4732" w:type="dxa"/>
            <w:noWrap w:val="0"/>
            <w:vAlign w:val="center"/>
          </w:tcPr>
          <w:p w14:paraId="373F416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砂垫层</w:t>
            </w:r>
          </w:p>
        </w:tc>
        <w:tc>
          <w:tcPr>
            <w:tcW w:w="749" w:type="dxa"/>
            <w:noWrap w:val="0"/>
            <w:vAlign w:val="center"/>
          </w:tcPr>
          <w:p w14:paraId="1559075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E1B03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AED00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F691ED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E8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8B0105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-a-2</w:t>
            </w:r>
          </w:p>
        </w:tc>
        <w:tc>
          <w:tcPr>
            <w:tcW w:w="4732" w:type="dxa"/>
            <w:noWrap w:val="0"/>
            <w:vAlign w:val="center"/>
          </w:tcPr>
          <w:p w14:paraId="54913E9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砂砾垫层</w:t>
            </w:r>
          </w:p>
        </w:tc>
        <w:tc>
          <w:tcPr>
            <w:tcW w:w="749" w:type="dxa"/>
            <w:noWrap w:val="0"/>
            <w:vAlign w:val="center"/>
          </w:tcPr>
          <w:p w14:paraId="378DC84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54984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EA5BF3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5DE731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0F7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6DAA7B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569FD8F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土工合成材料</w:t>
            </w:r>
          </w:p>
        </w:tc>
        <w:tc>
          <w:tcPr>
            <w:tcW w:w="749" w:type="dxa"/>
            <w:noWrap w:val="0"/>
            <w:vAlign w:val="center"/>
          </w:tcPr>
          <w:p w14:paraId="51C3693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7E49F06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469D3F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AD6AB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F21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F10A09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-b-1</w:t>
            </w:r>
          </w:p>
        </w:tc>
        <w:tc>
          <w:tcPr>
            <w:tcW w:w="4732" w:type="dxa"/>
            <w:noWrap w:val="0"/>
            <w:vAlign w:val="center"/>
          </w:tcPr>
          <w:p w14:paraId="7F8CEA9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防渗土工膜</w:t>
            </w:r>
          </w:p>
        </w:tc>
        <w:tc>
          <w:tcPr>
            <w:tcW w:w="749" w:type="dxa"/>
            <w:noWrap w:val="0"/>
            <w:vAlign w:val="center"/>
          </w:tcPr>
          <w:p w14:paraId="207CA0B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4CA791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0B4D5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0EF8DA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350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9E42A2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-b-2</w:t>
            </w:r>
          </w:p>
        </w:tc>
        <w:tc>
          <w:tcPr>
            <w:tcW w:w="4732" w:type="dxa"/>
            <w:noWrap w:val="0"/>
            <w:vAlign w:val="center"/>
          </w:tcPr>
          <w:p w14:paraId="41DD43F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土工格栅</w:t>
            </w:r>
          </w:p>
        </w:tc>
        <w:tc>
          <w:tcPr>
            <w:tcW w:w="749" w:type="dxa"/>
            <w:noWrap w:val="0"/>
            <w:vAlign w:val="center"/>
          </w:tcPr>
          <w:p w14:paraId="3486B7F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0D8C570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743E31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BDBA3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49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D48263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205-7</w:t>
            </w:r>
          </w:p>
        </w:tc>
        <w:tc>
          <w:tcPr>
            <w:tcW w:w="4732" w:type="dxa"/>
            <w:noWrap w:val="0"/>
            <w:vAlign w:val="center"/>
          </w:tcPr>
          <w:p w14:paraId="7484D158">
            <w:pPr>
              <w:pageBreakBefore w:val="0"/>
              <w:tabs>
                <w:tab w:val="left" w:pos="1065"/>
              </w:tabs>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风积沙路基处理</w:t>
            </w:r>
          </w:p>
        </w:tc>
        <w:tc>
          <w:tcPr>
            <w:tcW w:w="749" w:type="dxa"/>
            <w:noWrap w:val="0"/>
            <w:vAlign w:val="center"/>
          </w:tcPr>
          <w:p w14:paraId="43C1EFC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201DC9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7F77E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D3BFA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D8C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A1A041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5952C89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土工合成材料</w:t>
            </w:r>
          </w:p>
        </w:tc>
        <w:tc>
          <w:tcPr>
            <w:tcW w:w="749" w:type="dxa"/>
            <w:noWrap w:val="0"/>
            <w:vAlign w:val="center"/>
          </w:tcPr>
          <w:p w14:paraId="4D6F0E0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1850773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AFB5F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7638A8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114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050D21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-a-1</w:t>
            </w:r>
          </w:p>
        </w:tc>
        <w:tc>
          <w:tcPr>
            <w:tcW w:w="4732" w:type="dxa"/>
            <w:noWrap w:val="0"/>
            <w:vAlign w:val="center"/>
          </w:tcPr>
          <w:p w14:paraId="385BABF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土工格栅</w:t>
            </w:r>
          </w:p>
        </w:tc>
        <w:tc>
          <w:tcPr>
            <w:tcW w:w="749" w:type="dxa"/>
            <w:noWrap w:val="0"/>
            <w:vAlign w:val="center"/>
          </w:tcPr>
          <w:p w14:paraId="7BF8BC3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29D0A14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06F898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1E3E28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32E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714F8B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-a-2</w:t>
            </w:r>
          </w:p>
        </w:tc>
        <w:tc>
          <w:tcPr>
            <w:tcW w:w="4732" w:type="dxa"/>
            <w:noWrap w:val="0"/>
            <w:vAlign w:val="center"/>
          </w:tcPr>
          <w:p w14:paraId="74B205D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土工格室</w:t>
            </w:r>
          </w:p>
        </w:tc>
        <w:tc>
          <w:tcPr>
            <w:tcW w:w="749" w:type="dxa"/>
            <w:noWrap w:val="0"/>
            <w:vAlign w:val="center"/>
          </w:tcPr>
          <w:p w14:paraId="410B6AA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7BDC8D9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E3AE78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CE91D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2E9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7802BE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-a-3</w:t>
            </w:r>
          </w:p>
        </w:tc>
        <w:tc>
          <w:tcPr>
            <w:tcW w:w="4732" w:type="dxa"/>
            <w:noWrap w:val="0"/>
            <w:vAlign w:val="center"/>
          </w:tcPr>
          <w:p w14:paraId="26F3D3C3">
            <w:pPr>
              <w:pageBreakBefore w:val="0"/>
              <w:tabs>
                <w:tab w:val="left" w:pos="1065"/>
              </w:tabs>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蜂窝式塑料网</w:t>
            </w:r>
          </w:p>
        </w:tc>
        <w:tc>
          <w:tcPr>
            <w:tcW w:w="749" w:type="dxa"/>
            <w:noWrap w:val="0"/>
            <w:vAlign w:val="center"/>
          </w:tcPr>
          <w:p w14:paraId="5EF041F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4683225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9F2AAE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E7D1A4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87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9C5729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205-8</w:t>
            </w:r>
          </w:p>
        </w:tc>
        <w:tc>
          <w:tcPr>
            <w:tcW w:w="4732" w:type="dxa"/>
            <w:noWrap w:val="0"/>
            <w:vAlign w:val="center"/>
          </w:tcPr>
          <w:p w14:paraId="28AF4C8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冻土路基处理</w:t>
            </w:r>
          </w:p>
        </w:tc>
        <w:tc>
          <w:tcPr>
            <w:tcW w:w="749" w:type="dxa"/>
            <w:noWrap w:val="0"/>
            <w:vAlign w:val="center"/>
          </w:tcPr>
          <w:p w14:paraId="4528531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6B791D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7BD8D9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3CD5E2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5B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A85893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3B44BD0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隔热层</w:t>
            </w:r>
          </w:p>
        </w:tc>
        <w:tc>
          <w:tcPr>
            <w:tcW w:w="749" w:type="dxa"/>
            <w:noWrap w:val="0"/>
            <w:vAlign w:val="center"/>
          </w:tcPr>
          <w:p w14:paraId="1CC45AA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29F071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998CB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04D2C6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38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6F4ADB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-a-1</w:t>
            </w:r>
          </w:p>
        </w:tc>
        <w:tc>
          <w:tcPr>
            <w:tcW w:w="4732" w:type="dxa"/>
            <w:noWrap w:val="0"/>
            <w:vAlign w:val="center"/>
          </w:tcPr>
          <w:p w14:paraId="4634F46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XPS保温板</w:t>
            </w:r>
          </w:p>
        </w:tc>
        <w:tc>
          <w:tcPr>
            <w:tcW w:w="749" w:type="dxa"/>
            <w:noWrap w:val="0"/>
            <w:vAlign w:val="center"/>
          </w:tcPr>
          <w:p w14:paraId="1BCEC3B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75C8D68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3539E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D05EFD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0BB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8A1C78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0768160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通风管</w:t>
            </w:r>
          </w:p>
        </w:tc>
        <w:tc>
          <w:tcPr>
            <w:tcW w:w="749" w:type="dxa"/>
            <w:noWrap w:val="0"/>
            <w:vAlign w:val="center"/>
          </w:tcPr>
          <w:p w14:paraId="5B90DAE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1AE3A87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2D8596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CC3D84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74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557403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6458F7A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热棒</w:t>
            </w:r>
          </w:p>
        </w:tc>
        <w:tc>
          <w:tcPr>
            <w:tcW w:w="749" w:type="dxa"/>
            <w:noWrap w:val="0"/>
            <w:vAlign w:val="center"/>
          </w:tcPr>
          <w:p w14:paraId="76B3583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根</w:t>
            </w:r>
          </w:p>
        </w:tc>
        <w:tc>
          <w:tcPr>
            <w:tcW w:w="837" w:type="dxa"/>
            <w:noWrap w:val="0"/>
            <w:vAlign w:val="center"/>
          </w:tcPr>
          <w:p w14:paraId="7DFE10B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D2D908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EB905E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09F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157CC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207</w:t>
            </w:r>
          </w:p>
        </w:tc>
        <w:tc>
          <w:tcPr>
            <w:tcW w:w="4732" w:type="dxa"/>
            <w:noWrap w:val="0"/>
            <w:vAlign w:val="center"/>
          </w:tcPr>
          <w:p w14:paraId="79C65809">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坡面排水</w:t>
            </w:r>
          </w:p>
        </w:tc>
        <w:tc>
          <w:tcPr>
            <w:tcW w:w="749" w:type="dxa"/>
            <w:noWrap w:val="0"/>
            <w:vAlign w:val="center"/>
          </w:tcPr>
          <w:p w14:paraId="4F02C91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188620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95DAE1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2FE330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4E9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9A230E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207-1</w:t>
            </w:r>
          </w:p>
        </w:tc>
        <w:tc>
          <w:tcPr>
            <w:tcW w:w="4732" w:type="dxa"/>
            <w:noWrap w:val="0"/>
            <w:vAlign w:val="center"/>
          </w:tcPr>
          <w:p w14:paraId="3F449CF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边沟</w:t>
            </w:r>
          </w:p>
        </w:tc>
        <w:tc>
          <w:tcPr>
            <w:tcW w:w="749" w:type="dxa"/>
            <w:noWrap w:val="0"/>
            <w:vAlign w:val="center"/>
          </w:tcPr>
          <w:p w14:paraId="62641C3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109C5B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FF156A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2D8B3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9A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BB91147">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-a</w:t>
            </w:r>
          </w:p>
        </w:tc>
        <w:tc>
          <w:tcPr>
            <w:tcW w:w="4732" w:type="dxa"/>
            <w:noWrap w:val="0"/>
            <w:vAlign w:val="center"/>
          </w:tcPr>
          <w:p w14:paraId="205E182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浆砌片石</w:t>
            </w:r>
          </w:p>
        </w:tc>
        <w:tc>
          <w:tcPr>
            <w:tcW w:w="749" w:type="dxa"/>
            <w:noWrap w:val="0"/>
            <w:vAlign w:val="center"/>
          </w:tcPr>
          <w:p w14:paraId="1B4C1E4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08ABB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FD68B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D25841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F36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23DA56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4CB10644">
            <w:pPr>
              <w:pageBreakBefore w:val="0"/>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浆砌块石</w:t>
            </w:r>
          </w:p>
        </w:tc>
        <w:tc>
          <w:tcPr>
            <w:tcW w:w="749" w:type="dxa"/>
            <w:noWrap w:val="0"/>
            <w:vAlign w:val="center"/>
          </w:tcPr>
          <w:p w14:paraId="67418EC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D4BD3D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4D083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D30520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798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80220B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1FC9D5B2">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现浇混凝土</w:t>
            </w:r>
          </w:p>
        </w:tc>
        <w:tc>
          <w:tcPr>
            <w:tcW w:w="749" w:type="dxa"/>
            <w:noWrap w:val="0"/>
            <w:vAlign w:val="center"/>
          </w:tcPr>
          <w:p w14:paraId="094800C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B4D2DC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FB61FF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A9D53F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0D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380662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690E3BD7">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预制安装混凝土</w:t>
            </w:r>
          </w:p>
        </w:tc>
        <w:tc>
          <w:tcPr>
            <w:tcW w:w="749" w:type="dxa"/>
            <w:noWrap w:val="0"/>
            <w:vAlign w:val="center"/>
          </w:tcPr>
          <w:p w14:paraId="181308B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D3D9A5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4A442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7C6E17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EDB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0DA429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31A2661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预制安装混凝土盖板</w:t>
            </w:r>
          </w:p>
        </w:tc>
        <w:tc>
          <w:tcPr>
            <w:tcW w:w="749" w:type="dxa"/>
            <w:noWrap w:val="0"/>
            <w:vAlign w:val="center"/>
          </w:tcPr>
          <w:p w14:paraId="543290B8">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AEE5C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5882A0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8A67D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B793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260B6D3">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-f</w:t>
            </w:r>
          </w:p>
        </w:tc>
        <w:tc>
          <w:tcPr>
            <w:tcW w:w="4732" w:type="dxa"/>
            <w:noWrap w:val="0"/>
            <w:vAlign w:val="center"/>
          </w:tcPr>
          <w:p w14:paraId="705CE31B">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干砌片石</w:t>
            </w:r>
          </w:p>
        </w:tc>
        <w:tc>
          <w:tcPr>
            <w:tcW w:w="749" w:type="dxa"/>
            <w:noWrap w:val="0"/>
            <w:vAlign w:val="center"/>
          </w:tcPr>
          <w:p w14:paraId="0ADEF6C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434A1E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91A67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AF2A34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7E5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38BF5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207-2</w:t>
            </w:r>
          </w:p>
        </w:tc>
        <w:tc>
          <w:tcPr>
            <w:tcW w:w="4732" w:type="dxa"/>
            <w:noWrap w:val="0"/>
            <w:vAlign w:val="center"/>
          </w:tcPr>
          <w:p w14:paraId="26111BB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排水沟</w:t>
            </w:r>
          </w:p>
        </w:tc>
        <w:tc>
          <w:tcPr>
            <w:tcW w:w="749" w:type="dxa"/>
            <w:noWrap w:val="0"/>
            <w:vAlign w:val="center"/>
          </w:tcPr>
          <w:p w14:paraId="34DD46A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476C31D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CE1F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425AA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94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427F38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bCs/>
                <w:color w:val="auto"/>
                <w:kern w:val="0"/>
                <w:szCs w:val="21"/>
                <w:highlight w:val="none"/>
              </w:rPr>
              <w:t>-a</w:t>
            </w:r>
          </w:p>
        </w:tc>
        <w:tc>
          <w:tcPr>
            <w:tcW w:w="4732" w:type="dxa"/>
            <w:noWrap w:val="0"/>
            <w:vAlign w:val="center"/>
          </w:tcPr>
          <w:p w14:paraId="0880042D">
            <w:pPr>
              <w:pageBreakBefore w:val="0"/>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浆砌片石</w:t>
            </w:r>
          </w:p>
        </w:tc>
        <w:tc>
          <w:tcPr>
            <w:tcW w:w="749" w:type="dxa"/>
            <w:noWrap w:val="0"/>
            <w:vAlign w:val="center"/>
          </w:tcPr>
          <w:p w14:paraId="37326F6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535B20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C96A28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30CBC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288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3DE1C5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08F203DB">
            <w:pPr>
              <w:pageBreakBefore w:val="0"/>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浆砌块石</w:t>
            </w:r>
          </w:p>
        </w:tc>
        <w:tc>
          <w:tcPr>
            <w:tcW w:w="749" w:type="dxa"/>
            <w:noWrap w:val="0"/>
            <w:vAlign w:val="center"/>
          </w:tcPr>
          <w:p w14:paraId="14216B4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9052D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F5F5FD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86934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2EB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2654EC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5411939A">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现浇混凝土</w:t>
            </w:r>
          </w:p>
        </w:tc>
        <w:tc>
          <w:tcPr>
            <w:tcW w:w="749" w:type="dxa"/>
            <w:noWrap w:val="0"/>
            <w:vAlign w:val="center"/>
          </w:tcPr>
          <w:p w14:paraId="6DE7520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C06C9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0DB6DC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D4EDC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6CD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ECEF80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41E4505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预制安装混凝土</w:t>
            </w:r>
          </w:p>
        </w:tc>
        <w:tc>
          <w:tcPr>
            <w:tcW w:w="749" w:type="dxa"/>
            <w:noWrap w:val="0"/>
            <w:vAlign w:val="center"/>
          </w:tcPr>
          <w:p w14:paraId="7464760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F3AA30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D6419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F5940E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A6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C88B60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254C828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预制安装混凝土盖板</w:t>
            </w:r>
          </w:p>
        </w:tc>
        <w:tc>
          <w:tcPr>
            <w:tcW w:w="749" w:type="dxa"/>
            <w:noWrap w:val="0"/>
            <w:vAlign w:val="center"/>
          </w:tcPr>
          <w:p w14:paraId="7C10677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4B6D959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900373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404C0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922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20E7061">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-f</w:t>
            </w:r>
          </w:p>
        </w:tc>
        <w:tc>
          <w:tcPr>
            <w:tcW w:w="4732" w:type="dxa"/>
            <w:noWrap w:val="0"/>
            <w:vAlign w:val="center"/>
          </w:tcPr>
          <w:p w14:paraId="17ABAE7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干砌片石</w:t>
            </w:r>
          </w:p>
        </w:tc>
        <w:tc>
          <w:tcPr>
            <w:tcW w:w="749" w:type="dxa"/>
            <w:noWrap w:val="0"/>
            <w:vAlign w:val="center"/>
          </w:tcPr>
          <w:p w14:paraId="7DEBC61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AACA96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76189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11091A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130B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9B8835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207-3</w:t>
            </w:r>
          </w:p>
        </w:tc>
        <w:tc>
          <w:tcPr>
            <w:tcW w:w="4732" w:type="dxa"/>
            <w:noWrap w:val="0"/>
            <w:vAlign w:val="center"/>
          </w:tcPr>
          <w:p w14:paraId="0637978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截水沟</w:t>
            </w:r>
          </w:p>
        </w:tc>
        <w:tc>
          <w:tcPr>
            <w:tcW w:w="749" w:type="dxa"/>
            <w:noWrap w:val="0"/>
            <w:vAlign w:val="center"/>
          </w:tcPr>
          <w:p w14:paraId="5BB3F72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4B2505D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E7422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E5A41E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642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064FA89">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-a</w:t>
            </w:r>
          </w:p>
        </w:tc>
        <w:tc>
          <w:tcPr>
            <w:tcW w:w="4732" w:type="dxa"/>
            <w:noWrap w:val="0"/>
            <w:vAlign w:val="center"/>
          </w:tcPr>
          <w:p w14:paraId="6E3613DF">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浆砌片石</w:t>
            </w:r>
          </w:p>
        </w:tc>
        <w:tc>
          <w:tcPr>
            <w:tcW w:w="749" w:type="dxa"/>
            <w:noWrap w:val="0"/>
            <w:vAlign w:val="center"/>
          </w:tcPr>
          <w:p w14:paraId="58C170E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CA1D22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ABD02A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B3AD47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884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94DAB7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23DD5D75">
            <w:pPr>
              <w:pageBreakBefore w:val="0"/>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浆砌块石</w:t>
            </w:r>
          </w:p>
        </w:tc>
        <w:tc>
          <w:tcPr>
            <w:tcW w:w="749" w:type="dxa"/>
            <w:noWrap w:val="0"/>
            <w:vAlign w:val="center"/>
          </w:tcPr>
          <w:p w14:paraId="6D6881C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4F525C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CCCFD3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CD71A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1B1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09DAF8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1C0C149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现浇混凝土</w:t>
            </w:r>
          </w:p>
        </w:tc>
        <w:tc>
          <w:tcPr>
            <w:tcW w:w="749" w:type="dxa"/>
            <w:noWrap w:val="0"/>
            <w:vAlign w:val="center"/>
          </w:tcPr>
          <w:p w14:paraId="7AD8BF4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9BA73F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20BCBA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93E248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9517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ABAFBF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4DD0320F">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预制安装混凝土</w:t>
            </w:r>
          </w:p>
        </w:tc>
        <w:tc>
          <w:tcPr>
            <w:tcW w:w="749" w:type="dxa"/>
            <w:noWrap w:val="0"/>
            <w:vAlign w:val="center"/>
          </w:tcPr>
          <w:p w14:paraId="5AB019C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FEDE6B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7BC2F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87D5F9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904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4CE36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bCs/>
                <w:color w:val="auto"/>
                <w:kern w:val="0"/>
                <w:szCs w:val="21"/>
                <w:highlight w:val="none"/>
              </w:rPr>
              <w:t>-e</w:t>
            </w:r>
          </w:p>
        </w:tc>
        <w:tc>
          <w:tcPr>
            <w:tcW w:w="4732" w:type="dxa"/>
            <w:noWrap w:val="0"/>
            <w:vAlign w:val="center"/>
          </w:tcPr>
          <w:p w14:paraId="561C6F8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干砌片石</w:t>
            </w:r>
          </w:p>
        </w:tc>
        <w:tc>
          <w:tcPr>
            <w:tcW w:w="749" w:type="dxa"/>
            <w:noWrap w:val="0"/>
            <w:vAlign w:val="center"/>
          </w:tcPr>
          <w:p w14:paraId="6DBB16D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3F293E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E479FA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316AE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D2D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5AC385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207-4</w:t>
            </w:r>
          </w:p>
        </w:tc>
        <w:tc>
          <w:tcPr>
            <w:tcW w:w="4732" w:type="dxa"/>
            <w:noWrap w:val="0"/>
            <w:vAlign w:val="center"/>
          </w:tcPr>
          <w:p w14:paraId="7A78E5D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跌水与急流槽</w:t>
            </w:r>
          </w:p>
        </w:tc>
        <w:tc>
          <w:tcPr>
            <w:tcW w:w="749" w:type="dxa"/>
            <w:noWrap w:val="0"/>
            <w:vAlign w:val="center"/>
          </w:tcPr>
          <w:p w14:paraId="6D7926A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587E2D5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083667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1B364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515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931F74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593A59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干砌片石</w:t>
            </w:r>
          </w:p>
        </w:tc>
        <w:tc>
          <w:tcPr>
            <w:tcW w:w="749" w:type="dxa"/>
            <w:noWrap w:val="0"/>
            <w:vAlign w:val="center"/>
          </w:tcPr>
          <w:p w14:paraId="1D5976D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547CF7F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65E10C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90D279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4D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545A78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7DE6BE6">
            <w:pPr>
              <w:pageBreakBefore w:val="0"/>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浆砌片石</w:t>
            </w:r>
          </w:p>
        </w:tc>
        <w:tc>
          <w:tcPr>
            <w:tcW w:w="749" w:type="dxa"/>
            <w:noWrap w:val="0"/>
            <w:vAlign w:val="center"/>
          </w:tcPr>
          <w:p w14:paraId="2A61E94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5E307C5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473400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EC3285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8191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9B3664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74F0591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现浇混凝土</w:t>
            </w:r>
          </w:p>
        </w:tc>
        <w:tc>
          <w:tcPr>
            <w:tcW w:w="749" w:type="dxa"/>
            <w:noWrap w:val="0"/>
            <w:vAlign w:val="center"/>
          </w:tcPr>
          <w:p w14:paraId="05C70EE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5A1E191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AFA030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1A14BC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93CE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84C5F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64896E2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预制安装混凝土</w:t>
            </w:r>
          </w:p>
        </w:tc>
        <w:tc>
          <w:tcPr>
            <w:tcW w:w="749" w:type="dxa"/>
            <w:noWrap w:val="0"/>
            <w:vAlign w:val="center"/>
          </w:tcPr>
          <w:p w14:paraId="400E3B8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977EC2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0DC169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AA60A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8D9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C1BF58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207-5</w:t>
            </w:r>
          </w:p>
        </w:tc>
        <w:tc>
          <w:tcPr>
            <w:tcW w:w="4732" w:type="dxa"/>
            <w:noWrap w:val="0"/>
            <w:vAlign w:val="center"/>
          </w:tcPr>
          <w:p w14:paraId="3953F4A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渗沟</w:t>
            </w:r>
          </w:p>
        </w:tc>
        <w:tc>
          <w:tcPr>
            <w:tcW w:w="749" w:type="dxa"/>
            <w:noWrap w:val="0"/>
            <w:vAlign w:val="center"/>
          </w:tcPr>
          <w:p w14:paraId="503C3F5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9FECE1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6F50F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76832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E63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73CA44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207-6</w:t>
            </w:r>
          </w:p>
        </w:tc>
        <w:tc>
          <w:tcPr>
            <w:tcW w:w="4732" w:type="dxa"/>
            <w:noWrap w:val="0"/>
            <w:vAlign w:val="center"/>
          </w:tcPr>
          <w:p w14:paraId="686F30E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蒸发池</w:t>
            </w:r>
          </w:p>
        </w:tc>
        <w:tc>
          <w:tcPr>
            <w:tcW w:w="749" w:type="dxa"/>
            <w:noWrap w:val="0"/>
            <w:vAlign w:val="center"/>
          </w:tcPr>
          <w:p w14:paraId="5CE53DB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0E112DF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1E4DA0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3C9E2E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A319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74A415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554AF79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挖土（石）方</w:t>
            </w:r>
          </w:p>
        </w:tc>
        <w:tc>
          <w:tcPr>
            <w:tcW w:w="749" w:type="dxa"/>
            <w:noWrap w:val="0"/>
            <w:vAlign w:val="center"/>
          </w:tcPr>
          <w:p w14:paraId="483E0B9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36DDDD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E0D9F3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06AC0E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60E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26BCAE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1AC025D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圬工</w:t>
            </w:r>
          </w:p>
        </w:tc>
        <w:tc>
          <w:tcPr>
            <w:tcW w:w="749" w:type="dxa"/>
            <w:noWrap w:val="0"/>
            <w:vAlign w:val="center"/>
          </w:tcPr>
          <w:p w14:paraId="5356FF6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B1E04C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3628D0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BDF3B9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899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DED69C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207-7</w:t>
            </w:r>
          </w:p>
        </w:tc>
        <w:tc>
          <w:tcPr>
            <w:tcW w:w="4732" w:type="dxa"/>
            <w:noWrap w:val="0"/>
            <w:vAlign w:val="center"/>
          </w:tcPr>
          <w:p w14:paraId="1C328C56">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涵洞上下游改沟、改渠铺砌</w:t>
            </w:r>
          </w:p>
        </w:tc>
        <w:tc>
          <w:tcPr>
            <w:tcW w:w="749" w:type="dxa"/>
            <w:noWrap w:val="0"/>
            <w:vAlign w:val="center"/>
          </w:tcPr>
          <w:p w14:paraId="1086C37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1A716A3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D5DBF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329989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72B4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DDCCB1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272F6F90">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浆砌片石铺砌</w:t>
            </w:r>
          </w:p>
        </w:tc>
        <w:tc>
          <w:tcPr>
            <w:tcW w:w="749" w:type="dxa"/>
            <w:noWrap w:val="0"/>
            <w:vAlign w:val="center"/>
          </w:tcPr>
          <w:p w14:paraId="6697136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3E663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0E095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F26E22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FB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19C617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482301AB">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现浇混凝土铺砌</w:t>
            </w:r>
          </w:p>
        </w:tc>
        <w:tc>
          <w:tcPr>
            <w:tcW w:w="749" w:type="dxa"/>
            <w:noWrap w:val="0"/>
            <w:vAlign w:val="center"/>
          </w:tcPr>
          <w:p w14:paraId="375FE38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08CDBA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DC914F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1909D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F6A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443C6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16C8A731">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预制混凝土铺砌</w:t>
            </w:r>
          </w:p>
        </w:tc>
        <w:tc>
          <w:tcPr>
            <w:tcW w:w="749" w:type="dxa"/>
            <w:noWrap w:val="0"/>
            <w:vAlign w:val="center"/>
          </w:tcPr>
          <w:p w14:paraId="59E298A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56E287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865978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30AD28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DA4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ECA11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207-8</w:t>
            </w:r>
          </w:p>
        </w:tc>
        <w:tc>
          <w:tcPr>
            <w:tcW w:w="4732" w:type="dxa"/>
            <w:noWrap w:val="0"/>
            <w:vAlign w:val="center"/>
          </w:tcPr>
          <w:p w14:paraId="0FD6D9E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现浇混凝土坡面排水结构物</w:t>
            </w:r>
          </w:p>
        </w:tc>
        <w:tc>
          <w:tcPr>
            <w:tcW w:w="749" w:type="dxa"/>
            <w:noWrap w:val="0"/>
            <w:vAlign w:val="center"/>
          </w:tcPr>
          <w:p w14:paraId="14C2D38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81014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3480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53C69A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4AF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89C1E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207-9</w:t>
            </w:r>
          </w:p>
        </w:tc>
        <w:tc>
          <w:tcPr>
            <w:tcW w:w="4732" w:type="dxa"/>
            <w:noWrap w:val="0"/>
            <w:vAlign w:val="center"/>
          </w:tcPr>
          <w:p w14:paraId="0BA63637">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预制混凝土坡面排水结构物</w:t>
            </w:r>
          </w:p>
        </w:tc>
        <w:tc>
          <w:tcPr>
            <w:tcW w:w="749" w:type="dxa"/>
            <w:noWrap w:val="0"/>
            <w:vAlign w:val="center"/>
          </w:tcPr>
          <w:p w14:paraId="6472879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2134E6F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4858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A8B43F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268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38455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207-10</w:t>
            </w:r>
          </w:p>
        </w:tc>
        <w:tc>
          <w:tcPr>
            <w:tcW w:w="4732" w:type="dxa"/>
            <w:noWrap w:val="0"/>
            <w:vAlign w:val="center"/>
          </w:tcPr>
          <w:p w14:paraId="3A2A791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仰斜式排水孔</w:t>
            </w:r>
          </w:p>
        </w:tc>
        <w:tc>
          <w:tcPr>
            <w:tcW w:w="749" w:type="dxa"/>
            <w:noWrap w:val="0"/>
            <w:vAlign w:val="center"/>
          </w:tcPr>
          <w:p w14:paraId="6FD3F05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052B9B8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39107F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1281F8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293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307015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1ECEC11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钻孔</w:t>
            </w:r>
          </w:p>
        </w:tc>
        <w:tc>
          <w:tcPr>
            <w:tcW w:w="749" w:type="dxa"/>
            <w:noWrap w:val="0"/>
            <w:vAlign w:val="center"/>
          </w:tcPr>
          <w:p w14:paraId="19E709E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1E33E36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85A6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625AC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F62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D6CD6E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2855EDF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排水管</w:t>
            </w:r>
          </w:p>
        </w:tc>
        <w:tc>
          <w:tcPr>
            <w:tcW w:w="749" w:type="dxa"/>
            <w:noWrap w:val="0"/>
            <w:vAlign w:val="center"/>
          </w:tcPr>
          <w:p w14:paraId="062089C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6C9070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E128AC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27B8C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6D7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22BA63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6130168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软式透水管</w:t>
            </w:r>
          </w:p>
        </w:tc>
        <w:tc>
          <w:tcPr>
            <w:tcW w:w="749" w:type="dxa"/>
            <w:noWrap w:val="0"/>
            <w:vAlign w:val="center"/>
          </w:tcPr>
          <w:p w14:paraId="07B9CE8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AC074D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368951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6650E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9A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80D0B66">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208</w:t>
            </w:r>
          </w:p>
        </w:tc>
        <w:tc>
          <w:tcPr>
            <w:tcW w:w="4732" w:type="dxa"/>
            <w:noWrap w:val="0"/>
            <w:vAlign w:val="center"/>
          </w:tcPr>
          <w:p w14:paraId="62FF9514">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护坡、护面墙</w:t>
            </w:r>
          </w:p>
        </w:tc>
        <w:tc>
          <w:tcPr>
            <w:tcW w:w="749" w:type="dxa"/>
            <w:noWrap w:val="0"/>
            <w:vAlign w:val="center"/>
          </w:tcPr>
          <w:p w14:paraId="1EAB95B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45F911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969A8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75DE7F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271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59C295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208-1</w:t>
            </w:r>
          </w:p>
        </w:tc>
        <w:tc>
          <w:tcPr>
            <w:tcW w:w="4732" w:type="dxa"/>
            <w:noWrap w:val="0"/>
            <w:vAlign w:val="center"/>
          </w:tcPr>
          <w:p w14:paraId="3900068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护坡垫层</w:t>
            </w:r>
          </w:p>
        </w:tc>
        <w:tc>
          <w:tcPr>
            <w:tcW w:w="749" w:type="dxa"/>
            <w:noWrap w:val="0"/>
            <w:vAlign w:val="center"/>
          </w:tcPr>
          <w:p w14:paraId="5B04E41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7B547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79DF8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791827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8F6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D73F51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208-2</w:t>
            </w:r>
          </w:p>
        </w:tc>
        <w:tc>
          <w:tcPr>
            <w:tcW w:w="4732" w:type="dxa"/>
            <w:noWrap w:val="0"/>
            <w:vAlign w:val="center"/>
          </w:tcPr>
          <w:p w14:paraId="2AAC3D4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干砌片石护坡</w:t>
            </w:r>
          </w:p>
        </w:tc>
        <w:tc>
          <w:tcPr>
            <w:tcW w:w="749" w:type="dxa"/>
            <w:noWrap w:val="0"/>
            <w:vAlign w:val="center"/>
          </w:tcPr>
          <w:p w14:paraId="5C522F9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EAC22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D1BDC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8DC21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E33F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6A14AD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208-3</w:t>
            </w:r>
          </w:p>
        </w:tc>
        <w:tc>
          <w:tcPr>
            <w:tcW w:w="4732" w:type="dxa"/>
            <w:noWrap w:val="0"/>
            <w:vAlign w:val="center"/>
          </w:tcPr>
          <w:p w14:paraId="1DBEF17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浆砌片石护坡</w:t>
            </w:r>
          </w:p>
        </w:tc>
        <w:tc>
          <w:tcPr>
            <w:tcW w:w="749" w:type="dxa"/>
            <w:noWrap w:val="0"/>
            <w:vAlign w:val="center"/>
          </w:tcPr>
          <w:p w14:paraId="271DE87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1F7C662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47F31A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77FF1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BFD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285B1B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4103FEE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满铺浆砌片石护坡</w:t>
            </w:r>
          </w:p>
        </w:tc>
        <w:tc>
          <w:tcPr>
            <w:tcW w:w="749" w:type="dxa"/>
            <w:noWrap w:val="0"/>
            <w:vAlign w:val="center"/>
          </w:tcPr>
          <w:p w14:paraId="75E1187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247685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09D38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97FD84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EE8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F6E209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19E9D4F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浆砌骨架护坡</w:t>
            </w:r>
          </w:p>
        </w:tc>
        <w:tc>
          <w:tcPr>
            <w:tcW w:w="749" w:type="dxa"/>
            <w:noWrap w:val="0"/>
            <w:vAlign w:val="center"/>
          </w:tcPr>
          <w:p w14:paraId="3C4077E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4C6463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077E5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FB128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108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64" w:type="dxa"/>
            <w:tcBorders>
              <w:left w:val="single" w:color="auto" w:sz="12" w:space="0"/>
            </w:tcBorders>
            <w:noWrap w:val="0"/>
            <w:vAlign w:val="center"/>
          </w:tcPr>
          <w:p w14:paraId="1299671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652921E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w:t>
            </w:r>
          </w:p>
        </w:tc>
        <w:tc>
          <w:tcPr>
            <w:tcW w:w="749" w:type="dxa"/>
            <w:noWrap w:val="0"/>
            <w:vAlign w:val="center"/>
          </w:tcPr>
          <w:p w14:paraId="449FFEC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A581F7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56850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4269B7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00E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DAED39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208-4</w:t>
            </w:r>
          </w:p>
        </w:tc>
        <w:tc>
          <w:tcPr>
            <w:tcW w:w="4732" w:type="dxa"/>
            <w:noWrap w:val="0"/>
            <w:vAlign w:val="center"/>
          </w:tcPr>
          <w:p w14:paraId="1EDE90D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混凝土护坡</w:t>
            </w:r>
          </w:p>
        </w:tc>
        <w:tc>
          <w:tcPr>
            <w:tcW w:w="749" w:type="dxa"/>
            <w:noWrap w:val="0"/>
            <w:vAlign w:val="center"/>
          </w:tcPr>
          <w:p w14:paraId="670AF7C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36EB3EE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C59C5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E59F6A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F4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8E71D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5BCD7C3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现浇混凝土满铺护坡</w:t>
            </w:r>
          </w:p>
        </w:tc>
        <w:tc>
          <w:tcPr>
            <w:tcW w:w="749" w:type="dxa"/>
            <w:noWrap w:val="0"/>
            <w:vAlign w:val="center"/>
          </w:tcPr>
          <w:p w14:paraId="1DC6162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3F38F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41E69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EEB54B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D6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7A671C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509904D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混凝土预制件满铺护坡</w:t>
            </w:r>
          </w:p>
        </w:tc>
        <w:tc>
          <w:tcPr>
            <w:tcW w:w="749" w:type="dxa"/>
            <w:noWrap w:val="0"/>
            <w:vAlign w:val="center"/>
          </w:tcPr>
          <w:p w14:paraId="2AD7E47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2B6BA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6E16D2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C3B48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F2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6673E9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47A3FF6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现浇混凝土骨架护坡</w:t>
            </w:r>
          </w:p>
        </w:tc>
        <w:tc>
          <w:tcPr>
            <w:tcW w:w="749" w:type="dxa"/>
            <w:noWrap w:val="0"/>
            <w:vAlign w:val="center"/>
          </w:tcPr>
          <w:p w14:paraId="3189F03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573FA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8C1A6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694CA8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6D9F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8AEB3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72E5F17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混凝土预制件骨架护坡</w:t>
            </w:r>
          </w:p>
        </w:tc>
        <w:tc>
          <w:tcPr>
            <w:tcW w:w="749" w:type="dxa"/>
            <w:noWrap w:val="0"/>
            <w:vAlign w:val="center"/>
          </w:tcPr>
          <w:p w14:paraId="1F866CA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9C8605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9F172B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18C66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EA7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6210D8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35C8A3B7">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浆砌片石</w:t>
            </w:r>
          </w:p>
        </w:tc>
        <w:tc>
          <w:tcPr>
            <w:tcW w:w="749" w:type="dxa"/>
            <w:noWrap w:val="0"/>
            <w:vAlign w:val="center"/>
          </w:tcPr>
          <w:p w14:paraId="0367471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070B6B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BC14A5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283016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6E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837E27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208-5</w:t>
            </w:r>
          </w:p>
        </w:tc>
        <w:tc>
          <w:tcPr>
            <w:tcW w:w="4732" w:type="dxa"/>
            <w:noWrap w:val="0"/>
            <w:vAlign w:val="center"/>
          </w:tcPr>
          <w:p w14:paraId="50CAC74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护面墙</w:t>
            </w:r>
          </w:p>
        </w:tc>
        <w:tc>
          <w:tcPr>
            <w:tcW w:w="749" w:type="dxa"/>
            <w:noWrap w:val="0"/>
            <w:vAlign w:val="center"/>
          </w:tcPr>
          <w:p w14:paraId="62C9BB3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4C1FFE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C59A6E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A7190C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695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B8169D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21B30C1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浆砌片（块）石护面墙</w:t>
            </w:r>
          </w:p>
        </w:tc>
        <w:tc>
          <w:tcPr>
            <w:tcW w:w="749" w:type="dxa"/>
            <w:noWrap w:val="0"/>
            <w:vAlign w:val="center"/>
          </w:tcPr>
          <w:p w14:paraId="26F6AEE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DEC247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DB9E0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35D588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179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1CB25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08BCC8A0">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现浇混凝土护面墙</w:t>
            </w:r>
          </w:p>
        </w:tc>
        <w:tc>
          <w:tcPr>
            <w:tcW w:w="749" w:type="dxa"/>
            <w:noWrap w:val="0"/>
            <w:vAlign w:val="center"/>
          </w:tcPr>
          <w:p w14:paraId="67D201D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5EE70F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7768C4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166A5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D8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B6E68A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1AB086F7">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预制安装混凝土护面墙</w:t>
            </w:r>
          </w:p>
        </w:tc>
        <w:tc>
          <w:tcPr>
            <w:tcW w:w="749" w:type="dxa"/>
            <w:noWrap w:val="0"/>
            <w:vAlign w:val="center"/>
          </w:tcPr>
          <w:p w14:paraId="7F2BF92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01C30D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DF9B4C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76ED43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C1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80BD5A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208-6</w:t>
            </w:r>
          </w:p>
        </w:tc>
        <w:tc>
          <w:tcPr>
            <w:tcW w:w="4732" w:type="dxa"/>
            <w:noWrap w:val="0"/>
            <w:vAlign w:val="center"/>
          </w:tcPr>
          <w:p w14:paraId="5BA3DB5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封面</w:t>
            </w:r>
          </w:p>
        </w:tc>
        <w:tc>
          <w:tcPr>
            <w:tcW w:w="749" w:type="dxa"/>
            <w:noWrap w:val="0"/>
            <w:vAlign w:val="center"/>
          </w:tcPr>
          <w:p w14:paraId="19B4D73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4EC648F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7712B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A44A9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B15D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509C2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4AF1445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封面</w:t>
            </w:r>
          </w:p>
        </w:tc>
        <w:tc>
          <w:tcPr>
            <w:tcW w:w="749" w:type="dxa"/>
            <w:noWrap w:val="0"/>
            <w:vAlign w:val="center"/>
          </w:tcPr>
          <w:p w14:paraId="27A7477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688B5E9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50A63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3D7F8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DB6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07D1C3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208-7</w:t>
            </w:r>
          </w:p>
        </w:tc>
        <w:tc>
          <w:tcPr>
            <w:tcW w:w="4732" w:type="dxa"/>
            <w:noWrap w:val="0"/>
            <w:vAlign w:val="center"/>
          </w:tcPr>
          <w:p w14:paraId="3CD2D1B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捶面</w:t>
            </w:r>
          </w:p>
        </w:tc>
        <w:tc>
          <w:tcPr>
            <w:tcW w:w="749" w:type="dxa"/>
            <w:noWrap w:val="0"/>
            <w:vAlign w:val="center"/>
          </w:tcPr>
          <w:p w14:paraId="3C61CBE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AE240E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4BBB6B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472A0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4D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F61D8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792492F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捶面</w:t>
            </w:r>
          </w:p>
        </w:tc>
        <w:tc>
          <w:tcPr>
            <w:tcW w:w="749" w:type="dxa"/>
            <w:noWrap w:val="0"/>
            <w:vAlign w:val="center"/>
          </w:tcPr>
          <w:p w14:paraId="31F6801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2D2A8C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E70178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05F5F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FE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094C06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208-8</w:t>
            </w:r>
          </w:p>
        </w:tc>
        <w:tc>
          <w:tcPr>
            <w:tcW w:w="4732" w:type="dxa"/>
            <w:noWrap w:val="0"/>
            <w:vAlign w:val="center"/>
          </w:tcPr>
          <w:p w14:paraId="01B08467">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坡面柔性防护</w:t>
            </w:r>
          </w:p>
        </w:tc>
        <w:tc>
          <w:tcPr>
            <w:tcW w:w="749" w:type="dxa"/>
            <w:noWrap w:val="0"/>
            <w:vAlign w:val="center"/>
          </w:tcPr>
          <w:p w14:paraId="578F0B3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7C1F83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EC3745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6E7D18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39E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A599AD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3E5205C4">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主动防护系统</w:t>
            </w:r>
          </w:p>
        </w:tc>
        <w:tc>
          <w:tcPr>
            <w:tcW w:w="749" w:type="dxa"/>
            <w:noWrap w:val="0"/>
            <w:vAlign w:val="center"/>
          </w:tcPr>
          <w:p w14:paraId="3174170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535B467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47FB51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CA511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9C4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F0B475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7335758D">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被动防护系统</w:t>
            </w:r>
          </w:p>
        </w:tc>
        <w:tc>
          <w:tcPr>
            <w:tcW w:w="749" w:type="dxa"/>
            <w:noWrap w:val="0"/>
            <w:vAlign w:val="center"/>
          </w:tcPr>
          <w:p w14:paraId="29C01A3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037510B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BFD38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3C06E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996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EE99B19">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209</w:t>
            </w:r>
          </w:p>
        </w:tc>
        <w:tc>
          <w:tcPr>
            <w:tcW w:w="4732" w:type="dxa"/>
            <w:noWrap w:val="0"/>
            <w:vAlign w:val="center"/>
          </w:tcPr>
          <w:p w14:paraId="1099F966">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挡土墙</w:t>
            </w:r>
          </w:p>
        </w:tc>
        <w:tc>
          <w:tcPr>
            <w:tcW w:w="749" w:type="dxa"/>
            <w:noWrap w:val="0"/>
            <w:vAlign w:val="center"/>
          </w:tcPr>
          <w:p w14:paraId="45B4A79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0CA3F81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C5BF0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7FEF0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EFA1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B5745A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209-1</w:t>
            </w:r>
          </w:p>
        </w:tc>
        <w:tc>
          <w:tcPr>
            <w:tcW w:w="4732" w:type="dxa"/>
            <w:noWrap w:val="0"/>
            <w:vAlign w:val="center"/>
          </w:tcPr>
          <w:p w14:paraId="291EF97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垫层</w:t>
            </w:r>
          </w:p>
        </w:tc>
        <w:tc>
          <w:tcPr>
            <w:tcW w:w="749" w:type="dxa"/>
            <w:noWrap w:val="0"/>
            <w:vAlign w:val="center"/>
          </w:tcPr>
          <w:p w14:paraId="21F3F1A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030787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F835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B8160D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13B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ECB2AE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209-2</w:t>
            </w:r>
          </w:p>
        </w:tc>
        <w:tc>
          <w:tcPr>
            <w:tcW w:w="4732" w:type="dxa"/>
            <w:noWrap w:val="0"/>
            <w:vAlign w:val="center"/>
          </w:tcPr>
          <w:p w14:paraId="4D87F78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基础</w:t>
            </w:r>
          </w:p>
        </w:tc>
        <w:tc>
          <w:tcPr>
            <w:tcW w:w="749" w:type="dxa"/>
            <w:noWrap w:val="0"/>
            <w:vAlign w:val="center"/>
          </w:tcPr>
          <w:p w14:paraId="1A872BE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3099C53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7DC07F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A1B87E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0F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B883D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70C69E1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浆砌片（块）石基础</w:t>
            </w:r>
          </w:p>
        </w:tc>
        <w:tc>
          <w:tcPr>
            <w:tcW w:w="749" w:type="dxa"/>
            <w:noWrap w:val="0"/>
            <w:vAlign w:val="center"/>
          </w:tcPr>
          <w:p w14:paraId="0A4A528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A37923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805BB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782CB2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619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4BBFA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1C1E398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混凝土基础</w:t>
            </w:r>
          </w:p>
        </w:tc>
        <w:tc>
          <w:tcPr>
            <w:tcW w:w="749" w:type="dxa"/>
            <w:noWrap w:val="0"/>
            <w:vAlign w:val="center"/>
          </w:tcPr>
          <w:p w14:paraId="0BFD621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7AB4EE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1BE04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FF61C1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5CA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0DA320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209-3</w:t>
            </w:r>
          </w:p>
        </w:tc>
        <w:tc>
          <w:tcPr>
            <w:tcW w:w="4732" w:type="dxa"/>
            <w:noWrap w:val="0"/>
            <w:vAlign w:val="center"/>
          </w:tcPr>
          <w:p w14:paraId="19B9AC89">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砌体挡土墙</w:t>
            </w:r>
          </w:p>
        </w:tc>
        <w:tc>
          <w:tcPr>
            <w:tcW w:w="749" w:type="dxa"/>
            <w:noWrap w:val="0"/>
            <w:vAlign w:val="center"/>
          </w:tcPr>
          <w:p w14:paraId="169497D9">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4F925E2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DF8A5F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BA3A3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B27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4D2AFE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086392F9">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浆砌片（块）石</w:t>
            </w:r>
          </w:p>
        </w:tc>
        <w:tc>
          <w:tcPr>
            <w:tcW w:w="749" w:type="dxa"/>
            <w:noWrap w:val="0"/>
            <w:vAlign w:val="center"/>
          </w:tcPr>
          <w:p w14:paraId="49B537F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891A8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DED7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4BD82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8BA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E0FEE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209-4</w:t>
            </w:r>
          </w:p>
        </w:tc>
        <w:tc>
          <w:tcPr>
            <w:tcW w:w="4732" w:type="dxa"/>
            <w:noWrap w:val="0"/>
            <w:vAlign w:val="center"/>
          </w:tcPr>
          <w:p w14:paraId="417E3F95">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干砌挡土墙</w:t>
            </w:r>
          </w:p>
        </w:tc>
        <w:tc>
          <w:tcPr>
            <w:tcW w:w="749" w:type="dxa"/>
            <w:noWrap w:val="0"/>
            <w:vAlign w:val="center"/>
          </w:tcPr>
          <w:p w14:paraId="32473A3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A0B134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8D7C0F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A310B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39A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446D062">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209-5</w:t>
            </w:r>
          </w:p>
        </w:tc>
        <w:tc>
          <w:tcPr>
            <w:tcW w:w="4732" w:type="dxa"/>
            <w:noWrap w:val="0"/>
            <w:vAlign w:val="center"/>
          </w:tcPr>
          <w:p w14:paraId="0DE0F4A1">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混凝土挡土墙</w:t>
            </w:r>
          </w:p>
        </w:tc>
        <w:tc>
          <w:tcPr>
            <w:tcW w:w="749" w:type="dxa"/>
            <w:noWrap w:val="0"/>
            <w:vAlign w:val="center"/>
          </w:tcPr>
          <w:p w14:paraId="708C416F">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23D028C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3E91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810CE5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E86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DF4C84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18F0419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w:t>
            </w:r>
          </w:p>
        </w:tc>
        <w:tc>
          <w:tcPr>
            <w:tcW w:w="749" w:type="dxa"/>
            <w:noWrap w:val="0"/>
            <w:vAlign w:val="center"/>
          </w:tcPr>
          <w:p w14:paraId="2BBEECF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2B3FDC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B571F7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B3AEB5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14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D34046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722AD36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center"/>
          </w:tcPr>
          <w:p w14:paraId="63883EA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ACA17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7C0533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7EBE9A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E2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4F89A2">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210</w:t>
            </w:r>
          </w:p>
        </w:tc>
        <w:tc>
          <w:tcPr>
            <w:tcW w:w="4732" w:type="dxa"/>
            <w:noWrap w:val="0"/>
            <w:vAlign w:val="center"/>
          </w:tcPr>
          <w:p w14:paraId="420D53FD">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锚杆、锚定板挡土墙</w:t>
            </w:r>
          </w:p>
        </w:tc>
        <w:tc>
          <w:tcPr>
            <w:tcW w:w="749" w:type="dxa"/>
            <w:noWrap w:val="0"/>
            <w:vAlign w:val="center"/>
          </w:tcPr>
          <w:p w14:paraId="56A332BD">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6860D09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099670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B7F17B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6D4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36442DA">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210-1</w:t>
            </w:r>
          </w:p>
        </w:tc>
        <w:tc>
          <w:tcPr>
            <w:tcW w:w="4732" w:type="dxa"/>
            <w:noWrap w:val="0"/>
            <w:vAlign w:val="center"/>
          </w:tcPr>
          <w:p w14:paraId="52C95BBC">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锚杆挡土墙</w:t>
            </w:r>
          </w:p>
        </w:tc>
        <w:tc>
          <w:tcPr>
            <w:tcW w:w="749" w:type="dxa"/>
            <w:noWrap w:val="0"/>
            <w:vAlign w:val="center"/>
          </w:tcPr>
          <w:p w14:paraId="76855E3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7D519CF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74FE0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594027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879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212F80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476BD6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现浇混凝土立柱</w:t>
            </w:r>
          </w:p>
        </w:tc>
        <w:tc>
          <w:tcPr>
            <w:tcW w:w="749" w:type="dxa"/>
            <w:noWrap w:val="0"/>
            <w:vAlign w:val="center"/>
          </w:tcPr>
          <w:p w14:paraId="65D3B9A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2C2BF8F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E26C4C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70822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E7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1FB1FE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6D1CE01A">
            <w:pPr>
              <w:pageBreakBefore w:val="0"/>
              <w:widowControl/>
              <w:kinsoku/>
              <w:wordWrap w:val="0"/>
              <w:bidi w:val="0"/>
              <w:spacing w:line="36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预制安装</w:t>
            </w:r>
            <w:r>
              <w:rPr>
                <w:rFonts w:hint="default" w:ascii="Times New Roman" w:hAnsi="Times New Roman" w:cs="Times New Roman"/>
                <w:color w:val="auto"/>
                <w:szCs w:val="21"/>
                <w:highlight w:val="none"/>
              </w:rPr>
              <w:t>混凝土立柱</w:t>
            </w:r>
          </w:p>
        </w:tc>
        <w:tc>
          <w:tcPr>
            <w:tcW w:w="749" w:type="dxa"/>
            <w:noWrap w:val="0"/>
            <w:vAlign w:val="center"/>
          </w:tcPr>
          <w:p w14:paraId="0FAAF1A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46C0C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5EEF3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B142A9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2F0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07016A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2EEE9C2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w:t>
            </w:r>
            <w:r>
              <w:rPr>
                <w:rFonts w:hint="default" w:ascii="Times New Roman" w:hAnsi="Times New Roman" w:cs="Times New Roman"/>
                <w:color w:val="auto"/>
                <w:szCs w:val="21"/>
                <w:highlight w:val="none"/>
              </w:rPr>
              <w:t>混凝土挡板</w:t>
            </w:r>
          </w:p>
        </w:tc>
        <w:tc>
          <w:tcPr>
            <w:tcW w:w="749" w:type="dxa"/>
            <w:noWrap w:val="0"/>
            <w:vAlign w:val="center"/>
          </w:tcPr>
          <w:p w14:paraId="2F2FD15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2DBC352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02D586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CF542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70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DE56AF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210-2</w:t>
            </w:r>
          </w:p>
        </w:tc>
        <w:tc>
          <w:tcPr>
            <w:tcW w:w="4732" w:type="dxa"/>
            <w:noWrap w:val="0"/>
            <w:vAlign w:val="center"/>
          </w:tcPr>
          <w:p w14:paraId="2C26B15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锚定板挡土墙</w:t>
            </w:r>
          </w:p>
        </w:tc>
        <w:tc>
          <w:tcPr>
            <w:tcW w:w="749" w:type="dxa"/>
            <w:noWrap w:val="0"/>
            <w:vAlign w:val="center"/>
          </w:tcPr>
          <w:p w14:paraId="4812A8F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4A0C83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732FF0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C54E30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3CE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4C0BAE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1F443C4F">
            <w:pPr>
              <w:pageBreakBefore w:val="0"/>
              <w:widowControl/>
              <w:kinsoku/>
              <w:wordWrap w:val="0"/>
              <w:bidi w:val="0"/>
              <w:spacing w:line="36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现浇混凝土肋柱</w:t>
            </w:r>
          </w:p>
        </w:tc>
        <w:tc>
          <w:tcPr>
            <w:tcW w:w="749" w:type="dxa"/>
            <w:noWrap w:val="0"/>
            <w:vAlign w:val="center"/>
          </w:tcPr>
          <w:p w14:paraId="4F980D3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A19397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513F80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7D0AB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CE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BB9885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7E61569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预制安装混凝土肋柱</w:t>
            </w:r>
          </w:p>
        </w:tc>
        <w:tc>
          <w:tcPr>
            <w:tcW w:w="749" w:type="dxa"/>
            <w:noWrap w:val="0"/>
            <w:vAlign w:val="center"/>
          </w:tcPr>
          <w:p w14:paraId="1AB3ABA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1CA675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23E60F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E103AA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85E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D7DEF0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42F13219">
            <w:pPr>
              <w:pageBreakBefore w:val="0"/>
              <w:widowControl/>
              <w:kinsoku/>
              <w:wordWrap w:val="0"/>
              <w:bidi w:val="0"/>
              <w:spacing w:line="36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预制安装混凝土锚定板</w:t>
            </w:r>
          </w:p>
        </w:tc>
        <w:tc>
          <w:tcPr>
            <w:tcW w:w="749" w:type="dxa"/>
            <w:noWrap w:val="0"/>
            <w:vAlign w:val="center"/>
          </w:tcPr>
          <w:p w14:paraId="091BD61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E7CCDA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AE86F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3D6394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FC8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F6295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210-3</w:t>
            </w:r>
          </w:p>
        </w:tc>
        <w:tc>
          <w:tcPr>
            <w:tcW w:w="4732" w:type="dxa"/>
            <w:noWrap w:val="0"/>
            <w:vAlign w:val="center"/>
          </w:tcPr>
          <w:p w14:paraId="6ED83EA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现浇墙身混凝土、附属部位混凝土</w:t>
            </w:r>
          </w:p>
        </w:tc>
        <w:tc>
          <w:tcPr>
            <w:tcW w:w="749" w:type="dxa"/>
            <w:noWrap w:val="0"/>
            <w:vAlign w:val="center"/>
          </w:tcPr>
          <w:p w14:paraId="2E151DF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7D3135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D3D818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DAB44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B4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40A015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76B4C00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现浇混凝土墙身</w:t>
            </w:r>
          </w:p>
        </w:tc>
        <w:tc>
          <w:tcPr>
            <w:tcW w:w="749" w:type="dxa"/>
            <w:noWrap w:val="0"/>
            <w:vAlign w:val="center"/>
          </w:tcPr>
          <w:p w14:paraId="1EDC73B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ACC64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D115D8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6B52BA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F5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7D8309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6CA4775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现浇附属部位混凝土</w:t>
            </w:r>
          </w:p>
        </w:tc>
        <w:tc>
          <w:tcPr>
            <w:tcW w:w="749" w:type="dxa"/>
            <w:noWrap w:val="0"/>
            <w:vAlign w:val="center"/>
          </w:tcPr>
          <w:p w14:paraId="317E429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E24D66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B8581F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F688CC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85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68C492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210-4</w:t>
            </w:r>
          </w:p>
        </w:tc>
        <w:tc>
          <w:tcPr>
            <w:tcW w:w="4732" w:type="dxa"/>
            <w:noWrap w:val="0"/>
            <w:vAlign w:val="center"/>
          </w:tcPr>
          <w:p w14:paraId="508E225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现浇桩基混凝土</w:t>
            </w:r>
          </w:p>
        </w:tc>
        <w:tc>
          <w:tcPr>
            <w:tcW w:w="749" w:type="dxa"/>
            <w:noWrap w:val="0"/>
            <w:vAlign w:val="center"/>
          </w:tcPr>
          <w:p w14:paraId="25E111C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2969D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2C7A9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554B0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E44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FB52369">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210-5</w:t>
            </w:r>
          </w:p>
        </w:tc>
        <w:tc>
          <w:tcPr>
            <w:tcW w:w="4732" w:type="dxa"/>
            <w:noWrap w:val="0"/>
            <w:vAlign w:val="center"/>
          </w:tcPr>
          <w:p w14:paraId="31EED4BB">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锚杆及拉杆</w:t>
            </w:r>
          </w:p>
        </w:tc>
        <w:tc>
          <w:tcPr>
            <w:tcW w:w="749" w:type="dxa"/>
            <w:noWrap w:val="0"/>
            <w:vAlign w:val="center"/>
          </w:tcPr>
          <w:p w14:paraId="4FEEBDF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52F760A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6F8F3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E6633E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E294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DEFE66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7CB7642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锚杆</w:t>
            </w:r>
          </w:p>
        </w:tc>
        <w:tc>
          <w:tcPr>
            <w:tcW w:w="749" w:type="dxa"/>
            <w:noWrap w:val="0"/>
            <w:vAlign w:val="center"/>
          </w:tcPr>
          <w:p w14:paraId="394A669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4CA9B44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2A9D66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F3E46E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7EF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CD5573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6BF651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拉杆</w:t>
            </w:r>
          </w:p>
        </w:tc>
        <w:tc>
          <w:tcPr>
            <w:tcW w:w="749" w:type="dxa"/>
            <w:noWrap w:val="0"/>
            <w:vAlign w:val="center"/>
          </w:tcPr>
          <w:p w14:paraId="0B11905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375383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E6F5CB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48C78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DD3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15CA9D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210-6</w:t>
            </w:r>
          </w:p>
        </w:tc>
        <w:tc>
          <w:tcPr>
            <w:tcW w:w="4732" w:type="dxa"/>
            <w:noWrap w:val="0"/>
            <w:vAlign w:val="center"/>
          </w:tcPr>
          <w:p w14:paraId="5843DD6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center"/>
          </w:tcPr>
          <w:p w14:paraId="3EE407E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23C349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EEA7E3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F5328F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F8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A3905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211</w:t>
            </w:r>
          </w:p>
        </w:tc>
        <w:tc>
          <w:tcPr>
            <w:tcW w:w="4732" w:type="dxa"/>
            <w:noWrap w:val="0"/>
            <w:vAlign w:val="center"/>
          </w:tcPr>
          <w:p w14:paraId="6B66D13A">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加筋土挡土墙</w:t>
            </w:r>
          </w:p>
        </w:tc>
        <w:tc>
          <w:tcPr>
            <w:tcW w:w="749" w:type="dxa"/>
            <w:noWrap w:val="0"/>
            <w:vAlign w:val="center"/>
          </w:tcPr>
          <w:p w14:paraId="21565ED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734654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D24EE8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DE9496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C5A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30D781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211-1</w:t>
            </w:r>
          </w:p>
        </w:tc>
        <w:tc>
          <w:tcPr>
            <w:tcW w:w="4732" w:type="dxa"/>
            <w:noWrap w:val="0"/>
            <w:vAlign w:val="center"/>
          </w:tcPr>
          <w:p w14:paraId="3C19AB9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基础</w:t>
            </w:r>
          </w:p>
        </w:tc>
        <w:tc>
          <w:tcPr>
            <w:tcW w:w="749" w:type="dxa"/>
            <w:noWrap w:val="0"/>
            <w:vAlign w:val="center"/>
          </w:tcPr>
          <w:p w14:paraId="6D82FD0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7EF6309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CA5902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08368B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D0C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CB8120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50B4DD0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浆砌片石基础</w:t>
            </w:r>
          </w:p>
        </w:tc>
        <w:tc>
          <w:tcPr>
            <w:tcW w:w="749" w:type="dxa"/>
            <w:noWrap w:val="0"/>
            <w:vAlign w:val="center"/>
          </w:tcPr>
          <w:p w14:paraId="14DF8B9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FC4AD7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AFAD14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3AD287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50B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C6C233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68860CB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混凝土基础</w:t>
            </w:r>
          </w:p>
        </w:tc>
        <w:tc>
          <w:tcPr>
            <w:tcW w:w="749" w:type="dxa"/>
            <w:noWrap w:val="0"/>
            <w:vAlign w:val="center"/>
          </w:tcPr>
          <w:p w14:paraId="48EDF11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8F6261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685AC3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707CEF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2520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AA9591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211-2</w:t>
            </w:r>
          </w:p>
        </w:tc>
        <w:tc>
          <w:tcPr>
            <w:tcW w:w="4732" w:type="dxa"/>
            <w:noWrap w:val="0"/>
            <w:vAlign w:val="center"/>
          </w:tcPr>
          <w:p w14:paraId="1143C4A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混凝土帽石</w:t>
            </w:r>
          </w:p>
        </w:tc>
        <w:tc>
          <w:tcPr>
            <w:tcW w:w="749" w:type="dxa"/>
            <w:noWrap w:val="0"/>
            <w:vAlign w:val="center"/>
          </w:tcPr>
          <w:p w14:paraId="15022C3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5E3CAB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B7A5B0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7E288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7EE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855BC7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57317F6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现浇帽石混凝土</w:t>
            </w:r>
          </w:p>
        </w:tc>
        <w:tc>
          <w:tcPr>
            <w:tcW w:w="749" w:type="dxa"/>
            <w:noWrap w:val="0"/>
            <w:vAlign w:val="center"/>
          </w:tcPr>
          <w:p w14:paraId="6A3A74E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78111E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48DB74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2C7A74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5A7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565128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211-3</w:t>
            </w:r>
          </w:p>
        </w:tc>
        <w:tc>
          <w:tcPr>
            <w:tcW w:w="4732" w:type="dxa"/>
            <w:noWrap w:val="0"/>
            <w:vAlign w:val="center"/>
          </w:tcPr>
          <w:p w14:paraId="6D0B382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预制安装混凝土墙面板</w:t>
            </w:r>
          </w:p>
        </w:tc>
        <w:tc>
          <w:tcPr>
            <w:tcW w:w="749" w:type="dxa"/>
            <w:noWrap w:val="0"/>
            <w:vAlign w:val="center"/>
          </w:tcPr>
          <w:p w14:paraId="7BE1E9A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A3521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6420A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67DFF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C3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90E824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211-4</w:t>
            </w:r>
          </w:p>
        </w:tc>
        <w:tc>
          <w:tcPr>
            <w:tcW w:w="4732" w:type="dxa"/>
            <w:noWrap w:val="0"/>
            <w:vAlign w:val="center"/>
          </w:tcPr>
          <w:p w14:paraId="448E6C6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加筋带</w:t>
            </w:r>
          </w:p>
        </w:tc>
        <w:tc>
          <w:tcPr>
            <w:tcW w:w="749" w:type="dxa"/>
            <w:noWrap w:val="0"/>
            <w:vAlign w:val="center"/>
          </w:tcPr>
          <w:p w14:paraId="677C5C0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662554E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580332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F3845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5B0C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EA84DD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3E13211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扁钢带</w:t>
            </w:r>
          </w:p>
        </w:tc>
        <w:tc>
          <w:tcPr>
            <w:tcW w:w="749" w:type="dxa"/>
            <w:noWrap w:val="0"/>
            <w:vAlign w:val="center"/>
          </w:tcPr>
          <w:p w14:paraId="6380E3E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532F139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19D30B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2D45A9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F593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F59B2A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AC9454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钢筋混凝土带</w:t>
            </w:r>
          </w:p>
        </w:tc>
        <w:tc>
          <w:tcPr>
            <w:tcW w:w="749" w:type="dxa"/>
            <w:noWrap w:val="0"/>
            <w:vAlign w:val="center"/>
          </w:tcPr>
          <w:p w14:paraId="53F0B3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20C6A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4A6C0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D3DC02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FB5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48F20B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20B7086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塑钢复合带</w:t>
            </w:r>
          </w:p>
        </w:tc>
        <w:tc>
          <w:tcPr>
            <w:tcW w:w="749" w:type="dxa"/>
            <w:noWrap w:val="0"/>
            <w:vAlign w:val="center"/>
          </w:tcPr>
          <w:p w14:paraId="608A28B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6719D2D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5A2E1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4AF7FE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6950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CD2DB7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43A765E7">
            <w:pPr>
              <w:pageBreakBefore w:val="0"/>
              <w:widowControl/>
              <w:kinsoku/>
              <w:wordWrap w:val="0"/>
              <w:bidi w:val="0"/>
              <w:spacing w:line="360" w:lineRule="atLeast"/>
              <w:jc w:val="lef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塑料土工格栅</w:t>
            </w:r>
          </w:p>
        </w:tc>
        <w:tc>
          <w:tcPr>
            <w:tcW w:w="749" w:type="dxa"/>
            <w:noWrap w:val="0"/>
            <w:vAlign w:val="center"/>
          </w:tcPr>
          <w:p w14:paraId="0FB458C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1EE920C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BA1D8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20A2B2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C23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6EA409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22FE28FC">
            <w:pPr>
              <w:pageBreakBefore w:val="0"/>
              <w:widowControl/>
              <w:kinsoku/>
              <w:wordWrap w:val="0"/>
              <w:bidi w:val="0"/>
              <w:spacing w:line="360" w:lineRule="atLeast"/>
              <w:jc w:val="lef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聚丙烯土工带</w:t>
            </w:r>
          </w:p>
        </w:tc>
        <w:tc>
          <w:tcPr>
            <w:tcW w:w="749" w:type="dxa"/>
            <w:noWrap w:val="0"/>
            <w:vAlign w:val="center"/>
          </w:tcPr>
          <w:p w14:paraId="58FFFB8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5B59988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1E489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9167A6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29C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5DF8B1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211-5</w:t>
            </w:r>
          </w:p>
        </w:tc>
        <w:tc>
          <w:tcPr>
            <w:tcW w:w="4732" w:type="dxa"/>
            <w:noWrap w:val="0"/>
            <w:vAlign w:val="center"/>
          </w:tcPr>
          <w:p w14:paraId="7DE6544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center"/>
          </w:tcPr>
          <w:p w14:paraId="1094F43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F28D51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92AB3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D33D97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7D6E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BBF63E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212</w:t>
            </w:r>
          </w:p>
        </w:tc>
        <w:tc>
          <w:tcPr>
            <w:tcW w:w="4732" w:type="dxa"/>
            <w:noWrap w:val="0"/>
            <w:vAlign w:val="center"/>
          </w:tcPr>
          <w:p w14:paraId="4D9E8B9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喷射混凝土和喷浆边坡防护</w:t>
            </w:r>
          </w:p>
        </w:tc>
        <w:tc>
          <w:tcPr>
            <w:tcW w:w="749" w:type="dxa"/>
            <w:noWrap w:val="0"/>
            <w:vAlign w:val="center"/>
          </w:tcPr>
          <w:p w14:paraId="27F58F19">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66F7DAC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2F0778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AFC2C7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C93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F0B161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212-1</w:t>
            </w:r>
          </w:p>
        </w:tc>
        <w:tc>
          <w:tcPr>
            <w:tcW w:w="4732" w:type="dxa"/>
            <w:noWrap w:val="0"/>
            <w:vAlign w:val="center"/>
          </w:tcPr>
          <w:p w14:paraId="58329C9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挂网土工格栅喷浆防护边坡</w:t>
            </w:r>
          </w:p>
        </w:tc>
        <w:tc>
          <w:tcPr>
            <w:tcW w:w="749" w:type="dxa"/>
            <w:noWrap w:val="0"/>
            <w:vAlign w:val="center"/>
          </w:tcPr>
          <w:p w14:paraId="173EEA75">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3ABA3EA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80257E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01363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010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D19C38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21DFC13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喷浆防护边坡</w:t>
            </w:r>
          </w:p>
        </w:tc>
        <w:tc>
          <w:tcPr>
            <w:tcW w:w="749" w:type="dxa"/>
            <w:noWrap w:val="0"/>
            <w:vAlign w:val="center"/>
          </w:tcPr>
          <w:p w14:paraId="07F06E8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09B32A9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A6A40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03BCA3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E04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7B8600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725855F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铁丝网</w:t>
            </w:r>
          </w:p>
        </w:tc>
        <w:tc>
          <w:tcPr>
            <w:tcW w:w="749" w:type="dxa"/>
            <w:noWrap w:val="0"/>
            <w:vAlign w:val="center"/>
          </w:tcPr>
          <w:p w14:paraId="279C68D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C6A505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43371C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9C700D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8A5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31D43C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2CABC7D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土工格栅</w:t>
            </w:r>
          </w:p>
        </w:tc>
        <w:tc>
          <w:tcPr>
            <w:tcW w:w="749" w:type="dxa"/>
            <w:noWrap w:val="0"/>
            <w:vAlign w:val="center"/>
          </w:tcPr>
          <w:p w14:paraId="577EAFC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036142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6771D0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99CC2D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52F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2DC90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576CF0E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锚杆</w:t>
            </w:r>
          </w:p>
        </w:tc>
        <w:tc>
          <w:tcPr>
            <w:tcW w:w="749" w:type="dxa"/>
            <w:noWrap w:val="0"/>
            <w:vAlign w:val="center"/>
          </w:tcPr>
          <w:p w14:paraId="3782258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05F45B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CFE465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D0E02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48C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F10E98D">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212-2</w:t>
            </w:r>
          </w:p>
        </w:tc>
        <w:tc>
          <w:tcPr>
            <w:tcW w:w="4732" w:type="dxa"/>
            <w:noWrap w:val="0"/>
            <w:vAlign w:val="center"/>
          </w:tcPr>
          <w:p w14:paraId="1BEFB56E">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挂网锚喷混凝土防护边坡（全坡面）</w:t>
            </w:r>
          </w:p>
        </w:tc>
        <w:tc>
          <w:tcPr>
            <w:tcW w:w="749" w:type="dxa"/>
            <w:noWrap w:val="0"/>
            <w:vAlign w:val="center"/>
          </w:tcPr>
          <w:p w14:paraId="18149609">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1E1E85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4C09AC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824AE6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90A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93C359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489BDCD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喷射混凝土防护边坡</w:t>
            </w:r>
          </w:p>
        </w:tc>
        <w:tc>
          <w:tcPr>
            <w:tcW w:w="749" w:type="dxa"/>
            <w:noWrap w:val="0"/>
            <w:vAlign w:val="center"/>
          </w:tcPr>
          <w:p w14:paraId="6719D5D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2B34B69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706699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D2A209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E2C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2CD3C8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676458E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钢筋网</w:t>
            </w:r>
          </w:p>
        </w:tc>
        <w:tc>
          <w:tcPr>
            <w:tcW w:w="749" w:type="dxa"/>
            <w:noWrap w:val="0"/>
            <w:vAlign w:val="center"/>
          </w:tcPr>
          <w:p w14:paraId="238757F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A8E5BE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B603DA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4863D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96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E97845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2BCDCBE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铁丝网</w:t>
            </w:r>
          </w:p>
        </w:tc>
        <w:tc>
          <w:tcPr>
            <w:tcW w:w="749" w:type="dxa"/>
            <w:noWrap w:val="0"/>
            <w:vAlign w:val="center"/>
          </w:tcPr>
          <w:p w14:paraId="00A16B4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992BE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3F2D41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B59B4C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E1E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28B155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118C3A6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土工格栅</w:t>
            </w:r>
          </w:p>
        </w:tc>
        <w:tc>
          <w:tcPr>
            <w:tcW w:w="749" w:type="dxa"/>
            <w:noWrap w:val="0"/>
            <w:vAlign w:val="center"/>
          </w:tcPr>
          <w:p w14:paraId="1BC1D12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7D3AD64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CFCCFA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B0AFE5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5D9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7ADA33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2408C43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锚杆</w:t>
            </w:r>
          </w:p>
        </w:tc>
        <w:tc>
          <w:tcPr>
            <w:tcW w:w="749" w:type="dxa"/>
            <w:noWrap w:val="0"/>
            <w:vAlign w:val="center"/>
          </w:tcPr>
          <w:p w14:paraId="5822175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4DAEF2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7B4AB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4D93E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237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441DB06">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212-3</w:t>
            </w:r>
          </w:p>
        </w:tc>
        <w:tc>
          <w:tcPr>
            <w:tcW w:w="4732" w:type="dxa"/>
            <w:noWrap w:val="0"/>
            <w:vAlign w:val="center"/>
          </w:tcPr>
          <w:p w14:paraId="0A9933D8">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坡面防护</w:t>
            </w:r>
          </w:p>
        </w:tc>
        <w:tc>
          <w:tcPr>
            <w:tcW w:w="749" w:type="dxa"/>
            <w:noWrap w:val="0"/>
            <w:vAlign w:val="center"/>
          </w:tcPr>
          <w:p w14:paraId="291ED8D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52C2135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C9BDF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046FD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34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E711F91">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033913AB">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喷浆边坡防护</w:t>
            </w:r>
          </w:p>
        </w:tc>
        <w:tc>
          <w:tcPr>
            <w:tcW w:w="749" w:type="dxa"/>
            <w:noWrap w:val="0"/>
            <w:vAlign w:val="center"/>
          </w:tcPr>
          <w:p w14:paraId="2265A1CF">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4C97081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39572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A8B5C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8A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661CE02">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-b</w:t>
            </w:r>
          </w:p>
        </w:tc>
        <w:tc>
          <w:tcPr>
            <w:tcW w:w="4732" w:type="dxa"/>
            <w:noWrap w:val="0"/>
            <w:vAlign w:val="center"/>
          </w:tcPr>
          <w:p w14:paraId="209A510F">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喷射混凝土</w:t>
            </w:r>
            <w:r>
              <w:rPr>
                <w:rFonts w:hint="default" w:ascii="Times New Roman" w:hAnsi="Times New Roman" w:cs="Times New Roman"/>
                <w:color w:val="auto"/>
                <w:kern w:val="0"/>
                <w:szCs w:val="21"/>
                <w:highlight w:val="none"/>
              </w:rPr>
              <w:t>边坡防护</w:t>
            </w:r>
          </w:p>
        </w:tc>
        <w:tc>
          <w:tcPr>
            <w:tcW w:w="749" w:type="dxa"/>
            <w:noWrap w:val="0"/>
            <w:vAlign w:val="center"/>
          </w:tcPr>
          <w:p w14:paraId="358D9A0A">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vertAlign w:val="superscript"/>
              </w:rPr>
            </w:pPr>
            <w:r>
              <w:rPr>
                <w:rFonts w:hint="default" w:ascii="Times New Roman" w:hAnsi="Times New Roman" w:cs="Times New Roman"/>
                <w:bCs/>
                <w:color w:val="auto"/>
                <w:kern w:val="0"/>
                <w:szCs w:val="21"/>
                <w:highlight w:val="none"/>
              </w:rPr>
              <w:t>m</w:t>
            </w:r>
            <w:r>
              <w:rPr>
                <w:rFonts w:hint="default" w:ascii="Times New Roman" w:hAnsi="Times New Roman" w:cs="Times New Roman"/>
                <w:bCs/>
                <w:color w:val="auto"/>
                <w:kern w:val="0"/>
                <w:szCs w:val="21"/>
                <w:highlight w:val="none"/>
                <w:vertAlign w:val="superscript"/>
              </w:rPr>
              <w:t>2</w:t>
            </w:r>
          </w:p>
        </w:tc>
        <w:tc>
          <w:tcPr>
            <w:tcW w:w="837" w:type="dxa"/>
            <w:noWrap w:val="0"/>
            <w:vAlign w:val="center"/>
          </w:tcPr>
          <w:p w14:paraId="7CA1952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F2AC8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8BBCB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1E1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0F4F514">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212-4</w:t>
            </w:r>
          </w:p>
        </w:tc>
        <w:tc>
          <w:tcPr>
            <w:tcW w:w="4732" w:type="dxa"/>
            <w:noWrap w:val="0"/>
            <w:vAlign w:val="center"/>
          </w:tcPr>
          <w:p w14:paraId="4DE700A4">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土钉支护</w:t>
            </w:r>
          </w:p>
        </w:tc>
        <w:tc>
          <w:tcPr>
            <w:tcW w:w="749" w:type="dxa"/>
            <w:noWrap w:val="0"/>
            <w:vAlign w:val="center"/>
          </w:tcPr>
          <w:p w14:paraId="7BB46E7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2584C98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6932DA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0333C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84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6BABA7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DF7796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钻孔注浆钉</w:t>
            </w:r>
          </w:p>
        </w:tc>
        <w:tc>
          <w:tcPr>
            <w:tcW w:w="749" w:type="dxa"/>
            <w:noWrap w:val="0"/>
            <w:vAlign w:val="center"/>
          </w:tcPr>
          <w:p w14:paraId="007CAEE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D42794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78E42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59EDD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23E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3F13E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6B2D391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击入钉</w:t>
            </w:r>
          </w:p>
        </w:tc>
        <w:tc>
          <w:tcPr>
            <w:tcW w:w="749" w:type="dxa"/>
            <w:noWrap w:val="0"/>
            <w:vAlign w:val="center"/>
          </w:tcPr>
          <w:p w14:paraId="23ABCF8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38323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EDE50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510E53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091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EE0B4E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6FF8398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喷射混凝土</w:t>
            </w:r>
          </w:p>
        </w:tc>
        <w:tc>
          <w:tcPr>
            <w:tcW w:w="749" w:type="dxa"/>
            <w:noWrap w:val="0"/>
            <w:vAlign w:val="center"/>
          </w:tcPr>
          <w:p w14:paraId="20B056B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30260A8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286228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C6B93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667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C4760A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7B320AB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center"/>
          </w:tcPr>
          <w:p w14:paraId="0D33009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677B68C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DB4E3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D79A19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75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6AF368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732" w:type="dxa"/>
            <w:noWrap w:val="0"/>
            <w:vAlign w:val="center"/>
          </w:tcPr>
          <w:p w14:paraId="6721E2E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钢筋网</w:t>
            </w:r>
          </w:p>
        </w:tc>
        <w:tc>
          <w:tcPr>
            <w:tcW w:w="749" w:type="dxa"/>
            <w:noWrap w:val="0"/>
            <w:vAlign w:val="center"/>
          </w:tcPr>
          <w:p w14:paraId="466647C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6F4C9C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5142E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6676D2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ED1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BD821F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732" w:type="dxa"/>
            <w:noWrap w:val="0"/>
            <w:vAlign w:val="center"/>
          </w:tcPr>
          <w:p w14:paraId="4F511F1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网格梁、立柱、挡土板</w:t>
            </w:r>
          </w:p>
        </w:tc>
        <w:tc>
          <w:tcPr>
            <w:tcW w:w="749" w:type="dxa"/>
            <w:noWrap w:val="0"/>
            <w:vAlign w:val="center"/>
          </w:tcPr>
          <w:p w14:paraId="1AD5BDF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23F85E0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1636A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3CE413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D2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FE694A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w:t>
            </w:r>
          </w:p>
        </w:tc>
        <w:tc>
          <w:tcPr>
            <w:tcW w:w="4732" w:type="dxa"/>
            <w:noWrap w:val="0"/>
            <w:vAlign w:val="center"/>
          </w:tcPr>
          <w:p w14:paraId="4D72C14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土工格栅</w:t>
            </w:r>
          </w:p>
        </w:tc>
        <w:tc>
          <w:tcPr>
            <w:tcW w:w="749" w:type="dxa"/>
            <w:noWrap w:val="0"/>
            <w:vAlign w:val="center"/>
          </w:tcPr>
          <w:p w14:paraId="721ED18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2DDCDAB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DCC0C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22F55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3EC8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377C8B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213</w:t>
            </w:r>
          </w:p>
        </w:tc>
        <w:tc>
          <w:tcPr>
            <w:tcW w:w="4732" w:type="dxa"/>
            <w:noWrap w:val="0"/>
            <w:vAlign w:val="center"/>
          </w:tcPr>
          <w:p w14:paraId="6CFCED8E">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预应力锚索边坡加固</w:t>
            </w:r>
          </w:p>
        </w:tc>
        <w:tc>
          <w:tcPr>
            <w:tcW w:w="749" w:type="dxa"/>
            <w:noWrap w:val="0"/>
            <w:vAlign w:val="center"/>
          </w:tcPr>
          <w:p w14:paraId="3E329978">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02B2CE1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8F1F6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1CD4A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ADE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A5E95C">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213-1</w:t>
            </w:r>
          </w:p>
        </w:tc>
        <w:tc>
          <w:tcPr>
            <w:tcW w:w="4732" w:type="dxa"/>
            <w:noWrap w:val="0"/>
            <w:vAlign w:val="center"/>
          </w:tcPr>
          <w:p w14:paraId="42A61030">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预应力钢绞线</w:t>
            </w:r>
          </w:p>
        </w:tc>
        <w:tc>
          <w:tcPr>
            <w:tcW w:w="749" w:type="dxa"/>
            <w:noWrap w:val="0"/>
            <w:vAlign w:val="center"/>
          </w:tcPr>
          <w:p w14:paraId="11553027">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E0DACC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32F5C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566F59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74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B744D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213-2</w:t>
            </w:r>
          </w:p>
        </w:tc>
        <w:tc>
          <w:tcPr>
            <w:tcW w:w="4732" w:type="dxa"/>
            <w:noWrap w:val="0"/>
            <w:vAlign w:val="center"/>
          </w:tcPr>
          <w:p w14:paraId="02EC5BF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无黏结预应力钢绞线</w:t>
            </w:r>
          </w:p>
        </w:tc>
        <w:tc>
          <w:tcPr>
            <w:tcW w:w="749" w:type="dxa"/>
            <w:noWrap w:val="0"/>
            <w:vAlign w:val="center"/>
          </w:tcPr>
          <w:p w14:paraId="35954A8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0A87A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DB5D5B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D90ECF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742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8B42F0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213-3</w:t>
            </w:r>
          </w:p>
        </w:tc>
        <w:tc>
          <w:tcPr>
            <w:tcW w:w="4732" w:type="dxa"/>
            <w:noWrap w:val="0"/>
            <w:vAlign w:val="center"/>
          </w:tcPr>
          <w:p w14:paraId="38C5EB9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锚杆</w:t>
            </w:r>
          </w:p>
        </w:tc>
        <w:tc>
          <w:tcPr>
            <w:tcW w:w="749" w:type="dxa"/>
            <w:noWrap w:val="0"/>
            <w:vAlign w:val="center"/>
          </w:tcPr>
          <w:p w14:paraId="3094420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5AE1FD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B4CC32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E2372F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C26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B1D1B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C77EE0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钢筋锚杆</w:t>
            </w:r>
          </w:p>
        </w:tc>
        <w:tc>
          <w:tcPr>
            <w:tcW w:w="749" w:type="dxa"/>
            <w:noWrap w:val="0"/>
            <w:vAlign w:val="center"/>
          </w:tcPr>
          <w:p w14:paraId="1D9960A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946D4C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683C57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88249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829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3E1FC6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F8935A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预应力钢筋锚杆</w:t>
            </w:r>
          </w:p>
        </w:tc>
        <w:tc>
          <w:tcPr>
            <w:tcW w:w="749" w:type="dxa"/>
            <w:noWrap w:val="0"/>
            <w:vAlign w:val="center"/>
          </w:tcPr>
          <w:p w14:paraId="64BA122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263793E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210F4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97219B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35C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80EC5B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213-4</w:t>
            </w:r>
          </w:p>
        </w:tc>
        <w:tc>
          <w:tcPr>
            <w:tcW w:w="4732" w:type="dxa"/>
            <w:noWrap w:val="0"/>
            <w:vAlign w:val="center"/>
          </w:tcPr>
          <w:p w14:paraId="207D813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混凝土框格梁</w:t>
            </w:r>
          </w:p>
        </w:tc>
        <w:tc>
          <w:tcPr>
            <w:tcW w:w="749" w:type="dxa"/>
            <w:noWrap w:val="0"/>
            <w:vAlign w:val="center"/>
          </w:tcPr>
          <w:p w14:paraId="671986A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F584BA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0F00AF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85CCB4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DAA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FECA30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213-5</w:t>
            </w:r>
          </w:p>
        </w:tc>
        <w:tc>
          <w:tcPr>
            <w:tcW w:w="4732" w:type="dxa"/>
            <w:noWrap w:val="0"/>
            <w:vAlign w:val="center"/>
          </w:tcPr>
          <w:p w14:paraId="24A6590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混凝土锚固板</w:t>
            </w:r>
          </w:p>
        </w:tc>
        <w:tc>
          <w:tcPr>
            <w:tcW w:w="749" w:type="dxa"/>
            <w:noWrap w:val="0"/>
            <w:vAlign w:val="center"/>
          </w:tcPr>
          <w:p w14:paraId="7A302EA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CA7611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68D491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B9507E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527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D98818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213-6</w:t>
            </w:r>
          </w:p>
        </w:tc>
        <w:tc>
          <w:tcPr>
            <w:tcW w:w="4732" w:type="dxa"/>
            <w:noWrap w:val="0"/>
            <w:vAlign w:val="center"/>
          </w:tcPr>
          <w:p w14:paraId="0335FBF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center"/>
          </w:tcPr>
          <w:p w14:paraId="7A131E8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7415FC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6307CE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942C8C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C98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299DBA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214</w:t>
            </w:r>
          </w:p>
        </w:tc>
        <w:tc>
          <w:tcPr>
            <w:tcW w:w="4732" w:type="dxa"/>
            <w:noWrap w:val="0"/>
            <w:vAlign w:val="center"/>
          </w:tcPr>
          <w:p w14:paraId="5148F10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抗滑桩</w:t>
            </w:r>
          </w:p>
        </w:tc>
        <w:tc>
          <w:tcPr>
            <w:tcW w:w="749" w:type="dxa"/>
            <w:noWrap w:val="0"/>
            <w:vAlign w:val="center"/>
          </w:tcPr>
          <w:p w14:paraId="6F84372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053323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0BC02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D8CC78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BC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F8210C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214-1</w:t>
            </w:r>
          </w:p>
        </w:tc>
        <w:tc>
          <w:tcPr>
            <w:tcW w:w="4732" w:type="dxa"/>
            <w:noWrap w:val="0"/>
            <w:vAlign w:val="center"/>
          </w:tcPr>
          <w:p w14:paraId="6F00BB1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现浇混凝土桩</w:t>
            </w:r>
          </w:p>
        </w:tc>
        <w:tc>
          <w:tcPr>
            <w:tcW w:w="749" w:type="dxa"/>
            <w:noWrap w:val="0"/>
            <w:vAlign w:val="center"/>
          </w:tcPr>
          <w:p w14:paraId="481303A7">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278DA5B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0659DC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1652A6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305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1AB539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12A9F5F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w:t>
            </w:r>
          </w:p>
        </w:tc>
        <w:tc>
          <w:tcPr>
            <w:tcW w:w="749" w:type="dxa"/>
            <w:noWrap w:val="0"/>
            <w:vAlign w:val="center"/>
          </w:tcPr>
          <w:p w14:paraId="445F2FD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11C94F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55455E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FA42EB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58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3E360EC">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214-2</w:t>
            </w:r>
          </w:p>
        </w:tc>
        <w:tc>
          <w:tcPr>
            <w:tcW w:w="4732" w:type="dxa"/>
            <w:noWrap w:val="0"/>
            <w:vAlign w:val="center"/>
          </w:tcPr>
          <w:p w14:paraId="6961F493">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桩板式抗滑挡墙</w:t>
            </w:r>
          </w:p>
        </w:tc>
        <w:tc>
          <w:tcPr>
            <w:tcW w:w="749" w:type="dxa"/>
            <w:noWrap w:val="0"/>
            <w:vAlign w:val="center"/>
          </w:tcPr>
          <w:p w14:paraId="4A41626F">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6C08134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2AA3F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5377DB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65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F945D2">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-a</w:t>
            </w:r>
          </w:p>
        </w:tc>
        <w:tc>
          <w:tcPr>
            <w:tcW w:w="4732" w:type="dxa"/>
            <w:noWrap w:val="0"/>
            <w:vAlign w:val="center"/>
          </w:tcPr>
          <w:p w14:paraId="7D1D5DCE">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挡土板</w:t>
            </w:r>
          </w:p>
        </w:tc>
        <w:tc>
          <w:tcPr>
            <w:tcW w:w="749" w:type="dxa"/>
            <w:noWrap w:val="0"/>
            <w:vAlign w:val="center"/>
          </w:tcPr>
          <w:p w14:paraId="0AE667CC">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C660D5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A4C1A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3BE502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F8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8EDE0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214-3</w:t>
            </w:r>
          </w:p>
        </w:tc>
        <w:tc>
          <w:tcPr>
            <w:tcW w:w="4732" w:type="dxa"/>
            <w:noWrap w:val="0"/>
            <w:vAlign w:val="center"/>
          </w:tcPr>
          <w:p w14:paraId="73394B3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center"/>
          </w:tcPr>
          <w:p w14:paraId="03DEFBC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5A57358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772D45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8FFDE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7C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48C779F">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215</w:t>
            </w:r>
          </w:p>
        </w:tc>
        <w:tc>
          <w:tcPr>
            <w:tcW w:w="4732" w:type="dxa"/>
            <w:noWrap w:val="0"/>
            <w:vAlign w:val="center"/>
          </w:tcPr>
          <w:p w14:paraId="03115BD0">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河道防护</w:t>
            </w:r>
          </w:p>
        </w:tc>
        <w:tc>
          <w:tcPr>
            <w:tcW w:w="749" w:type="dxa"/>
            <w:noWrap w:val="0"/>
            <w:vAlign w:val="center"/>
          </w:tcPr>
          <w:p w14:paraId="50FCE351">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7ADE645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9B373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0B796B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46A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841C03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215-1</w:t>
            </w:r>
          </w:p>
        </w:tc>
        <w:tc>
          <w:tcPr>
            <w:tcW w:w="4732" w:type="dxa"/>
            <w:noWrap w:val="0"/>
            <w:vAlign w:val="center"/>
          </w:tcPr>
          <w:p w14:paraId="3BC0EBBD">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河床铺砌</w:t>
            </w:r>
          </w:p>
        </w:tc>
        <w:tc>
          <w:tcPr>
            <w:tcW w:w="749" w:type="dxa"/>
            <w:noWrap w:val="0"/>
            <w:vAlign w:val="center"/>
          </w:tcPr>
          <w:p w14:paraId="2992A214">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63D2B0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CB06B9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E0E9B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35A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313B19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3D37939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浆砌片石铺砌</w:t>
            </w:r>
          </w:p>
        </w:tc>
        <w:tc>
          <w:tcPr>
            <w:tcW w:w="749" w:type="dxa"/>
            <w:noWrap w:val="0"/>
            <w:vAlign w:val="center"/>
          </w:tcPr>
          <w:p w14:paraId="37425A6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DA4819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59F9D3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37BAF4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957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FA5C3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59C9CB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混凝土铺砌</w:t>
            </w:r>
          </w:p>
        </w:tc>
        <w:tc>
          <w:tcPr>
            <w:tcW w:w="749" w:type="dxa"/>
            <w:noWrap w:val="0"/>
            <w:vAlign w:val="center"/>
          </w:tcPr>
          <w:p w14:paraId="37DF6F1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7727B9A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07A7BF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FE34A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2ED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8705FA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215-2</w:t>
            </w:r>
          </w:p>
        </w:tc>
        <w:tc>
          <w:tcPr>
            <w:tcW w:w="4732" w:type="dxa"/>
            <w:noWrap w:val="0"/>
            <w:vAlign w:val="center"/>
          </w:tcPr>
          <w:p w14:paraId="3E896AF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导流设施（护岸墙、顺坝、丁坝、调水坝、锥坡）</w:t>
            </w:r>
          </w:p>
        </w:tc>
        <w:tc>
          <w:tcPr>
            <w:tcW w:w="749" w:type="dxa"/>
            <w:noWrap w:val="0"/>
            <w:vAlign w:val="center"/>
          </w:tcPr>
          <w:p w14:paraId="535E5BB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p>
        </w:tc>
        <w:tc>
          <w:tcPr>
            <w:tcW w:w="837" w:type="dxa"/>
            <w:noWrap w:val="0"/>
            <w:vAlign w:val="center"/>
          </w:tcPr>
          <w:p w14:paraId="1A9DF4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804AF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518938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786F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B0DFA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0C2B00D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浆砌片石</w:t>
            </w:r>
          </w:p>
        </w:tc>
        <w:tc>
          <w:tcPr>
            <w:tcW w:w="749" w:type="dxa"/>
            <w:noWrap w:val="0"/>
            <w:vAlign w:val="center"/>
          </w:tcPr>
          <w:p w14:paraId="1E2CB59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7E421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1F8C35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273361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FAE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5DE4D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74B858B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w:t>
            </w:r>
          </w:p>
        </w:tc>
        <w:tc>
          <w:tcPr>
            <w:tcW w:w="749" w:type="dxa"/>
            <w:noWrap w:val="0"/>
            <w:vAlign w:val="center"/>
          </w:tcPr>
          <w:p w14:paraId="575AE16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78E3D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71A5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04D369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C0A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ACE0FB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0CD56C8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石笼</w:t>
            </w:r>
          </w:p>
        </w:tc>
        <w:tc>
          <w:tcPr>
            <w:tcW w:w="749" w:type="dxa"/>
            <w:noWrap w:val="0"/>
            <w:vAlign w:val="center"/>
          </w:tcPr>
          <w:p w14:paraId="6CE3B49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4884EF6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A81E4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8E2FF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0BE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E996B9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215-3</w:t>
            </w:r>
          </w:p>
        </w:tc>
        <w:tc>
          <w:tcPr>
            <w:tcW w:w="4732" w:type="dxa"/>
            <w:noWrap w:val="0"/>
            <w:vAlign w:val="center"/>
          </w:tcPr>
          <w:p w14:paraId="46A3A27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抛石防护</w:t>
            </w:r>
          </w:p>
        </w:tc>
        <w:tc>
          <w:tcPr>
            <w:tcW w:w="749" w:type="dxa"/>
            <w:noWrap w:val="0"/>
            <w:vAlign w:val="center"/>
          </w:tcPr>
          <w:p w14:paraId="1FA3980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869A67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188522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0D60A5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D3A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56" w:type="dxa"/>
            <w:gridSpan w:val="6"/>
            <w:tcBorders>
              <w:left w:val="single" w:color="auto" w:sz="12" w:space="0"/>
              <w:bottom w:val="single" w:color="auto" w:sz="12" w:space="0"/>
              <w:right w:val="single" w:color="auto" w:sz="12" w:space="0"/>
            </w:tcBorders>
            <w:noWrap w:val="0"/>
            <w:vAlign w:val="center"/>
          </w:tcPr>
          <w:p w14:paraId="3B4048AA">
            <w:pPr>
              <w:pageBreakBefore w:val="0"/>
              <w:kinsoku/>
              <w:wordWrap w:val="0"/>
              <w:bidi w:val="0"/>
              <w:spacing w:line="360" w:lineRule="atLeast"/>
              <w:jc w:val="center"/>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清单第200章合计  人民币</w:t>
            </w:r>
            <w:r>
              <w:rPr>
                <w:rFonts w:hint="default" w:ascii="Times New Roman" w:hAnsi="Times New Roman" w:cs="Times New Roman"/>
                <w:color w:val="auto"/>
                <w:szCs w:val="21"/>
                <w:highlight w:val="none"/>
                <w:u w:val="single"/>
              </w:rPr>
              <w:t xml:space="preserve">                    </w:t>
            </w:r>
          </w:p>
        </w:tc>
      </w:tr>
    </w:tbl>
    <w:p w14:paraId="4EDB74EE">
      <w:pPr>
        <w:pageBreakBefore w:val="0"/>
        <w:kinsoku/>
        <w:wordWrap w:val="0"/>
        <w:bidi w:val="0"/>
        <w:jc w:val="center"/>
        <w:rPr>
          <w:rFonts w:hint="default" w:ascii="Times New Roman" w:hAnsi="Times New Roman" w:eastAsia="黑体" w:cs="Times New Roman"/>
          <w:color w:val="auto"/>
          <w:sz w:val="28"/>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8"/>
          <w:highlight w:val="none"/>
        </w:rPr>
        <w:t>工 程 量 清 单</w:t>
      </w:r>
    </w:p>
    <w:p w14:paraId="3BFBE49D">
      <w:pPr>
        <w:pageBreakBefore w:val="0"/>
        <w:kinsoku/>
        <w:wordWrap w:val="0"/>
        <w:bidi w:val="0"/>
        <w:jc w:val="center"/>
        <w:rPr>
          <w:rFonts w:hint="default" w:ascii="Times New Roman" w:hAnsi="Times New Roman" w:cs="Times New Roman"/>
          <w:color w:val="auto"/>
          <w:sz w:val="24"/>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32"/>
        <w:gridCol w:w="749"/>
        <w:gridCol w:w="837"/>
        <w:gridCol w:w="837"/>
        <w:gridCol w:w="837"/>
      </w:tblGrid>
      <w:tr w14:paraId="4072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6D6EB86C">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第300章   路  面</w:t>
            </w:r>
          </w:p>
        </w:tc>
      </w:tr>
      <w:tr w14:paraId="2B08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1E403C65">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center"/>
          </w:tcPr>
          <w:p w14:paraId="2B21041A">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center"/>
          </w:tcPr>
          <w:p w14:paraId="4782EEEB">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5232E3AD">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1A9C8211">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62590DF6">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6633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64" w:type="dxa"/>
            <w:tcBorders>
              <w:top w:val="single" w:color="auto" w:sz="4" w:space="0"/>
              <w:left w:val="single" w:color="auto" w:sz="12" w:space="0"/>
              <w:bottom w:val="single" w:color="auto" w:sz="4" w:space="0"/>
              <w:right w:val="single" w:color="auto" w:sz="4" w:space="0"/>
            </w:tcBorders>
            <w:noWrap w:val="0"/>
            <w:vAlign w:val="center"/>
          </w:tcPr>
          <w:p w14:paraId="6F766AF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302</w:t>
            </w:r>
          </w:p>
        </w:tc>
        <w:tc>
          <w:tcPr>
            <w:tcW w:w="4732" w:type="dxa"/>
            <w:tcBorders>
              <w:top w:val="single" w:color="auto" w:sz="4" w:space="0"/>
              <w:left w:val="single" w:color="auto" w:sz="4" w:space="0"/>
              <w:bottom w:val="single" w:color="auto" w:sz="4" w:space="0"/>
              <w:right w:val="single" w:color="auto" w:sz="4" w:space="0"/>
            </w:tcBorders>
            <w:noWrap w:val="0"/>
            <w:vAlign w:val="center"/>
          </w:tcPr>
          <w:p w14:paraId="2340254A">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垫层</w:t>
            </w:r>
          </w:p>
        </w:tc>
        <w:tc>
          <w:tcPr>
            <w:tcW w:w="749" w:type="dxa"/>
            <w:tcBorders>
              <w:top w:val="single" w:color="auto" w:sz="4" w:space="0"/>
              <w:left w:val="single" w:color="auto" w:sz="4" w:space="0"/>
              <w:bottom w:val="single" w:color="auto" w:sz="4" w:space="0"/>
              <w:right w:val="single" w:color="auto" w:sz="4" w:space="0"/>
            </w:tcBorders>
            <w:noWrap w:val="0"/>
            <w:vAlign w:val="top"/>
          </w:tcPr>
          <w:p w14:paraId="742EC7ED">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0690E6F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45A5EC5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12" w:space="0"/>
            </w:tcBorders>
            <w:noWrap w:val="0"/>
            <w:vAlign w:val="center"/>
          </w:tcPr>
          <w:p w14:paraId="6F0FF78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1CA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bottom w:val="single" w:color="auto" w:sz="4" w:space="0"/>
              <w:right w:val="single" w:color="auto" w:sz="4" w:space="0"/>
            </w:tcBorders>
            <w:noWrap w:val="0"/>
            <w:vAlign w:val="top"/>
          </w:tcPr>
          <w:p w14:paraId="0B76CE7A">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302-1</w:t>
            </w:r>
          </w:p>
        </w:tc>
        <w:tc>
          <w:tcPr>
            <w:tcW w:w="4732" w:type="dxa"/>
            <w:tcBorders>
              <w:top w:val="single" w:color="auto" w:sz="4" w:space="0"/>
              <w:left w:val="single" w:color="auto" w:sz="4" w:space="0"/>
              <w:bottom w:val="single" w:color="auto" w:sz="4" w:space="0"/>
              <w:right w:val="single" w:color="auto" w:sz="4" w:space="0"/>
            </w:tcBorders>
            <w:noWrap w:val="0"/>
            <w:vAlign w:val="top"/>
          </w:tcPr>
          <w:p w14:paraId="3F19541D">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碎石垫层</w:t>
            </w:r>
          </w:p>
        </w:tc>
        <w:tc>
          <w:tcPr>
            <w:tcW w:w="749" w:type="dxa"/>
            <w:tcBorders>
              <w:top w:val="single" w:color="auto" w:sz="4" w:space="0"/>
              <w:left w:val="single" w:color="auto" w:sz="4" w:space="0"/>
              <w:bottom w:val="single" w:color="auto" w:sz="4" w:space="0"/>
              <w:right w:val="single" w:color="auto" w:sz="4" w:space="0"/>
            </w:tcBorders>
            <w:noWrap w:val="0"/>
            <w:vAlign w:val="top"/>
          </w:tcPr>
          <w:p w14:paraId="789BBADB">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535E214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018691E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12" w:space="0"/>
            </w:tcBorders>
            <w:noWrap w:val="0"/>
            <w:vAlign w:val="center"/>
          </w:tcPr>
          <w:p w14:paraId="326DFF0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B3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top"/>
          </w:tcPr>
          <w:p w14:paraId="543D00FC">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tcBorders>
              <w:top w:val="single" w:color="auto" w:sz="4" w:space="0"/>
              <w:left w:val="single" w:color="auto" w:sz="4" w:space="0"/>
              <w:right w:val="single" w:color="auto" w:sz="4" w:space="0"/>
            </w:tcBorders>
            <w:noWrap w:val="0"/>
            <w:vAlign w:val="top"/>
          </w:tcPr>
          <w:p w14:paraId="538825E1">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tcBorders>
              <w:top w:val="single" w:color="auto" w:sz="4" w:space="0"/>
              <w:left w:val="single" w:color="auto" w:sz="4" w:space="0"/>
              <w:right w:val="single" w:color="auto" w:sz="4" w:space="0"/>
            </w:tcBorders>
            <w:noWrap w:val="0"/>
            <w:vAlign w:val="top"/>
          </w:tcPr>
          <w:p w14:paraId="6267B070">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tcBorders>
              <w:top w:val="single" w:color="auto" w:sz="4" w:space="0"/>
              <w:left w:val="single" w:color="auto" w:sz="4" w:space="0"/>
              <w:right w:val="single" w:color="auto" w:sz="4" w:space="0"/>
            </w:tcBorders>
            <w:noWrap w:val="0"/>
            <w:vAlign w:val="center"/>
          </w:tcPr>
          <w:p w14:paraId="2021147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556C0B1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682C59C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B7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9D6A700">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302-2</w:t>
            </w:r>
          </w:p>
        </w:tc>
        <w:tc>
          <w:tcPr>
            <w:tcW w:w="4732" w:type="dxa"/>
            <w:noWrap w:val="0"/>
            <w:vAlign w:val="top"/>
          </w:tcPr>
          <w:p w14:paraId="0E8A5287">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砂砾垫层</w:t>
            </w:r>
          </w:p>
        </w:tc>
        <w:tc>
          <w:tcPr>
            <w:tcW w:w="749" w:type="dxa"/>
            <w:noWrap w:val="0"/>
            <w:vAlign w:val="top"/>
          </w:tcPr>
          <w:p w14:paraId="1D63D490">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72090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6887B8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5333C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B6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54F94DC">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48676FB5">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626D5C0">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2B83699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26B31C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78A984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BE23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EDDA97F">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302-3</w:t>
            </w:r>
          </w:p>
        </w:tc>
        <w:tc>
          <w:tcPr>
            <w:tcW w:w="4732" w:type="dxa"/>
            <w:noWrap w:val="0"/>
            <w:vAlign w:val="top"/>
          </w:tcPr>
          <w:p w14:paraId="2FFE1DDA">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水泥稳定土垫层</w:t>
            </w:r>
          </w:p>
        </w:tc>
        <w:tc>
          <w:tcPr>
            <w:tcW w:w="749" w:type="dxa"/>
            <w:noWrap w:val="0"/>
            <w:vAlign w:val="top"/>
          </w:tcPr>
          <w:p w14:paraId="580A8B6B">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FF93B5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5964C6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4BAF2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11BF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60AADDF">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4DA7FBF4">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6746591F">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EDAC33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BA4F8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83B3E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05E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C015FC2">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302-4</w:t>
            </w:r>
          </w:p>
        </w:tc>
        <w:tc>
          <w:tcPr>
            <w:tcW w:w="4732" w:type="dxa"/>
            <w:noWrap w:val="0"/>
            <w:vAlign w:val="top"/>
          </w:tcPr>
          <w:p w14:paraId="4A14EB43">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石灰稳定土垫层</w:t>
            </w:r>
          </w:p>
        </w:tc>
        <w:tc>
          <w:tcPr>
            <w:tcW w:w="749" w:type="dxa"/>
            <w:noWrap w:val="0"/>
            <w:vAlign w:val="top"/>
          </w:tcPr>
          <w:p w14:paraId="74958D64">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ABC6F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931B6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55094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DD8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1C5BB38">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3ACF6FF1">
            <w:pPr>
              <w:pageBreakBefore w:val="0"/>
              <w:tabs>
                <w:tab w:val="left" w:pos="1643"/>
              </w:tabs>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0030D766">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A9959E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4384C3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7FE4AB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A4A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077CF9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303</w:t>
            </w:r>
          </w:p>
        </w:tc>
        <w:tc>
          <w:tcPr>
            <w:tcW w:w="4732" w:type="dxa"/>
            <w:noWrap w:val="0"/>
            <w:vAlign w:val="center"/>
          </w:tcPr>
          <w:p w14:paraId="569A69D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石灰稳定土底基层、基层</w:t>
            </w:r>
          </w:p>
        </w:tc>
        <w:tc>
          <w:tcPr>
            <w:tcW w:w="749" w:type="dxa"/>
            <w:noWrap w:val="0"/>
            <w:vAlign w:val="top"/>
          </w:tcPr>
          <w:p w14:paraId="38EB8FF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4EC9F6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CD0C1C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9DEF0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7A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E5DBC9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303-1</w:t>
            </w:r>
          </w:p>
        </w:tc>
        <w:tc>
          <w:tcPr>
            <w:tcW w:w="4732" w:type="dxa"/>
            <w:noWrap w:val="0"/>
            <w:vAlign w:val="top"/>
          </w:tcPr>
          <w:p w14:paraId="6F9C086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石灰稳定土底基层</w:t>
            </w:r>
          </w:p>
        </w:tc>
        <w:tc>
          <w:tcPr>
            <w:tcW w:w="749" w:type="dxa"/>
            <w:noWrap w:val="0"/>
            <w:vAlign w:val="top"/>
          </w:tcPr>
          <w:p w14:paraId="7D5DCA2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125312D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17EC02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8C4BCC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D6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B62A98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3E99F8E4">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48B6A41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1E1AD8D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3993F3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82CA1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447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702B12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303-2</w:t>
            </w:r>
          </w:p>
        </w:tc>
        <w:tc>
          <w:tcPr>
            <w:tcW w:w="4732" w:type="dxa"/>
            <w:noWrap w:val="0"/>
            <w:vAlign w:val="top"/>
          </w:tcPr>
          <w:p w14:paraId="3AC6D67A">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搭板、埋板下石灰稳定土底基层</w:t>
            </w:r>
          </w:p>
        </w:tc>
        <w:tc>
          <w:tcPr>
            <w:tcW w:w="749" w:type="dxa"/>
            <w:noWrap w:val="0"/>
            <w:vAlign w:val="top"/>
          </w:tcPr>
          <w:p w14:paraId="3487429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9F1417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7C3204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13A51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BD0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4F2540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303-3</w:t>
            </w:r>
          </w:p>
        </w:tc>
        <w:tc>
          <w:tcPr>
            <w:tcW w:w="4732" w:type="dxa"/>
            <w:noWrap w:val="0"/>
            <w:vAlign w:val="top"/>
          </w:tcPr>
          <w:p w14:paraId="7D88E64E">
            <w:pPr>
              <w:pageBreakBefore w:val="0"/>
              <w:widowControl/>
              <w:kinsoku/>
              <w:wordWrap w:val="0"/>
              <w:bidi w:val="0"/>
              <w:spacing w:line="36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石灰稳定土基层</w:t>
            </w:r>
          </w:p>
        </w:tc>
        <w:tc>
          <w:tcPr>
            <w:tcW w:w="749" w:type="dxa"/>
            <w:noWrap w:val="0"/>
            <w:vAlign w:val="top"/>
          </w:tcPr>
          <w:p w14:paraId="2D7B0A0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B3AF7D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59962C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DAD61C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20A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B3BBAD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259FD87D">
            <w:pPr>
              <w:pageBreakBefore w:val="0"/>
              <w:widowControl/>
              <w:kinsoku/>
              <w:wordWrap w:val="0"/>
              <w:bidi w:val="0"/>
              <w:spacing w:line="360" w:lineRule="atLeast"/>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762E01A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175A0D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AD2FE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87D3A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A8F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58FE10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304</w:t>
            </w:r>
          </w:p>
        </w:tc>
        <w:tc>
          <w:tcPr>
            <w:tcW w:w="4732" w:type="dxa"/>
            <w:noWrap w:val="0"/>
            <w:vAlign w:val="center"/>
          </w:tcPr>
          <w:p w14:paraId="6FF2093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水泥稳定土底基层、基层</w:t>
            </w:r>
          </w:p>
        </w:tc>
        <w:tc>
          <w:tcPr>
            <w:tcW w:w="749" w:type="dxa"/>
            <w:noWrap w:val="0"/>
            <w:vAlign w:val="top"/>
          </w:tcPr>
          <w:p w14:paraId="6BC10EC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42C662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CC357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2416B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9845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FEBA9D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304-1</w:t>
            </w:r>
          </w:p>
        </w:tc>
        <w:tc>
          <w:tcPr>
            <w:tcW w:w="4732" w:type="dxa"/>
            <w:noWrap w:val="0"/>
            <w:vAlign w:val="top"/>
          </w:tcPr>
          <w:p w14:paraId="25E0BD1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水泥稳定土底基层</w:t>
            </w:r>
          </w:p>
        </w:tc>
        <w:tc>
          <w:tcPr>
            <w:tcW w:w="749" w:type="dxa"/>
            <w:noWrap w:val="0"/>
            <w:vAlign w:val="top"/>
          </w:tcPr>
          <w:p w14:paraId="7A760D0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2525CB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6E989C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EF218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B1C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E7E7D7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6BDB2A9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61FD963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1D74EA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EB3AC9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3A594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5E2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8A9460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304-2</w:t>
            </w:r>
          </w:p>
        </w:tc>
        <w:tc>
          <w:tcPr>
            <w:tcW w:w="4732" w:type="dxa"/>
            <w:noWrap w:val="0"/>
            <w:vAlign w:val="top"/>
          </w:tcPr>
          <w:p w14:paraId="073323DF">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搭板、埋板下水泥稳定土底基层</w:t>
            </w:r>
          </w:p>
        </w:tc>
        <w:tc>
          <w:tcPr>
            <w:tcW w:w="749" w:type="dxa"/>
            <w:noWrap w:val="0"/>
            <w:vAlign w:val="top"/>
          </w:tcPr>
          <w:p w14:paraId="5871E7F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CDD1C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0BA67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640AAD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F62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150EDE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304-3</w:t>
            </w:r>
          </w:p>
        </w:tc>
        <w:tc>
          <w:tcPr>
            <w:tcW w:w="4732" w:type="dxa"/>
            <w:noWrap w:val="0"/>
            <w:vAlign w:val="top"/>
          </w:tcPr>
          <w:p w14:paraId="54191FE5">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水泥稳定土基层</w:t>
            </w:r>
          </w:p>
        </w:tc>
        <w:tc>
          <w:tcPr>
            <w:tcW w:w="749" w:type="dxa"/>
            <w:noWrap w:val="0"/>
            <w:vAlign w:val="top"/>
          </w:tcPr>
          <w:p w14:paraId="6B2A9A0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219E2D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DBCCA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85022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13CE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D34EF8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279FFC9">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4D2A7CF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1CA94E9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F4F9FD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17C7B0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5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F9705A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305</w:t>
            </w:r>
          </w:p>
        </w:tc>
        <w:tc>
          <w:tcPr>
            <w:tcW w:w="4732" w:type="dxa"/>
            <w:noWrap w:val="0"/>
            <w:vAlign w:val="center"/>
          </w:tcPr>
          <w:p w14:paraId="4773F8B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石灰粉煤灰稳定土底基层、基层</w:t>
            </w:r>
          </w:p>
        </w:tc>
        <w:tc>
          <w:tcPr>
            <w:tcW w:w="749" w:type="dxa"/>
            <w:noWrap w:val="0"/>
            <w:vAlign w:val="top"/>
          </w:tcPr>
          <w:p w14:paraId="5B6C09F8">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FD34F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676E6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08F897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6B7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BCA22CE">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305-1</w:t>
            </w:r>
          </w:p>
        </w:tc>
        <w:tc>
          <w:tcPr>
            <w:tcW w:w="4732" w:type="dxa"/>
            <w:noWrap w:val="0"/>
            <w:vAlign w:val="top"/>
          </w:tcPr>
          <w:p w14:paraId="53327FAF">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石灰粉煤灰稳定土底基层</w:t>
            </w:r>
          </w:p>
        </w:tc>
        <w:tc>
          <w:tcPr>
            <w:tcW w:w="749" w:type="dxa"/>
            <w:noWrap w:val="0"/>
            <w:vAlign w:val="top"/>
          </w:tcPr>
          <w:p w14:paraId="610CFEDB">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ED3A7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3D2C1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EF935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AED2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6A150ED">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5C121C3A">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5FB5BEA8">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BD7C5B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19A3DE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CAD9D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AE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E0363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305-2</w:t>
            </w:r>
          </w:p>
        </w:tc>
        <w:tc>
          <w:tcPr>
            <w:tcW w:w="4732" w:type="dxa"/>
            <w:noWrap w:val="0"/>
            <w:vAlign w:val="center"/>
          </w:tcPr>
          <w:p w14:paraId="27F55FBC">
            <w:pPr>
              <w:pageBreakBefore w:val="0"/>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搭板、埋板下石灰粉煤灰稳定土底基层</w:t>
            </w:r>
          </w:p>
        </w:tc>
        <w:tc>
          <w:tcPr>
            <w:tcW w:w="749" w:type="dxa"/>
            <w:noWrap w:val="0"/>
            <w:vAlign w:val="top"/>
          </w:tcPr>
          <w:p w14:paraId="28713B0E">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7C5D14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883599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5CF8DB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309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CC298E7">
            <w:pPr>
              <w:pageBreakBefore w:val="0"/>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305-3</w:t>
            </w:r>
          </w:p>
        </w:tc>
        <w:tc>
          <w:tcPr>
            <w:tcW w:w="4732" w:type="dxa"/>
            <w:noWrap w:val="0"/>
            <w:vAlign w:val="center"/>
          </w:tcPr>
          <w:p w14:paraId="49E9186E">
            <w:pPr>
              <w:pageBreakBefore w:val="0"/>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石灰粉煤灰稳定土基层</w:t>
            </w:r>
          </w:p>
        </w:tc>
        <w:tc>
          <w:tcPr>
            <w:tcW w:w="749" w:type="dxa"/>
            <w:noWrap w:val="0"/>
            <w:vAlign w:val="top"/>
          </w:tcPr>
          <w:p w14:paraId="6CC605C1">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7F8B9B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305F54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54C97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C8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6FA4A9B">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4E3C12EA">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600DE1DE">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7F92FC7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088261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85796D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3B0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C09D22D">
            <w:pPr>
              <w:pageBreakBefore w:val="0"/>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305-4</w:t>
            </w:r>
          </w:p>
        </w:tc>
        <w:tc>
          <w:tcPr>
            <w:tcW w:w="4732" w:type="dxa"/>
            <w:noWrap w:val="0"/>
            <w:vAlign w:val="center"/>
          </w:tcPr>
          <w:p w14:paraId="4F9BD8D7">
            <w:pPr>
              <w:pageBreakBefore w:val="0"/>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石灰煤渣稳定土基层</w:t>
            </w:r>
          </w:p>
        </w:tc>
        <w:tc>
          <w:tcPr>
            <w:tcW w:w="749" w:type="dxa"/>
            <w:noWrap w:val="0"/>
            <w:vAlign w:val="center"/>
          </w:tcPr>
          <w:p w14:paraId="2F155431">
            <w:pPr>
              <w:pageBreakBefore w:val="0"/>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2109AF7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E87213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83E138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58F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CD51042">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2FA8BCAF">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30590B4E">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0A4848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1CE9A3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FC483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BB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226FD7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306</w:t>
            </w:r>
          </w:p>
        </w:tc>
        <w:tc>
          <w:tcPr>
            <w:tcW w:w="4732" w:type="dxa"/>
            <w:noWrap w:val="0"/>
            <w:vAlign w:val="center"/>
          </w:tcPr>
          <w:p w14:paraId="255B744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级配碎（砾）石底基层、基层</w:t>
            </w:r>
          </w:p>
        </w:tc>
        <w:tc>
          <w:tcPr>
            <w:tcW w:w="749" w:type="dxa"/>
            <w:noWrap w:val="0"/>
            <w:vAlign w:val="center"/>
          </w:tcPr>
          <w:p w14:paraId="54B75403">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429BC1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B95DD6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A4FA1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CA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10CFD7">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306-1</w:t>
            </w:r>
          </w:p>
        </w:tc>
        <w:tc>
          <w:tcPr>
            <w:tcW w:w="4732" w:type="dxa"/>
            <w:noWrap w:val="0"/>
            <w:vAlign w:val="center"/>
          </w:tcPr>
          <w:p w14:paraId="15A93E63">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级配碎石底基层</w:t>
            </w:r>
          </w:p>
        </w:tc>
        <w:tc>
          <w:tcPr>
            <w:tcW w:w="749" w:type="dxa"/>
            <w:noWrap w:val="0"/>
            <w:vAlign w:val="center"/>
          </w:tcPr>
          <w:p w14:paraId="0F7549A9">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1F26467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9747A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7468C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BA7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69F6E7A">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2640E597">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32D16E2C">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1EEE12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B430DF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4ACF7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02F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5266ABCD">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第300章   路  面</w:t>
            </w:r>
          </w:p>
        </w:tc>
      </w:tr>
      <w:tr w14:paraId="0B7D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top"/>
          </w:tcPr>
          <w:p w14:paraId="5569F09A">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top"/>
          </w:tcPr>
          <w:p w14:paraId="6DF2F0D9">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top"/>
          </w:tcPr>
          <w:p w14:paraId="1CB0D5EB">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100A1CB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6E3B21D7">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0D8605A0">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509E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7EFB300">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306-2</w:t>
            </w:r>
          </w:p>
        </w:tc>
        <w:tc>
          <w:tcPr>
            <w:tcW w:w="4732" w:type="dxa"/>
            <w:noWrap w:val="0"/>
            <w:vAlign w:val="top"/>
          </w:tcPr>
          <w:p w14:paraId="16AC1B2E">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搭板、埋板下级配碎石底基层</w:t>
            </w:r>
          </w:p>
        </w:tc>
        <w:tc>
          <w:tcPr>
            <w:tcW w:w="749" w:type="dxa"/>
            <w:noWrap w:val="0"/>
            <w:vAlign w:val="top"/>
          </w:tcPr>
          <w:p w14:paraId="1FCC9EED">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3F489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82D03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2C8A5E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270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B239DFA">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306-3</w:t>
            </w:r>
          </w:p>
        </w:tc>
        <w:tc>
          <w:tcPr>
            <w:tcW w:w="4732" w:type="dxa"/>
            <w:noWrap w:val="0"/>
            <w:vAlign w:val="center"/>
          </w:tcPr>
          <w:p w14:paraId="3B1FD1CE">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级配碎石基层</w:t>
            </w:r>
          </w:p>
        </w:tc>
        <w:tc>
          <w:tcPr>
            <w:tcW w:w="749" w:type="dxa"/>
            <w:noWrap w:val="0"/>
            <w:vAlign w:val="center"/>
          </w:tcPr>
          <w:p w14:paraId="79373F81">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0C79D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5F77A9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3E836E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6C3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43CC2C7">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CE9CF69">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54071EFC">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EBE074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C89FD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5E51DC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BBD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4760268">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306-4</w:t>
            </w:r>
          </w:p>
        </w:tc>
        <w:tc>
          <w:tcPr>
            <w:tcW w:w="4732" w:type="dxa"/>
            <w:noWrap w:val="0"/>
            <w:vAlign w:val="center"/>
          </w:tcPr>
          <w:p w14:paraId="5771246C">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级配砾石底基层</w:t>
            </w:r>
          </w:p>
        </w:tc>
        <w:tc>
          <w:tcPr>
            <w:tcW w:w="749" w:type="dxa"/>
            <w:noWrap w:val="0"/>
            <w:vAlign w:val="center"/>
          </w:tcPr>
          <w:p w14:paraId="3C18C0AF">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C4DDA5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DA9DB5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A8872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731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954AB5D">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5F5A7936">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A651177">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408B6B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803F7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443D1B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0C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B4415BF">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306-5</w:t>
            </w:r>
          </w:p>
        </w:tc>
        <w:tc>
          <w:tcPr>
            <w:tcW w:w="4732" w:type="dxa"/>
            <w:noWrap w:val="0"/>
            <w:vAlign w:val="center"/>
          </w:tcPr>
          <w:p w14:paraId="3672E937">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搭板、埋板下级配砾石底基层</w:t>
            </w:r>
          </w:p>
        </w:tc>
        <w:tc>
          <w:tcPr>
            <w:tcW w:w="749" w:type="dxa"/>
            <w:noWrap w:val="0"/>
            <w:vAlign w:val="top"/>
          </w:tcPr>
          <w:p w14:paraId="1E27157C">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68B714F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EA9760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249E5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29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8952FD2">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306-6</w:t>
            </w:r>
          </w:p>
        </w:tc>
        <w:tc>
          <w:tcPr>
            <w:tcW w:w="4732" w:type="dxa"/>
            <w:noWrap w:val="0"/>
            <w:vAlign w:val="center"/>
          </w:tcPr>
          <w:p w14:paraId="44774FEF">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级配砾石基层</w:t>
            </w:r>
          </w:p>
        </w:tc>
        <w:tc>
          <w:tcPr>
            <w:tcW w:w="749" w:type="dxa"/>
            <w:noWrap w:val="0"/>
            <w:vAlign w:val="center"/>
          </w:tcPr>
          <w:p w14:paraId="0B6D3B72">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174E51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8625D4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D472B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C6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CD62CEA">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555DF51D">
            <w:pPr>
              <w:pageBreakBefore w:val="0"/>
              <w:widowControl/>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3EA0A17">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70BE8A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7F483A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FB673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C6D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03D56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307</w:t>
            </w:r>
          </w:p>
        </w:tc>
        <w:tc>
          <w:tcPr>
            <w:tcW w:w="4732" w:type="dxa"/>
            <w:noWrap w:val="0"/>
            <w:vAlign w:val="center"/>
          </w:tcPr>
          <w:p w14:paraId="557A101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沥青稳定碎石基层（ATB）</w:t>
            </w:r>
          </w:p>
        </w:tc>
        <w:tc>
          <w:tcPr>
            <w:tcW w:w="749" w:type="dxa"/>
            <w:noWrap w:val="0"/>
            <w:vAlign w:val="top"/>
          </w:tcPr>
          <w:p w14:paraId="1A101522">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3D6D3F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8BBBB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B7C7D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AA8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F286074">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307-1</w:t>
            </w:r>
          </w:p>
        </w:tc>
        <w:tc>
          <w:tcPr>
            <w:tcW w:w="4732" w:type="dxa"/>
            <w:noWrap w:val="0"/>
            <w:vAlign w:val="top"/>
          </w:tcPr>
          <w:p w14:paraId="3110F288">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沥青稳定碎石基层（ATB）</w:t>
            </w:r>
          </w:p>
        </w:tc>
        <w:tc>
          <w:tcPr>
            <w:tcW w:w="749" w:type="dxa"/>
            <w:noWrap w:val="0"/>
            <w:vAlign w:val="top"/>
          </w:tcPr>
          <w:p w14:paraId="28282298">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97367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70C81E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46BBE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27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8EE59D8">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B52E916">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7B994E7D">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5E9D8C8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8880F1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799537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070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C624ABF">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4BDDCD57">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20A0C1E">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7CB1D0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02A730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B1643A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47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E5B858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308</w:t>
            </w:r>
          </w:p>
        </w:tc>
        <w:tc>
          <w:tcPr>
            <w:tcW w:w="4732" w:type="dxa"/>
            <w:noWrap w:val="0"/>
            <w:vAlign w:val="center"/>
          </w:tcPr>
          <w:p w14:paraId="4F6A2E3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透层和黏层</w:t>
            </w:r>
          </w:p>
        </w:tc>
        <w:tc>
          <w:tcPr>
            <w:tcW w:w="749" w:type="dxa"/>
            <w:noWrap w:val="0"/>
            <w:vAlign w:val="top"/>
          </w:tcPr>
          <w:p w14:paraId="7B0D923E">
            <w:pPr>
              <w:pageBreakBefore w:val="0"/>
              <w:kinsoku/>
              <w:wordWrap w:val="0"/>
              <w:overflowPunct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7F22D2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F4E47D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F91DE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15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08732FE">
            <w:pPr>
              <w:pageBreakBefore w:val="0"/>
              <w:kinsoku/>
              <w:wordWrap w:val="0"/>
              <w:overflowPunct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308</w:t>
            </w:r>
            <w:r>
              <w:rPr>
                <w:rFonts w:hint="default" w:ascii="Times New Roman" w:hAnsi="Times New Roman" w:cs="Times New Roman"/>
                <w:color w:val="auto"/>
                <w:szCs w:val="21"/>
                <w:highlight w:val="none"/>
              </w:rPr>
              <w:t>-1</w:t>
            </w:r>
          </w:p>
        </w:tc>
        <w:tc>
          <w:tcPr>
            <w:tcW w:w="4732" w:type="dxa"/>
            <w:noWrap w:val="0"/>
            <w:vAlign w:val="top"/>
          </w:tcPr>
          <w:p w14:paraId="42CC6459">
            <w:pPr>
              <w:pageBreakBefore w:val="0"/>
              <w:kinsoku/>
              <w:wordWrap w:val="0"/>
              <w:overflowPunct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透层</w:t>
            </w:r>
          </w:p>
        </w:tc>
        <w:tc>
          <w:tcPr>
            <w:tcW w:w="749" w:type="dxa"/>
            <w:noWrap w:val="0"/>
            <w:vAlign w:val="top"/>
          </w:tcPr>
          <w:p w14:paraId="2CF31F53">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60375F5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D684FF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71AA6D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B4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A8DB118">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308</w:t>
            </w:r>
            <w:r>
              <w:rPr>
                <w:rFonts w:hint="default" w:ascii="Times New Roman" w:hAnsi="Times New Roman" w:cs="Times New Roman"/>
                <w:color w:val="auto"/>
                <w:szCs w:val="21"/>
                <w:highlight w:val="none"/>
              </w:rPr>
              <w:t>-2</w:t>
            </w:r>
          </w:p>
        </w:tc>
        <w:tc>
          <w:tcPr>
            <w:tcW w:w="4732" w:type="dxa"/>
            <w:noWrap w:val="0"/>
            <w:vAlign w:val="top"/>
          </w:tcPr>
          <w:p w14:paraId="245DF14C">
            <w:pPr>
              <w:pageBreakBefore w:val="0"/>
              <w:kinsoku/>
              <w:wordWrap w:val="0"/>
              <w:overflowPunct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黏层</w:t>
            </w:r>
          </w:p>
        </w:tc>
        <w:tc>
          <w:tcPr>
            <w:tcW w:w="749" w:type="dxa"/>
            <w:noWrap w:val="0"/>
            <w:vAlign w:val="top"/>
          </w:tcPr>
          <w:p w14:paraId="2F3F3B82">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0F5913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3500DB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768695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18B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65209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309</w:t>
            </w:r>
          </w:p>
        </w:tc>
        <w:tc>
          <w:tcPr>
            <w:tcW w:w="4732" w:type="dxa"/>
            <w:noWrap w:val="0"/>
            <w:vAlign w:val="center"/>
          </w:tcPr>
          <w:p w14:paraId="452F535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热拌沥青混合料面层</w:t>
            </w:r>
          </w:p>
        </w:tc>
        <w:tc>
          <w:tcPr>
            <w:tcW w:w="749" w:type="dxa"/>
            <w:noWrap w:val="0"/>
            <w:vAlign w:val="top"/>
          </w:tcPr>
          <w:p w14:paraId="7EBCF75E">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BF932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EB5AB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EB2F5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632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6D9D42A">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309-1</w:t>
            </w:r>
          </w:p>
        </w:tc>
        <w:tc>
          <w:tcPr>
            <w:tcW w:w="4732" w:type="dxa"/>
            <w:noWrap w:val="0"/>
            <w:vAlign w:val="top"/>
          </w:tcPr>
          <w:p w14:paraId="1649CB91">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细粒式沥青混凝土</w:t>
            </w:r>
          </w:p>
        </w:tc>
        <w:tc>
          <w:tcPr>
            <w:tcW w:w="749" w:type="dxa"/>
            <w:noWrap w:val="0"/>
            <w:vAlign w:val="top"/>
          </w:tcPr>
          <w:p w14:paraId="5A451B9B">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1CA8F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A55D4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7E6405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66B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BBCA12F">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-a</w:t>
            </w:r>
          </w:p>
        </w:tc>
        <w:tc>
          <w:tcPr>
            <w:tcW w:w="4732" w:type="dxa"/>
            <w:noWrap w:val="0"/>
            <w:vAlign w:val="top"/>
          </w:tcPr>
          <w:p w14:paraId="5EB5B1A0">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4789C5C6">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9009DC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CB249D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66347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7EF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A483F1B">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-b</w:t>
            </w:r>
          </w:p>
        </w:tc>
        <w:tc>
          <w:tcPr>
            <w:tcW w:w="4732" w:type="dxa"/>
            <w:noWrap w:val="0"/>
            <w:vAlign w:val="top"/>
          </w:tcPr>
          <w:p w14:paraId="55C7A978">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0FBA365">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08FF3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20376C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0F85C8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523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FC9FD45">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309-2</w:t>
            </w:r>
          </w:p>
        </w:tc>
        <w:tc>
          <w:tcPr>
            <w:tcW w:w="4732" w:type="dxa"/>
            <w:noWrap w:val="0"/>
            <w:vAlign w:val="top"/>
          </w:tcPr>
          <w:p w14:paraId="4D36115F">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中粒式沥青混凝土</w:t>
            </w:r>
          </w:p>
        </w:tc>
        <w:tc>
          <w:tcPr>
            <w:tcW w:w="749" w:type="dxa"/>
            <w:noWrap w:val="0"/>
            <w:vAlign w:val="top"/>
          </w:tcPr>
          <w:p w14:paraId="0C7F138D">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996CE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DAC817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0F7D99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C6F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84E5A23">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-a</w:t>
            </w:r>
          </w:p>
        </w:tc>
        <w:tc>
          <w:tcPr>
            <w:tcW w:w="4732" w:type="dxa"/>
            <w:noWrap w:val="0"/>
            <w:vAlign w:val="top"/>
          </w:tcPr>
          <w:p w14:paraId="2244FE0C">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04FBA498">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4CBB6A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A2AF03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E0B6A6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10A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B461564">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-b</w:t>
            </w:r>
          </w:p>
        </w:tc>
        <w:tc>
          <w:tcPr>
            <w:tcW w:w="4732" w:type="dxa"/>
            <w:noWrap w:val="0"/>
            <w:vAlign w:val="top"/>
          </w:tcPr>
          <w:p w14:paraId="72782CF1">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7174DE1">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1AA56FE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D8687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5A0F7A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E5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79550FC">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309-3</w:t>
            </w:r>
          </w:p>
        </w:tc>
        <w:tc>
          <w:tcPr>
            <w:tcW w:w="4732" w:type="dxa"/>
            <w:noWrap w:val="0"/>
            <w:vAlign w:val="top"/>
          </w:tcPr>
          <w:p w14:paraId="301292A6">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粗粒式沥青混凝土</w:t>
            </w:r>
          </w:p>
        </w:tc>
        <w:tc>
          <w:tcPr>
            <w:tcW w:w="749" w:type="dxa"/>
            <w:noWrap w:val="0"/>
            <w:vAlign w:val="top"/>
          </w:tcPr>
          <w:p w14:paraId="0AC10D07">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D913C1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EC92B3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C2A42D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D4F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E1F5C62">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-a</w:t>
            </w:r>
          </w:p>
        </w:tc>
        <w:tc>
          <w:tcPr>
            <w:tcW w:w="4732" w:type="dxa"/>
            <w:noWrap w:val="0"/>
            <w:vAlign w:val="top"/>
          </w:tcPr>
          <w:p w14:paraId="4C606E0B">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59E41B56">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6248BF4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5FDE6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68991E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1E8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8BFDD59">
            <w:pPr>
              <w:pageBreakBefore w:val="0"/>
              <w:kinsoku/>
              <w:wordWrap w:val="0"/>
              <w:autoSpaceDE w:val="0"/>
              <w:autoSpaceDN w:val="0"/>
              <w:bidi w:val="0"/>
              <w:spacing w:line="360" w:lineRule="atLeas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-b</w:t>
            </w:r>
          </w:p>
        </w:tc>
        <w:tc>
          <w:tcPr>
            <w:tcW w:w="4732" w:type="dxa"/>
            <w:noWrap w:val="0"/>
            <w:vAlign w:val="top"/>
          </w:tcPr>
          <w:p w14:paraId="6330789A">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49038178">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A13E13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3AC7D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015033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A0A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901255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310</w:t>
            </w:r>
          </w:p>
        </w:tc>
        <w:tc>
          <w:tcPr>
            <w:tcW w:w="4732" w:type="dxa"/>
            <w:noWrap w:val="0"/>
            <w:vAlign w:val="center"/>
          </w:tcPr>
          <w:p w14:paraId="4EFC62B4">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沥青表面处置与封层</w:t>
            </w:r>
          </w:p>
        </w:tc>
        <w:tc>
          <w:tcPr>
            <w:tcW w:w="749" w:type="dxa"/>
            <w:noWrap w:val="0"/>
            <w:vAlign w:val="top"/>
          </w:tcPr>
          <w:p w14:paraId="7853B670">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p>
        </w:tc>
        <w:tc>
          <w:tcPr>
            <w:tcW w:w="837" w:type="dxa"/>
            <w:noWrap w:val="0"/>
            <w:vAlign w:val="center"/>
          </w:tcPr>
          <w:p w14:paraId="530CA73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B3F56C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34283C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ABC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97C8684">
            <w:pPr>
              <w:pageBreakBefore w:val="0"/>
              <w:kinsoku/>
              <w:wordWrap w:val="0"/>
              <w:overflowPunct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310</w:t>
            </w:r>
            <w:r>
              <w:rPr>
                <w:rFonts w:hint="default" w:ascii="Times New Roman" w:hAnsi="Times New Roman" w:cs="Times New Roman"/>
                <w:color w:val="auto"/>
                <w:szCs w:val="21"/>
                <w:highlight w:val="none"/>
              </w:rPr>
              <w:t>-1</w:t>
            </w:r>
          </w:p>
        </w:tc>
        <w:tc>
          <w:tcPr>
            <w:tcW w:w="4732" w:type="dxa"/>
            <w:noWrap w:val="0"/>
            <w:vAlign w:val="top"/>
          </w:tcPr>
          <w:p w14:paraId="4796C99D">
            <w:pPr>
              <w:pageBreakBefore w:val="0"/>
              <w:kinsoku/>
              <w:wordWrap w:val="0"/>
              <w:overflowPunct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沥青表面处</w:t>
            </w:r>
            <w:r>
              <w:rPr>
                <w:rFonts w:hint="default" w:ascii="Times New Roman" w:hAnsi="Times New Roman" w:cs="Times New Roman"/>
                <w:color w:val="auto"/>
                <w:kern w:val="0"/>
                <w:szCs w:val="21"/>
                <w:highlight w:val="none"/>
              </w:rPr>
              <w:t>置</w:t>
            </w:r>
          </w:p>
        </w:tc>
        <w:tc>
          <w:tcPr>
            <w:tcW w:w="749" w:type="dxa"/>
            <w:noWrap w:val="0"/>
            <w:vAlign w:val="top"/>
          </w:tcPr>
          <w:p w14:paraId="480D6D12">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p>
        </w:tc>
        <w:tc>
          <w:tcPr>
            <w:tcW w:w="837" w:type="dxa"/>
            <w:noWrap w:val="0"/>
            <w:vAlign w:val="center"/>
          </w:tcPr>
          <w:p w14:paraId="34A9D79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B9FAEB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6F2093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E18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CB2E484">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3AAB61B0">
            <w:pPr>
              <w:pageBreakBefore w:val="0"/>
              <w:kinsoku/>
              <w:wordWrap w:val="0"/>
              <w:overflowPunct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67C04B4">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A9761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B2DA36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2678A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464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AC8A140">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-b</w:t>
            </w:r>
          </w:p>
        </w:tc>
        <w:tc>
          <w:tcPr>
            <w:tcW w:w="4732" w:type="dxa"/>
            <w:noWrap w:val="0"/>
            <w:vAlign w:val="top"/>
          </w:tcPr>
          <w:p w14:paraId="62415BFA">
            <w:pPr>
              <w:pageBreakBefore w:val="0"/>
              <w:kinsoku/>
              <w:wordWrap w:val="0"/>
              <w:overflowPunct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6FBF05D7">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69E0E4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DE6690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2C950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D51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F31E4A4">
            <w:pPr>
              <w:pageBreakBefore w:val="0"/>
              <w:kinsoku/>
              <w:wordWrap w:val="0"/>
              <w:overflowPunct w:val="0"/>
              <w:autoSpaceDE w:val="0"/>
              <w:autoSpaceDN w:val="0"/>
              <w:bidi w:val="0"/>
              <w:spacing w:line="360" w:lineRule="atLeast"/>
              <w:jc w:val="center"/>
              <w:textAlignment w:val="bottom"/>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310</w:t>
            </w:r>
            <w:r>
              <w:rPr>
                <w:rFonts w:hint="default" w:ascii="Times New Roman" w:hAnsi="Times New Roman" w:cs="Times New Roman"/>
                <w:color w:val="auto"/>
                <w:szCs w:val="21"/>
                <w:highlight w:val="none"/>
              </w:rPr>
              <w:t>-2</w:t>
            </w:r>
          </w:p>
        </w:tc>
        <w:tc>
          <w:tcPr>
            <w:tcW w:w="4732" w:type="dxa"/>
            <w:noWrap w:val="0"/>
            <w:vAlign w:val="top"/>
          </w:tcPr>
          <w:p w14:paraId="48FA63F9">
            <w:pPr>
              <w:pageBreakBefore w:val="0"/>
              <w:kinsoku/>
              <w:wordWrap w:val="0"/>
              <w:overflowPunct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封层</w:t>
            </w:r>
          </w:p>
        </w:tc>
        <w:tc>
          <w:tcPr>
            <w:tcW w:w="749" w:type="dxa"/>
            <w:noWrap w:val="0"/>
            <w:vAlign w:val="top"/>
          </w:tcPr>
          <w:p w14:paraId="212B6F0C">
            <w:pPr>
              <w:pageBreakBefore w:val="0"/>
              <w:kinsoku/>
              <w:wordWrap w:val="0"/>
              <w:overflowPunct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6B79BCD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F22ED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3ED097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7B1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4EF326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311</w:t>
            </w:r>
          </w:p>
        </w:tc>
        <w:tc>
          <w:tcPr>
            <w:tcW w:w="4732" w:type="dxa"/>
            <w:noWrap w:val="0"/>
            <w:vAlign w:val="center"/>
          </w:tcPr>
          <w:p w14:paraId="5AC5F12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0"/>
                <w:szCs w:val="20"/>
                <w:highlight w:val="none"/>
              </w:rPr>
              <w:t>改性沥青及改性沥青混合料</w:t>
            </w:r>
          </w:p>
        </w:tc>
        <w:tc>
          <w:tcPr>
            <w:tcW w:w="749" w:type="dxa"/>
            <w:noWrap w:val="0"/>
            <w:vAlign w:val="top"/>
          </w:tcPr>
          <w:p w14:paraId="701CB546">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688BF0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FC6787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CDAA35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F4B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076EA54">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311-1</w:t>
            </w:r>
          </w:p>
        </w:tc>
        <w:tc>
          <w:tcPr>
            <w:tcW w:w="4732" w:type="dxa"/>
            <w:noWrap w:val="0"/>
            <w:vAlign w:val="top"/>
          </w:tcPr>
          <w:p w14:paraId="144DEC16">
            <w:pPr>
              <w:pageBreakBefore w:val="0"/>
              <w:kinsoku/>
              <w:wordWrap w:val="0"/>
              <w:overflowPunct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细粒式改性沥青混合料路面</w:t>
            </w:r>
          </w:p>
        </w:tc>
        <w:tc>
          <w:tcPr>
            <w:tcW w:w="749" w:type="dxa"/>
            <w:noWrap w:val="0"/>
            <w:vAlign w:val="top"/>
          </w:tcPr>
          <w:p w14:paraId="74D5C28A">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9E01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67CA3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8FD76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DCA8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E8A83E2">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0CD8966">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281459B0">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771E15C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82DCF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85D86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46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BAD321A">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54BAD254">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58F02CCD">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0BEAEF2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2932C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2B5BA3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12B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ACE1ECD">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311-2</w:t>
            </w:r>
          </w:p>
        </w:tc>
        <w:tc>
          <w:tcPr>
            <w:tcW w:w="4732" w:type="dxa"/>
            <w:noWrap w:val="0"/>
            <w:vAlign w:val="top"/>
          </w:tcPr>
          <w:p w14:paraId="25219EBB">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中粒式改性沥青混合料路面</w:t>
            </w:r>
          </w:p>
        </w:tc>
        <w:tc>
          <w:tcPr>
            <w:tcW w:w="749" w:type="dxa"/>
            <w:noWrap w:val="0"/>
            <w:vAlign w:val="top"/>
          </w:tcPr>
          <w:p w14:paraId="501986F7">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BCC7A8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96FC70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5FB5E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403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5223E78">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097A728B">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5EDB5B89">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5181FDC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67C23F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1AB5DA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D9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986D6B4">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544C5D42">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2BAECAC">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2756BB4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A3D2A5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EF68E5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643B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C4C2862">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311-3</w:t>
            </w:r>
          </w:p>
        </w:tc>
        <w:tc>
          <w:tcPr>
            <w:tcW w:w="4732" w:type="dxa"/>
            <w:noWrap w:val="0"/>
            <w:vAlign w:val="top"/>
          </w:tcPr>
          <w:p w14:paraId="268AF7FA">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SMA路面</w:t>
            </w:r>
          </w:p>
        </w:tc>
        <w:tc>
          <w:tcPr>
            <w:tcW w:w="749" w:type="dxa"/>
            <w:noWrap w:val="0"/>
            <w:vAlign w:val="top"/>
          </w:tcPr>
          <w:p w14:paraId="7344BFD2">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2EC874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E2EF3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591A7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EE9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723B77E">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752AAD5">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4B81073B">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76CBB35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594276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CA9E2A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BDC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18E650A">
            <w:pPr>
              <w:pageBreakBefore w:val="0"/>
              <w:kinsoku/>
              <w:wordWrap w:val="0"/>
              <w:overflowPunct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03EFEA35">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w:t>
            </w:r>
          </w:p>
        </w:tc>
        <w:tc>
          <w:tcPr>
            <w:tcW w:w="749" w:type="dxa"/>
            <w:noWrap w:val="0"/>
            <w:vAlign w:val="top"/>
          </w:tcPr>
          <w:p w14:paraId="1A8CAA07">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5375CD8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E96A56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89638E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D70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3ABE81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312</w:t>
            </w:r>
          </w:p>
        </w:tc>
        <w:tc>
          <w:tcPr>
            <w:tcW w:w="4732" w:type="dxa"/>
            <w:noWrap w:val="0"/>
            <w:vAlign w:val="center"/>
          </w:tcPr>
          <w:p w14:paraId="700DB6A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水泥混凝土面板</w:t>
            </w:r>
          </w:p>
        </w:tc>
        <w:tc>
          <w:tcPr>
            <w:tcW w:w="749" w:type="dxa"/>
            <w:noWrap w:val="0"/>
            <w:vAlign w:val="center"/>
          </w:tcPr>
          <w:p w14:paraId="501B6410">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E49BB6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20C7D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C2D4FE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D1A5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18CBBE0">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312-1</w:t>
            </w:r>
          </w:p>
        </w:tc>
        <w:tc>
          <w:tcPr>
            <w:tcW w:w="4732" w:type="dxa"/>
            <w:noWrap w:val="0"/>
            <w:vAlign w:val="center"/>
          </w:tcPr>
          <w:p w14:paraId="4467B9AE">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水泥混凝土面板</w:t>
            </w:r>
          </w:p>
        </w:tc>
        <w:tc>
          <w:tcPr>
            <w:tcW w:w="749" w:type="dxa"/>
            <w:noWrap w:val="0"/>
            <w:vAlign w:val="center"/>
          </w:tcPr>
          <w:p w14:paraId="1D427BC9">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ED9BD7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451F02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6E77C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87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73CBC07">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5732951C">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 （混凝土弯拉强度…MPa）</w:t>
            </w:r>
          </w:p>
        </w:tc>
        <w:tc>
          <w:tcPr>
            <w:tcW w:w="749" w:type="dxa"/>
            <w:noWrap w:val="0"/>
            <w:vAlign w:val="center"/>
          </w:tcPr>
          <w:p w14:paraId="352CE835">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F5D778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D8FFB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12BCDD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9E1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F98041">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center"/>
          </w:tcPr>
          <w:p w14:paraId="5FE7EC9C">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厚…mm （混凝土弯拉强度…MPa）</w:t>
            </w:r>
          </w:p>
        </w:tc>
        <w:tc>
          <w:tcPr>
            <w:tcW w:w="749" w:type="dxa"/>
            <w:noWrap w:val="0"/>
            <w:vAlign w:val="center"/>
          </w:tcPr>
          <w:p w14:paraId="561078E5">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EEE16B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94B5FA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36409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38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6740A0B">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312-2</w:t>
            </w:r>
          </w:p>
        </w:tc>
        <w:tc>
          <w:tcPr>
            <w:tcW w:w="4732" w:type="dxa"/>
            <w:noWrap w:val="0"/>
            <w:vAlign w:val="center"/>
          </w:tcPr>
          <w:p w14:paraId="547933CA">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钢筋</w:t>
            </w:r>
          </w:p>
        </w:tc>
        <w:tc>
          <w:tcPr>
            <w:tcW w:w="749" w:type="dxa"/>
            <w:noWrap w:val="0"/>
            <w:vAlign w:val="center"/>
          </w:tcPr>
          <w:p w14:paraId="539F74A2">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19D404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E367F3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187A4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43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382B69F">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49AD1090">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光圆钢筋（HPB235、HPB300）</w:t>
            </w:r>
          </w:p>
        </w:tc>
        <w:tc>
          <w:tcPr>
            <w:tcW w:w="749" w:type="dxa"/>
            <w:noWrap w:val="0"/>
            <w:vAlign w:val="center"/>
          </w:tcPr>
          <w:p w14:paraId="05C159FF">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6D4BB00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494BB8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D2EF13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0EC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EDF209A">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23AFABA9">
            <w:pPr>
              <w:pageBreakBefore w:val="0"/>
              <w:kinsoku/>
              <w:wordWrap w:val="0"/>
              <w:autoSpaceDE w:val="0"/>
              <w:autoSpaceDN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带肋钢筋（HRB335、HRB400）</w:t>
            </w:r>
          </w:p>
        </w:tc>
        <w:tc>
          <w:tcPr>
            <w:tcW w:w="749" w:type="dxa"/>
            <w:noWrap w:val="0"/>
            <w:vAlign w:val="center"/>
          </w:tcPr>
          <w:p w14:paraId="105C403A">
            <w:pPr>
              <w:pageBreakBefore w:val="0"/>
              <w:kinsoku/>
              <w:wordWrap w:val="0"/>
              <w:autoSpaceDE w:val="0"/>
              <w:autoSpaceDN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6AE2B83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17EC3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C4484D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BB2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AC191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313</w:t>
            </w:r>
          </w:p>
        </w:tc>
        <w:tc>
          <w:tcPr>
            <w:tcW w:w="4732" w:type="dxa"/>
            <w:noWrap w:val="0"/>
            <w:vAlign w:val="center"/>
          </w:tcPr>
          <w:p w14:paraId="5B6D60A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路肩培土、中央分隔带回填土、土路肩加固及路缘石</w:t>
            </w:r>
          </w:p>
        </w:tc>
        <w:tc>
          <w:tcPr>
            <w:tcW w:w="749" w:type="dxa"/>
            <w:noWrap w:val="0"/>
            <w:vAlign w:val="top"/>
          </w:tcPr>
          <w:p w14:paraId="02F0945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6E8FF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2DE1AA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C0A29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214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D0E1DC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313-1</w:t>
            </w:r>
          </w:p>
        </w:tc>
        <w:tc>
          <w:tcPr>
            <w:tcW w:w="4732" w:type="dxa"/>
            <w:noWrap w:val="0"/>
            <w:vAlign w:val="top"/>
          </w:tcPr>
          <w:p w14:paraId="04025849">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路肩培土</w:t>
            </w:r>
          </w:p>
        </w:tc>
        <w:tc>
          <w:tcPr>
            <w:tcW w:w="749" w:type="dxa"/>
            <w:noWrap w:val="0"/>
            <w:vAlign w:val="top"/>
          </w:tcPr>
          <w:p w14:paraId="0D9B09C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5442BAA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88F9E0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F7CF4F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311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6FE6C3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313-2</w:t>
            </w:r>
          </w:p>
        </w:tc>
        <w:tc>
          <w:tcPr>
            <w:tcW w:w="4732" w:type="dxa"/>
            <w:noWrap w:val="0"/>
            <w:vAlign w:val="top"/>
          </w:tcPr>
          <w:p w14:paraId="35D0BAC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中央分隔带回填土</w:t>
            </w:r>
          </w:p>
        </w:tc>
        <w:tc>
          <w:tcPr>
            <w:tcW w:w="749" w:type="dxa"/>
            <w:noWrap w:val="0"/>
            <w:vAlign w:val="top"/>
          </w:tcPr>
          <w:p w14:paraId="2D6DC03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4087F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7DD5A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2411B0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D6CB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4EEAB3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313-3</w:t>
            </w:r>
          </w:p>
        </w:tc>
        <w:tc>
          <w:tcPr>
            <w:tcW w:w="4732" w:type="dxa"/>
            <w:noWrap w:val="0"/>
            <w:vAlign w:val="top"/>
          </w:tcPr>
          <w:p w14:paraId="1E21040F">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现浇混凝土加固土路肩</w:t>
            </w:r>
          </w:p>
        </w:tc>
        <w:tc>
          <w:tcPr>
            <w:tcW w:w="749" w:type="dxa"/>
            <w:noWrap w:val="0"/>
            <w:vAlign w:val="top"/>
          </w:tcPr>
          <w:p w14:paraId="54CF881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156E91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5D4558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5C69F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A43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AA06FF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313-4</w:t>
            </w:r>
          </w:p>
        </w:tc>
        <w:tc>
          <w:tcPr>
            <w:tcW w:w="4732" w:type="dxa"/>
            <w:noWrap w:val="0"/>
            <w:vAlign w:val="top"/>
          </w:tcPr>
          <w:p w14:paraId="783ACF8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混凝土预制块加固土路肩</w:t>
            </w:r>
          </w:p>
        </w:tc>
        <w:tc>
          <w:tcPr>
            <w:tcW w:w="749" w:type="dxa"/>
            <w:noWrap w:val="0"/>
            <w:vAlign w:val="top"/>
          </w:tcPr>
          <w:p w14:paraId="68B9B76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88C9B3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44E79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D8787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2565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DC702E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313-5</w:t>
            </w:r>
          </w:p>
        </w:tc>
        <w:tc>
          <w:tcPr>
            <w:tcW w:w="4732" w:type="dxa"/>
            <w:noWrap w:val="0"/>
            <w:vAlign w:val="top"/>
          </w:tcPr>
          <w:p w14:paraId="02F491C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混凝土预制块路缘石</w:t>
            </w:r>
          </w:p>
        </w:tc>
        <w:tc>
          <w:tcPr>
            <w:tcW w:w="749" w:type="dxa"/>
            <w:noWrap w:val="0"/>
            <w:vAlign w:val="top"/>
          </w:tcPr>
          <w:p w14:paraId="2ED48A4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DE1893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F89F2F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05E3EB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0E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3C7913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314</w:t>
            </w:r>
          </w:p>
        </w:tc>
        <w:tc>
          <w:tcPr>
            <w:tcW w:w="4732" w:type="dxa"/>
            <w:noWrap w:val="0"/>
            <w:vAlign w:val="center"/>
          </w:tcPr>
          <w:p w14:paraId="576F6D68">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路面及中央分隔带排水</w:t>
            </w:r>
          </w:p>
        </w:tc>
        <w:tc>
          <w:tcPr>
            <w:tcW w:w="749" w:type="dxa"/>
            <w:noWrap w:val="0"/>
            <w:vAlign w:val="center"/>
          </w:tcPr>
          <w:p w14:paraId="52F8F6C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A9357A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AFBECB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954789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7DA7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E2A4B8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314-1</w:t>
            </w:r>
          </w:p>
        </w:tc>
        <w:tc>
          <w:tcPr>
            <w:tcW w:w="4732" w:type="dxa"/>
            <w:noWrap w:val="0"/>
            <w:vAlign w:val="center"/>
          </w:tcPr>
          <w:p w14:paraId="7A98A9F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排水管</w:t>
            </w:r>
          </w:p>
        </w:tc>
        <w:tc>
          <w:tcPr>
            <w:tcW w:w="749" w:type="dxa"/>
            <w:noWrap w:val="0"/>
            <w:vAlign w:val="center"/>
          </w:tcPr>
          <w:p w14:paraId="4E72602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1247707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E5A093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168884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28C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D4195E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314-2</w:t>
            </w:r>
          </w:p>
        </w:tc>
        <w:tc>
          <w:tcPr>
            <w:tcW w:w="4732" w:type="dxa"/>
            <w:noWrap w:val="0"/>
            <w:vAlign w:val="center"/>
          </w:tcPr>
          <w:p w14:paraId="68A7511B">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纵向雨水沟（管）</w:t>
            </w:r>
          </w:p>
        </w:tc>
        <w:tc>
          <w:tcPr>
            <w:tcW w:w="749" w:type="dxa"/>
            <w:noWrap w:val="0"/>
            <w:vAlign w:val="center"/>
          </w:tcPr>
          <w:p w14:paraId="0DB05BD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3EAAA97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52B5E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E8583B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349D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8D0FD4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314-3</w:t>
            </w:r>
          </w:p>
        </w:tc>
        <w:tc>
          <w:tcPr>
            <w:tcW w:w="4732" w:type="dxa"/>
            <w:noWrap w:val="0"/>
            <w:vAlign w:val="center"/>
          </w:tcPr>
          <w:p w14:paraId="6BE2486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集水井 </w:t>
            </w:r>
          </w:p>
        </w:tc>
        <w:tc>
          <w:tcPr>
            <w:tcW w:w="749" w:type="dxa"/>
            <w:noWrap w:val="0"/>
            <w:vAlign w:val="center"/>
          </w:tcPr>
          <w:p w14:paraId="7CB3C44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座</w:t>
            </w:r>
          </w:p>
        </w:tc>
        <w:tc>
          <w:tcPr>
            <w:tcW w:w="837" w:type="dxa"/>
            <w:noWrap w:val="0"/>
            <w:vAlign w:val="center"/>
          </w:tcPr>
          <w:p w14:paraId="00B3582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7E716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6FFF01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513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787457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314-4</w:t>
            </w:r>
          </w:p>
        </w:tc>
        <w:tc>
          <w:tcPr>
            <w:tcW w:w="4732" w:type="dxa"/>
            <w:noWrap w:val="0"/>
            <w:vAlign w:val="center"/>
          </w:tcPr>
          <w:p w14:paraId="4B0D02B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中央分隔带渗沟</w:t>
            </w:r>
          </w:p>
        </w:tc>
        <w:tc>
          <w:tcPr>
            <w:tcW w:w="749" w:type="dxa"/>
            <w:noWrap w:val="0"/>
            <w:vAlign w:val="center"/>
          </w:tcPr>
          <w:p w14:paraId="6912D7D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18082F5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E6B560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C6048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D74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19F138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314-5</w:t>
            </w:r>
          </w:p>
        </w:tc>
        <w:tc>
          <w:tcPr>
            <w:tcW w:w="4732" w:type="dxa"/>
            <w:noWrap w:val="0"/>
            <w:vAlign w:val="center"/>
          </w:tcPr>
          <w:p w14:paraId="08A8AC8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沥青油毡防水层</w:t>
            </w:r>
          </w:p>
        </w:tc>
        <w:tc>
          <w:tcPr>
            <w:tcW w:w="749" w:type="dxa"/>
            <w:noWrap w:val="0"/>
            <w:vAlign w:val="top"/>
          </w:tcPr>
          <w:p w14:paraId="3DA689C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vertAlign w:val="superscript"/>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1F8E9DC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3A6A0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8034B2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42B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F8A8D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314-6</w:t>
            </w:r>
          </w:p>
        </w:tc>
        <w:tc>
          <w:tcPr>
            <w:tcW w:w="4732" w:type="dxa"/>
            <w:noWrap w:val="0"/>
            <w:vAlign w:val="center"/>
          </w:tcPr>
          <w:p w14:paraId="56EF263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路肩排水沟</w:t>
            </w:r>
          </w:p>
        </w:tc>
        <w:tc>
          <w:tcPr>
            <w:tcW w:w="749" w:type="dxa"/>
            <w:noWrap w:val="0"/>
            <w:vAlign w:val="center"/>
          </w:tcPr>
          <w:p w14:paraId="226DDC1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187FA3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35F6B0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BCF008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D62C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3D410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314-7</w:t>
            </w:r>
          </w:p>
        </w:tc>
        <w:tc>
          <w:tcPr>
            <w:tcW w:w="4732" w:type="dxa"/>
            <w:noWrap w:val="0"/>
            <w:vAlign w:val="center"/>
          </w:tcPr>
          <w:p w14:paraId="3402FF20">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拦水带</w:t>
            </w:r>
          </w:p>
        </w:tc>
        <w:tc>
          <w:tcPr>
            <w:tcW w:w="749" w:type="dxa"/>
            <w:noWrap w:val="0"/>
            <w:vAlign w:val="center"/>
          </w:tcPr>
          <w:p w14:paraId="5058DFD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34720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7446B2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7C9D20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9D6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62DF0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6F35C40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沥青混凝土拦水带</w:t>
            </w:r>
          </w:p>
        </w:tc>
        <w:tc>
          <w:tcPr>
            <w:tcW w:w="749" w:type="dxa"/>
            <w:noWrap w:val="0"/>
            <w:vAlign w:val="center"/>
          </w:tcPr>
          <w:p w14:paraId="681421B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6DD4B3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8400AC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7D6AF0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CA8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93179D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center"/>
          </w:tcPr>
          <w:p w14:paraId="772C1E6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水泥混凝土拦水带</w:t>
            </w:r>
          </w:p>
        </w:tc>
        <w:tc>
          <w:tcPr>
            <w:tcW w:w="749" w:type="dxa"/>
            <w:noWrap w:val="0"/>
            <w:vAlign w:val="center"/>
          </w:tcPr>
          <w:p w14:paraId="1286EC6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39B54A0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333FC5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DA685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BEE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871772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5421013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center"/>
          </w:tcPr>
          <w:p w14:paraId="64801A6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7298B3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F5359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F7D49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16C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2E8491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51AB7F89">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center"/>
          </w:tcPr>
          <w:p w14:paraId="77DDDB7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42599A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6AF9C4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E5F1F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702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56" w:type="dxa"/>
            <w:gridSpan w:val="6"/>
            <w:tcBorders>
              <w:left w:val="single" w:color="auto" w:sz="12" w:space="0"/>
              <w:bottom w:val="single" w:color="auto" w:sz="12" w:space="0"/>
              <w:right w:val="single" w:color="auto" w:sz="12" w:space="0"/>
            </w:tcBorders>
            <w:noWrap w:val="0"/>
            <w:vAlign w:val="center"/>
          </w:tcPr>
          <w:p w14:paraId="6EA8B9E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清单第300章合计  人民币</w:t>
            </w:r>
            <w:r>
              <w:rPr>
                <w:rFonts w:hint="default" w:ascii="Times New Roman" w:hAnsi="Times New Roman" w:cs="Times New Roman"/>
                <w:bCs/>
                <w:color w:val="auto"/>
                <w:kern w:val="0"/>
                <w:szCs w:val="21"/>
                <w:highlight w:val="none"/>
                <w:u w:val="single"/>
              </w:rPr>
              <w:t xml:space="preserve">                    </w:t>
            </w:r>
          </w:p>
        </w:tc>
      </w:tr>
    </w:tbl>
    <w:p w14:paraId="1842A2B5">
      <w:pPr>
        <w:pageBreakBefore w:val="0"/>
        <w:widowControl/>
        <w:kinsoku/>
        <w:wordWrap w:val="0"/>
        <w:bidi w:val="0"/>
        <w:spacing w:line="360" w:lineRule="atLeast"/>
        <w:jc w:val="center"/>
        <w:rPr>
          <w:rFonts w:hint="default" w:ascii="Times New Roman" w:hAnsi="Times New Roman" w:eastAsia="黑体" w:cs="Times New Roman"/>
          <w:color w:val="auto"/>
          <w:sz w:val="28"/>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8"/>
          <w:highlight w:val="none"/>
        </w:rPr>
        <w:t>工 程 量 清 单</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32"/>
        <w:gridCol w:w="749"/>
        <w:gridCol w:w="837"/>
        <w:gridCol w:w="837"/>
        <w:gridCol w:w="837"/>
      </w:tblGrid>
      <w:tr w14:paraId="7674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124C0AB0">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第400章   桥梁、涵洞</w:t>
            </w:r>
          </w:p>
        </w:tc>
      </w:tr>
      <w:tr w14:paraId="52CE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6BCBFE20">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center"/>
          </w:tcPr>
          <w:p w14:paraId="7A57F984">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center"/>
          </w:tcPr>
          <w:p w14:paraId="50571B46">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444F1455">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3CCA85BD">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4379B8AC">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3C78C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7DF1F26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401</w:t>
            </w:r>
          </w:p>
        </w:tc>
        <w:tc>
          <w:tcPr>
            <w:tcW w:w="4732" w:type="dxa"/>
            <w:tcBorders>
              <w:top w:val="single" w:color="auto" w:sz="4" w:space="0"/>
              <w:left w:val="single" w:color="auto" w:sz="4" w:space="0"/>
              <w:right w:val="single" w:color="auto" w:sz="4" w:space="0"/>
            </w:tcBorders>
            <w:noWrap w:val="0"/>
            <w:vAlign w:val="center"/>
          </w:tcPr>
          <w:p w14:paraId="2BE04F0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通则</w:t>
            </w:r>
          </w:p>
        </w:tc>
        <w:tc>
          <w:tcPr>
            <w:tcW w:w="749" w:type="dxa"/>
            <w:tcBorders>
              <w:top w:val="single" w:color="auto" w:sz="4" w:space="0"/>
              <w:left w:val="single" w:color="auto" w:sz="4" w:space="0"/>
              <w:right w:val="single" w:color="auto" w:sz="4" w:space="0"/>
            </w:tcBorders>
            <w:noWrap w:val="0"/>
            <w:vAlign w:val="top"/>
          </w:tcPr>
          <w:p w14:paraId="3AD863D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4CEADEA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2E62BE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23E28A5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7A0F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top"/>
          </w:tcPr>
          <w:p w14:paraId="01F3E80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40</w:t>
            </w:r>
            <w:r>
              <w:rPr>
                <w:rFonts w:hint="default" w:ascii="Times New Roman" w:hAnsi="Times New Roman" w:cs="Times New Roman"/>
                <w:color w:val="auto"/>
                <w:szCs w:val="21"/>
                <w:highlight w:val="none"/>
              </w:rPr>
              <w:t>1-1</w:t>
            </w:r>
          </w:p>
        </w:tc>
        <w:tc>
          <w:tcPr>
            <w:tcW w:w="4732" w:type="dxa"/>
            <w:tcBorders>
              <w:top w:val="single" w:color="auto" w:sz="4" w:space="0"/>
              <w:left w:val="single" w:color="auto" w:sz="4" w:space="0"/>
              <w:right w:val="single" w:color="auto" w:sz="4" w:space="0"/>
            </w:tcBorders>
            <w:noWrap w:val="0"/>
            <w:vAlign w:val="top"/>
          </w:tcPr>
          <w:p w14:paraId="610D3CFE">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桥梁荷载试验（暂估价）</w:t>
            </w:r>
          </w:p>
        </w:tc>
        <w:tc>
          <w:tcPr>
            <w:tcW w:w="749" w:type="dxa"/>
            <w:tcBorders>
              <w:top w:val="single" w:color="auto" w:sz="4" w:space="0"/>
              <w:left w:val="single" w:color="auto" w:sz="4" w:space="0"/>
              <w:right w:val="single" w:color="auto" w:sz="4" w:space="0"/>
            </w:tcBorders>
            <w:noWrap w:val="0"/>
            <w:vAlign w:val="top"/>
          </w:tcPr>
          <w:p w14:paraId="6DDA9CC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tcBorders>
              <w:top w:val="single" w:color="auto" w:sz="4" w:space="0"/>
              <w:left w:val="single" w:color="auto" w:sz="4" w:space="0"/>
              <w:right w:val="single" w:color="auto" w:sz="4" w:space="0"/>
            </w:tcBorders>
            <w:noWrap w:val="0"/>
            <w:vAlign w:val="center"/>
          </w:tcPr>
          <w:p w14:paraId="3541786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2F2F18B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583F964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B00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213ED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401-2</w:t>
            </w:r>
          </w:p>
        </w:tc>
        <w:tc>
          <w:tcPr>
            <w:tcW w:w="4732" w:type="dxa"/>
            <w:noWrap w:val="0"/>
            <w:vAlign w:val="center"/>
          </w:tcPr>
          <w:p w14:paraId="63C8AF8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桥梁施工监控（</w:t>
            </w:r>
            <w:r>
              <w:rPr>
                <w:rFonts w:hint="default" w:ascii="Times New Roman" w:hAnsi="Times New Roman" w:cs="Times New Roman"/>
                <w:color w:val="auto"/>
                <w:kern w:val="0"/>
                <w:szCs w:val="21"/>
                <w:highlight w:val="none"/>
              </w:rPr>
              <w:t>暂估价</w:t>
            </w:r>
            <w:r>
              <w:rPr>
                <w:rFonts w:hint="default" w:ascii="Times New Roman" w:hAnsi="Times New Roman" w:cs="Times New Roman"/>
                <w:color w:val="auto"/>
                <w:szCs w:val="21"/>
                <w:highlight w:val="none"/>
              </w:rPr>
              <w:t>）</w:t>
            </w:r>
          </w:p>
        </w:tc>
        <w:tc>
          <w:tcPr>
            <w:tcW w:w="749" w:type="dxa"/>
            <w:noWrap w:val="0"/>
            <w:vAlign w:val="center"/>
          </w:tcPr>
          <w:p w14:paraId="7670CB68">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总额</w:t>
            </w:r>
          </w:p>
        </w:tc>
        <w:tc>
          <w:tcPr>
            <w:tcW w:w="837" w:type="dxa"/>
            <w:noWrap w:val="0"/>
            <w:vAlign w:val="center"/>
          </w:tcPr>
          <w:p w14:paraId="65F6700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C0141F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AB467D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5E6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24B328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40</w:t>
            </w:r>
            <w:r>
              <w:rPr>
                <w:rFonts w:hint="default" w:ascii="Times New Roman" w:hAnsi="Times New Roman" w:cs="Times New Roman"/>
                <w:color w:val="auto"/>
                <w:szCs w:val="21"/>
                <w:highlight w:val="none"/>
              </w:rPr>
              <w:t>1-3</w:t>
            </w:r>
          </w:p>
        </w:tc>
        <w:tc>
          <w:tcPr>
            <w:tcW w:w="4732" w:type="dxa"/>
            <w:noWrap w:val="0"/>
            <w:vAlign w:val="top"/>
          </w:tcPr>
          <w:p w14:paraId="63213626">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地质钻探及取样试验（暂定工程量）</w:t>
            </w:r>
          </w:p>
        </w:tc>
        <w:tc>
          <w:tcPr>
            <w:tcW w:w="749" w:type="dxa"/>
            <w:noWrap w:val="0"/>
            <w:vAlign w:val="top"/>
          </w:tcPr>
          <w:p w14:paraId="16D1D89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3013C8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239A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4571D6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02A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0CB1FE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490EC81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Ф70mm</w:t>
            </w:r>
          </w:p>
        </w:tc>
        <w:tc>
          <w:tcPr>
            <w:tcW w:w="749" w:type="dxa"/>
            <w:noWrap w:val="0"/>
            <w:vAlign w:val="top"/>
          </w:tcPr>
          <w:p w14:paraId="2553C6B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60F9DD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425279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385CA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0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2787A8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01CFB4C4">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Ф110mm</w:t>
            </w:r>
          </w:p>
        </w:tc>
        <w:tc>
          <w:tcPr>
            <w:tcW w:w="749" w:type="dxa"/>
            <w:noWrap w:val="0"/>
            <w:vAlign w:val="top"/>
          </w:tcPr>
          <w:p w14:paraId="1CF836E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3A24CB0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4D7450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CD809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37F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D7A4C3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403</w:t>
            </w:r>
          </w:p>
        </w:tc>
        <w:tc>
          <w:tcPr>
            <w:tcW w:w="4732" w:type="dxa"/>
            <w:noWrap w:val="0"/>
            <w:vAlign w:val="center"/>
          </w:tcPr>
          <w:p w14:paraId="5D8D525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top"/>
          </w:tcPr>
          <w:p w14:paraId="1D72FAA7">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C644ED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581024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DF16E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BBE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737F86B">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403-1</w:t>
            </w:r>
          </w:p>
        </w:tc>
        <w:tc>
          <w:tcPr>
            <w:tcW w:w="4732" w:type="dxa"/>
            <w:noWrap w:val="0"/>
            <w:vAlign w:val="center"/>
          </w:tcPr>
          <w:p w14:paraId="45B36B0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基础钢筋（含灌注桩、承台、桩系梁、沉桩、沉井等）</w:t>
            </w:r>
          </w:p>
        </w:tc>
        <w:tc>
          <w:tcPr>
            <w:tcW w:w="749" w:type="dxa"/>
            <w:noWrap w:val="0"/>
            <w:vAlign w:val="top"/>
          </w:tcPr>
          <w:p w14:paraId="5EB731C2">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38EF00E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7E865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0BEE12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7B4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FDF1901">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5D182E26">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光圆钢筋（HPB235、HPB300）</w:t>
            </w:r>
          </w:p>
        </w:tc>
        <w:tc>
          <w:tcPr>
            <w:tcW w:w="749" w:type="dxa"/>
            <w:noWrap w:val="0"/>
            <w:vAlign w:val="top"/>
          </w:tcPr>
          <w:p w14:paraId="02F306F0">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48E9A9B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9ADD8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D18D5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D14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3D0FDBF">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51161633">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带肋钢筋（HRB335、HRB400）</w:t>
            </w:r>
          </w:p>
        </w:tc>
        <w:tc>
          <w:tcPr>
            <w:tcW w:w="749" w:type="dxa"/>
            <w:noWrap w:val="0"/>
            <w:vAlign w:val="top"/>
          </w:tcPr>
          <w:p w14:paraId="484D7413">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1C0A85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3FA89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46B8E4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B5FB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CD28C0E">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403-2</w:t>
            </w:r>
          </w:p>
        </w:tc>
        <w:tc>
          <w:tcPr>
            <w:tcW w:w="4732" w:type="dxa"/>
            <w:noWrap w:val="0"/>
            <w:vAlign w:val="top"/>
          </w:tcPr>
          <w:p w14:paraId="42F115DC">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下部结构钢筋</w:t>
            </w:r>
          </w:p>
        </w:tc>
        <w:tc>
          <w:tcPr>
            <w:tcW w:w="749" w:type="dxa"/>
            <w:noWrap w:val="0"/>
            <w:vAlign w:val="top"/>
          </w:tcPr>
          <w:p w14:paraId="613A1B76">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B8D769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69B3C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332BCE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7F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29633F3">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5247F6E3">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光圆钢筋（HPB235、HPB300）</w:t>
            </w:r>
          </w:p>
        </w:tc>
        <w:tc>
          <w:tcPr>
            <w:tcW w:w="749" w:type="dxa"/>
            <w:noWrap w:val="0"/>
            <w:vAlign w:val="top"/>
          </w:tcPr>
          <w:p w14:paraId="15D9FCD9">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29887CB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119E0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E04A91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98F8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8B1849E">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1DAC1F8D">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带肋钢筋（HRB335、HRB400）</w:t>
            </w:r>
          </w:p>
        </w:tc>
        <w:tc>
          <w:tcPr>
            <w:tcW w:w="749" w:type="dxa"/>
            <w:noWrap w:val="0"/>
            <w:vAlign w:val="top"/>
          </w:tcPr>
          <w:p w14:paraId="78791A89">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7D48228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5C26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945AB8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2B7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0FBCD93">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403-3</w:t>
            </w:r>
          </w:p>
        </w:tc>
        <w:tc>
          <w:tcPr>
            <w:tcW w:w="4732" w:type="dxa"/>
            <w:noWrap w:val="0"/>
            <w:vAlign w:val="top"/>
          </w:tcPr>
          <w:p w14:paraId="58135AFF">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上部结构钢筋</w:t>
            </w:r>
          </w:p>
        </w:tc>
        <w:tc>
          <w:tcPr>
            <w:tcW w:w="749" w:type="dxa"/>
            <w:noWrap w:val="0"/>
            <w:vAlign w:val="top"/>
          </w:tcPr>
          <w:p w14:paraId="11D7D813">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F014F2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D42D06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0B74F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A8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8F12C81">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17C0C942">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光圆钢筋（HPB235、HPB300）</w:t>
            </w:r>
          </w:p>
        </w:tc>
        <w:tc>
          <w:tcPr>
            <w:tcW w:w="749" w:type="dxa"/>
            <w:noWrap w:val="0"/>
            <w:vAlign w:val="top"/>
          </w:tcPr>
          <w:p w14:paraId="30581BCC">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5B42A22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6FC69B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879994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B0A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6DD1233">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636D3482">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带肋钢筋（HRB335、HRB400）</w:t>
            </w:r>
          </w:p>
        </w:tc>
        <w:tc>
          <w:tcPr>
            <w:tcW w:w="749" w:type="dxa"/>
            <w:noWrap w:val="0"/>
            <w:vAlign w:val="top"/>
          </w:tcPr>
          <w:p w14:paraId="12ACBFD7">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2F1800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359C4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D520F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B2E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347040B">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403-4</w:t>
            </w:r>
          </w:p>
        </w:tc>
        <w:tc>
          <w:tcPr>
            <w:tcW w:w="4732" w:type="dxa"/>
            <w:noWrap w:val="0"/>
            <w:vAlign w:val="top"/>
          </w:tcPr>
          <w:p w14:paraId="0A7FEFE3">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附属结构钢筋</w:t>
            </w:r>
          </w:p>
        </w:tc>
        <w:tc>
          <w:tcPr>
            <w:tcW w:w="749" w:type="dxa"/>
            <w:noWrap w:val="0"/>
            <w:vAlign w:val="top"/>
          </w:tcPr>
          <w:p w14:paraId="22273602">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B6FAF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03DF4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0BCDA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91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8A815DD">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329E7AA9">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光圆钢筋（HPB235、HPB300）</w:t>
            </w:r>
          </w:p>
        </w:tc>
        <w:tc>
          <w:tcPr>
            <w:tcW w:w="749" w:type="dxa"/>
            <w:noWrap w:val="0"/>
            <w:vAlign w:val="top"/>
          </w:tcPr>
          <w:p w14:paraId="48E42CD9">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01660C2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66A8E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692B50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B82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D5FAF8E">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709D0C32">
            <w:pPr>
              <w:pageBreakBefore w:val="0"/>
              <w:kinsoku/>
              <w:wordWrap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带肋钢筋（HRB335、HRB400）</w:t>
            </w:r>
          </w:p>
        </w:tc>
        <w:tc>
          <w:tcPr>
            <w:tcW w:w="749" w:type="dxa"/>
            <w:noWrap w:val="0"/>
            <w:vAlign w:val="top"/>
          </w:tcPr>
          <w:p w14:paraId="203A928B">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kg</w:t>
            </w:r>
          </w:p>
        </w:tc>
        <w:tc>
          <w:tcPr>
            <w:tcW w:w="837" w:type="dxa"/>
            <w:noWrap w:val="0"/>
            <w:vAlign w:val="center"/>
          </w:tcPr>
          <w:p w14:paraId="57BDD43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945C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6C2446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3B4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735CE9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404</w:t>
            </w:r>
          </w:p>
        </w:tc>
        <w:tc>
          <w:tcPr>
            <w:tcW w:w="4732" w:type="dxa"/>
            <w:noWrap w:val="0"/>
            <w:vAlign w:val="center"/>
          </w:tcPr>
          <w:p w14:paraId="66CE345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基坑开挖及回填</w:t>
            </w:r>
          </w:p>
        </w:tc>
        <w:tc>
          <w:tcPr>
            <w:tcW w:w="749" w:type="dxa"/>
            <w:noWrap w:val="0"/>
            <w:vAlign w:val="top"/>
          </w:tcPr>
          <w:p w14:paraId="3D7D155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1E5CEE9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E14407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849A46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AE8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D5609D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404-1</w:t>
            </w:r>
          </w:p>
        </w:tc>
        <w:tc>
          <w:tcPr>
            <w:tcW w:w="4732" w:type="dxa"/>
            <w:noWrap w:val="0"/>
            <w:vAlign w:val="top"/>
          </w:tcPr>
          <w:p w14:paraId="49EF9D7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干处挖土方</w:t>
            </w:r>
          </w:p>
        </w:tc>
        <w:tc>
          <w:tcPr>
            <w:tcW w:w="749" w:type="dxa"/>
            <w:noWrap w:val="0"/>
            <w:vAlign w:val="top"/>
          </w:tcPr>
          <w:p w14:paraId="263274C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4465A5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A18B84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F8031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E80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DC7280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404-2</w:t>
            </w:r>
          </w:p>
        </w:tc>
        <w:tc>
          <w:tcPr>
            <w:tcW w:w="4732" w:type="dxa"/>
            <w:noWrap w:val="0"/>
            <w:vAlign w:val="top"/>
          </w:tcPr>
          <w:p w14:paraId="1FC74D1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水下挖土方</w:t>
            </w:r>
          </w:p>
        </w:tc>
        <w:tc>
          <w:tcPr>
            <w:tcW w:w="749" w:type="dxa"/>
            <w:noWrap w:val="0"/>
            <w:vAlign w:val="top"/>
          </w:tcPr>
          <w:p w14:paraId="5EA3771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3BE20AD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CE6EAC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62FD55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370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0EA2CC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404-3</w:t>
            </w:r>
          </w:p>
        </w:tc>
        <w:tc>
          <w:tcPr>
            <w:tcW w:w="4732" w:type="dxa"/>
            <w:noWrap w:val="0"/>
            <w:vAlign w:val="top"/>
          </w:tcPr>
          <w:p w14:paraId="5EB10464">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干处挖石方</w:t>
            </w:r>
          </w:p>
        </w:tc>
        <w:tc>
          <w:tcPr>
            <w:tcW w:w="749" w:type="dxa"/>
            <w:noWrap w:val="0"/>
            <w:vAlign w:val="top"/>
          </w:tcPr>
          <w:p w14:paraId="3C8FDF0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1614F55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A5F1BA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B9555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F65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5EF859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404-4</w:t>
            </w:r>
          </w:p>
        </w:tc>
        <w:tc>
          <w:tcPr>
            <w:tcW w:w="4732" w:type="dxa"/>
            <w:noWrap w:val="0"/>
            <w:vAlign w:val="top"/>
          </w:tcPr>
          <w:p w14:paraId="7CF6ED4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水下挖石方</w:t>
            </w:r>
          </w:p>
        </w:tc>
        <w:tc>
          <w:tcPr>
            <w:tcW w:w="749" w:type="dxa"/>
            <w:noWrap w:val="0"/>
            <w:vAlign w:val="top"/>
          </w:tcPr>
          <w:p w14:paraId="00E6712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C3CCF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7C1E8B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019FA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EAE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2C2A822">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405</w:t>
            </w:r>
          </w:p>
        </w:tc>
        <w:tc>
          <w:tcPr>
            <w:tcW w:w="4732" w:type="dxa"/>
            <w:noWrap w:val="0"/>
            <w:vAlign w:val="center"/>
          </w:tcPr>
          <w:p w14:paraId="31CC02AA">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钻孔灌注桩</w:t>
            </w:r>
          </w:p>
        </w:tc>
        <w:tc>
          <w:tcPr>
            <w:tcW w:w="749" w:type="dxa"/>
            <w:noWrap w:val="0"/>
            <w:vAlign w:val="top"/>
          </w:tcPr>
          <w:p w14:paraId="02239F4F">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BF567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8D02A1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E660D7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066F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D2C388">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405-1</w:t>
            </w:r>
          </w:p>
        </w:tc>
        <w:tc>
          <w:tcPr>
            <w:tcW w:w="4732" w:type="dxa"/>
            <w:noWrap w:val="0"/>
            <w:vAlign w:val="center"/>
          </w:tcPr>
          <w:p w14:paraId="22F764DF">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钻孔灌注桩</w:t>
            </w:r>
          </w:p>
        </w:tc>
        <w:tc>
          <w:tcPr>
            <w:tcW w:w="749" w:type="dxa"/>
            <w:noWrap w:val="0"/>
            <w:vAlign w:val="center"/>
          </w:tcPr>
          <w:p w14:paraId="1B0B9287">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7B72EBA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69BEBF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FB62C9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E51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075EC8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4EA2300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陆上钻孔灌注桩</w:t>
            </w:r>
          </w:p>
        </w:tc>
        <w:tc>
          <w:tcPr>
            <w:tcW w:w="749" w:type="dxa"/>
            <w:noWrap w:val="0"/>
            <w:vAlign w:val="center"/>
          </w:tcPr>
          <w:p w14:paraId="41E4D04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383E19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226AD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E99F8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0C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F51E40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1EE19BE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水中钻孔灌注桩</w:t>
            </w:r>
          </w:p>
        </w:tc>
        <w:tc>
          <w:tcPr>
            <w:tcW w:w="749" w:type="dxa"/>
            <w:noWrap w:val="0"/>
            <w:vAlign w:val="center"/>
          </w:tcPr>
          <w:p w14:paraId="3A4E148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3474DF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ED97E1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340C50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B3D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F1A77D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405-2</w:t>
            </w:r>
          </w:p>
        </w:tc>
        <w:tc>
          <w:tcPr>
            <w:tcW w:w="4732" w:type="dxa"/>
            <w:noWrap w:val="0"/>
            <w:vAlign w:val="center"/>
          </w:tcPr>
          <w:p w14:paraId="24145AF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钻取混凝土芯样检测（暂定工程量）</w:t>
            </w:r>
          </w:p>
        </w:tc>
        <w:tc>
          <w:tcPr>
            <w:tcW w:w="749" w:type="dxa"/>
            <w:noWrap w:val="0"/>
            <w:vAlign w:val="center"/>
          </w:tcPr>
          <w:p w14:paraId="0979F3D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8744CF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BFC76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2A8CC1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50B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C60326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405-3</w:t>
            </w:r>
          </w:p>
        </w:tc>
        <w:tc>
          <w:tcPr>
            <w:tcW w:w="4732" w:type="dxa"/>
            <w:noWrap w:val="0"/>
            <w:vAlign w:val="center"/>
          </w:tcPr>
          <w:p w14:paraId="30D4001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破坏荷载试验用桩（暂定工程量）</w:t>
            </w:r>
          </w:p>
        </w:tc>
        <w:tc>
          <w:tcPr>
            <w:tcW w:w="749" w:type="dxa"/>
            <w:noWrap w:val="0"/>
            <w:vAlign w:val="center"/>
          </w:tcPr>
          <w:p w14:paraId="72183F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0C839C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667AFC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EDFE8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D21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A584EB4">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406</w:t>
            </w:r>
          </w:p>
        </w:tc>
        <w:tc>
          <w:tcPr>
            <w:tcW w:w="4732" w:type="dxa"/>
            <w:noWrap w:val="0"/>
            <w:vAlign w:val="center"/>
          </w:tcPr>
          <w:p w14:paraId="05BEA4A7">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沉桩</w:t>
            </w:r>
          </w:p>
        </w:tc>
        <w:tc>
          <w:tcPr>
            <w:tcW w:w="749" w:type="dxa"/>
            <w:noWrap w:val="0"/>
            <w:vAlign w:val="center"/>
          </w:tcPr>
          <w:p w14:paraId="660E2903">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4FE7DB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95B7E4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E89E39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029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F68E35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406-1</w:t>
            </w:r>
          </w:p>
        </w:tc>
        <w:tc>
          <w:tcPr>
            <w:tcW w:w="4732" w:type="dxa"/>
            <w:noWrap w:val="0"/>
            <w:vAlign w:val="center"/>
          </w:tcPr>
          <w:p w14:paraId="70F4AB3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钢筋混凝土沉桩</w:t>
            </w:r>
          </w:p>
        </w:tc>
        <w:tc>
          <w:tcPr>
            <w:tcW w:w="749" w:type="dxa"/>
            <w:noWrap w:val="0"/>
            <w:vAlign w:val="center"/>
          </w:tcPr>
          <w:p w14:paraId="4BC9513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82803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FA2B08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7D908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1B9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57A68087">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第400章   桥梁、涵洞</w:t>
            </w:r>
          </w:p>
        </w:tc>
      </w:tr>
      <w:tr w14:paraId="5477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top"/>
          </w:tcPr>
          <w:p w14:paraId="5C63F5E4">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top"/>
          </w:tcPr>
          <w:p w14:paraId="1449B754">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top"/>
          </w:tcPr>
          <w:p w14:paraId="6FA6A0B5">
            <w:pPr>
              <w:pageBreakBefore w:val="0"/>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1DE5A11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635A7FE0">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4395456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1940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B9335B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406-2</w:t>
            </w:r>
          </w:p>
        </w:tc>
        <w:tc>
          <w:tcPr>
            <w:tcW w:w="4732" w:type="dxa"/>
            <w:noWrap w:val="0"/>
            <w:vAlign w:val="center"/>
          </w:tcPr>
          <w:p w14:paraId="74B3C0D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预应力混凝土沉桩</w:t>
            </w:r>
          </w:p>
        </w:tc>
        <w:tc>
          <w:tcPr>
            <w:tcW w:w="749" w:type="dxa"/>
            <w:noWrap w:val="0"/>
            <w:vAlign w:val="center"/>
          </w:tcPr>
          <w:p w14:paraId="28E0AE1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2684CB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017CB2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20315E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A316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FEBF39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406-3</w:t>
            </w:r>
          </w:p>
        </w:tc>
        <w:tc>
          <w:tcPr>
            <w:tcW w:w="4732" w:type="dxa"/>
            <w:noWrap w:val="0"/>
            <w:vAlign w:val="center"/>
          </w:tcPr>
          <w:p w14:paraId="0E5501D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试桩（暂定工程量）</w:t>
            </w:r>
          </w:p>
        </w:tc>
        <w:tc>
          <w:tcPr>
            <w:tcW w:w="749" w:type="dxa"/>
            <w:noWrap w:val="0"/>
            <w:vAlign w:val="center"/>
          </w:tcPr>
          <w:p w14:paraId="609ABE0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3B097E1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FE5BC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079C43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545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FBF560D">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407</w:t>
            </w:r>
          </w:p>
        </w:tc>
        <w:tc>
          <w:tcPr>
            <w:tcW w:w="4732" w:type="dxa"/>
            <w:noWrap w:val="0"/>
            <w:vAlign w:val="center"/>
          </w:tcPr>
          <w:p w14:paraId="1EB946BB">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挖孔灌注桩</w:t>
            </w:r>
          </w:p>
        </w:tc>
        <w:tc>
          <w:tcPr>
            <w:tcW w:w="749" w:type="dxa"/>
            <w:noWrap w:val="0"/>
            <w:vAlign w:val="top"/>
          </w:tcPr>
          <w:p w14:paraId="4816EED4">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3D998B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713972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1B6E7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67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801431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407-1</w:t>
            </w:r>
          </w:p>
        </w:tc>
        <w:tc>
          <w:tcPr>
            <w:tcW w:w="4732" w:type="dxa"/>
            <w:noWrap w:val="0"/>
            <w:vAlign w:val="center"/>
          </w:tcPr>
          <w:p w14:paraId="4BC1CD8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挖孔灌注桩</w:t>
            </w:r>
          </w:p>
        </w:tc>
        <w:tc>
          <w:tcPr>
            <w:tcW w:w="749" w:type="dxa"/>
            <w:noWrap w:val="0"/>
            <w:vAlign w:val="center"/>
          </w:tcPr>
          <w:p w14:paraId="46638A0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12FB214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A8988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1F1C0A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1EB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8266A3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407-2</w:t>
            </w:r>
          </w:p>
        </w:tc>
        <w:tc>
          <w:tcPr>
            <w:tcW w:w="4732" w:type="dxa"/>
            <w:noWrap w:val="0"/>
            <w:vAlign w:val="center"/>
          </w:tcPr>
          <w:p w14:paraId="1167625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钻取混凝土芯样检测（暂定工程量）</w:t>
            </w:r>
          </w:p>
        </w:tc>
        <w:tc>
          <w:tcPr>
            <w:tcW w:w="749" w:type="dxa"/>
            <w:noWrap w:val="0"/>
            <w:vAlign w:val="center"/>
          </w:tcPr>
          <w:p w14:paraId="533D564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5907DD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1397DB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6F94FC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E55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F7BB5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407-3</w:t>
            </w:r>
          </w:p>
        </w:tc>
        <w:tc>
          <w:tcPr>
            <w:tcW w:w="4732" w:type="dxa"/>
            <w:noWrap w:val="0"/>
            <w:vAlign w:val="center"/>
          </w:tcPr>
          <w:p w14:paraId="74469CB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破坏荷载试验用桩（暂定工程量）</w:t>
            </w:r>
          </w:p>
        </w:tc>
        <w:tc>
          <w:tcPr>
            <w:tcW w:w="749" w:type="dxa"/>
            <w:noWrap w:val="0"/>
            <w:vAlign w:val="center"/>
          </w:tcPr>
          <w:p w14:paraId="08E1CDD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693FEF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79F193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6595E7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2E1A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2685A6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408</w:t>
            </w:r>
          </w:p>
        </w:tc>
        <w:tc>
          <w:tcPr>
            <w:tcW w:w="4732" w:type="dxa"/>
            <w:noWrap w:val="0"/>
            <w:vAlign w:val="center"/>
          </w:tcPr>
          <w:p w14:paraId="517BA597">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桩的垂直静荷载试验</w:t>
            </w:r>
          </w:p>
        </w:tc>
        <w:tc>
          <w:tcPr>
            <w:tcW w:w="749" w:type="dxa"/>
            <w:noWrap w:val="0"/>
            <w:vAlign w:val="top"/>
          </w:tcPr>
          <w:p w14:paraId="5BA8B58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F0AF9B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CA6F4D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0008BE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AFEC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D42917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408-1</w:t>
            </w:r>
          </w:p>
        </w:tc>
        <w:tc>
          <w:tcPr>
            <w:tcW w:w="4732" w:type="dxa"/>
            <w:noWrap w:val="0"/>
            <w:vAlign w:val="center"/>
          </w:tcPr>
          <w:p w14:paraId="431CABC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桩的检验荷载试验</w:t>
            </w:r>
            <w:r>
              <w:rPr>
                <w:rFonts w:hint="default" w:ascii="Times New Roman" w:hAnsi="Times New Roman" w:cs="Times New Roman"/>
                <w:color w:val="auto"/>
                <w:kern w:val="0"/>
                <w:szCs w:val="21"/>
                <w:highlight w:val="none"/>
              </w:rPr>
              <w:t>（暂定工程量）</w:t>
            </w:r>
          </w:p>
        </w:tc>
        <w:tc>
          <w:tcPr>
            <w:tcW w:w="749" w:type="dxa"/>
            <w:noWrap w:val="0"/>
            <w:vAlign w:val="center"/>
          </w:tcPr>
          <w:p w14:paraId="57A1052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每一试桩</w:t>
            </w:r>
          </w:p>
        </w:tc>
        <w:tc>
          <w:tcPr>
            <w:tcW w:w="837" w:type="dxa"/>
            <w:noWrap w:val="0"/>
            <w:vAlign w:val="center"/>
          </w:tcPr>
          <w:p w14:paraId="0A85984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23A956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25C427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52D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D926EA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408-2</w:t>
            </w:r>
          </w:p>
        </w:tc>
        <w:tc>
          <w:tcPr>
            <w:tcW w:w="4732" w:type="dxa"/>
            <w:noWrap w:val="0"/>
            <w:vAlign w:val="center"/>
          </w:tcPr>
          <w:p w14:paraId="107D947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桩的破坏荷载试验</w:t>
            </w:r>
            <w:r>
              <w:rPr>
                <w:rFonts w:hint="default" w:ascii="Times New Roman" w:hAnsi="Times New Roman" w:cs="Times New Roman"/>
                <w:color w:val="auto"/>
                <w:kern w:val="0"/>
                <w:szCs w:val="21"/>
                <w:highlight w:val="none"/>
              </w:rPr>
              <w:t>（暂定工程量）</w:t>
            </w:r>
          </w:p>
        </w:tc>
        <w:tc>
          <w:tcPr>
            <w:tcW w:w="749" w:type="dxa"/>
            <w:noWrap w:val="0"/>
            <w:vAlign w:val="center"/>
          </w:tcPr>
          <w:p w14:paraId="313CB4C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每一试桩</w:t>
            </w:r>
          </w:p>
        </w:tc>
        <w:tc>
          <w:tcPr>
            <w:tcW w:w="837" w:type="dxa"/>
            <w:noWrap w:val="0"/>
            <w:vAlign w:val="center"/>
          </w:tcPr>
          <w:p w14:paraId="4623FE2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CB07EC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F0B39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DACF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2DDD7F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409</w:t>
            </w:r>
          </w:p>
        </w:tc>
        <w:tc>
          <w:tcPr>
            <w:tcW w:w="4732" w:type="dxa"/>
            <w:noWrap w:val="0"/>
            <w:vAlign w:val="center"/>
          </w:tcPr>
          <w:p w14:paraId="3FD88213">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沉井</w:t>
            </w:r>
          </w:p>
        </w:tc>
        <w:tc>
          <w:tcPr>
            <w:tcW w:w="749" w:type="dxa"/>
            <w:noWrap w:val="0"/>
            <w:vAlign w:val="top"/>
          </w:tcPr>
          <w:p w14:paraId="52A09E66">
            <w:pPr>
              <w:pageBreakBefore w:val="0"/>
              <w:widowControl/>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0EECAB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A3D4CA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BE9435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668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079AFA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409-1</w:t>
            </w:r>
          </w:p>
        </w:tc>
        <w:tc>
          <w:tcPr>
            <w:tcW w:w="4732" w:type="dxa"/>
            <w:noWrap w:val="0"/>
            <w:vAlign w:val="center"/>
          </w:tcPr>
          <w:p w14:paraId="6217601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钢筋混凝土沉井</w:t>
            </w:r>
          </w:p>
        </w:tc>
        <w:tc>
          <w:tcPr>
            <w:tcW w:w="749" w:type="dxa"/>
            <w:noWrap w:val="0"/>
            <w:vAlign w:val="center"/>
          </w:tcPr>
          <w:p w14:paraId="2F2A7F6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7A88374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B0A51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450D26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87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B86DD5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1EA9BCA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井壁混凝土</w:t>
            </w:r>
          </w:p>
        </w:tc>
        <w:tc>
          <w:tcPr>
            <w:tcW w:w="749" w:type="dxa"/>
            <w:noWrap w:val="0"/>
            <w:vAlign w:val="center"/>
          </w:tcPr>
          <w:p w14:paraId="37CC172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5CFB74B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E3D16A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B0788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01C5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725ED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0EE0A2D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封底混凝土</w:t>
            </w:r>
          </w:p>
        </w:tc>
        <w:tc>
          <w:tcPr>
            <w:tcW w:w="749" w:type="dxa"/>
            <w:noWrap w:val="0"/>
            <w:vAlign w:val="center"/>
          </w:tcPr>
          <w:p w14:paraId="715495A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14C493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0811C7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4E792A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332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D05B20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12DDA0A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填芯混凝土</w:t>
            </w:r>
          </w:p>
        </w:tc>
        <w:tc>
          <w:tcPr>
            <w:tcW w:w="749" w:type="dxa"/>
            <w:noWrap w:val="0"/>
            <w:vAlign w:val="center"/>
          </w:tcPr>
          <w:p w14:paraId="79A8F3C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3029DEA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6BA52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CE853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02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DC4A73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7217470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顶板混凝土</w:t>
            </w:r>
          </w:p>
        </w:tc>
        <w:tc>
          <w:tcPr>
            <w:tcW w:w="749" w:type="dxa"/>
            <w:noWrap w:val="0"/>
            <w:vAlign w:val="center"/>
          </w:tcPr>
          <w:p w14:paraId="5A1FA36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3A8D1B4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8604DC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48E70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C6E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B09E95">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410</w:t>
            </w:r>
          </w:p>
        </w:tc>
        <w:tc>
          <w:tcPr>
            <w:tcW w:w="4732" w:type="dxa"/>
            <w:noWrap w:val="0"/>
            <w:vAlign w:val="center"/>
          </w:tcPr>
          <w:p w14:paraId="62E687D7">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结构混凝土工程</w:t>
            </w:r>
          </w:p>
        </w:tc>
        <w:tc>
          <w:tcPr>
            <w:tcW w:w="749" w:type="dxa"/>
            <w:noWrap w:val="0"/>
            <w:vAlign w:val="center"/>
          </w:tcPr>
          <w:p w14:paraId="74A45976">
            <w:pPr>
              <w:pageBreakBefore w:val="0"/>
              <w:kinsoku/>
              <w:wordWrap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3A0848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7B118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1D2AFD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01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8096D4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410-1</w:t>
            </w:r>
          </w:p>
        </w:tc>
        <w:tc>
          <w:tcPr>
            <w:tcW w:w="4732" w:type="dxa"/>
            <w:noWrap w:val="0"/>
            <w:vAlign w:val="center"/>
          </w:tcPr>
          <w:p w14:paraId="6060577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混凝土基础（包括支撑梁、桩基承台、桩系梁，但不包括桩基）</w:t>
            </w:r>
          </w:p>
        </w:tc>
        <w:tc>
          <w:tcPr>
            <w:tcW w:w="749" w:type="dxa"/>
            <w:noWrap w:val="0"/>
            <w:vAlign w:val="center"/>
          </w:tcPr>
          <w:p w14:paraId="72BA3F5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 w:val="20"/>
                <w:szCs w:val="20"/>
                <w:highlight w:val="none"/>
              </w:rPr>
              <w:t>m³</w:t>
            </w:r>
          </w:p>
        </w:tc>
        <w:tc>
          <w:tcPr>
            <w:tcW w:w="837" w:type="dxa"/>
            <w:noWrap w:val="0"/>
            <w:vAlign w:val="center"/>
          </w:tcPr>
          <w:p w14:paraId="3D02DB4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DEEB5F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C513E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EB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FC1676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410-2</w:t>
            </w:r>
          </w:p>
        </w:tc>
        <w:tc>
          <w:tcPr>
            <w:tcW w:w="4732" w:type="dxa"/>
            <w:noWrap w:val="0"/>
            <w:vAlign w:val="center"/>
          </w:tcPr>
          <w:p w14:paraId="777F48A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混凝土下部结构</w:t>
            </w:r>
          </w:p>
        </w:tc>
        <w:tc>
          <w:tcPr>
            <w:tcW w:w="749" w:type="dxa"/>
            <w:noWrap w:val="0"/>
            <w:vAlign w:val="center"/>
          </w:tcPr>
          <w:p w14:paraId="7764220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592931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55D4E8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259CD3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15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43AF51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1A45ACF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桥台混凝土</w:t>
            </w:r>
          </w:p>
        </w:tc>
        <w:tc>
          <w:tcPr>
            <w:tcW w:w="749" w:type="dxa"/>
            <w:noWrap w:val="0"/>
            <w:vAlign w:val="center"/>
          </w:tcPr>
          <w:p w14:paraId="12A2E03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B7A558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ACDD0E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D4870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C6E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6680B4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71D064B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桥墩混凝土</w:t>
            </w:r>
          </w:p>
        </w:tc>
        <w:tc>
          <w:tcPr>
            <w:tcW w:w="749" w:type="dxa"/>
            <w:noWrap w:val="0"/>
            <w:vAlign w:val="center"/>
          </w:tcPr>
          <w:p w14:paraId="373321F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7773CCD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F937D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F7B777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8B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19ACA3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66040EB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盖梁混凝土</w:t>
            </w:r>
          </w:p>
        </w:tc>
        <w:tc>
          <w:tcPr>
            <w:tcW w:w="749" w:type="dxa"/>
            <w:noWrap w:val="0"/>
            <w:vAlign w:val="center"/>
          </w:tcPr>
          <w:p w14:paraId="059D0C6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1BFD9F3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87F3A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0DE21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B3EA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CEC1A7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56B18AB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台帽混凝土</w:t>
            </w:r>
          </w:p>
        </w:tc>
        <w:tc>
          <w:tcPr>
            <w:tcW w:w="749" w:type="dxa"/>
            <w:noWrap w:val="0"/>
            <w:vAlign w:val="center"/>
          </w:tcPr>
          <w:p w14:paraId="50E570B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44A1D6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CBFE9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401ED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0ED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15435D5">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410-3</w:t>
            </w:r>
          </w:p>
        </w:tc>
        <w:tc>
          <w:tcPr>
            <w:tcW w:w="4732" w:type="dxa"/>
            <w:noWrap w:val="0"/>
            <w:vAlign w:val="center"/>
          </w:tcPr>
          <w:p w14:paraId="523FA138">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现浇混凝土上部结构</w:t>
            </w:r>
          </w:p>
        </w:tc>
        <w:tc>
          <w:tcPr>
            <w:tcW w:w="749" w:type="dxa"/>
            <w:noWrap w:val="0"/>
            <w:vAlign w:val="center"/>
          </w:tcPr>
          <w:p w14:paraId="5FDA797A">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2263B4B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58D6AC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B5B39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7861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57BC47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410-4</w:t>
            </w:r>
          </w:p>
        </w:tc>
        <w:tc>
          <w:tcPr>
            <w:tcW w:w="4732" w:type="dxa"/>
            <w:noWrap w:val="0"/>
            <w:vAlign w:val="center"/>
          </w:tcPr>
          <w:p w14:paraId="026B661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预制混凝土上部结构</w:t>
            </w:r>
          </w:p>
        </w:tc>
        <w:tc>
          <w:tcPr>
            <w:tcW w:w="749" w:type="dxa"/>
            <w:noWrap w:val="0"/>
            <w:vAlign w:val="center"/>
          </w:tcPr>
          <w:p w14:paraId="7DC8EF7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3939176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745682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F53BFE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DC2D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DFFDD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410-5</w:t>
            </w:r>
          </w:p>
        </w:tc>
        <w:tc>
          <w:tcPr>
            <w:tcW w:w="4732" w:type="dxa"/>
            <w:noWrap w:val="0"/>
            <w:vAlign w:val="center"/>
          </w:tcPr>
          <w:p w14:paraId="2AF1C9F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桥梁上部结构现浇整体化混凝土</w:t>
            </w:r>
          </w:p>
        </w:tc>
        <w:tc>
          <w:tcPr>
            <w:tcW w:w="749" w:type="dxa"/>
            <w:noWrap w:val="0"/>
            <w:vAlign w:val="center"/>
          </w:tcPr>
          <w:p w14:paraId="0C021C1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　</w:t>
            </w:r>
          </w:p>
        </w:tc>
        <w:tc>
          <w:tcPr>
            <w:tcW w:w="837" w:type="dxa"/>
            <w:noWrap w:val="0"/>
            <w:vAlign w:val="center"/>
          </w:tcPr>
          <w:p w14:paraId="01C3B2D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0601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7F0F8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ADB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A62B48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410-6</w:t>
            </w:r>
          </w:p>
        </w:tc>
        <w:tc>
          <w:tcPr>
            <w:tcW w:w="4732" w:type="dxa"/>
            <w:noWrap w:val="0"/>
            <w:vAlign w:val="center"/>
          </w:tcPr>
          <w:p w14:paraId="15F4B57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现浇混凝土附属结构</w:t>
            </w:r>
          </w:p>
        </w:tc>
        <w:tc>
          <w:tcPr>
            <w:tcW w:w="749" w:type="dxa"/>
            <w:noWrap w:val="0"/>
            <w:vAlign w:val="center"/>
          </w:tcPr>
          <w:p w14:paraId="29BCC0F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4780160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0BAE21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D9A589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5FE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04BA28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410-7</w:t>
            </w:r>
          </w:p>
        </w:tc>
        <w:tc>
          <w:tcPr>
            <w:tcW w:w="4732" w:type="dxa"/>
            <w:noWrap w:val="0"/>
            <w:vAlign w:val="center"/>
          </w:tcPr>
          <w:p w14:paraId="589A45C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预制混凝土附属结构</w:t>
            </w:r>
          </w:p>
        </w:tc>
        <w:tc>
          <w:tcPr>
            <w:tcW w:w="749" w:type="dxa"/>
            <w:noWrap w:val="0"/>
            <w:vAlign w:val="center"/>
          </w:tcPr>
          <w:p w14:paraId="143CA5C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C2F04F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5F2FC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23F39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2454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E1C829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411</w:t>
            </w:r>
          </w:p>
        </w:tc>
        <w:tc>
          <w:tcPr>
            <w:tcW w:w="4732" w:type="dxa"/>
            <w:noWrap w:val="0"/>
            <w:vAlign w:val="center"/>
          </w:tcPr>
          <w:p w14:paraId="12AA28DB">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预应力混凝土工程</w:t>
            </w:r>
          </w:p>
        </w:tc>
        <w:tc>
          <w:tcPr>
            <w:tcW w:w="749" w:type="dxa"/>
            <w:noWrap w:val="0"/>
            <w:vAlign w:val="top"/>
          </w:tcPr>
          <w:p w14:paraId="141C532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CC4C14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A3F3F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57D127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A2D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FBABCB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411-1</w:t>
            </w:r>
          </w:p>
        </w:tc>
        <w:tc>
          <w:tcPr>
            <w:tcW w:w="4732" w:type="dxa"/>
            <w:noWrap w:val="0"/>
            <w:vAlign w:val="center"/>
          </w:tcPr>
          <w:p w14:paraId="7035183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先张法</w:t>
            </w:r>
            <w:r>
              <w:rPr>
                <w:rFonts w:hint="default" w:ascii="Times New Roman" w:hAnsi="Times New Roman" w:cs="Times New Roman"/>
                <w:color w:val="auto"/>
                <w:szCs w:val="21"/>
                <w:highlight w:val="none"/>
              </w:rPr>
              <w:t>预应力</w:t>
            </w:r>
            <w:r>
              <w:rPr>
                <w:rFonts w:hint="default" w:ascii="Times New Roman" w:hAnsi="Times New Roman" w:cs="Times New Roman"/>
                <w:color w:val="auto"/>
                <w:kern w:val="0"/>
                <w:szCs w:val="21"/>
                <w:highlight w:val="none"/>
              </w:rPr>
              <w:t>钢丝</w:t>
            </w:r>
          </w:p>
        </w:tc>
        <w:tc>
          <w:tcPr>
            <w:tcW w:w="749" w:type="dxa"/>
            <w:noWrap w:val="0"/>
            <w:vAlign w:val="center"/>
          </w:tcPr>
          <w:p w14:paraId="7CE8595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1AD81F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BFE099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B1A940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6B8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80D88B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411-2</w:t>
            </w:r>
          </w:p>
        </w:tc>
        <w:tc>
          <w:tcPr>
            <w:tcW w:w="4732" w:type="dxa"/>
            <w:noWrap w:val="0"/>
            <w:vAlign w:val="center"/>
          </w:tcPr>
          <w:p w14:paraId="193C48F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先张法</w:t>
            </w:r>
            <w:r>
              <w:rPr>
                <w:rFonts w:hint="default" w:ascii="Times New Roman" w:hAnsi="Times New Roman" w:cs="Times New Roman"/>
                <w:color w:val="auto"/>
                <w:szCs w:val="21"/>
                <w:highlight w:val="none"/>
              </w:rPr>
              <w:t>预应力</w:t>
            </w:r>
            <w:r>
              <w:rPr>
                <w:rFonts w:hint="default" w:ascii="Times New Roman" w:hAnsi="Times New Roman" w:cs="Times New Roman"/>
                <w:color w:val="auto"/>
                <w:kern w:val="0"/>
                <w:szCs w:val="21"/>
                <w:highlight w:val="none"/>
              </w:rPr>
              <w:t>钢绞线</w:t>
            </w:r>
          </w:p>
        </w:tc>
        <w:tc>
          <w:tcPr>
            <w:tcW w:w="749" w:type="dxa"/>
            <w:noWrap w:val="0"/>
            <w:vAlign w:val="center"/>
          </w:tcPr>
          <w:p w14:paraId="161A0C3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6688E1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BA22A8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43672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188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A48390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411-3</w:t>
            </w:r>
          </w:p>
        </w:tc>
        <w:tc>
          <w:tcPr>
            <w:tcW w:w="4732" w:type="dxa"/>
            <w:noWrap w:val="0"/>
            <w:vAlign w:val="center"/>
          </w:tcPr>
          <w:p w14:paraId="395ADBA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先张法</w:t>
            </w:r>
            <w:r>
              <w:rPr>
                <w:rFonts w:hint="default" w:ascii="Times New Roman" w:hAnsi="Times New Roman" w:cs="Times New Roman"/>
                <w:color w:val="auto"/>
                <w:szCs w:val="21"/>
                <w:highlight w:val="none"/>
              </w:rPr>
              <w:t>预应力</w:t>
            </w:r>
            <w:r>
              <w:rPr>
                <w:rFonts w:hint="default" w:ascii="Times New Roman" w:hAnsi="Times New Roman" w:cs="Times New Roman"/>
                <w:color w:val="auto"/>
                <w:kern w:val="0"/>
                <w:szCs w:val="21"/>
                <w:highlight w:val="none"/>
              </w:rPr>
              <w:t>钢筋</w:t>
            </w:r>
          </w:p>
        </w:tc>
        <w:tc>
          <w:tcPr>
            <w:tcW w:w="749" w:type="dxa"/>
            <w:noWrap w:val="0"/>
            <w:vAlign w:val="center"/>
          </w:tcPr>
          <w:p w14:paraId="2EC5F80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70A9F4E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26086F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6E2A78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BE4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BD409E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411-4</w:t>
            </w:r>
          </w:p>
        </w:tc>
        <w:tc>
          <w:tcPr>
            <w:tcW w:w="4732" w:type="dxa"/>
            <w:noWrap w:val="0"/>
            <w:vAlign w:val="center"/>
          </w:tcPr>
          <w:p w14:paraId="4F33A2B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后张法</w:t>
            </w:r>
            <w:r>
              <w:rPr>
                <w:rFonts w:hint="default" w:ascii="Times New Roman" w:hAnsi="Times New Roman" w:cs="Times New Roman"/>
                <w:color w:val="auto"/>
                <w:szCs w:val="21"/>
                <w:highlight w:val="none"/>
              </w:rPr>
              <w:t>预应力</w:t>
            </w:r>
            <w:r>
              <w:rPr>
                <w:rFonts w:hint="default" w:ascii="Times New Roman" w:hAnsi="Times New Roman" w:cs="Times New Roman"/>
                <w:color w:val="auto"/>
                <w:kern w:val="0"/>
                <w:szCs w:val="21"/>
                <w:highlight w:val="none"/>
              </w:rPr>
              <w:t>钢丝</w:t>
            </w:r>
          </w:p>
        </w:tc>
        <w:tc>
          <w:tcPr>
            <w:tcW w:w="749" w:type="dxa"/>
            <w:noWrap w:val="0"/>
            <w:vAlign w:val="center"/>
          </w:tcPr>
          <w:p w14:paraId="440F8F0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AFC7FB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C848B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BC5A9D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666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9C5C04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411-5</w:t>
            </w:r>
          </w:p>
        </w:tc>
        <w:tc>
          <w:tcPr>
            <w:tcW w:w="4732" w:type="dxa"/>
            <w:noWrap w:val="0"/>
            <w:vAlign w:val="center"/>
          </w:tcPr>
          <w:p w14:paraId="1C42516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后张法</w:t>
            </w:r>
            <w:r>
              <w:rPr>
                <w:rFonts w:hint="default" w:ascii="Times New Roman" w:hAnsi="Times New Roman" w:cs="Times New Roman"/>
                <w:color w:val="auto"/>
                <w:szCs w:val="21"/>
                <w:highlight w:val="none"/>
              </w:rPr>
              <w:t>预应力</w:t>
            </w:r>
            <w:r>
              <w:rPr>
                <w:rFonts w:hint="default" w:ascii="Times New Roman" w:hAnsi="Times New Roman" w:cs="Times New Roman"/>
                <w:color w:val="auto"/>
                <w:kern w:val="0"/>
                <w:szCs w:val="21"/>
                <w:highlight w:val="none"/>
              </w:rPr>
              <w:t>钢绞线</w:t>
            </w:r>
          </w:p>
        </w:tc>
        <w:tc>
          <w:tcPr>
            <w:tcW w:w="749" w:type="dxa"/>
            <w:noWrap w:val="0"/>
            <w:vAlign w:val="center"/>
          </w:tcPr>
          <w:p w14:paraId="6611B86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F1ABF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5B6D5B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3FF031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2A7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CA6E7D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411-6</w:t>
            </w:r>
          </w:p>
        </w:tc>
        <w:tc>
          <w:tcPr>
            <w:tcW w:w="4732" w:type="dxa"/>
            <w:noWrap w:val="0"/>
            <w:vAlign w:val="center"/>
          </w:tcPr>
          <w:p w14:paraId="11666EE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后张法</w:t>
            </w:r>
            <w:r>
              <w:rPr>
                <w:rFonts w:hint="default" w:ascii="Times New Roman" w:hAnsi="Times New Roman" w:cs="Times New Roman"/>
                <w:color w:val="auto"/>
                <w:szCs w:val="21"/>
                <w:highlight w:val="none"/>
              </w:rPr>
              <w:t>预应力</w:t>
            </w:r>
            <w:r>
              <w:rPr>
                <w:rFonts w:hint="default" w:ascii="Times New Roman" w:hAnsi="Times New Roman" w:cs="Times New Roman"/>
                <w:color w:val="auto"/>
                <w:kern w:val="0"/>
                <w:szCs w:val="21"/>
                <w:highlight w:val="none"/>
              </w:rPr>
              <w:t>钢筋</w:t>
            </w:r>
          </w:p>
        </w:tc>
        <w:tc>
          <w:tcPr>
            <w:tcW w:w="749" w:type="dxa"/>
            <w:noWrap w:val="0"/>
            <w:vAlign w:val="center"/>
          </w:tcPr>
          <w:p w14:paraId="288B987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23F4E5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43073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03850C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130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5EE9D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411-7</w:t>
            </w:r>
          </w:p>
        </w:tc>
        <w:tc>
          <w:tcPr>
            <w:tcW w:w="4732" w:type="dxa"/>
            <w:noWrap w:val="0"/>
            <w:vAlign w:val="center"/>
          </w:tcPr>
          <w:p w14:paraId="188529D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现浇预应力混凝土上部结构</w:t>
            </w:r>
          </w:p>
        </w:tc>
        <w:tc>
          <w:tcPr>
            <w:tcW w:w="749" w:type="dxa"/>
            <w:noWrap w:val="0"/>
            <w:vAlign w:val="center"/>
          </w:tcPr>
          <w:p w14:paraId="721A21A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1A5CB78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DE1CDC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255E83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5099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7BDE9B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411-8</w:t>
            </w:r>
          </w:p>
        </w:tc>
        <w:tc>
          <w:tcPr>
            <w:tcW w:w="4732" w:type="dxa"/>
            <w:noWrap w:val="0"/>
            <w:vAlign w:val="center"/>
          </w:tcPr>
          <w:p w14:paraId="682DCCE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预制预应力混凝土上部结构</w:t>
            </w:r>
          </w:p>
        </w:tc>
        <w:tc>
          <w:tcPr>
            <w:tcW w:w="749" w:type="dxa"/>
            <w:noWrap w:val="0"/>
            <w:vAlign w:val="center"/>
          </w:tcPr>
          <w:p w14:paraId="5C0AD96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336DDDC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B79A64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AD8FD6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C98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5F832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413</w:t>
            </w:r>
          </w:p>
        </w:tc>
        <w:tc>
          <w:tcPr>
            <w:tcW w:w="4732" w:type="dxa"/>
            <w:noWrap w:val="0"/>
            <w:vAlign w:val="center"/>
          </w:tcPr>
          <w:p w14:paraId="79C93EF2">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砌石工程</w:t>
            </w:r>
          </w:p>
        </w:tc>
        <w:tc>
          <w:tcPr>
            <w:tcW w:w="749" w:type="dxa"/>
            <w:noWrap w:val="0"/>
            <w:vAlign w:val="top"/>
          </w:tcPr>
          <w:p w14:paraId="76C46C9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3A4AC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D5C03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6D917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816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F05C2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413-1</w:t>
            </w:r>
          </w:p>
        </w:tc>
        <w:tc>
          <w:tcPr>
            <w:tcW w:w="4732" w:type="dxa"/>
            <w:noWrap w:val="0"/>
            <w:vAlign w:val="center"/>
          </w:tcPr>
          <w:p w14:paraId="16E1AC5B">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浆砌片石</w:t>
            </w:r>
          </w:p>
        </w:tc>
        <w:tc>
          <w:tcPr>
            <w:tcW w:w="749" w:type="dxa"/>
            <w:noWrap w:val="0"/>
            <w:vAlign w:val="top"/>
          </w:tcPr>
          <w:p w14:paraId="65F8618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1E023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F075B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56DE57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930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D0618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22CE8F4D">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749" w:type="dxa"/>
            <w:noWrap w:val="0"/>
            <w:vAlign w:val="top"/>
          </w:tcPr>
          <w:p w14:paraId="32C8026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5C14785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8C320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91634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268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753EB9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413-2</w:t>
            </w:r>
          </w:p>
        </w:tc>
        <w:tc>
          <w:tcPr>
            <w:tcW w:w="4732" w:type="dxa"/>
            <w:noWrap w:val="0"/>
            <w:vAlign w:val="center"/>
          </w:tcPr>
          <w:p w14:paraId="760E09A4">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浆砌块石</w:t>
            </w:r>
          </w:p>
        </w:tc>
        <w:tc>
          <w:tcPr>
            <w:tcW w:w="749" w:type="dxa"/>
            <w:noWrap w:val="0"/>
            <w:vAlign w:val="top"/>
          </w:tcPr>
          <w:p w14:paraId="76552A2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7857704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CCECC9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2B6D8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D0B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A8771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31B37DB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749" w:type="dxa"/>
            <w:noWrap w:val="0"/>
            <w:vAlign w:val="top"/>
          </w:tcPr>
          <w:p w14:paraId="2B3D494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1A34B3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0453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478408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29D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F4A7AE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413-3</w:t>
            </w:r>
          </w:p>
        </w:tc>
        <w:tc>
          <w:tcPr>
            <w:tcW w:w="4732" w:type="dxa"/>
            <w:noWrap w:val="0"/>
            <w:vAlign w:val="center"/>
          </w:tcPr>
          <w:p w14:paraId="220AB34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浆砌料石</w:t>
            </w:r>
          </w:p>
        </w:tc>
        <w:tc>
          <w:tcPr>
            <w:tcW w:w="749" w:type="dxa"/>
            <w:noWrap w:val="0"/>
            <w:vAlign w:val="top"/>
          </w:tcPr>
          <w:p w14:paraId="35A7136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6374D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65631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5471D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9F75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54D7151">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4131124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749" w:type="dxa"/>
            <w:noWrap w:val="0"/>
            <w:vAlign w:val="top"/>
          </w:tcPr>
          <w:p w14:paraId="43AE64F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B4C40D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523788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C48E3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04B7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F05249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413-4</w:t>
            </w:r>
          </w:p>
        </w:tc>
        <w:tc>
          <w:tcPr>
            <w:tcW w:w="4732" w:type="dxa"/>
            <w:noWrap w:val="0"/>
            <w:vAlign w:val="center"/>
          </w:tcPr>
          <w:p w14:paraId="064EC3F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浆砌预制混凝土块</w:t>
            </w:r>
          </w:p>
        </w:tc>
        <w:tc>
          <w:tcPr>
            <w:tcW w:w="749" w:type="dxa"/>
            <w:noWrap w:val="0"/>
            <w:vAlign w:val="top"/>
          </w:tcPr>
          <w:p w14:paraId="7651E46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5E7B9E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7A135A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C978BE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6B6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AEEF0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center"/>
          </w:tcPr>
          <w:p w14:paraId="34A5E21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749" w:type="dxa"/>
            <w:noWrap w:val="0"/>
            <w:vAlign w:val="top"/>
          </w:tcPr>
          <w:p w14:paraId="6D36FAC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74406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86779D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54A3C0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1C4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C92D81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415</w:t>
            </w:r>
          </w:p>
        </w:tc>
        <w:tc>
          <w:tcPr>
            <w:tcW w:w="4732" w:type="dxa"/>
            <w:noWrap w:val="0"/>
            <w:vAlign w:val="center"/>
          </w:tcPr>
          <w:p w14:paraId="20445F3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桥面铺装</w:t>
            </w:r>
          </w:p>
        </w:tc>
        <w:tc>
          <w:tcPr>
            <w:tcW w:w="749" w:type="dxa"/>
            <w:noWrap w:val="0"/>
            <w:vAlign w:val="top"/>
          </w:tcPr>
          <w:p w14:paraId="3C10E64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B9A14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D13E3D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B17912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5A8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F07F2B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415-1</w:t>
            </w:r>
          </w:p>
        </w:tc>
        <w:tc>
          <w:tcPr>
            <w:tcW w:w="4732" w:type="dxa"/>
            <w:noWrap w:val="0"/>
            <w:vAlign w:val="center"/>
          </w:tcPr>
          <w:p w14:paraId="6618120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沥青混凝土桥面铺装</w:t>
            </w:r>
          </w:p>
        </w:tc>
        <w:tc>
          <w:tcPr>
            <w:tcW w:w="749" w:type="dxa"/>
            <w:noWrap w:val="0"/>
            <w:vAlign w:val="center"/>
          </w:tcPr>
          <w:p w14:paraId="10324D6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10C4EFE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B5968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1E3D9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8C3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159460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415-2</w:t>
            </w:r>
          </w:p>
        </w:tc>
        <w:tc>
          <w:tcPr>
            <w:tcW w:w="4732" w:type="dxa"/>
            <w:noWrap w:val="0"/>
            <w:vAlign w:val="center"/>
          </w:tcPr>
          <w:p w14:paraId="4A72EA7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水泥混凝土桥面铺装</w:t>
            </w:r>
          </w:p>
        </w:tc>
        <w:tc>
          <w:tcPr>
            <w:tcW w:w="749" w:type="dxa"/>
            <w:noWrap w:val="0"/>
            <w:vAlign w:val="center"/>
          </w:tcPr>
          <w:p w14:paraId="62DE13C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4EE907D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A3702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2F6A2F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75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D70F0F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415-3</w:t>
            </w:r>
          </w:p>
        </w:tc>
        <w:tc>
          <w:tcPr>
            <w:tcW w:w="4732" w:type="dxa"/>
            <w:noWrap w:val="0"/>
            <w:vAlign w:val="center"/>
          </w:tcPr>
          <w:p w14:paraId="664DAEC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防水层</w:t>
            </w:r>
          </w:p>
        </w:tc>
        <w:tc>
          <w:tcPr>
            <w:tcW w:w="749" w:type="dxa"/>
            <w:noWrap w:val="0"/>
            <w:vAlign w:val="center"/>
          </w:tcPr>
          <w:p w14:paraId="3A26956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E3EB50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D8F6A6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58CBEA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610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0A054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4ECBC0B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桥面混凝土表面处理</w:t>
            </w:r>
          </w:p>
        </w:tc>
        <w:tc>
          <w:tcPr>
            <w:tcW w:w="749" w:type="dxa"/>
            <w:noWrap w:val="0"/>
            <w:vAlign w:val="center"/>
          </w:tcPr>
          <w:p w14:paraId="74D6DF4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6690A0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14568F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0C9C20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E2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E74407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09C615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铺设防水层</w:t>
            </w:r>
          </w:p>
        </w:tc>
        <w:tc>
          <w:tcPr>
            <w:tcW w:w="749" w:type="dxa"/>
            <w:noWrap w:val="0"/>
            <w:vAlign w:val="center"/>
          </w:tcPr>
          <w:p w14:paraId="34843DE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372D9F7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DD8601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27C3A3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997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960EF1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415-4</w:t>
            </w:r>
          </w:p>
        </w:tc>
        <w:tc>
          <w:tcPr>
            <w:tcW w:w="4732" w:type="dxa"/>
            <w:noWrap w:val="0"/>
            <w:vAlign w:val="center"/>
          </w:tcPr>
          <w:p w14:paraId="07C88B5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桥面排水</w:t>
            </w:r>
          </w:p>
        </w:tc>
        <w:tc>
          <w:tcPr>
            <w:tcW w:w="749" w:type="dxa"/>
            <w:noWrap w:val="0"/>
            <w:vAlign w:val="center"/>
          </w:tcPr>
          <w:p w14:paraId="14E396B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E7EAC1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6BF71B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E3419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A00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70D72E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944AAA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竖、横向集中排水管</w:t>
            </w:r>
          </w:p>
        </w:tc>
        <w:tc>
          <w:tcPr>
            <w:tcW w:w="749" w:type="dxa"/>
            <w:noWrap w:val="0"/>
            <w:vAlign w:val="center"/>
          </w:tcPr>
          <w:p w14:paraId="65639AA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28BDB30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9961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B6936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062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129DDF8">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-a-1</w:t>
            </w:r>
          </w:p>
        </w:tc>
        <w:tc>
          <w:tcPr>
            <w:tcW w:w="4732" w:type="dxa"/>
            <w:noWrap w:val="0"/>
            <w:vAlign w:val="center"/>
          </w:tcPr>
          <w:p w14:paraId="09E4F8C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铸铁管</w:t>
            </w:r>
          </w:p>
        </w:tc>
        <w:tc>
          <w:tcPr>
            <w:tcW w:w="749" w:type="dxa"/>
            <w:noWrap w:val="0"/>
            <w:vAlign w:val="top"/>
          </w:tcPr>
          <w:p w14:paraId="040C895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87DF84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35880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D9008D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72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4CD25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-a-2</w:t>
            </w:r>
          </w:p>
        </w:tc>
        <w:tc>
          <w:tcPr>
            <w:tcW w:w="4732" w:type="dxa"/>
            <w:noWrap w:val="0"/>
            <w:vAlign w:val="center"/>
          </w:tcPr>
          <w:p w14:paraId="5AD7FA7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钢管</w:t>
            </w:r>
          </w:p>
        </w:tc>
        <w:tc>
          <w:tcPr>
            <w:tcW w:w="749" w:type="dxa"/>
            <w:noWrap w:val="0"/>
            <w:vAlign w:val="center"/>
          </w:tcPr>
          <w:p w14:paraId="639CE3C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628E8AE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563C01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6C3430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65E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1B6D9F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-a-3</w:t>
            </w:r>
          </w:p>
        </w:tc>
        <w:tc>
          <w:tcPr>
            <w:tcW w:w="4732" w:type="dxa"/>
            <w:noWrap w:val="0"/>
            <w:vAlign w:val="center"/>
          </w:tcPr>
          <w:p w14:paraId="7B0E6BA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PVC管</w:t>
            </w:r>
          </w:p>
        </w:tc>
        <w:tc>
          <w:tcPr>
            <w:tcW w:w="749" w:type="dxa"/>
            <w:noWrap w:val="0"/>
            <w:vAlign w:val="center"/>
          </w:tcPr>
          <w:p w14:paraId="5BEE8D6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675D203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3BFB80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56996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87E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87DAD2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2E7D4A3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桥面边部碎石盲沟</w:t>
            </w:r>
          </w:p>
        </w:tc>
        <w:tc>
          <w:tcPr>
            <w:tcW w:w="749" w:type="dxa"/>
            <w:noWrap w:val="0"/>
            <w:vAlign w:val="center"/>
          </w:tcPr>
          <w:p w14:paraId="27B797B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00BFD4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D2A1AB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52E84A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E2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7B23D3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416</w:t>
            </w:r>
          </w:p>
        </w:tc>
        <w:tc>
          <w:tcPr>
            <w:tcW w:w="4732" w:type="dxa"/>
            <w:noWrap w:val="0"/>
            <w:vAlign w:val="center"/>
          </w:tcPr>
          <w:p w14:paraId="20BF037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桥梁支座</w:t>
            </w:r>
          </w:p>
        </w:tc>
        <w:tc>
          <w:tcPr>
            <w:tcW w:w="749" w:type="dxa"/>
            <w:noWrap w:val="0"/>
            <w:vAlign w:val="top"/>
          </w:tcPr>
          <w:p w14:paraId="3ED257B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FDA34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880711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CD246F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C4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AC868C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416-1</w:t>
            </w:r>
          </w:p>
        </w:tc>
        <w:tc>
          <w:tcPr>
            <w:tcW w:w="4732" w:type="dxa"/>
            <w:noWrap w:val="0"/>
            <w:vAlign w:val="center"/>
          </w:tcPr>
          <w:p w14:paraId="43432BB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板式橡胶支座</w:t>
            </w:r>
          </w:p>
        </w:tc>
        <w:tc>
          <w:tcPr>
            <w:tcW w:w="749" w:type="dxa"/>
            <w:noWrap w:val="0"/>
            <w:vAlign w:val="center"/>
          </w:tcPr>
          <w:p w14:paraId="0879A55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dm³</w:t>
            </w:r>
          </w:p>
        </w:tc>
        <w:tc>
          <w:tcPr>
            <w:tcW w:w="837" w:type="dxa"/>
            <w:noWrap w:val="0"/>
            <w:vAlign w:val="center"/>
          </w:tcPr>
          <w:p w14:paraId="244C468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877B2C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A460E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C5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A31E3A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416-2</w:t>
            </w:r>
          </w:p>
        </w:tc>
        <w:tc>
          <w:tcPr>
            <w:tcW w:w="4732" w:type="dxa"/>
            <w:noWrap w:val="0"/>
            <w:vAlign w:val="center"/>
          </w:tcPr>
          <w:p w14:paraId="6AC641A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盆式支座</w:t>
            </w:r>
          </w:p>
        </w:tc>
        <w:tc>
          <w:tcPr>
            <w:tcW w:w="749" w:type="dxa"/>
            <w:noWrap w:val="0"/>
            <w:vAlign w:val="center"/>
          </w:tcPr>
          <w:p w14:paraId="3870600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3DCEE32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B9847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ABF591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439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0823A7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416-3</w:t>
            </w:r>
          </w:p>
        </w:tc>
        <w:tc>
          <w:tcPr>
            <w:tcW w:w="4732" w:type="dxa"/>
            <w:noWrap w:val="0"/>
            <w:vAlign w:val="center"/>
          </w:tcPr>
          <w:p w14:paraId="6848FC4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隔震橡胶支座</w:t>
            </w:r>
          </w:p>
        </w:tc>
        <w:tc>
          <w:tcPr>
            <w:tcW w:w="749" w:type="dxa"/>
            <w:noWrap w:val="0"/>
            <w:vAlign w:val="center"/>
          </w:tcPr>
          <w:p w14:paraId="6F81494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256454E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5D8D08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EA2A6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619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52F495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416-4</w:t>
            </w:r>
          </w:p>
        </w:tc>
        <w:tc>
          <w:tcPr>
            <w:tcW w:w="4732" w:type="dxa"/>
            <w:noWrap w:val="0"/>
            <w:vAlign w:val="center"/>
          </w:tcPr>
          <w:p w14:paraId="02119E6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球形支座</w:t>
            </w:r>
          </w:p>
        </w:tc>
        <w:tc>
          <w:tcPr>
            <w:tcW w:w="749" w:type="dxa"/>
            <w:noWrap w:val="0"/>
            <w:vAlign w:val="center"/>
          </w:tcPr>
          <w:p w14:paraId="307655D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47CADFD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AB82CD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CE524F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F5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3A7921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417</w:t>
            </w:r>
          </w:p>
        </w:tc>
        <w:tc>
          <w:tcPr>
            <w:tcW w:w="4732" w:type="dxa"/>
            <w:noWrap w:val="0"/>
            <w:vAlign w:val="center"/>
          </w:tcPr>
          <w:p w14:paraId="32AE4A4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桥梁接缝和伸缩装置</w:t>
            </w:r>
          </w:p>
        </w:tc>
        <w:tc>
          <w:tcPr>
            <w:tcW w:w="749" w:type="dxa"/>
            <w:noWrap w:val="0"/>
            <w:vAlign w:val="top"/>
          </w:tcPr>
          <w:p w14:paraId="304B52A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61236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A4ED80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9BE013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02E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B765C9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417-1</w:t>
            </w:r>
          </w:p>
        </w:tc>
        <w:tc>
          <w:tcPr>
            <w:tcW w:w="4732" w:type="dxa"/>
            <w:noWrap w:val="0"/>
            <w:vAlign w:val="center"/>
          </w:tcPr>
          <w:p w14:paraId="0960A17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橡胶伸缩装置</w:t>
            </w:r>
          </w:p>
        </w:tc>
        <w:tc>
          <w:tcPr>
            <w:tcW w:w="749" w:type="dxa"/>
            <w:noWrap w:val="0"/>
            <w:vAlign w:val="center"/>
          </w:tcPr>
          <w:p w14:paraId="5723837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CC758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72646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4C84DF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6CF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ACE145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417-2</w:t>
            </w:r>
          </w:p>
        </w:tc>
        <w:tc>
          <w:tcPr>
            <w:tcW w:w="4732" w:type="dxa"/>
            <w:noWrap w:val="0"/>
            <w:vAlign w:val="center"/>
          </w:tcPr>
          <w:p w14:paraId="4424EDE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模数式伸缩装置</w:t>
            </w:r>
          </w:p>
        </w:tc>
        <w:tc>
          <w:tcPr>
            <w:tcW w:w="749" w:type="dxa"/>
            <w:noWrap w:val="0"/>
            <w:vAlign w:val="center"/>
          </w:tcPr>
          <w:p w14:paraId="750C205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9D0A8C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4A179E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5DB4C4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F4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A5100D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417-3</w:t>
            </w:r>
          </w:p>
        </w:tc>
        <w:tc>
          <w:tcPr>
            <w:tcW w:w="4732" w:type="dxa"/>
            <w:noWrap w:val="0"/>
            <w:vAlign w:val="center"/>
          </w:tcPr>
          <w:p w14:paraId="2F658A2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梳齿板式伸缩装置</w:t>
            </w:r>
          </w:p>
        </w:tc>
        <w:tc>
          <w:tcPr>
            <w:tcW w:w="749" w:type="dxa"/>
            <w:noWrap w:val="0"/>
            <w:vAlign w:val="center"/>
          </w:tcPr>
          <w:p w14:paraId="4C98AD8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6CEF1D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41B51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3D9C8F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45C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C62813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417-4</w:t>
            </w:r>
          </w:p>
        </w:tc>
        <w:tc>
          <w:tcPr>
            <w:tcW w:w="4732" w:type="dxa"/>
            <w:noWrap w:val="0"/>
            <w:vAlign w:val="center"/>
          </w:tcPr>
          <w:p w14:paraId="621E736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填充式材料伸缩装置</w:t>
            </w:r>
          </w:p>
        </w:tc>
        <w:tc>
          <w:tcPr>
            <w:tcW w:w="749" w:type="dxa"/>
            <w:noWrap w:val="0"/>
            <w:vAlign w:val="center"/>
          </w:tcPr>
          <w:p w14:paraId="2619F41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CCBF7F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14EA3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64714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C95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4DE905">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419</w:t>
            </w:r>
          </w:p>
        </w:tc>
        <w:tc>
          <w:tcPr>
            <w:tcW w:w="4732" w:type="dxa"/>
            <w:noWrap w:val="0"/>
            <w:vAlign w:val="center"/>
          </w:tcPr>
          <w:p w14:paraId="0432B27E">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圆管涵及倒虹吸管涵</w:t>
            </w:r>
          </w:p>
        </w:tc>
        <w:tc>
          <w:tcPr>
            <w:tcW w:w="749" w:type="dxa"/>
            <w:noWrap w:val="0"/>
            <w:vAlign w:val="top"/>
          </w:tcPr>
          <w:p w14:paraId="633FEAD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81A9FE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87F6B6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E595F5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B1D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3EE305">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419-1</w:t>
            </w:r>
          </w:p>
        </w:tc>
        <w:tc>
          <w:tcPr>
            <w:tcW w:w="4732" w:type="dxa"/>
            <w:noWrap w:val="0"/>
            <w:vAlign w:val="center"/>
          </w:tcPr>
          <w:p w14:paraId="3670589E">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单孔钢筋混凝土圆管涵</w:t>
            </w:r>
          </w:p>
        </w:tc>
        <w:tc>
          <w:tcPr>
            <w:tcW w:w="749" w:type="dxa"/>
            <w:noWrap w:val="0"/>
            <w:vAlign w:val="center"/>
          </w:tcPr>
          <w:p w14:paraId="18AC8D14">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1F17567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61B6AB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F62B85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B4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9F46E3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419-2</w:t>
            </w:r>
          </w:p>
        </w:tc>
        <w:tc>
          <w:tcPr>
            <w:tcW w:w="4732" w:type="dxa"/>
            <w:noWrap w:val="0"/>
            <w:vAlign w:val="center"/>
          </w:tcPr>
          <w:p w14:paraId="2B661E7C">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双孔钢筋混凝土圆管涵</w:t>
            </w:r>
          </w:p>
        </w:tc>
        <w:tc>
          <w:tcPr>
            <w:tcW w:w="749" w:type="dxa"/>
            <w:noWrap w:val="0"/>
            <w:vAlign w:val="center"/>
          </w:tcPr>
          <w:p w14:paraId="1B3C7441">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681A80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880D3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2C4C05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A81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00315EB">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419-3</w:t>
            </w:r>
          </w:p>
        </w:tc>
        <w:tc>
          <w:tcPr>
            <w:tcW w:w="4732" w:type="dxa"/>
            <w:noWrap w:val="0"/>
            <w:vAlign w:val="center"/>
          </w:tcPr>
          <w:p w14:paraId="1A97A52E">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钢筋混凝土圆管倒虹吸管涵</w:t>
            </w:r>
          </w:p>
        </w:tc>
        <w:tc>
          <w:tcPr>
            <w:tcW w:w="749" w:type="dxa"/>
            <w:noWrap w:val="0"/>
            <w:vAlign w:val="center"/>
          </w:tcPr>
          <w:p w14:paraId="70C4FB6A">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3FA9439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003C0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55BB82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A1D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65A4B73">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420</w:t>
            </w:r>
          </w:p>
        </w:tc>
        <w:tc>
          <w:tcPr>
            <w:tcW w:w="4732" w:type="dxa"/>
            <w:noWrap w:val="0"/>
            <w:vAlign w:val="center"/>
          </w:tcPr>
          <w:p w14:paraId="12B915C4">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盖板涵、箱涵</w:t>
            </w:r>
          </w:p>
        </w:tc>
        <w:tc>
          <w:tcPr>
            <w:tcW w:w="749" w:type="dxa"/>
            <w:noWrap w:val="0"/>
            <w:vAlign w:val="center"/>
          </w:tcPr>
          <w:p w14:paraId="6568D670">
            <w:pPr>
              <w:pageBreakBefore w:val="0"/>
              <w:kinsoku/>
              <w:wordWrap w:val="0"/>
              <w:autoSpaceDE w:val="0"/>
              <w:autoSpaceDN w:val="0"/>
              <w:bidi w:val="0"/>
              <w:spacing w:line="360" w:lineRule="atLeast"/>
              <w:ind w:firstLine="30"/>
              <w:jc w:val="center"/>
              <w:textAlignment w:val="bottom"/>
              <w:rPr>
                <w:rFonts w:hint="default" w:ascii="Times New Roman" w:hAnsi="Times New Roman" w:cs="Times New Roman"/>
                <w:color w:val="auto"/>
                <w:szCs w:val="21"/>
                <w:highlight w:val="none"/>
              </w:rPr>
            </w:pPr>
          </w:p>
        </w:tc>
        <w:tc>
          <w:tcPr>
            <w:tcW w:w="837" w:type="dxa"/>
            <w:noWrap w:val="0"/>
            <w:vAlign w:val="center"/>
          </w:tcPr>
          <w:p w14:paraId="479D107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A7282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94A8A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9E3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6B8C011">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420-1</w:t>
            </w:r>
          </w:p>
        </w:tc>
        <w:tc>
          <w:tcPr>
            <w:tcW w:w="4732" w:type="dxa"/>
            <w:noWrap w:val="0"/>
            <w:vAlign w:val="center"/>
          </w:tcPr>
          <w:p w14:paraId="09BA29E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钢筋混凝土盖板涵</w:t>
            </w:r>
          </w:p>
        </w:tc>
        <w:tc>
          <w:tcPr>
            <w:tcW w:w="749" w:type="dxa"/>
            <w:noWrap w:val="0"/>
            <w:vAlign w:val="center"/>
          </w:tcPr>
          <w:p w14:paraId="0F34ADDF">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153AA7D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279AD3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692E72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799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BA55EDD">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420-2</w:t>
            </w:r>
          </w:p>
        </w:tc>
        <w:tc>
          <w:tcPr>
            <w:tcW w:w="4732" w:type="dxa"/>
            <w:noWrap w:val="0"/>
            <w:vAlign w:val="center"/>
          </w:tcPr>
          <w:p w14:paraId="3505E758">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钢筋混凝土箱涵</w:t>
            </w:r>
          </w:p>
        </w:tc>
        <w:tc>
          <w:tcPr>
            <w:tcW w:w="749" w:type="dxa"/>
            <w:noWrap w:val="0"/>
            <w:vAlign w:val="center"/>
          </w:tcPr>
          <w:p w14:paraId="4E670C8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3B06285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7689E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CA9868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AC0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77D79C">
            <w:pPr>
              <w:pageBreakBefore w:val="0"/>
              <w:widowControl/>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bCs/>
                <w:color w:val="auto"/>
                <w:kern w:val="0"/>
                <w:szCs w:val="21"/>
                <w:highlight w:val="none"/>
              </w:rPr>
              <w:t>420-3</w:t>
            </w:r>
          </w:p>
        </w:tc>
        <w:tc>
          <w:tcPr>
            <w:tcW w:w="4732" w:type="dxa"/>
            <w:noWrap w:val="0"/>
            <w:vAlign w:val="center"/>
          </w:tcPr>
          <w:p w14:paraId="7D94CD1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钢筋混凝土盖板通道涵</w:t>
            </w:r>
          </w:p>
        </w:tc>
        <w:tc>
          <w:tcPr>
            <w:tcW w:w="749" w:type="dxa"/>
            <w:noWrap w:val="0"/>
            <w:vAlign w:val="center"/>
          </w:tcPr>
          <w:p w14:paraId="0861C504">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0B89507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D05EFD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00B186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F54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9BED5A4">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420-4</w:t>
            </w:r>
          </w:p>
        </w:tc>
        <w:tc>
          <w:tcPr>
            <w:tcW w:w="4732" w:type="dxa"/>
            <w:noWrap w:val="0"/>
            <w:vAlign w:val="center"/>
          </w:tcPr>
          <w:p w14:paraId="470FC6D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钢筋混凝土箱形通道涵</w:t>
            </w:r>
          </w:p>
        </w:tc>
        <w:tc>
          <w:tcPr>
            <w:tcW w:w="749" w:type="dxa"/>
            <w:noWrap w:val="0"/>
            <w:vAlign w:val="center"/>
          </w:tcPr>
          <w:p w14:paraId="0C2735A3">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43B5DED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6E143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742C82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4670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468813C">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421</w:t>
            </w:r>
          </w:p>
        </w:tc>
        <w:tc>
          <w:tcPr>
            <w:tcW w:w="4732" w:type="dxa"/>
            <w:noWrap w:val="0"/>
            <w:vAlign w:val="center"/>
          </w:tcPr>
          <w:p w14:paraId="71C86508">
            <w:pPr>
              <w:pageBreakBefore w:val="0"/>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拱涵</w:t>
            </w:r>
          </w:p>
        </w:tc>
        <w:tc>
          <w:tcPr>
            <w:tcW w:w="749" w:type="dxa"/>
            <w:noWrap w:val="0"/>
            <w:vAlign w:val="top"/>
          </w:tcPr>
          <w:p w14:paraId="713A534F">
            <w:pPr>
              <w:pageBreakBefore w:val="0"/>
              <w:kinsoku/>
              <w:wordWrap w:val="0"/>
              <w:autoSpaceDE w:val="0"/>
              <w:autoSpaceDN w:val="0"/>
              <w:bidi w:val="0"/>
              <w:spacing w:line="360" w:lineRule="atLeast"/>
              <w:ind w:right="57" w:firstLine="23"/>
              <w:jc w:val="center"/>
              <w:textAlignment w:val="bottom"/>
              <w:rPr>
                <w:rFonts w:hint="default" w:ascii="Times New Roman" w:hAnsi="Times New Roman" w:cs="Times New Roman"/>
                <w:color w:val="auto"/>
                <w:szCs w:val="21"/>
                <w:highlight w:val="none"/>
              </w:rPr>
            </w:pPr>
          </w:p>
        </w:tc>
        <w:tc>
          <w:tcPr>
            <w:tcW w:w="837" w:type="dxa"/>
            <w:noWrap w:val="0"/>
            <w:vAlign w:val="center"/>
          </w:tcPr>
          <w:p w14:paraId="5C1847D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79EEC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5A0AF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E9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C726DE8">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421-1</w:t>
            </w:r>
          </w:p>
        </w:tc>
        <w:tc>
          <w:tcPr>
            <w:tcW w:w="4732" w:type="dxa"/>
            <w:noWrap w:val="0"/>
            <w:vAlign w:val="center"/>
          </w:tcPr>
          <w:p w14:paraId="10C59CD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拱涵</w:t>
            </w:r>
          </w:p>
        </w:tc>
        <w:tc>
          <w:tcPr>
            <w:tcW w:w="749" w:type="dxa"/>
            <w:noWrap w:val="0"/>
            <w:vAlign w:val="center"/>
          </w:tcPr>
          <w:p w14:paraId="4192AC68">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508B7AE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456ABF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DF795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1B35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F27A1A8">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-a</w:t>
            </w:r>
          </w:p>
        </w:tc>
        <w:tc>
          <w:tcPr>
            <w:tcW w:w="4732" w:type="dxa"/>
            <w:noWrap w:val="0"/>
            <w:vAlign w:val="center"/>
          </w:tcPr>
          <w:p w14:paraId="123D51A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石拱涵</w:t>
            </w:r>
          </w:p>
        </w:tc>
        <w:tc>
          <w:tcPr>
            <w:tcW w:w="749" w:type="dxa"/>
            <w:noWrap w:val="0"/>
            <w:vAlign w:val="center"/>
          </w:tcPr>
          <w:p w14:paraId="490302C1">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64F8AC4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168EF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0BE1D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5C5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6C98A5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-b</w:t>
            </w:r>
          </w:p>
        </w:tc>
        <w:tc>
          <w:tcPr>
            <w:tcW w:w="4732" w:type="dxa"/>
            <w:noWrap w:val="0"/>
            <w:vAlign w:val="center"/>
          </w:tcPr>
          <w:p w14:paraId="3050CF5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混凝土拱涵</w:t>
            </w:r>
          </w:p>
        </w:tc>
        <w:tc>
          <w:tcPr>
            <w:tcW w:w="749" w:type="dxa"/>
            <w:noWrap w:val="0"/>
            <w:vAlign w:val="center"/>
          </w:tcPr>
          <w:p w14:paraId="4DA5A9E4">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4CF9453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5EEE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65BC3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A68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F681370">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421-2</w:t>
            </w:r>
          </w:p>
        </w:tc>
        <w:tc>
          <w:tcPr>
            <w:tcW w:w="4732" w:type="dxa"/>
            <w:noWrap w:val="0"/>
            <w:vAlign w:val="center"/>
          </w:tcPr>
          <w:p w14:paraId="397F437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拱形通道涵</w:t>
            </w:r>
          </w:p>
        </w:tc>
        <w:tc>
          <w:tcPr>
            <w:tcW w:w="749" w:type="dxa"/>
            <w:noWrap w:val="0"/>
            <w:vAlign w:val="center"/>
          </w:tcPr>
          <w:p w14:paraId="6F1F2EA6">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70D7E3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780E9A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DFF37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08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36DD0A6">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-a</w:t>
            </w:r>
          </w:p>
        </w:tc>
        <w:tc>
          <w:tcPr>
            <w:tcW w:w="4732" w:type="dxa"/>
            <w:noWrap w:val="0"/>
            <w:vAlign w:val="center"/>
          </w:tcPr>
          <w:p w14:paraId="58B96EC4">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石拱通道涵</w:t>
            </w:r>
          </w:p>
        </w:tc>
        <w:tc>
          <w:tcPr>
            <w:tcW w:w="749" w:type="dxa"/>
            <w:noWrap w:val="0"/>
            <w:vAlign w:val="center"/>
          </w:tcPr>
          <w:p w14:paraId="6439E22A">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6FA8FDC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6475DD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6F977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C37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8DFFD1A">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-b</w:t>
            </w:r>
          </w:p>
        </w:tc>
        <w:tc>
          <w:tcPr>
            <w:tcW w:w="4732" w:type="dxa"/>
            <w:noWrap w:val="0"/>
            <w:vAlign w:val="center"/>
          </w:tcPr>
          <w:p w14:paraId="6E7C6934">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混凝土拱</w:t>
            </w:r>
            <w:r>
              <w:rPr>
                <w:rFonts w:hint="default" w:ascii="Times New Roman" w:hAnsi="Times New Roman" w:cs="Times New Roman"/>
                <w:color w:val="auto"/>
                <w:szCs w:val="21"/>
                <w:highlight w:val="none"/>
              </w:rPr>
              <w:t>通道涵</w:t>
            </w:r>
          </w:p>
        </w:tc>
        <w:tc>
          <w:tcPr>
            <w:tcW w:w="749" w:type="dxa"/>
            <w:noWrap w:val="0"/>
            <w:vAlign w:val="center"/>
          </w:tcPr>
          <w:p w14:paraId="0D8C7C09">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m</w:t>
            </w:r>
          </w:p>
        </w:tc>
        <w:tc>
          <w:tcPr>
            <w:tcW w:w="837" w:type="dxa"/>
            <w:noWrap w:val="0"/>
            <w:vAlign w:val="center"/>
          </w:tcPr>
          <w:p w14:paraId="600BF39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CD085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FD42FD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B9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7D6F93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3F17D42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7BE9C1E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624491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734CE8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5C53D6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69B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B029A6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009E5D4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1C0B36E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445EF8E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9AD93D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960FB8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756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7F40DF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049DDCD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25F8A0C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7D9E0B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33CE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964DEE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6E8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FF4D08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07F9D11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0E855EC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2716A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B65B53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086BBF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B96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C5F33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4E9C77E0">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7EF2756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A6016E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C33D0C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CD36B0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7A44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C39C1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140C3466">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26E5E333">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35CA164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0FFBC3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CF164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6D7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E3003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61D834CC">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6518BDF0">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26CE08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5D96EC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52DEAD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1E5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C8AA37A">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602B9129">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3DA2BA6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DDF744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CEAED5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1F58D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4B3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E307DC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3E476946">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1013B6C2">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A1096F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7B9485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718CF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C2B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A4F59FD">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6C23C481">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2541A92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717892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177DF5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2B26D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08B6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14FE2C">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612105E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6CA2322B">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303DD3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4B8265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0EED3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A2A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E992D0E">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4732" w:type="dxa"/>
            <w:noWrap w:val="0"/>
            <w:vAlign w:val="center"/>
          </w:tcPr>
          <w:p w14:paraId="34514722">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p>
        </w:tc>
        <w:tc>
          <w:tcPr>
            <w:tcW w:w="749" w:type="dxa"/>
            <w:noWrap w:val="0"/>
            <w:vAlign w:val="top"/>
          </w:tcPr>
          <w:p w14:paraId="522D2BC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359885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036AB4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CCEBE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4F0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56" w:type="dxa"/>
            <w:gridSpan w:val="6"/>
            <w:tcBorders>
              <w:left w:val="single" w:color="auto" w:sz="12" w:space="0"/>
              <w:bottom w:val="single" w:color="auto" w:sz="12" w:space="0"/>
              <w:right w:val="single" w:color="auto" w:sz="12" w:space="0"/>
            </w:tcBorders>
            <w:noWrap w:val="0"/>
            <w:vAlign w:val="center"/>
          </w:tcPr>
          <w:p w14:paraId="4AAF5DA8">
            <w:pPr>
              <w:pageBreakBefore w:val="0"/>
              <w:kinsoku/>
              <w:wordWrap w:val="0"/>
              <w:bidi w:val="0"/>
              <w:spacing w:line="360" w:lineRule="atLeast"/>
              <w:jc w:val="center"/>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清单第400章合计  人民币</w:t>
            </w:r>
            <w:r>
              <w:rPr>
                <w:rFonts w:hint="default" w:ascii="Times New Roman" w:hAnsi="Times New Roman" w:cs="Times New Roman"/>
                <w:bCs/>
                <w:color w:val="auto"/>
                <w:kern w:val="0"/>
                <w:szCs w:val="21"/>
                <w:highlight w:val="none"/>
                <w:u w:val="single"/>
              </w:rPr>
              <w:t xml:space="preserve">                    </w:t>
            </w:r>
          </w:p>
        </w:tc>
      </w:tr>
    </w:tbl>
    <w:p w14:paraId="027FB18F">
      <w:pPr>
        <w:pageBreakBefore w:val="0"/>
        <w:kinsoku/>
        <w:wordWrap w:val="0"/>
        <w:bidi w:val="0"/>
        <w:jc w:val="center"/>
        <w:rPr>
          <w:rFonts w:hint="default" w:ascii="Times New Roman" w:hAnsi="Times New Roman" w:eastAsia="黑体" w:cs="Times New Roman"/>
          <w:color w:val="auto"/>
          <w:sz w:val="28"/>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8"/>
          <w:highlight w:val="none"/>
        </w:rPr>
        <w:t>工 程 量 清 单</w:t>
      </w:r>
    </w:p>
    <w:p w14:paraId="5EA8E89D">
      <w:pPr>
        <w:pageBreakBefore w:val="0"/>
        <w:kinsoku/>
        <w:wordWrap w:val="0"/>
        <w:bidi w:val="0"/>
        <w:jc w:val="center"/>
        <w:rPr>
          <w:rFonts w:hint="default" w:ascii="Times New Roman" w:hAnsi="Times New Roman" w:cs="Times New Roman"/>
          <w:color w:val="auto"/>
          <w:sz w:val="24"/>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644"/>
        <w:gridCol w:w="837"/>
        <w:gridCol w:w="837"/>
        <w:gridCol w:w="837"/>
        <w:gridCol w:w="837"/>
      </w:tblGrid>
      <w:tr w14:paraId="60C0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318A44E6">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第500章   隧  道</w:t>
            </w:r>
          </w:p>
        </w:tc>
      </w:tr>
      <w:tr w14:paraId="44D7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427A2247">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644" w:type="dxa"/>
            <w:tcBorders>
              <w:top w:val="single" w:color="auto" w:sz="8" w:space="0"/>
              <w:left w:val="single" w:color="auto" w:sz="4" w:space="0"/>
              <w:bottom w:val="single" w:color="auto" w:sz="4" w:space="0"/>
              <w:right w:val="single" w:color="auto" w:sz="4" w:space="0"/>
            </w:tcBorders>
            <w:noWrap w:val="0"/>
            <w:vAlign w:val="center"/>
          </w:tcPr>
          <w:p w14:paraId="20CE4470">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4732EE9F">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27BFE6B8">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7A1BDDB2">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5AA0AF44">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4B68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bottom w:val="single" w:color="auto" w:sz="4" w:space="0"/>
              <w:right w:val="single" w:color="auto" w:sz="4" w:space="0"/>
            </w:tcBorders>
            <w:noWrap w:val="0"/>
            <w:vAlign w:val="center"/>
          </w:tcPr>
          <w:p w14:paraId="618A29A7">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502</w:t>
            </w:r>
          </w:p>
        </w:tc>
        <w:tc>
          <w:tcPr>
            <w:tcW w:w="4644" w:type="dxa"/>
            <w:tcBorders>
              <w:top w:val="single" w:color="auto" w:sz="4" w:space="0"/>
              <w:left w:val="single" w:color="auto" w:sz="4" w:space="0"/>
              <w:bottom w:val="single" w:color="auto" w:sz="4" w:space="0"/>
              <w:right w:val="single" w:color="auto" w:sz="4" w:space="0"/>
            </w:tcBorders>
            <w:noWrap w:val="0"/>
            <w:vAlign w:val="center"/>
          </w:tcPr>
          <w:p w14:paraId="09E62E65">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洞口与明洞工程</w:t>
            </w:r>
          </w:p>
        </w:tc>
        <w:tc>
          <w:tcPr>
            <w:tcW w:w="837" w:type="dxa"/>
            <w:tcBorders>
              <w:top w:val="single" w:color="auto" w:sz="4" w:space="0"/>
              <w:left w:val="single" w:color="auto" w:sz="4" w:space="0"/>
              <w:bottom w:val="single" w:color="auto" w:sz="4" w:space="0"/>
              <w:right w:val="single" w:color="auto" w:sz="4" w:space="0"/>
            </w:tcBorders>
            <w:noWrap w:val="0"/>
            <w:vAlign w:val="top"/>
          </w:tcPr>
          <w:p w14:paraId="700A6069">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1303DF9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0628788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12" w:space="0"/>
            </w:tcBorders>
            <w:noWrap w:val="0"/>
            <w:vAlign w:val="center"/>
          </w:tcPr>
          <w:p w14:paraId="494A0CF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C0C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bottom w:val="single" w:color="auto" w:sz="4" w:space="0"/>
              <w:right w:val="single" w:color="auto" w:sz="4" w:space="0"/>
            </w:tcBorders>
            <w:noWrap w:val="0"/>
            <w:vAlign w:val="top"/>
          </w:tcPr>
          <w:p w14:paraId="1406B35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502-1</w:t>
            </w:r>
          </w:p>
        </w:tc>
        <w:tc>
          <w:tcPr>
            <w:tcW w:w="4644" w:type="dxa"/>
            <w:tcBorders>
              <w:top w:val="single" w:color="auto" w:sz="4" w:space="0"/>
              <w:left w:val="single" w:color="auto" w:sz="4" w:space="0"/>
              <w:bottom w:val="single" w:color="auto" w:sz="4" w:space="0"/>
              <w:right w:val="single" w:color="auto" w:sz="4" w:space="0"/>
            </w:tcBorders>
            <w:noWrap w:val="0"/>
            <w:vAlign w:val="top"/>
          </w:tcPr>
          <w:p w14:paraId="2D749648">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洞口、明洞开挖</w:t>
            </w:r>
          </w:p>
        </w:tc>
        <w:tc>
          <w:tcPr>
            <w:tcW w:w="837" w:type="dxa"/>
            <w:tcBorders>
              <w:top w:val="single" w:color="auto" w:sz="4" w:space="0"/>
              <w:left w:val="single" w:color="auto" w:sz="4" w:space="0"/>
              <w:bottom w:val="single" w:color="auto" w:sz="4" w:space="0"/>
              <w:right w:val="single" w:color="auto" w:sz="4" w:space="0"/>
            </w:tcBorders>
            <w:noWrap w:val="0"/>
            <w:vAlign w:val="top"/>
          </w:tcPr>
          <w:p w14:paraId="57017916">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69663B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2531AA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12" w:space="0"/>
            </w:tcBorders>
            <w:noWrap w:val="0"/>
            <w:vAlign w:val="center"/>
          </w:tcPr>
          <w:p w14:paraId="4EB776B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E34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top"/>
          </w:tcPr>
          <w:p w14:paraId="069077F5">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644" w:type="dxa"/>
            <w:tcBorders>
              <w:top w:val="single" w:color="auto" w:sz="4" w:space="0"/>
              <w:left w:val="single" w:color="auto" w:sz="4" w:space="0"/>
              <w:right w:val="single" w:color="auto" w:sz="4" w:space="0"/>
            </w:tcBorders>
            <w:noWrap w:val="0"/>
            <w:vAlign w:val="top"/>
          </w:tcPr>
          <w:p w14:paraId="0E61E007">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土方</w:t>
            </w:r>
          </w:p>
        </w:tc>
        <w:tc>
          <w:tcPr>
            <w:tcW w:w="837" w:type="dxa"/>
            <w:tcBorders>
              <w:top w:val="single" w:color="auto" w:sz="4" w:space="0"/>
              <w:left w:val="single" w:color="auto" w:sz="4" w:space="0"/>
              <w:right w:val="single" w:color="auto" w:sz="4" w:space="0"/>
            </w:tcBorders>
            <w:noWrap w:val="0"/>
            <w:vAlign w:val="center"/>
          </w:tcPr>
          <w:p w14:paraId="0DF251F4">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tcBorders>
              <w:top w:val="single" w:color="auto" w:sz="4" w:space="0"/>
              <w:left w:val="single" w:color="auto" w:sz="4" w:space="0"/>
              <w:right w:val="single" w:color="auto" w:sz="4" w:space="0"/>
            </w:tcBorders>
            <w:noWrap w:val="0"/>
            <w:vAlign w:val="center"/>
          </w:tcPr>
          <w:p w14:paraId="5B8043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1FBA852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6266E47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425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1E7824F">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644" w:type="dxa"/>
            <w:noWrap w:val="0"/>
            <w:vAlign w:val="top"/>
          </w:tcPr>
          <w:p w14:paraId="7FE21863">
            <w:pPr>
              <w:pageBreakBefore w:val="0"/>
              <w:kinsoku/>
              <w:wordWrap w:val="0"/>
              <w:autoSpaceDE w:val="0"/>
              <w:autoSpaceDN w:val="0"/>
              <w:bidi w:val="0"/>
              <w:spacing w:line="36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石方</w:t>
            </w:r>
          </w:p>
        </w:tc>
        <w:tc>
          <w:tcPr>
            <w:tcW w:w="837" w:type="dxa"/>
            <w:noWrap w:val="0"/>
            <w:vAlign w:val="center"/>
          </w:tcPr>
          <w:p w14:paraId="2F976BC7">
            <w:pPr>
              <w:pageBreakBefore w:val="0"/>
              <w:kinsoku/>
              <w:wordWrap w:val="0"/>
              <w:autoSpaceDE w:val="0"/>
              <w:autoSpaceDN w:val="0"/>
              <w:bidi w:val="0"/>
              <w:spacing w:line="36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505326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DD4A95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74A67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5C5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6F1A93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502-2</w:t>
            </w:r>
          </w:p>
        </w:tc>
        <w:tc>
          <w:tcPr>
            <w:tcW w:w="4644" w:type="dxa"/>
            <w:noWrap w:val="0"/>
            <w:vAlign w:val="center"/>
          </w:tcPr>
          <w:p w14:paraId="0253E31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防水与排水</w:t>
            </w:r>
          </w:p>
        </w:tc>
        <w:tc>
          <w:tcPr>
            <w:tcW w:w="837" w:type="dxa"/>
            <w:noWrap w:val="0"/>
            <w:vAlign w:val="center"/>
          </w:tcPr>
          <w:p w14:paraId="5F44C1C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1A4B77B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C122FE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29B48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870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B2F902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4E142E0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石砌截水沟、排水沟</w:t>
            </w:r>
          </w:p>
        </w:tc>
        <w:tc>
          <w:tcPr>
            <w:tcW w:w="837" w:type="dxa"/>
            <w:noWrap w:val="0"/>
            <w:vAlign w:val="center"/>
          </w:tcPr>
          <w:p w14:paraId="74E4136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5B186FD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8B2AD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203E1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A32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B83201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53F84D8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现浇混凝土沟槽</w:t>
            </w:r>
          </w:p>
        </w:tc>
        <w:tc>
          <w:tcPr>
            <w:tcW w:w="837" w:type="dxa"/>
            <w:noWrap w:val="0"/>
            <w:vAlign w:val="center"/>
          </w:tcPr>
          <w:p w14:paraId="5306E68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2E9781B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FDE79C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0CEFC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8B4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D2DB65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68C234A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预制安装混凝土沟槽</w:t>
            </w:r>
          </w:p>
        </w:tc>
        <w:tc>
          <w:tcPr>
            <w:tcW w:w="837" w:type="dxa"/>
            <w:noWrap w:val="0"/>
            <w:vAlign w:val="center"/>
          </w:tcPr>
          <w:p w14:paraId="3FB2229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5E6EFE6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48D16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68ED45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3A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4E6190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644" w:type="dxa"/>
            <w:noWrap w:val="0"/>
            <w:vAlign w:val="center"/>
          </w:tcPr>
          <w:p w14:paraId="4610315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预制安装混凝土沟槽盖板</w:t>
            </w:r>
          </w:p>
        </w:tc>
        <w:tc>
          <w:tcPr>
            <w:tcW w:w="837" w:type="dxa"/>
            <w:noWrap w:val="0"/>
            <w:vAlign w:val="center"/>
          </w:tcPr>
          <w:p w14:paraId="18D981D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701353C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E3E2D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BB483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3EB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B60A81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644" w:type="dxa"/>
            <w:noWrap w:val="0"/>
            <w:vAlign w:val="center"/>
          </w:tcPr>
          <w:p w14:paraId="3710DEF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土工合成材料</w:t>
            </w:r>
          </w:p>
        </w:tc>
        <w:tc>
          <w:tcPr>
            <w:tcW w:w="837" w:type="dxa"/>
            <w:noWrap w:val="0"/>
            <w:vAlign w:val="center"/>
          </w:tcPr>
          <w:p w14:paraId="106F693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53868AE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0F5F7B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7B425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A7F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0A1A77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644" w:type="dxa"/>
            <w:noWrap w:val="0"/>
            <w:vAlign w:val="center"/>
          </w:tcPr>
          <w:p w14:paraId="75CE435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渗沟</w:t>
            </w:r>
          </w:p>
        </w:tc>
        <w:tc>
          <w:tcPr>
            <w:tcW w:w="837" w:type="dxa"/>
            <w:noWrap w:val="0"/>
            <w:vAlign w:val="center"/>
          </w:tcPr>
          <w:p w14:paraId="599B5BE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4FFA727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FECC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2DB498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933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F82B78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w:t>
            </w:r>
          </w:p>
        </w:tc>
        <w:tc>
          <w:tcPr>
            <w:tcW w:w="4644" w:type="dxa"/>
            <w:noWrap w:val="0"/>
            <w:vAlign w:val="center"/>
          </w:tcPr>
          <w:p w14:paraId="483A188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noWrap w:val="0"/>
            <w:vAlign w:val="center"/>
          </w:tcPr>
          <w:p w14:paraId="4D65EAA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41FA5BB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C2C5B5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FE2DD3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279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2C11A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502-3</w:t>
            </w:r>
          </w:p>
        </w:tc>
        <w:tc>
          <w:tcPr>
            <w:tcW w:w="4644" w:type="dxa"/>
            <w:noWrap w:val="0"/>
            <w:vAlign w:val="center"/>
          </w:tcPr>
          <w:p w14:paraId="0EECB5F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洞口坡面防护</w:t>
            </w:r>
          </w:p>
        </w:tc>
        <w:tc>
          <w:tcPr>
            <w:tcW w:w="837" w:type="dxa"/>
            <w:noWrap w:val="0"/>
            <w:vAlign w:val="center"/>
          </w:tcPr>
          <w:p w14:paraId="3EB4FFE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41F8CCE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62CF5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3E84C9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92F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EBB280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2478A3B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浆砌片石护坡</w:t>
            </w:r>
          </w:p>
        </w:tc>
        <w:tc>
          <w:tcPr>
            <w:tcW w:w="837" w:type="dxa"/>
            <w:noWrap w:val="0"/>
            <w:vAlign w:val="center"/>
          </w:tcPr>
          <w:p w14:paraId="69C28B4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7E3276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1557B6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921F2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F47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433FA5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5D42DD1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现浇混凝土护坡</w:t>
            </w:r>
          </w:p>
        </w:tc>
        <w:tc>
          <w:tcPr>
            <w:tcW w:w="837" w:type="dxa"/>
            <w:noWrap w:val="0"/>
            <w:vAlign w:val="center"/>
          </w:tcPr>
          <w:p w14:paraId="61ECF98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0178CBF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A1158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13C9FB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17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DC7169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2BCF2B7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预制安装混凝土护坡</w:t>
            </w:r>
          </w:p>
        </w:tc>
        <w:tc>
          <w:tcPr>
            <w:tcW w:w="837" w:type="dxa"/>
            <w:noWrap w:val="0"/>
            <w:vAlign w:val="center"/>
          </w:tcPr>
          <w:p w14:paraId="1061D25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40830FE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EEFBA6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EF18E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DA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B46131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644" w:type="dxa"/>
            <w:noWrap w:val="0"/>
            <w:vAlign w:val="center"/>
          </w:tcPr>
          <w:p w14:paraId="4371278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喷射混凝土护坡</w:t>
            </w:r>
          </w:p>
        </w:tc>
        <w:tc>
          <w:tcPr>
            <w:tcW w:w="837" w:type="dxa"/>
            <w:noWrap w:val="0"/>
            <w:vAlign w:val="center"/>
          </w:tcPr>
          <w:p w14:paraId="0147014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034C3A1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02F08E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EC51FA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2AD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FB8423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644" w:type="dxa"/>
            <w:noWrap w:val="0"/>
            <w:vAlign w:val="center"/>
          </w:tcPr>
          <w:p w14:paraId="028503F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浆砌护面墙</w:t>
            </w:r>
          </w:p>
        </w:tc>
        <w:tc>
          <w:tcPr>
            <w:tcW w:w="837" w:type="dxa"/>
            <w:noWrap w:val="0"/>
            <w:vAlign w:val="center"/>
          </w:tcPr>
          <w:p w14:paraId="1D6F9FB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34B1B48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AC94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8BD68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635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908A34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644" w:type="dxa"/>
            <w:noWrap w:val="0"/>
            <w:vAlign w:val="center"/>
          </w:tcPr>
          <w:p w14:paraId="1EE3219F">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现浇混凝土护面墙</w:t>
            </w:r>
          </w:p>
        </w:tc>
        <w:tc>
          <w:tcPr>
            <w:tcW w:w="837" w:type="dxa"/>
            <w:noWrap w:val="0"/>
            <w:vAlign w:val="center"/>
          </w:tcPr>
          <w:p w14:paraId="369F767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00CA0C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6EE567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DD6A5A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5428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ED1E6E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w:t>
            </w:r>
          </w:p>
        </w:tc>
        <w:tc>
          <w:tcPr>
            <w:tcW w:w="4644" w:type="dxa"/>
            <w:noWrap w:val="0"/>
            <w:vAlign w:val="center"/>
          </w:tcPr>
          <w:p w14:paraId="035E5C7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混凝土挡土墙</w:t>
            </w:r>
          </w:p>
        </w:tc>
        <w:tc>
          <w:tcPr>
            <w:tcW w:w="837" w:type="dxa"/>
            <w:noWrap w:val="0"/>
            <w:vAlign w:val="center"/>
          </w:tcPr>
          <w:p w14:paraId="6502E6E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1DDF9D5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2157E6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42405C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5A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945FBD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-h</w:t>
            </w:r>
          </w:p>
        </w:tc>
        <w:tc>
          <w:tcPr>
            <w:tcW w:w="4644" w:type="dxa"/>
            <w:noWrap w:val="0"/>
            <w:vAlign w:val="center"/>
          </w:tcPr>
          <w:p w14:paraId="258B53A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地表注浆</w:t>
            </w:r>
          </w:p>
        </w:tc>
        <w:tc>
          <w:tcPr>
            <w:tcW w:w="837" w:type="dxa"/>
            <w:noWrap w:val="0"/>
            <w:vAlign w:val="center"/>
          </w:tcPr>
          <w:p w14:paraId="07F4482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49AB593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0DF7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B01D11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60B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1C5419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-i</w:t>
            </w:r>
          </w:p>
        </w:tc>
        <w:tc>
          <w:tcPr>
            <w:tcW w:w="4644" w:type="dxa"/>
            <w:noWrap w:val="0"/>
            <w:vAlign w:val="center"/>
          </w:tcPr>
          <w:p w14:paraId="6D9F5FC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noWrap w:val="0"/>
            <w:vAlign w:val="center"/>
          </w:tcPr>
          <w:p w14:paraId="411F8F5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24618A3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AE0947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D3F3E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2F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94DFD4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-j</w:t>
            </w:r>
          </w:p>
        </w:tc>
        <w:tc>
          <w:tcPr>
            <w:tcW w:w="4644" w:type="dxa"/>
            <w:noWrap w:val="0"/>
            <w:vAlign w:val="center"/>
          </w:tcPr>
          <w:p w14:paraId="3A18C87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锚杆</w:t>
            </w:r>
          </w:p>
        </w:tc>
        <w:tc>
          <w:tcPr>
            <w:tcW w:w="837" w:type="dxa"/>
            <w:noWrap w:val="0"/>
            <w:vAlign w:val="center"/>
          </w:tcPr>
          <w:p w14:paraId="6B995FB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6876EA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B6068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E4B9A7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4A87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719142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w:t>
            </w:r>
          </w:p>
        </w:tc>
        <w:tc>
          <w:tcPr>
            <w:tcW w:w="4644" w:type="dxa"/>
            <w:noWrap w:val="0"/>
            <w:vAlign w:val="center"/>
          </w:tcPr>
          <w:p w14:paraId="30E175CE">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主动防护系统</w:t>
            </w:r>
          </w:p>
        </w:tc>
        <w:tc>
          <w:tcPr>
            <w:tcW w:w="837" w:type="dxa"/>
            <w:noWrap w:val="0"/>
            <w:vAlign w:val="center"/>
          </w:tcPr>
          <w:p w14:paraId="0CED499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6A921CB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38DA85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FD831A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020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5A205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-l</w:t>
            </w:r>
          </w:p>
        </w:tc>
        <w:tc>
          <w:tcPr>
            <w:tcW w:w="4644" w:type="dxa"/>
            <w:noWrap w:val="0"/>
            <w:vAlign w:val="center"/>
          </w:tcPr>
          <w:p w14:paraId="5E659066">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被动防护系统</w:t>
            </w:r>
          </w:p>
        </w:tc>
        <w:tc>
          <w:tcPr>
            <w:tcW w:w="837" w:type="dxa"/>
            <w:noWrap w:val="0"/>
            <w:vAlign w:val="center"/>
          </w:tcPr>
          <w:p w14:paraId="1A05633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5A696A2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380B06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4F173E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B40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C0C373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502-4</w:t>
            </w:r>
          </w:p>
        </w:tc>
        <w:tc>
          <w:tcPr>
            <w:tcW w:w="4644" w:type="dxa"/>
            <w:noWrap w:val="0"/>
            <w:vAlign w:val="center"/>
          </w:tcPr>
          <w:p w14:paraId="4E51C96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洞门建筑</w:t>
            </w:r>
          </w:p>
        </w:tc>
        <w:tc>
          <w:tcPr>
            <w:tcW w:w="837" w:type="dxa"/>
            <w:noWrap w:val="0"/>
            <w:vAlign w:val="center"/>
          </w:tcPr>
          <w:p w14:paraId="442D11B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2E60787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FA38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101A3F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680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4A82E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0CE5DC7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w:t>
            </w:r>
          </w:p>
        </w:tc>
        <w:tc>
          <w:tcPr>
            <w:tcW w:w="837" w:type="dxa"/>
            <w:noWrap w:val="0"/>
            <w:vAlign w:val="center"/>
          </w:tcPr>
          <w:p w14:paraId="558A21E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7EDF0B9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D6D85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232D6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E16A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3BA1EF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3CF6B76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预制安装混凝土块</w:t>
            </w:r>
          </w:p>
        </w:tc>
        <w:tc>
          <w:tcPr>
            <w:tcW w:w="837" w:type="dxa"/>
            <w:noWrap w:val="0"/>
            <w:vAlign w:val="center"/>
          </w:tcPr>
          <w:p w14:paraId="33F1382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A239FF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B7C8E9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0E49F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C60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312261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4CE6B27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浆砌片粗料石（块石）</w:t>
            </w:r>
          </w:p>
        </w:tc>
        <w:tc>
          <w:tcPr>
            <w:tcW w:w="837" w:type="dxa"/>
            <w:noWrap w:val="0"/>
            <w:vAlign w:val="center"/>
          </w:tcPr>
          <w:p w14:paraId="4968D38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507A07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F063AF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671C17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01C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08E0FE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644" w:type="dxa"/>
            <w:noWrap w:val="0"/>
            <w:vAlign w:val="center"/>
          </w:tcPr>
          <w:p w14:paraId="41A6769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洞门墙装修</w:t>
            </w:r>
          </w:p>
        </w:tc>
        <w:tc>
          <w:tcPr>
            <w:tcW w:w="837" w:type="dxa"/>
            <w:noWrap w:val="0"/>
            <w:vAlign w:val="center"/>
          </w:tcPr>
          <w:p w14:paraId="75B4CAB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376B658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B8FFBE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762FC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FB4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27ECD7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644" w:type="dxa"/>
            <w:noWrap w:val="0"/>
            <w:vAlign w:val="center"/>
          </w:tcPr>
          <w:p w14:paraId="7F03EAF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noWrap w:val="0"/>
            <w:vAlign w:val="center"/>
          </w:tcPr>
          <w:p w14:paraId="39A250E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13BE770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D4EB94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05F5D0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1E3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4EEC37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644" w:type="dxa"/>
            <w:noWrap w:val="0"/>
            <w:vAlign w:val="center"/>
          </w:tcPr>
          <w:p w14:paraId="1C46CFC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隧道铭牌</w:t>
            </w:r>
          </w:p>
        </w:tc>
        <w:tc>
          <w:tcPr>
            <w:tcW w:w="837" w:type="dxa"/>
            <w:noWrap w:val="0"/>
            <w:vAlign w:val="center"/>
          </w:tcPr>
          <w:p w14:paraId="46C8A92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处</w:t>
            </w:r>
          </w:p>
        </w:tc>
        <w:tc>
          <w:tcPr>
            <w:tcW w:w="837" w:type="dxa"/>
            <w:noWrap w:val="0"/>
            <w:vAlign w:val="center"/>
          </w:tcPr>
          <w:p w14:paraId="6CCD50A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04846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4761F4D">
            <w:pPr>
              <w:pageBreakBefore w:val="0"/>
              <w:kinsoku/>
              <w:wordWrap w:val="0"/>
              <w:bidi w:val="0"/>
              <w:spacing w:line="360" w:lineRule="atLeast"/>
              <w:jc w:val="center"/>
              <w:rPr>
                <w:rFonts w:hint="default" w:ascii="Times New Roman" w:hAnsi="Times New Roman" w:cs="Times New Roman"/>
                <w:color w:val="auto"/>
                <w:szCs w:val="21"/>
                <w:highlight w:val="none"/>
              </w:rPr>
            </w:pPr>
          </w:p>
        </w:tc>
      </w:tr>
    </w:tbl>
    <w:p w14:paraId="15CE12EC">
      <w:pPr>
        <w:pageBreakBefore w:val="0"/>
        <w:kinsoku/>
        <w:wordWrap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644"/>
        <w:gridCol w:w="837"/>
        <w:gridCol w:w="837"/>
        <w:gridCol w:w="837"/>
        <w:gridCol w:w="837"/>
      </w:tblGrid>
      <w:tr w14:paraId="57C0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53A5AA7F">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第500章   隧  道</w:t>
            </w:r>
          </w:p>
        </w:tc>
      </w:tr>
      <w:tr w14:paraId="30DB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113AE795">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644" w:type="dxa"/>
            <w:tcBorders>
              <w:top w:val="single" w:color="auto" w:sz="8" w:space="0"/>
              <w:left w:val="single" w:color="auto" w:sz="4" w:space="0"/>
              <w:bottom w:val="single" w:color="auto" w:sz="4" w:space="0"/>
              <w:right w:val="single" w:color="auto" w:sz="4" w:space="0"/>
            </w:tcBorders>
            <w:noWrap w:val="0"/>
            <w:vAlign w:val="center"/>
          </w:tcPr>
          <w:p w14:paraId="27C4D62C">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2377C43D">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33F2E2E1">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7A862C93">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3DBFEDE3">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6DAE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4B31477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502-5</w:t>
            </w:r>
          </w:p>
        </w:tc>
        <w:tc>
          <w:tcPr>
            <w:tcW w:w="4644" w:type="dxa"/>
            <w:tcBorders>
              <w:top w:val="single" w:color="auto" w:sz="4" w:space="0"/>
              <w:left w:val="single" w:color="auto" w:sz="4" w:space="0"/>
              <w:right w:val="single" w:color="auto" w:sz="4" w:space="0"/>
            </w:tcBorders>
            <w:noWrap w:val="0"/>
            <w:vAlign w:val="center"/>
          </w:tcPr>
          <w:p w14:paraId="7C6C86B7">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明洞衬砌</w:t>
            </w:r>
          </w:p>
        </w:tc>
        <w:tc>
          <w:tcPr>
            <w:tcW w:w="837" w:type="dxa"/>
            <w:tcBorders>
              <w:top w:val="single" w:color="auto" w:sz="4" w:space="0"/>
              <w:left w:val="single" w:color="auto" w:sz="4" w:space="0"/>
              <w:right w:val="single" w:color="auto" w:sz="4" w:space="0"/>
            </w:tcBorders>
            <w:noWrap w:val="0"/>
            <w:vAlign w:val="center"/>
          </w:tcPr>
          <w:p w14:paraId="719B80A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tcBorders>
              <w:top w:val="single" w:color="auto" w:sz="4" w:space="0"/>
              <w:left w:val="single" w:color="auto" w:sz="4" w:space="0"/>
              <w:right w:val="single" w:color="auto" w:sz="4" w:space="0"/>
            </w:tcBorders>
            <w:noWrap w:val="0"/>
            <w:vAlign w:val="center"/>
          </w:tcPr>
          <w:p w14:paraId="1B53D88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07C6416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6A7DD81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AAA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787619F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tcBorders>
              <w:top w:val="single" w:color="auto" w:sz="4" w:space="0"/>
              <w:left w:val="single" w:color="auto" w:sz="4" w:space="0"/>
              <w:right w:val="single" w:color="auto" w:sz="4" w:space="0"/>
            </w:tcBorders>
            <w:noWrap w:val="0"/>
            <w:vAlign w:val="center"/>
          </w:tcPr>
          <w:p w14:paraId="05AAD40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w:t>
            </w:r>
          </w:p>
        </w:tc>
        <w:tc>
          <w:tcPr>
            <w:tcW w:w="837" w:type="dxa"/>
            <w:tcBorders>
              <w:top w:val="single" w:color="auto" w:sz="4" w:space="0"/>
              <w:left w:val="single" w:color="auto" w:sz="4" w:space="0"/>
              <w:right w:val="single" w:color="auto" w:sz="4" w:space="0"/>
            </w:tcBorders>
            <w:noWrap w:val="0"/>
            <w:vAlign w:val="center"/>
          </w:tcPr>
          <w:p w14:paraId="4796F5F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tcBorders>
              <w:top w:val="single" w:color="auto" w:sz="4" w:space="0"/>
              <w:left w:val="single" w:color="auto" w:sz="4" w:space="0"/>
              <w:right w:val="single" w:color="auto" w:sz="4" w:space="0"/>
            </w:tcBorders>
            <w:noWrap w:val="0"/>
            <w:vAlign w:val="center"/>
          </w:tcPr>
          <w:p w14:paraId="4F6BB54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24248F9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5A322A9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FBC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64D43A9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tcBorders>
              <w:top w:val="single" w:color="auto" w:sz="4" w:space="0"/>
              <w:left w:val="single" w:color="auto" w:sz="4" w:space="0"/>
              <w:right w:val="single" w:color="auto" w:sz="4" w:space="0"/>
            </w:tcBorders>
            <w:noWrap w:val="0"/>
            <w:vAlign w:val="center"/>
          </w:tcPr>
          <w:p w14:paraId="125B432D">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tcBorders>
              <w:top w:val="single" w:color="auto" w:sz="4" w:space="0"/>
              <w:left w:val="single" w:color="auto" w:sz="4" w:space="0"/>
              <w:right w:val="single" w:color="auto" w:sz="4" w:space="0"/>
            </w:tcBorders>
            <w:noWrap w:val="0"/>
            <w:vAlign w:val="center"/>
          </w:tcPr>
          <w:p w14:paraId="795A3A9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tcBorders>
              <w:top w:val="single" w:color="auto" w:sz="4" w:space="0"/>
              <w:left w:val="single" w:color="auto" w:sz="4" w:space="0"/>
              <w:right w:val="single" w:color="auto" w:sz="4" w:space="0"/>
            </w:tcBorders>
            <w:noWrap w:val="0"/>
            <w:vAlign w:val="center"/>
          </w:tcPr>
          <w:p w14:paraId="61185A6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006C526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4AD40B24">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D8F1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71B3B7D6">
            <w:pPr>
              <w:pageBreakBefore w:val="0"/>
              <w:widowControl/>
              <w:kinsoku/>
              <w:wordWrap w:val="0"/>
              <w:bidi w:val="0"/>
              <w:spacing w:line="34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502-6</w:t>
            </w:r>
          </w:p>
        </w:tc>
        <w:tc>
          <w:tcPr>
            <w:tcW w:w="4644" w:type="dxa"/>
            <w:tcBorders>
              <w:top w:val="single" w:color="auto" w:sz="4" w:space="0"/>
              <w:left w:val="single" w:color="auto" w:sz="4" w:space="0"/>
              <w:right w:val="single" w:color="auto" w:sz="4" w:space="0"/>
            </w:tcBorders>
            <w:noWrap w:val="0"/>
            <w:vAlign w:val="center"/>
          </w:tcPr>
          <w:p w14:paraId="3411AEEA">
            <w:pPr>
              <w:pageBreakBefore w:val="0"/>
              <w:widowControl/>
              <w:kinsoku/>
              <w:wordWrap w:val="0"/>
              <w:bidi w:val="0"/>
              <w:spacing w:line="340" w:lineRule="atLeast"/>
              <w:rPr>
                <w:rFonts w:hint="default" w:ascii="Times New Roman" w:hAnsi="Times New Roman" w:cs="Times New Roman"/>
                <w:bCs/>
                <w:color w:val="auto"/>
                <w:kern w:val="0"/>
                <w:szCs w:val="21"/>
                <w:highlight w:val="none"/>
              </w:rPr>
            </w:pPr>
            <w:r>
              <w:rPr>
                <w:rFonts w:hint="default" w:ascii="Times New Roman" w:hAnsi="Times New Roman" w:cs="Times New Roman"/>
                <w:color w:val="auto"/>
                <w:kern w:val="0"/>
                <w:szCs w:val="21"/>
                <w:highlight w:val="none"/>
              </w:rPr>
              <w:t>遮光棚（板）</w:t>
            </w:r>
          </w:p>
        </w:tc>
        <w:tc>
          <w:tcPr>
            <w:tcW w:w="837" w:type="dxa"/>
            <w:tcBorders>
              <w:top w:val="single" w:color="auto" w:sz="4" w:space="0"/>
              <w:left w:val="single" w:color="auto" w:sz="4" w:space="0"/>
              <w:right w:val="single" w:color="auto" w:sz="4" w:space="0"/>
            </w:tcBorders>
            <w:noWrap w:val="0"/>
            <w:vAlign w:val="center"/>
          </w:tcPr>
          <w:p w14:paraId="260C08A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tcBorders>
              <w:top w:val="single" w:color="auto" w:sz="4" w:space="0"/>
              <w:left w:val="single" w:color="auto" w:sz="4" w:space="0"/>
              <w:right w:val="single" w:color="auto" w:sz="4" w:space="0"/>
            </w:tcBorders>
            <w:noWrap w:val="0"/>
            <w:vAlign w:val="center"/>
          </w:tcPr>
          <w:p w14:paraId="7FEAA97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206EF0F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63B45633">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5ECD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0F499F2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502-7</w:t>
            </w:r>
          </w:p>
        </w:tc>
        <w:tc>
          <w:tcPr>
            <w:tcW w:w="4644" w:type="dxa"/>
            <w:tcBorders>
              <w:top w:val="single" w:color="auto" w:sz="4" w:space="0"/>
              <w:left w:val="single" w:color="auto" w:sz="4" w:space="0"/>
              <w:right w:val="single" w:color="auto" w:sz="4" w:space="0"/>
            </w:tcBorders>
            <w:noWrap w:val="0"/>
            <w:vAlign w:val="center"/>
          </w:tcPr>
          <w:p w14:paraId="389DA85D">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洞顶回填</w:t>
            </w:r>
          </w:p>
        </w:tc>
        <w:tc>
          <w:tcPr>
            <w:tcW w:w="837" w:type="dxa"/>
            <w:tcBorders>
              <w:top w:val="single" w:color="auto" w:sz="4" w:space="0"/>
              <w:left w:val="single" w:color="auto" w:sz="4" w:space="0"/>
              <w:right w:val="single" w:color="auto" w:sz="4" w:space="0"/>
            </w:tcBorders>
            <w:noWrap w:val="0"/>
            <w:vAlign w:val="center"/>
          </w:tcPr>
          <w:p w14:paraId="4E046E2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tcBorders>
              <w:top w:val="single" w:color="auto" w:sz="4" w:space="0"/>
              <w:left w:val="single" w:color="auto" w:sz="4" w:space="0"/>
              <w:right w:val="single" w:color="auto" w:sz="4" w:space="0"/>
            </w:tcBorders>
            <w:noWrap w:val="0"/>
            <w:vAlign w:val="center"/>
          </w:tcPr>
          <w:p w14:paraId="29AFA8D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1AC0764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18AADB0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D4B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22B5D93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tcBorders>
              <w:top w:val="single" w:color="auto" w:sz="4" w:space="0"/>
              <w:left w:val="single" w:color="auto" w:sz="4" w:space="0"/>
              <w:right w:val="single" w:color="auto" w:sz="4" w:space="0"/>
            </w:tcBorders>
            <w:noWrap w:val="0"/>
            <w:vAlign w:val="center"/>
          </w:tcPr>
          <w:p w14:paraId="3B57993C">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防水层</w:t>
            </w:r>
          </w:p>
        </w:tc>
        <w:tc>
          <w:tcPr>
            <w:tcW w:w="837" w:type="dxa"/>
            <w:tcBorders>
              <w:top w:val="single" w:color="auto" w:sz="4" w:space="0"/>
              <w:left w:val="single" w:color="auto" w:sz="4" w:space="0"/>
              <w:right w:val="single" w:color="auto" w:sz="4" w:space="0"/>
            </w:tcBorders>
            <w:noWrap w:val="0"/>
            <w:vAlign w:val="center"/>
          </w:tcPr>
          <w:p w14:paraId="5F44F7B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tcBorders>
              <w:top w:val="single" w:color="auto" w:sz="4" w:space="0"/>
              <w:left w:val="single" w:color="auto" w:sz="4" w:space="0"/>
              <w:right w:val="single" w:color="auto" w:sz="4" w:space="0"/>
            </w:tcBorders>
            <w:noWrap w:val="0"/>
            <w:vAlign w:val="center"/>
          </w:tcPr>
          <w:p w14:paraId="7AEDE34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427D5D3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5B48811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CA8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09C9038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-a-1</w:t>
            </w:r>
          </w:p>
        </w:tc>
        <w:tc>
          <w:tcPr>
            <w:tcW w:w="4644" w:type="dxa"/>
            <w:tcBorders>
              <w:top w:val="single" w:color="auto" w:sz="4" w:space="0"/>
              <w:left w:val="single" w:color="auto" w:sz="4" w:space="0"/>
              <w:right w:val="single" w:color="auto" w:sz="4" w:space="0"/>
            </w:tcBorders>
            <w:noWrap w:val="0"/>
            <w:vAlign w:val="center"/>
          </w:tcPr>
          <w:p w14:paraId="26C4C498">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黏土防水层</w:t>
            </w:r>
          </w:p>
        </w:tc>
        <w:tc>
          <w:tcPr>
            <w:tcW w:w="837" w:type="dxa"/>
            <w:tcBorders>
              <w:top w:val="single" w:color="auto" w:sz="4" w:space="0"/>
              <w:left w:val="single" w:color="auto" w:sz="4" w:space="0"/>
              <w:right w:val="single" w:color="auto" w:sz="4" w:space="0"/>
            </w:tcBorders>
            <w:noWrap w:val="0"/>
            <w:vAlign w:val="center"/>
          </w:tcPr>
          <w:p w14:paraId="23B8CDB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tcBorders>
              <w:top w:val="single" w:color="auto" w:sz="4" w:space="0"/>
              <w:left w:val="single" w:color="auto" w:sz="4" w:space="0"/>
              <w:right w:val="single" w:color="auto" w:sz="4" w:space="0"/>
            </w:tcBorders>
            <w:noWrap w:val="0"/>
            <w:vAlign w:val="center"/>
          </w:tcPr>
          <w:p w14:paraId="54239B4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7D29F7D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28E5405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7085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48D7543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-a-2</w:t>
            </w:r>
          </w:p>
        </w:tc>
        <w:tc>
          <w:tcPr>
            <w:tcW w:w="4644" w:type="dxa"/>
            <w:tcBorders>
              <w:top w:val="single" w:color="auto" w:sz="4" w:space="0"/>
              <w:left w:val="single" w:color="auto" w:sz="4" w:space="0"/>
              <w:right w:val="single" w:color="auto" w:sz="4" w:space="0"/>
            </w:tcBorders>
            <w:noWrap w:val="0"/>
            <w:vAlign w:val="center"/>
          </w:tcPr>
          <w:p w14:paraId="35252AB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土工合成材料</w:t>
            </w:r>
          </w:p>
        </w:tc>
        <w:tc>
          <w:tcPr>
            <w:tcW w:w="837" w:type="dxa"/>
            <w:tcBorders>
              <w:top w:val="single" w:color="auto" w:sz="4" w:space="0"/>
              <w:left w:val="single" w:color="auto" w:sz="4" w:space="0"/>
              <w:right w:val="single" w:color="auto" w:sz="4" w:space="0"/>
            </w:tcBorders>
            <w:noWrap w:val="0"/>
            <w:vAlign w:val="center"/>
          </w:tcPr>
          <w:p w14:paraId="0052E99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tcBorders>
              <w:top w:val="single" w:color="auto" w:sz="4" w:space="0"/>
              <w:left w:val="single" w:color="auto" w:sz="4" w:space="0"/>
              <w:right w:val="single" w:color="auto" w:sz="4" w:space="0"/>
            </w:tcBorders>
            <w:noWrap w:val="0"/>
            <w:vAlign w:val="center"/>
          </w:tcPr>
          <w:p w14:paraId="408F69A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211552B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7D35456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9B9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50EBD76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tcBorders>
              <w:top w:val="single" w:color="auto" w:sz="4" w:space="0"/>
              <w:left w:val="single" w:color="auto" w:sz="4" w:space="0"/>
              <w:right w:val="single" w:color="auto" w:sz="4" w:space="0"/>
            </w:tcBorders>
            <w:noWrap w:val="0"/>
            <w:vAlign w:val="center"/>
          </w:tcPr>
          <w:p w14:paraId="02655F5D">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回填</w:t>
            </w:r>
          </w:p>
        </w:tc>
        <w:tc>
          <w:tcPr>
            <w:tcW w:w="837" w:type="dxa"/>
            <w:tcBorders>
              <w:top w:val="single" w:color="auto" w:sz="4" w:space="0"/>
              <w:left w:val="single" w:color="auto" w:sz="4" w:space="0"/>
              <w:right w:val="single" w:color="auto" w:sz="4" w:space="0"/>
            </w:tcBorders>
            <w:noWrap w:val="0"/>
            <w:vAlign w:val="center"/>
          </w:tcPr>
          <w:p w14:paraId="3A29A2A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tcBorders>
              <w:top w:val="single" w:color="auto" w:sz="4" w:space="0"/>
              <w:left w:val="single" w:color="auto" w:sz="4" w:space="0"/>
              <w:right w:val="single" w:color="auto" w:sz="4" w:space="0"/>
            </w:tcBorders>
            <w:noWrap w:val="0"/>
            <w:vAlign w:val="center"/>
          </w:tcPr>
          <w:p w14:paraId="5E4E73F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17B5629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79A303D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68CA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2D201B0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503</w:t>
            </w:r>
          </w:p>
        </w:tc>
        <w:tc>
          <w:tcPr>
            <w:tcW w:w="4644" w:type="dxa"/>
            <w:tcBorders>
              <w:top w:val="single" w:color="auto" w:sz="4" w:space="0"/>
              <w:left w:val="single" w:color="auto" w:sz="4" w:space="0"/>
              <w:right w:val="single" w:color="auto" w:sz="4" w:space="0"/>
            </w:tcBorders>
            <w:noWrap w:val="0"/>
            <w:vAlign w:val="center"/>
          </w:tcPr>
          <w:p w14:paraId="76D7037E">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洞身开挖</w:t>
            </w:r>
          </w:p>
        </w:tc>
        <w:tc>
          <w:tcPr>
            <w:tcW w:w="837" w:type="dxa"/>
            <w:tcBorders>
              <w:top w:val="single" w:color="auto" w:sz="4" w:space="0"/>
              <w:left w:val="single" w:color="auto" w:sz="4" w:space="0"/>
              <w:right w:val="single" w:color="auto" w:sz="4" w:space="0"/>
            </w:tcBorders>
            <w:noWrap w:val="0"/>
            <w:vAlign w:val="center"/>
          </w:tcPr>
          <w:p w14:paraId="1C10AD39">
            <w:pPr>
              <w:pageBreakBefore w:val="0"/>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38B9C2B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4166D63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6CEE045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18B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7830C4">
            <w:pPr>
              <w:pageBreakBefore w:val="0"/>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503-1</w:t>
            </w:r>
          </w:p>
        </w:tc>
        <w:tc>
          <w:tcPr>
            <w:tcW w:w="4644" w:type="dxa"/>
            <w:noWrap w:val="0"/>
            <w:vAlign w:val="center"/>
          </w:tcPr>
          <w:p w14:paraId="1651D246">
            <w:pPr>
              <w:pageBreakBefore w:val="0"/>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洞身开挖</w:t>
            </w:r>
          </w:p>
        </w:tc>
        <w:tc>
          <w:tcPr>
            <w:tcW w:w="837" w:type="dxa"/>
            <w:noWrap w:val="0"/>
            <w:vAlign w:val="center"/>
          </w:tcPr>
          <w:p w14:paraId="4A149EEC">
            <w:pPr>
              <w:pageBreakBefore w:val="0"/>
              <w:kinsoku/>
              <w:wordWrap w:val="0"/>
              <w:bidi w:val="0"/>
              <w:spacing w:line="340" w:lineRule="atLeast"/>
              <w:rPr>
                <w:rFonts w:hint="default" w:ascii="Times New Roman" w:hAnsi="Times New Roman" w:cs="Times New Roman"/>
                <w:color w:val="auto"/>
                <w:szCs w:val="21"/>
                <w:highlight w:val="none"/>
              </w:rPr>
            </w:pPr>
          </w:p>
        </w:tc>
        <w:tc>
          <w:tcPr>
            <w:tcW w:w="837" w:type="dxa"/>
            <w:noWrap w:val="0"/>
            <w:vAlign w:val="center"/>
          </w:tcPr>
          <w:p w14:paraId="1C7661A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9EB2FA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62851FD">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C57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58B3C2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08B07378">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洞身开挖（不含竖井、斜井）</w:t>
            </w:r>
          </w:p>
        </w:tc>
        <w:tc>
          <w:tcPr>
            <w:tcW w:w="837" w:type="dxa"/>
            <w:noWrap w:val="0"/>
            <w:vAlign w:val="center"/>
          </w:tcPr>
          <w:p w14:paraId="79F8888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4D5FD5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C7AE29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2D947D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D80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01CEE3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25ED6DD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竖井洞身开挖</w:t>
            </w:r>
          </w:p>
        </w:tc>
        <w:tc>
          <w:tcPr>
            <w:tcW w:w="837" w:type="dxa"/>
            <w:noWrap w:val="0"/>
            <w:vAlign w:val="center"/>
          </w:tcPr>
          <w:p w14:paraId="24D373B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E5E7C4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5BD498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CDD1D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3E1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0A0E49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50C6E0D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斜井洞身开挖</w:t>
            </w:r>
          </w:p>
        </w:tc>
        <w:tc>
          <w:tcPr>
            <w:tcW w:w="837" w:type="dxa"/>
            <w:noWrap w:val="0"/>
            <w:vAlign w:val="center"/>
          </w:tcPr>
          <w:p w14:paraId="27755D4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2010677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F33C92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181509D">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420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2DC892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503-2</w:t>
            </w:r>
          </w:p>
        </w:tc>
        <w:tc>
          <w:tcPr>
            <w:tcW w:w="4644" w:type="dxa"/>
            <w:noWrap w:val="0"/>
            <w:vAlign w:val="center"/>
          </w:tcPr>
          <w:p w14:paraId="7F3586DE">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洞身支护</w:t>
            </w:r>
          </w:p>
        </w:tc>
        <w:tc>
          <w:tcPr>
            <w:tcW w:w="837" w:type="dxa"/>
            <w:noWrap w:val="0"/>
            <w:vAlign w:val="center"/>
          </w:tcPr>
          <w:p w14:paraId="2A46859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4A13FAE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55FF1E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309FC9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727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4FB9A0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7A488979">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管棚支护</w:t>
            </w:r>
          </w:p>
        </w:tc>
        <w:tc>
          <w:tcPr>
            <w:tcW w:w="837" w:type="dxa"/>
            <w:noWrap w:val="0"/>
            <w:vAlign w:val="center"/>
          </w:tcPr>
          <w:p w14:paraId="52E4895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215AFC6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7D6402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CEFFA3">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026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375D43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-a-1</w:t>
            </w:r>
          </w:p>
        </w:tc>
        <w:tc>
          <w:tcPr>
            <w:tcW w:w="4644" w:type="dxa"/>
            <w:noWrap w:val="0"/>
            <w:vAlign w:val="center"/>
          </w:tcPr>
          <w:p w14:paraId="08BE30DC">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基础钢管桩</w:t>
            </w:r>
          </w:p>
        </w:tc>
        <w:tc>
          <w:tcPr>
            <w:tcW w:w="837" w:type="dxa"/>
            <w:noWrap w:val="0"/>
            <w:vAlign w:val="center"/>
          </w:tcPr>
          <w:p w14:paraId="2B3B58C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F46CA6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859000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7863BB1">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778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6DC8D0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-a-2</w:t>
            </w:r>
          </w:p>
        </w:tc>
        <w:tc>
          <w:tcPr>
            <w:tcW w:w="4644" w:type="dxa"/>
            <w:noWrap w:val="0"/>
            <w:vAlign w:val="center"/>
          </w:tcPr>
          <w:p w14:paraId="66AE0A0D">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套拱混凝土</w:t>
            </w:r>
          </w:p>
        </w:tc>
        <w:tc>
          <w:tcPr>
            <w:tcW w:w="837" w:type="dxa"/>
            <w:noWrap w:val="0"/>
            <w:vAlign w:val="center"/>
          </w:tcPr>
          <w:p w14:paraId="6B8FC6C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5996A4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BB1659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7223B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7D5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09EAC6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-a-3</w:t>
            </w:r>
          </w:p>
        </w:tc>
        <w:tc>
          <w:tcPr>
            <w:tcW w:w="4644" w:type="dxa"/>
            <w:noWrap w:val="0"/>
            <w:vAlign w:val="center"/>
          </w:tcPr>
          <w:p w14:paraId="0CFF41E7">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孔口管</w:t>
            </w:r>
          </w:p>
        </w:tc>
        <w:tc>
          <w:tcPr>
            <w:tcW w:w="837" w:type="dxa"/>
            <w:noWrap w:val="0"/>
            <w:vAlign w:val="center"/>
          </w:tcPr>
          <w:p w14:paraId="7B926AC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D41A72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87A1B0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58802E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03F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EB581C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-a-4</w:t>
            </w:r>
          </w:p>
        </w:tc>
        <w:tc>
          <w:tcPr>
            <w:tcW w:w="4644" w:type="dxa"/>
            <w:noWrap w:val="0"/>
            <w:vAlign w:val="center"/>
          </w:tcPr>
          <w:p w14:paraId="725C567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套拱钢架</w:t>
            </w:r>
          </w:p>
        </w:tc>
        <w:tc>
          <w:tcPr>
            <w:tcW w:w="837" w:type="dxa"/>
            <w:noWrap w:val="0"/>
            <w:vAlign w:val="center"/>
          </w:tcPr>
          <w:p w14:paraId="743A503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2A7CA02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A40DB9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6F7D7D">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7A9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17A755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-a-5</w:t>
            </w:r>
          </w:p>
        </w:tc>
        <w:tc>
          <w:tcPr>
            <w:tcW w:w="4644" w:type="dxa"/>
            <w:noWrap w:val="0"/>
            <w:vAlign w:val="center"/>
          </w:tcPr>
          <w:p w14:paraId="4CC6A26E">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noWrap w:val="0"/>
            <w:vAlign w:val="center"/>
          </w:tcPr>
          <w:p w14:paraId="13F955A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72E9C22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04A868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DBC59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90B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945753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-a-6</w:t>
            </w:r>
          </w:p>
        </w:tc>
        <w:tc>
          <w:tcPr>
            <w:tcW w:w="4644" w:type="dxa"/>
            <w:noWrap w:val="0"/>
            <w:vAlign w:val="center"/>
          </w:tcPr>
          <w:p w14:paraId="59316F4C">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管棚</w:t>
            </w:r>
          </w:p>
        </w:tc>
        <w:tc>
          <w:tcPr>
            <w:tcW w:w="837" w:type="dxa"/>
            <w:noWrap w:val="0"/>
            <w:vAlign w:val="center"/>
          </w:tcPr>
          <w:p w14:paraId="5027EEE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CBB324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C47021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3FAC5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801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38CCAA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7DB1F413">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注浆小导管</w:t>
            </w:r>
          </w:p>
        </w:tc>
        <w:tc>
          <w:tcPr>
            <w:tcW w:w="837" w:type="dxa"/>
            <w:noWrap w:val="0"/>
            <w:vAlign w:val="center"/>
          </w:tcPr>
          <w:p w14:paraId="6ECA0DD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53C893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0597BB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A61B23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4972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D42189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09163E5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锚杆支护</w:t>
            </w:r>
          </w:p>
        </w:tc>
        <w:tc>
          <w:tcPr>
            <w:tcW w:w="837" w:type="dxa"/>
            <w:noWrap w:val="0"/>
            <w:vAlign w:val="center"/>
          </w:tcPr>
          <w:p w14:paraId="52167CE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6184870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6D09AA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47F07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F19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10696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-c-1</w:t>
            </w:r>
          </w:p>
        </w:tc>
        <w:tc>
          <w:tcPr>
            <w:tcW w:w="4644" w:type="dxa"/>
            <w:noWrap w:val="0"/>
            <w:vAlign w:val="center"/>
          </w:tcPr>
          <w:p w14:paraId="22545561">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砂浆锚杆</w:t>
            </w:r>
          </w:p>
        </w:tc>
        <w:tc>
          <w:tcPr>
            <w:tcW w:w="837" w:type="dxa"/>
            <w:noWrap w:val="0"/>
            <w:vAlign w:val="center"/>
          </w:tcPr>
          <w:p w14:paraId="6434170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C8885E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7410F4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1F0E4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5EB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A168B3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-c-2</w:t>
            </w:r>
          </w:p>
        </w:tc>
        <w:tc>
          <w:tcPr>
            <w:tcW w:w="4644" w:type="dxa"/>
            <w:noWrap w:val="0"/>
            <w:vAlign w:val="center"/>
          </w:tcPr>
          <w:p w14:paraId="57B2201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药包锚杆</w:t>
            </w:r>
          </w:p>
        </w:tc>
        <w:tc>
          <w:tcPr>
            <w:tcW w:w="837" w:type="dxa"/>
            <w:noWrap w:val="0"/>
            <w:vAlign w:val="center"/>
          </w:tcPr>
          <w:p w14:paraId="4F7C69E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5892AA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3419E5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502995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BA7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C4562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-c-3</w:t>
            </w:r>
          </w:p>
        </w:tc>
        <w:tc>
          <w:tcPr>
            <w:tcW w:w="4644" w:type="dxa"/>
            <w:noWrap w:val="0"/>
            <w:vAlign w:val="center"/>
          </w:tcPr>
          <w:p w14:paraId="7749B15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中空注浆锚杆</w:t>
            </w:r>
          </w:p>
        </w:tc>
        <w:tc>
          <w:tcPr>
            <w:tcW w:w="837" w:type="dxa"/>
            <w:noWrap w:val="0"/>
            <w:vAlign w:val="center"/>
          </w:tcPr>
          <w:p w14:paraId="13E2C19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3CF2B00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1F385D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71BB8D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2F2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04AFB5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-c-4</w:t>
            </w:r>
          </w:p>
        </w:tc>
        <w:tc>
          <w:tcPr>
            <w:tcW w:w="4644" w:type="dxa"/>
            <w:noWrap w:val="0"/>
            <w:vAlign w:val="center"/>
          </w:tcPr>
          <w:p w14:paraId="33DF465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自进式锚杆</w:t>
            </w:r>
          </w:p>
        </w:tc>
        <w:tc>
          <w:tcPr>
            <w:tcW w:w="837" w:type="dxa"/>
            <w:noWrap w:val="0"/>
            <w:vAlign w:val="center"/>
          </w:tcPr>
          <w:p w14:paraId="0942230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9A0011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BE5977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E4E7B9">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2D9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8613FC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-c-5</w:t>
            </w:r>
          </w:p>
        </w:tc>
        <w:tc>
          <w:tcPr>
            <w:tcW w:w="4644" w:type="dxa"/>
            <w:noWrap w:val="0"/>
            <w:vAlign w:val="center"/>
          </w:tcPr>
          <w:p w14:paraId="37A881A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预应力锚杆</w:t>
            </w:r>
          </w:p>
        </w:tc>
        <w:tc>
          <w:tcPr>
            <w:tcW w:w="837" w:type="dxa"/>
            <w:noWrap w:val="0"/>
            <w:vAlign w:val="center"/>
          </w:tcPr>
          <w:p w14:paraId="0929157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DEB5EA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5AB53C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32EBC9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AC4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AEC99D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644" w:type="dxa"/>
            <w:noWrap w:val="0"/>
            <w:vAlign w:val="center"/>
          </w:tcPr>
          <w:p w14:paraId="5B39B8A9">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喷射混凝土支护</w:t>
            </w:r>
          </w:p>
        </w:tc>
        <w:tc>
          <w:tcPr>
            <w:tcW w:w="837" w:type="dxa"/>
            <w:noWrap w:val="0"/>
            <w:vAlign w:val="center"/>
          </w:tcPr>
          <w:p w14:paraId="0CDBF7D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6E67193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DE47E2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D5F93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8A4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F15766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-d-1</w:t>
            </w:r>
          </w:p>
        </w:tc>
        <w:tc>
          <w:tcPr>
            <w:tcW w:w="4644" w:type="dxa"/>
            <w:noWrap w:val="0"/>
            <w:vAlign w:val="center"/>
          </w:tcPr>
          <w:p w14:paraId="56581742">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钢筋网</w:t>
            </w:r>
          </w:p>
        </w:tc>
        <w:tc>
          <w:tcPr>
            <w:tcW w:w="837" w:type="dxa"/>
            <w:noWrap w:val="0"/>
            <w:vAlign w:val="center"/>
          </w:tcPr>
          <w:p w14:paraId="366B04B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4D62B6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C7062A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EB645C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210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146ADC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-d-2</w:t>
            </w:r>
          </w:p>
        </w:tc>
        <w:tc>
          <w:tcPr>
            <w:tcW w:w="4644" w:type="dxa"/>
            <w:noWrap w:val="0"/>
            <w:vAlign w:val="center"/>
          </w:tcPr>
          <w:p w14:paraId="29104873">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喷射混凝土</w:t>
            </w:r>
          </w:p>
        </w:tc>
        <w:tc>
          <w:tcPr>
            <w:tcW w:w="837" w:type="dxa"/>
            <w:noWrap w:val="0"/>
            <w:vAlign w:val="center"/>
          </w:tcPr>
          <w:p w14:paraId="6A3C0FE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7FC63D4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79E611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CA475E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DB2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AD327D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644" w:type="dxa"/>
            <w:noWrap w:val="0"/>
            <w:vAlign w:val="center"/>
          </w:tcPr>
          <w:p w14:paraId="5D77F321">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钢支架支护</w:t>
            </w:r>
          </w:p>
        </w:tc>
        <w:tc>
          <w:tcPr>
            <w:tcW w:w="837" w:type="dxa"/>
            <w:noWrap w:val="0"/>
            <w:vAlign w:val="center"/>
          </w:tcPr>
          <w:p w14:paraId="15C51BE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A3AA7F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EC8082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FA1AB49">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085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629CEA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-e-1</w:t>
            </w:r>
          </w:p>
        </w:tc>
        <w:tc>
          <w:tcPr>
            <w:tcW w:w="4644" w:type="dxa"/>
            <w:noWrap w:val="0"/>
            <w:vAlign w:val="center"/>
          </w:tcPr>
          <w:p w14:paraId="2AEEFDE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型钢支架</w:t>
            </w:r>
          </w:p>
        </w:tc>
        <w:tc>
          <w:tcPr>
            <w:tcW w:w="837" w:type="dxa"/>
            <w:noWrap w:val="0"/>
            <w:vAlign w:val="center"/>
          </w:tcPr>
          <w:p w14:paraId="5E916FA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51E6623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129F2B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5623A9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2ED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B7C6D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-e-2</w:t>
            </w:r>
          </w:p>
        </w:tc>
        <w:tc>
          <w:tcPr>
            <w:tcW w:w="4644" w:type="dxa"/>
            <w:noWrap w:val="0"/>
            <w:vAlign w:val="center"/>
          </w:tcPr>
          <w:p w14:paraId="751DD183">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钢筋格栅</w:t>
            </w:r>
          </w:p>
        </w:tc>
        <w:tc>
          <w:tcPr>
            <w:tcW w:w="837" w:type="dxa"/>
            <w:noWrap w:val="0"/>
            <w:vAlign w:val="center"/>
          </w:tcPr>
          <w:p w14:paraId="2275665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65D7594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F4EE8D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A3D40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A73E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0E2D0E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504</w:t>
            </w:r>
          </w:p>
        </w:tc>
        <w:tc>
          <w:tcPr>
            <w:tcW w:w="4644" w:type="dxa"/>
            <w:noWrap w:val="0"/>
            <w:vAlign w:val="center"/>
          </w:tcPr>
          <w:p w14:paraId="430E6ADD">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洞身衬砌</w:t>
            </w:r>
          </w:p>
        </w:tc>
        <w:tc>
          <w:tcPr>
            <w:tcW w:w="837" w:type="dxa"/>
            <w:noWrap w:val="0"/>
            <w:vAlign w:val="center"/>
          </w:tcPr>
          <w:p w14:paraId="2684CF1C">
            <w:pPr>
              <w:pageBreakBefore w:val="0"/>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5239A0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57A954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C03CD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615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7DFEC0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504-1</w:t>
            </w:r>
          </w:p>
        </w:tc>
        <w:tc>
          <w:tcPr>
            <w:tcW w:w="4644" w:type="dxa"/>
            <w:noWrap w:val="0"/>
            <w:vAlign w:val="center"/>
          </w:tcPr>
          <w:p w14:paraId="0A10B7E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洞身衬砌</w:t>
            </w:r>
          </w:p>
        </w:tc>
        <w:tc>
          <w:tcPr>
            <w:tcW w:w="837" w:type="dxa"/>
            <w:noWrap w:val="0"/>
            <w:vAlign w:val="center"/>
          </w:tcPr>
          <w:p w14:paraId="1667840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0ED793E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D4906E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A40385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E03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93BF0D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73788DF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noWrap w:val="0"/>
            <w:vAlign w:val="center"/>
          </w:tcPr>
          <w:p w14:paraId="2DE0BE1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212195E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2069A4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C8AE4FA">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C70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6F4B4F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789057DB">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w:t>
            </w:r>
          </w:p>
        </w:tc>
        <w:tc>
          <w:tcPr>
            <w:tcW w:w="837" w:type="dxa"/>
            <w:noWrap w:val="0"/>
            <w:vAlign w:val="center"/>
          </w:tcPr>
          <w:p w14:paraId="1BA631D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132B90A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A4CF05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0ADF6C9">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A59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783EFC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504-2</w:t>
            </w:r>
          </w:p>
        </w:tc>
        <w:tc>
          <w:tcPr>
            <w:tcW w:w="4644" w:type="dxa"/>
            <w:noWrap w:val="0"/>
            <w:vAlign w:val="center"/>
          </w:tcPr>
          <w:p w14:paraId="280A5F1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仰拱、铺底混凝土</w:t>
            </w:r>
          </w:p>
        </w:tc>
        <w:tc>
          <w:tcPr>
            <w:tcW w:w="837" w:type="dxa"/>
            <w:noWrap w:val="0"/>
            <w:vAlign w:val="center"/>
          </w:tcPr>
          <w:p w14:paraId="113D77BC">
            <w:pPr>
              <w:pageBreakBefore w:val="0"/>
              <w:widowControl/>
              <w:kinsoku/>
              <w:wordWrap w:val="0"/>
              <w:bidi w:val="0"/>
              <w:spacing w:line="340" w:lineRule="atLeast"/>
              <w:rPr>
                <w:rFonts w:hint="default" w:ascii="Times New Roman" w:hAnsi="Times New Roman" w:cs="Times New Roman"/>
                <w:color w:val="auto"/>
                <w:kern w:val="0"/>
                <w:szCs w:val="21"/>
                <w:highlight w:val="none"/>
              </w:rPr>
            </w:pPr>
          </w:p>
        </w:tc>
        <w:tc>
          <w:tcPr>
            <w:tcW w:w="837" w:type="dxa"/>
            <w:noWrap w:val="0"/>
            <w:vAlign w:val="center"/>
          </w:tcPr>
          <w:p w14:paraId="123F946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3D820C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2CDFA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6CD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5D5382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30ADA5A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现浇混凝土仰拱</w:t>
            </w:r>
          </w:p>
        </w:tc>
        <w:tc>
          <w:tcPr>
            <w:tcW w:w="837" w:type="dxa"/>
            <w:noWrap w:val="0"/>
            <w:vAlign w:val="center"/>
          </w:tcPr>
          <w:p w14:paraId="32C221E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0EFF2F0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87A82A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3EB72ED">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9FE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284E5D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426DDBE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现浇混凝土仰拱回填</w:t>
            </w:r>
          </w:p>
        </w:tc>
        <w:tc>
          <w:tcPr>
            <w:tcW w:w="837" w:type="dxa"/>
            <w:noWrap w:val="0"/>
            <w:vAlign w:val="center"/>
          </w:tcPr>
          <w:p w14:paraId="4C40F37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631C967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392E21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C7BEBB1">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EDC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3E5879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504-3</w:t>
            </w:r>
          </w:p>
        </w:tc>
        <w:tc>
          <w:tcPr>
            <w:tcW w:w="4644" w:type="dxa"/>
            <w:noWrap w:val="0"/>
            <w:vAlign w:val="center"/>
          </w:tcPr>
          <w:p w14:paraId="5D0E08D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边沟、电缆沟混凝土</w:t>
            </w:r>
          </w:p>
        </w:tc>
        <w:tc>
          <w:tcPr>
            <w:tcW w:w="837" w:type="dxa"/>
            <w:noWrap w:val="0"/>
            <w:vAlign w:val="center"/>
          </w:tcPr>
          <w:p w14:paraId="7D0D396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79BD6FB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F6211D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771214">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6AFD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80B332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3E0CB9F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现浇混凝土沟槽</w:t>
            </w:r>
          </w:p>
        </w:tc>
        <w:tc>
          <w:tcPr>
            <w:tcW w:w="837" w:type="dxa"/>
            <w:noWrap w:val="0"/>
            <w:vAlign w:val="center"/>
          </w:tcPr>
          <w:p w14:paraId="2C33A3E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50B9533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F11577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9664C0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3F53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100006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147F028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预制安装混凝土沟槽</w:t>
            </w:r>
          </w:p>
        </w:tc>
        <w:tc>
          <w:tcPr>
            <w:tcW w:w="837" w:type="dxa"/>
            <w:noWrap w:val="0"/>
            <w:vAlign w:val="center"/>
          </w:tcPr>
          <w:p w14:paraId="2A6E410C">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5EF7192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722D49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24ACD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0C4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E083A1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4BEFA5E2">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预制安装混凝土沟槽盖板</w:t>
            </w:r>
          </w:p>
        </w:tc>
        <w:tc>
          <w:tcPr>
            <w:tcW w:w="837" w:type="dxa"/>
            <w:noWrap w:val="0"/>
            <w:vAlign w:val="center"/>
          </w:tcPr>
          <w:p w14:paraId="6C288BE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4DB8DAA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AA7316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BAD57A">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D60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2C0EE7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644" w:type="dxa"/>
            <w:noWrap w:val="0"/>
            <w:vAlign w:val="center"/>
          </w:tcPr>
          <w:p w14:paraId="51ACBCC9">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noWrap w:val="0"/>
            <w:vAlign w:val="center"/>
          </w:tcPr>
          <w:p w14:paraId="584BF40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1538BFC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EA8F46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4EF454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D9E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DB1EECC">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644" w:type="dxa"/>
            <w:noWrap w:val="0"/>
            <w:vAlign w:val="center"/>
          </w:tcPr>
          <w:p w14:paraId="7D1F8A9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铸铁盖板</w:t>
            </w:r>
          </w:p>
        </w:tc>
        <w:tc>
          <w:tcPr>
            <w:tcW w:w="837" w:type="dxa"/>
            <w:noWrap w:val="0"/>
            <w:vAlign w:val="center"/>
          </w:tcPr>
          <w:p w14:paraId="4E6A077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4DD05EE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4E87B0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79E15B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31A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CF1A8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504-4</w:t>
            </w:r>
          </w:p>
        </w:tc>
        <w:tc>
          <w:tcPr>
            <w:tcW w:w="4644" w:type="dxa"/>
            <w:noWrap w:val="0"/>
            <w:vAlign w:val="center"/>
          </w:tcPr>
          <w:p w14:paraId="631617B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洞室门</w:t>
            </w:r>
          </w:p>
        </w:tc>
        <w:tc>
          <w:tcPr>
            <w:tcW w:w="837" w:type="dxa"/>
            <w:noWrap w:val="0"/>
            <w:vAlign w:val="center"/>
          </w:tcPr>
          <w:p w14:paraId="5BA54C1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554E7AA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EC1E9E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9BD2A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F82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22D44D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504-5</w:t>
            </w:r>
          </w:p>
        </w:tc>
        <w:tc>
          <w:tcPr>
            <w:tcW w:w="4644" w:type="dxa"/>
            <w:noWrap w:val="0"/>
            <w:vAlign w:val="center"/>
          </w:tcPr>
          <w:p w14:paraId="5AEDB88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洞内路面</w:t>
            </w:r>
          </w:p>
        </w:tc>
        <w:tc>
          <w:tcPr>
            <w:tcW w:w="837" w:type="dxa"/>
            <w:noWrap w:val="0"/>
            <w:vAlign w:val="center"/>
          </w:tcPr>
          <w:p w14:paraId="3CC96C4C">
            <w:pPr>
              <w:pageBreakBefore w:val="0"/>
              <w:widowControl/>
              <w:kinsoku/>
              <w:wordWrap w:val="0"/>
              <w:bidi w:val="0"/>
              <w:spacing w:line="340" w:lineRule="atLeast"/>
              <w:rPr>
                <w:rFonts w:hint="default" w:ascii="Times New Roman" w:hAnsi="Times New Roman" w:cs="Times New Roman"/>
                <w:color w:val="auto"/>
                <w:kern w:val="0"/>
                <w:szCs w:val="21"/>
                <w:highlight w:val="none"/>
              </w:rPr>
            </w:pPr>
          </w:p>
        </w:tc>
        <w:tc>
          <w:tcPr>
            <w:tcW w:w="837" w:type="dxa"/>
            <w:noWrap w:val="0"/>
            <w:vAlign w:val="center"/>
          </w:tcPr>
          <w:p w14:paraId="60BA4E5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1A8FBF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68856F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1C9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61167E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4C44B4E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837" w:type="dxa"/>
            <w:noWrap w:val="0"/>
            <w:vAlign w:val="center"/>
          </w:tcPr>
          <w:p w14:paraId="1CEB27B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5EE434D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2F4E49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C6416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FEA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074F0D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6076A8A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w:t>
            </w:r>
          </w:p>
        </w:tc>
        <w:tc>
          <w:tcPr>
            <w:tcW w:w="837" w:type="dxa"/>
            <w:noWrap w:val="0"/>
            <w:vAlign w:val="center"/>
          </w:tcPr>
          <w:p w14:paraId="519C079C">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4FDA251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E6D013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790C8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B8B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B98ED9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505</w:t>
            </w:r>
          </w:p>
        </w:tc>
        <w:tc>
          <w:tcPr>
            <w:tcW w:w="4644" w:type="dxa"/>
            <w:noWrap w:val="0"/>
            <w:vAlign w:val="center"/>
          </w:tcPr>
          <w:p w14:paraId="3A123038">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防水与排水</w:t>
            </w:r>
          </w:p>
        </w:tc>
        <w:tc>
          <w:tcPr>
            <w:tcW w:w="837" w:type="dxa"/>
            <w:noWrap w:val="0"/>
            <w:vAlign w:val="center"/>
          </w:tcPr>
          <w:p w14:paraId="3DF6F1AA">
            <w:pPr>
              <w:pageBreakBefore w:val="0"/>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6A2D19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3D84D1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9BDA4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EDD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32D49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505-1</w:t>
            </w:r>
          </w:p>
        </w:tc>
        <w:tc>
          <w:tcPr>
            <w:tcW w:w="4644" w:type="dxa"/>
            <w:noWrap w:val="0"/>
            <w:vAlign w:val="center"/>
          </w:tcPr>
          <w:p w14:paraId="195A858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防水与排水</w:t>
            </w:r>
          </w:p>
        </w:tc>
        <w:tc>
          <w:tcPr>
            <w:tcW w:w="837" w:type="dxa"/>
            <w:noWrap w:val="0"/>
            <w:vAlign w:val="center"/>
          </w:tcPr>
          <w:p w14:paraId="49D02A0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781DBF7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4F0E8C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711B4D4">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D49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E6E934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487DB022">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金属材料</w:t>
            </w:r>
          </w:p>
        </w:tc>
        <w:tc>
          <w:tcPr>
            <w:tcW w:w="837" w:type="dxa"/>
            <w:noWrap w:val="0"/>
            <w:vAlign w:val="center"/>
          </w:tcPr>
          <w:p w14:paraId="71AFCFB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77F9B9B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5DC154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1D8187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E32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069817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66167593">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排水管</w:t>
            </w:r>
          </w:p>
        </w:tc>
        <w:tc>
          <w:tcPr>
            <w:tcW w:w="837" w:type="dxa"/>
            <w:noWrap w:val="0"/>
            <w:vAlign w:val="center"/>
          </w:tcPr>
          <w:p w14:paraId="3BAA5DEC">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4D971DA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E07ED4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DC2CF7E">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5D0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C93CC8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-b-1</w:t>
            </w:r>
          </w:p>
        </w:tc>
        <w:tc>
          <w:tcPr>
            <w:tcW w:w="4644" w:type="dxa"/>
            <w:noWrap w:val="0"/>
            <w:vAlign w:val="center"/>
          </w:tcPr>
          <w:p w14:paraId="0ABF52A2">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钢筋混凝土排水管</w:t>
            </w:r>
          </w:p>
        </w:tc>
        <w:tc>
          <w:tcPr>
            <w:tcW w:w="837" w:type="dxa"/>
            <w:noWrap w:val="0"/>
            <w:vAlign w:val="center"/>
          </w:tcPr>
          <w:p w14:paraId="4CC4A70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BF4F2D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BEBB27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BAA45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E7A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4ADC7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-b-2</w:t>
            </w:r>
          </w:p>
        </w:tc>
        <w:tc>
          <w:tcPr>
            <w:tcW w:w="4644" w:type="dxa"/>
            <w:noWrap w:val="0"/>
            <w:vAlign w:val="center"/>
          </w:tcPr>
          <w:p w14:paraId="0E33F55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PVC排水管</w:t>
            </w:r>
          </w:p>
        </w:tc>
        <w:tc>
          <w:tcPr>
            <w:tcW w:w="837" w:type="dxa"/>
            <w:noWrap w:val="0"/>
            <w:vAlign w:val="center"/>
          </w:tcPr>
          <w:p w14:paraId="4F32723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A92E45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CE4E8C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0E520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FCF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E1AA5E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-b-3</w:t>
            </w:r>
          </w:p>
        </w:tc>
        <w:tc>
          <w:tcPr>
            <w:tcW w:w="4644" w:type="dxa"/>
            <w:noWrap w:val="0"/>
            <w:vAlign w:val="center"/>
          </w:tcPr>
          <w:p w14:paraId="6661B99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U形排水管</w:t>
            </w:r>
          </w:p>
        </w:tc>
        <w:tc>
          <w:tcPr>
            <w:tcW w:w="837" w:type="dxa"/>
            <w:noWrap w:val="0"/>
            <w:vAlign w:val="center"/>
          </w:tcPr>
          <w:p w14:paraId="70B7FCE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F86326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289EF3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D9BFE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1A9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32147A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-b-4</w:t>
            </w:r>
          </w:p>
        </w:tc>
        <w:tc>
          <w:tcPr>
            <w:tcW w:w="4644" w:type="dxa"/>
            <w:noWrap w:val="0"/>
            <w:vAlign w:val="center"/>
          </w:tcPr>
          <w:p w14:paraId="2741884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Ω形排水管</w:t>
            </w:r>
          </w:p>
        </w:tc>
        <w:tc>
          <w:tcPr>
            <w:tcW w:w="837" w:type="dxa"/>
            <w:noWrap w:val="0"/>
            <w:vAlign w:val="center"/>
          </w:tcPr>
          <w:p w14:paraId="5F529A7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16E18A8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5DC51F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0207D1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257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C862C1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15E5C4C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防水板</w:t>
            </w:r>
          </w:p>
        </w:tc>
        <w:tc>
          <w:tcPr>
            <w:tcW w:w="837" w:type="dxa"/>
            <w:noWrap w:val="0"/>
            <w:vAlign w:val="center"/>
          </w:tcPr>
          <w:p w14:paraId="3AE6D6B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53389FF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672328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2FA3EE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A91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91A5EA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644" w:type="dxa"/>
            <w:noWrap w:val="0"/>
            <w:vAlign w:val="center"/>
          </w:tcPr>
          <w:p w14:paraId="0A713679">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止水带</w:t>
            </w:r>
          </w:p>
        </w:tc>
        <w:tc>
          <w:tcPr>
            <w:tcW w:w="837" w:type="dxa"/>
            <w:noWrap w:val="0"/>
            <w:vAlign w:val="center"/>
          </w:tcPr>
          <w:p w14:paraId="7F1BEBC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A2E215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2D1FA4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DCC1EE4">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3DF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B2F1FC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644" w:type="dxa"/>
            <w:noWrap w:val="0"/>
            <w:vAlign w:val="center"/>
          </w:tcPr>
          <w:p w14:paraId="25AA1C42">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止水条</w:t>
            </w:r>
          </w:p>
        </w:tc>
        <w:tc>
          <w:tcPr>
            <w:tcW w:w="837" w:type="dxa"/>
            <w:noWrap w:val="0"/>
            <w:vAlign w:val="center"/>
          </w:tcPr>
          <w:p w14:paraId="5FC156F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07C703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B385A6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E706AE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6B4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B7C68C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-f</w:t>
            </w:r>
          </w:p>
        </w:tc>
        <w:tc>
          <w:tcPr>
            <w:tcW w:w="4644" w:type="dxa"/>
            <w:noWrap w:val="0"/>
            <w:vAlign w:val="center"/>
          </w:tcPr>
          <w:p w14:paraId="67F5AE0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涂料防水层</w:t>
            </w:r>
          </w:p>
        </w:tc>
        <w:tc>
          <w:tcPr>
            <w:tcW w:w="837" w:type="dxa"/>
            <w:noWrap w:val="0"/>
            <w:vAlign w:val="center"/>
          </w:tcPr>
          <w:p w14:paraId="3E3E70B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0C12F9B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15D58C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1E4343">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C24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0089F9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w:t>
            </w:r>
          </w:p>
        </w:tc>
        <w:tc>
          <w:tcPr>
            <w:tcW w:w="4644" w:type="dxa"/>
            <w:noWrap w:val="0"/>
            <w:vAlign w:val="center"/>
          </w:tcPr>
          <w:p w14:paraId="4726C817">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注浆</w:t>
            </w:r>
          </w:p>
        </w:tc>
        <w:tc>
          <w:tcPr>
            <w:tcW w:w="837" w:type="dxa"/>
            <w:noWrap w:val="0"/>
            <w:vAlign w:val="center"/>
          </w:tcPr>
          <w:p w14:paraId="305AD43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AF881C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865606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179501">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DFB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B3EE42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-g-1</w:t>
            </w:r>
          </w:p>
        </w:tc>
        <w:tc>
          <w:tcPr>
            <w:tcW w:w="4644" w:type="dxa"/>
            <w:noWrap w:val="0"/>
            <w:vAlign w:val="center"/>
          </w:tcPr>
          <w:p w14:paraId="45E82248">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水泥</w:t>
            </w:r>
          </w:p>
        </w:tc>
        <w:tc>
          <w:tcPr>
            <w:tcW w:w="837" w:type="dxa"/>
            <w:noWrap w:val="0"/>
            <w:vAlign w:val="center"/>
          </w:tcPr>
          <w:p w14:paraId="13ABCDF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t</w:t>
            </w:r>
          </w:p>
        </w:tc>
        <w:tc>
          <w:tcPr>
            <w:tcW w:w="837" w:type="dxa"/>
            <w:noWrap w:val="0"/>
            <w:vAlign w:val="center"/>
          </w:tcPr>
          <w:p w14:paraId="06C3C05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A2F55B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785241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B52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85FACC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-g-2</w:t>
            </w:r>
          </w:p>
        </w:tc>
        <w:tc>
          <w:tcPr>
            <w:tcW w:w="4644" w:type="dxa"/>
            <w:noWrap w:val="0"/>
            <w:vAlign w:val="center"/>
          </w:tcPr>
          <w:p w14:paraId="77D07F9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水玻璃原液</w:t>
            </w:r>
          </w:p>
        </w:tc>
        <w:tc>
          <w:tcPr>
            <w:tcW w:w="837" w:type="dxa"/>
            <w:noWrap w:val="0"/>
            <w:vAlign w:val="center"/>
          </w:tcPr>
          <w:p w14:paraId="326CEDC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m³</w:t>
            </w:r>
          </w:p>
        </w:tc>
        <w:tc>
          <w:tcPr>
            <w:tcW w:w="837" w:type="dxa"/>
            <w:noWrap w:val="0"/>
            <w:vAlign w:val="center"/>
          </w:tcPr>
          <w:p w14:paraId="563AB37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EE185A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B39AD61">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ECA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AF8CE6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505-2</w:t>
            </w:r>
          </w:p>
        </w:tc>
        <w:tc>
          <w:tcPr>
            <w:tcW w:w="4644" w:type="dxa"/>
            <w:noWrap w:val="0"/>
            <w:vAlign w:val="center"/>
          </w:tcPr>
          <w:p w14:paraId="1F81901B">
            <w:pPr>
              <w:pageBreakBefore w:val="0"/>
              <w:kinsoku/>
              <w:wordWrap w:val="0"/>
              <w:bidi w:val="0"/>
              <w:spacing w:line="3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保温</w:t>
            </w:r>
          </w:p>
        </w:tc>
        <w:tc>
          <w:tcPr>
            <w:tcW w:w="837" w:type="dxa"/>
            <w:noWrap w:val="0"/>
            <w:vAlign w:val="center"/>
          </w:tcPr>
          <w:p w14:paraId="065340FB">
            <w:pPr>
              <w:pageBreakBefore w:val="0"/>
              <w:widowControl/>
              <w:kinsoku/>
              <w:wordWrap w:val="0"/>
              <w:bidi w:val="0"/>
              <w:spacing w:line="34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57E7841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4A42E1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DA9AA3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297D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0F977D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613E6ADD">
            <w:pPr>
              <w:pageBreakBefore w:val="0"/>
              <w:kinsoku/>
              <w:wordWrap w:val="0"/>
              <w:bidi w:val="0"/>
              <w:spacing w:line="3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保温层</w:t>
            </w:r>
          </w:p>
        </w:tc>
        <w:tc>
          <w:tcPr>
            <w:tcW w:w="837" w:type="dxa"/>
            <w:noWrap w:val="0"/>
            <w:vAlign w:val="center"/>
          </w:tcPr>
          <w:p w14:paraId="746F1F4B">
            <w:pPr>
              <w:pageBreakBefore w:val="0"/>
              <w:widowControl/>
              <w:kinsoku/>
              <w:wordWrap w:val="0"/>
              <w:bidi w:val="0"/>
              <w:spacing w:line="34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6688BD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580DC5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381330D">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312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0EB36F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1800644E">
            <w:pPr>
              <w:pageBreakBefore w:val="0"/>
              <w:kinsoku/>
              <w:wordWrap w:val="0"/>
              <w:bidi w:val="0"/>
              <w:spacing w:line="3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洞口排水保温</w:t>
            </w:r>
          </w:p>
        </w:tc>
        <w:tc>
          <w:tcPr>
            <w:tcW w:w="837" w:type="dxa"/>
            <w:noWrap w:val="0"/>
            <w:vAlign w:val="center"/>
          </w:tcPr>
          <w:p w14:paraId="68BDE4F4">
            <w:pPr>
              <w:pageBreakBefore w:val="0"/>
              <w:widowControl/>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65E9DB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C7B5D8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EB3D90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BF7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7D89594">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-b-1</w:t>
            </w:r>
          </w:p>
        </w:tc>
        <w:tc>
          <w:tcPr>
            <w:tcW w:w="4644" w:type="dxa"/>
            <w:noWrap w:val="0"/>
            <w:vAlign w:val="center"/>
          </w:tcPr>
          <w:p w14:paraId="41FA2F67">
            <w:pPr>
              <w:pageBreakBefore w:val="0"/>
              <w:kinsoku/>
              <w:wordWrap w:val="0"/>
              <w:bidi w:val="0"/>
              <w:spacing w:line="3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洞口排水沟保温层</w:t>
            </w:r>
          </w:p>
        </w:tc>
        <w:tc>
          <w:tcPr>
            <w:tcW w:w="837" w:type="dxa"/>
            <w:noWrap w:val="0"/>
            <w:vAlign w:val="center"/>
          </w:tcPr>
          <w:p w14:paraId="30E226BA">
            <w:pPr>
              <w:pageBreakBefore w:val="0"/>
              <w:widowControl/>
              <w:kinsoku/>
              <w:wordWrap w:val="0"/>
              <w:bidi w:val="0"/>
              <w:spacing w:line="34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03282A1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9DFBD2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96A9E0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F5A3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DFB7E5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-b-2</w:t>
            </w:r>
          </w:p>
        </w:tc>
        <w:tc>
          <w:tcPr>
            <w:tcW w:w="4644" w:type="dxa"/>
            <w:noWrap w:val="0"/>
            <w:vAlign w:val="center"/>
          </w:tcPr>
          <w:p w14:paraId="52ADC2C9">
            <w:pPr>
              <w:pageBreakBefore w:val="0"/>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保温出水口暗管</w:t>
            </w:r>
          </w:p>
        </w:tc>
        <w:tc>
          <w:tcPr>
            <w:tcW w:w="837" w:type="dxa"/>
            <w:noWrap w:val="0"/>
            <w:vAlign w:val="center"/>
          </w:tcPr>
          <w:p w14:paraId="04EE6F0B">
            <w:pPr>
              <w:pageBreakBefore w:val="0"/>
              <w:widowControl/>
              <w:kinsoku/>
              <w:wordWrap w:val="0"/>
              <w:bidi w:val="0"/>
              <w:spacing w:line="3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m </w:t>
            </w:r>
          </w:p>
        </w:tc>
        <w:tc>
          <w:tcPr>
            <w:tcW w:w="837" w:type="dxa"/>
            <w:noWrap w:val="0"/>
            <w:vAlign w:val="center"/>
          </w:tcPr>
          <w:p w14:paraId="7D5E700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26727D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36FDDD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125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36E8214">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-b-3</w:t>
            </w:r>
          </w:p>
        </w:tc>
        <w:tc>
          <w:tcPr>
            <w:tcW w:w="4644" w:type="dxa"/>
            <w:noWrap w:val="0"/>
            <w:vAlign w:val="center"/>
          </w:tcPr>
          <w:p w14:paraId="3D32A8E3">
            <w:pPr>
              <w:pageBreakBefore w:val="0"/>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保温出水口</w:t>
            </w:r>
          </w:p>
        </w:tc>
        <w:tc>
          <w:tcPr>
            <w:tcW w:w="837" w:type="dxa"/>
            <w:noWrap w:val="0"/>
            <w:vAlign w:val="center"/>
          </w:tcPr>
          <w:p w14:paraId="39D10824">
            <w:pPr>
              <w:pageBreakBefore w:val="0"/>
              <w:widowControl/>
              <w:kinsoku/>
              <w:wordWrap w:val="0"/>
              <w:bidi w:val="0"/>
              <w:spacing w:line="3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处</w:t>
            </w:r>
          </w:p>
        </w:tc>
        <w:tc>
          <w:tcPr>
            <w:tcW w:w="837" w:type="dxa"/>
            <w:noWrap w:val="0"/>
            <w:vAlign w:val="center"/>
          </w:tcPr>
          <w:p w14:paraId="2BAADBA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300CBD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944501">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F1D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D9944F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506</w:t>
            </w:r>
          </w:p>
        </w:tc>
        <w:tc>
          <w:tcPr>
            <w:tcW w:w="4644" w:type="dxa"/>
            <w:noWrap w:val="0"/>
            <w:vAlign w:val="center"/>
          </w:tcPr>
          <w:p w14:paraId="41D23062">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洞内防火涂料和装饰工程</w:t>
            </w:r>
          </w:p>
        </w:tc>
        <w:tc>
          <w:tcPr>
            <w:tcW w:w="837" w:type="dxa"/>
            <w:noWrap w:val="0"/>
            <w:vAlign w:val="center"/>
          </w:tcPr>
          <w:p w14:paraId="752BBC55">
            <w:pPr>
              <w:pageBreakBefore w:val="0"/>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8F0A9B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3E4C25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570723">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3C1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73D7E4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506-1</w:t>
            </w:r>
          </w:p>
        </w:tc>
        <w:tc>
          <w:tcPr>
            <w:tcW w:w="4644" w:type="dxa"/>
            <w:noWrap w:val="0"/>
            <w:vAlign w:val="center"/>
          </w:tcPr>
          <w:p w14:paraId="20F4228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洞内防火涂料</w:t>
            </w:r>
          </w:p>
        </w:tc>
        <w:tc>
          <w:tcPr>
            <w:tcW w:w="837" w:type="dxa"/>
            <w:noWrap w:val="0"/>
            <w:vAlign w:val="center"/>
          </w:tcPr>
          <w:p w14:paraId="431E82C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730DFBF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398C19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262E1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DAA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FC8C7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506-2</w:t>
            </w:r>
          </w:p>
        </w:tc>
        <w:tc>
          <w:tcPr>
            <w:tcW w:w="4644" w:type="dxa"/>
            <w:noWrap w:val="0"/>
            <w:vAlign w:val="center"/>
          </w:tcPr>
          <w:p w14:paraId="2B2A222C">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洞内装饰工程</w:t>
            </w:r>
          </w:p>
        </w:tc>
        <w:tc>
          <w:tcPr>
            <w:tcW w:w="837" w:type="dxa"/>
            <w:noWrap w:val="0"/>
            <w:vAlign w:val="center"/>
          </w:tcPr>
          <w:p w14:paraId="5A648AA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3F534D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03D8FD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85A72D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E90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E24CD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4C2A078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墙面装饰</w:t>
            </w:r>
          </w:p>
        </w:tc>
        <w:tc>
          <w:tcPr>
            <w:tcW w:w="837" w:type="dxa"/>
            <w:noWrap w:val="0"/>
            <w:vAlign w:val="center"/>
          </w:tcPr>
          <w:p w14:paraId="44EBDDA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3C82C52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1DE801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4812C9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359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0C5E44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1848E44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喷涂混凝土专用漆</w:t>
            </w:r>
          </w:p>
        </w:tc>
        <w:tc>
          <w:tcPr>
            <w:tcW w:w="837" w:type="dxa"/>
            <w:noWrap w:val="0"/>
            <w:vAlign w:val="center"/>
          </w:tcPr>
          <w:p w14:paraId="449B0DB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085017C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615725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BDA653D">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94D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EC1E72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6D6D9AA4">
            <w:pPr>
              <w:pageBreakBefore w:val="0"/>
              <w:kinsoku/>
              <w:wordWrap w:val="0"/>
              <w:bidi w:val="0"/>
              <w:spacing w:line="3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吊顶</w:t>
            </w:r>
          </w:p>
        </w:tc>
        <w:tc>
          <w:tcPr>
            <w:tcW w:w="837" w:type="dxa"/>
            <w:noWrap w:val="0"/>
            <w:vAlign w:val="center"/>
          </w:tcPr>
          <w:p w14:paraId="038EF640">
            <w:pPr>
              <w:pageBreakBefore w:val="0"/>
              <w:kinsoku/>
              <w:wordWrap w:val="0"/>
              <w:bidi w:val="0"/>
              <w:spacing w:line="3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m²</w:t>
            </w:r>
          </w:p>
        </w:tc>
        <w:tc>
          <w:tcPr>
            <w:tcW w:w="837" w:type="dxa"/>
            <w:noWrap w:val="0"/>
            <w:vAlign w:val="center"/>
          </w:tcPr>
          <w:p w14:paraId="337F121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68F476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F92ABF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A768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C78972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508</w:t>
            </w:r>
          </w:p>
        </w:tc>
        <w:tc>
          <w:tcPr>
            <w:tcW w:w="4644" w:type="dxa"/>
            <w:noWrap w:val="0"/>
            <w:vAlign w:val="center"/>
          </w:tcPr>
          <w:p w14:paraId="0B7C8AB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监控量测</w:t>
            </w:r>
          </w:p>
        </w:tc>
        <w:tc>
          <w:tcPr>
            <w:tcW w:w="837" w:type="dxa"/>
            <w:noWrap w:val="0"/>
            <w:vAlign w:val="center"/>
          </w:tcPr>
          <w:p w14:paraId="469AD516">
            <w:pPr>
              <w:pageBreakBefore w:val="0"/>
              <w:widowControl/>
              <w:kinsoku/>
              <w:wordWrap w:val="0"/>
              <w:bidi w:val="0"/>
              <w:spacing w:line="340" w:lineRule="atLeast"/>
              <w:jc w:val="center"/>
              <w:rPr>
                <w:rFonts w:hint="default" w:ascii="Times New Roman" w:hAnsi="Times New Roman" w:cs="Times New Roman"/>
                <w:bCs/>
                <w:color w:val="auto"/>
                <w:kern w:val="0"/>
                <w:szCs w:val="21"/>
                <w:highlight w:val="none"/>
              </w:rPr>
            </w:pPr>
          </w:p>
        </w:tc>
        <w:tc>
          <w:tcPr>
            <w:tcW w:w="837" w:type="dxa"/>
            <w:noWrap w:val="0"/>
            <w:vAlign w:val="center"/>
          </w:tcPr>
          <w:p w14:paraId="3BA1044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05DE37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512CD0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5A5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3B847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508-1</w:t>
            </w:r>
          </w:p>
        </w:tc>
        <w:tc>
          <w:tcPr>
            <w:tcW w:w="4644" w:type="dxa"/>
            <w:noWrap w:val="0"/>
            <w:vAlign w:val="center"/>
          </w:tcPr>
          <w:p w14:paraId="1AF709AD">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监控量测</w:t>
            </w:r>
          </w:p>
        </w:tc>
        <w:tc>
          <w:tcPr>
            <w:tcW w:w="837" w:type="dxa"/>
            <w:noWrap w:val="0"/>
            <w:vAlign w:val="center"/>
          </w:tcPr>
          <w:p w14:paraId="564BED34">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3AA8143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FBD5C4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234691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560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D9EB60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7C23158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必测项目</w:t>
            </w:r>
          </w:p>
        </w:tc>
        <w:tc>
          <w:tcPr>
            <w:tcW w:w="837" w:type="dxa"/>
            <w:noWrap w:val="0"/>
            <w:vAlign w:val="center"/>
          </w:tcPr>
          <w:p w14:paraId="692FBBC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3151501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6EBB02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B02D0E">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1FE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B67501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75422B3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选测项目</w:t>
            </w:r>
          </w:p>
        </w:tc>
        <w:tc>
          <w:tcPr>
            <w:tcW w:w="837" w:type="dxa"/>
            <w:noWrap w:val="0"/>
            <w:vAlign w:val="center"/>
          </w:tcPr>
          <w:p w14:paraId="1236516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2046AAF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357200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D3921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949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3B5493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509</w:t>
            </w:r>
          </w:p>
        </w:tc>
        <w:tc>
          <w:tcPr>
            <w:tcW w:w="4644" w:type="dxa"/>
            <w:noWrap w:val="0"/>
            <w:vAlign w:val="center"/>
          </w:tcPr>
          <w:p w14:paraId="23FD3D02">
            <w:pPr>
              <w:pageBreakBefore w:val="0"/>
              <w:widowControl/>
              <w:kinsoku/>
              <w:wordWrap w:val="0"/>
              <w:bidi w:val="0"/>
              <w:spacing w:line="34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特殊地质地段的施工与地质预报</w:t>
            </w:r>
          </w:p>
        </w:tc>
        <w:tc>
          <w:tcPr>
            <w:tcW w:w="837" w:type="dxa"/>
            <w:noWrap w:val="0"/>
            <w:vAlign w:val="center"/>
          </w:tcPr>
          <w:p w14:paraId="5A7F178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21E7AE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16E101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2CBFEA">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84AD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724816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509-1</w:t>
            </w:r>
          </w:p>
        </w:tc>
        <w:tc>
          <w:tcPr>
            <w:tcW w:w="4644" w:type="dxa"/>
            <w:noWrap w:val="0"/>
            <w:vAlign w:val="center"/>
          </w:tcPr>
          <w:p w14:paraId="5CE99421">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地质预报</w:t>
            </w:r>
          </w:p>
        </w:tc>
        <w:tc>
          <w:tcPr>
            <w:tcW w:w="837" w:type="dxa"/>
            <w:noWrap w:val="0"/>
            <w:vAlign w:val="center"/>
          </w:tcPr>
          <w:p w14:paraId="31957AC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总额</w:t>
            </w:r>
          </w:p>
        </w:tc>
        <w:tc>
          <w:tcPr>
            <w:tcW w:w="837" w:type="dxa"/>
            <w:noWrap w:val="0"/>
            <w:vAlign w:val="center"/>
          </w:tcPr>
          <w:p w14:paraId="3F6FFCD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9E56BB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6E99F2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36E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457D2B4">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510</w:t>
            </w:r>
          </w:p>
        </w:tc>
        <w:tc>
          <w:tcPr>
            <w:tcW w:w="4644" w:type="dxa"/>
            <w:noWrap w:val="0"/>
            <w:vAlign w:val="center"/>
          </w:tcPr>
          <w:p w14:paraId="538D63C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洞内机电设施预埋件和消防设施</w:t>
            </w:r>
          </w:p>
        </w:tc>
        <w:tc>
          <w:tcPr>
            <w:tcW w:w="837" w:type="dxa"/>
            <w:noWrap w:val="0"/>
            <w:vAlign w:val="center"/>
          </w:tcPr>
          <w:p w14:paraId="54FB9F0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08C6784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8853F7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F44978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4AF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168BFA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510-1</w:t>
            </w:r>
          </w:p>
        </w:tc>
        <w:tc>
          <w:tcPr>
            <w:tcW w:w="4644" w:type="dxa"/>
            <w:noWrap w:val="0"/>
            <w:vAlign w:val="center"/>
          </w:tcPr>
          <w:p w14:paraId="60AFB1A8">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预埋件</w:t>
            </w:r>
          </w:p>
        </w:tc>
        <w:tc>
          <w:tcPr>
            <w:tcW w:w="837" w:type="dxa"/>
            <w:noWrap w:val="0"/>
            <w:vAlign w:val="center"/>
          </w:tcPr>
          <w:p w14:paraId="38CDF80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382371B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BEF7AB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3578644">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275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3EFC9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644" w:type="dxa"/>
            <w:noWrap w:val="0"/>
            <w:vAlign w:val="center"/>
          </w:tcPr>
          <w:p w14:paraId="03E71889">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通风设施预埋件</w:t>
            </w:r>
          </w:p>
        </w:tc>
        <w:tc>
          <w:tcPr>
            <w:tcW w:w="837" w:type="dxa"/>
            <w:noWrap w:val="0"/>
            <w:vAlign w:val="top"/>
          </w:tcPr>
          <w:p w14:paraId="398C528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7A8C6EB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4B7C44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93BE18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139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67A854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644" w:type="dxa"/>
            <w:noWrap w:val="0"/>
            <w:vAlign w:val="center"/>
          </w:tcPr>
          <w:p w14:paraId="3B884DBA">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通信设施预埋件</w:t>
            </w:r>
          </w:p>
        </w:tc>
        <w:tc>
          <w:tcPr>
            <w:tcW w:w="837" w:type="dxa"/>
            <w:noWrap w:val="0"/>
            <w:vAlign w:val="top"/>
          </w:tcPr>
          <w:p w14:paraId="794EEE4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7845C8C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5C7FBA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BA7D0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DE7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5C5FE9A">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644" w:type="dxa"/>
            <w:noWrap w:val="0"/>
            <w:vAlign w:val="center"/>
          </w:tcPr>
          <w:p w14:paraId="288DC11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照明设施预埋件</w:t>
            </w:r>
          </w:p>
        </w:tc>
        <w:tc>
          <w:tcPr>
            <w:tcW w:w="837" w:type="dxa"/>
            <w:noWrap w:val="0"/>
            <w:vAlign w:val="top"/>
          </w:tcPr>
          <w:p w14:paraId="6026C71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08EB734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CF771E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F170C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CA4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CC4F2CC">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644" w:type="dxa"/>
            <w:noWrap w:val="0"/>
            <w:vAlign w:val="center"/>
          </w:tcPr>
          <w:p w14:paraId="3F6DA4F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监控设施预埋件</w:t>
            </w:r>
          </w:p>
        </w:tc>
        <w:tc>
          <w:tcPr>
            <w:tcW w:w="837" w:type="dxa"/>
            <w:noWrap w:val="0"/>
            <w:vAlign w:val="top"/>
          </w:tcPr>
          <w:p w14:paraId="16EE0F69">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665B00C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ED02BE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64D6CA">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3561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B8C2265">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-e</w:t>
            </w:r>
          </w:p>
        </w:tc>
        <w:tc>
          <w:tcPr>
            <w:tcW w:w="4644" w:type="dxa"/>
            <w:noWrap w:val="0"/>
            <w:vAlign w:val="center"/>
          </w:tcPr>
          <w:p w14:paraId="416428D6">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供配电设施预埋件</w:t>
            </w:r>
          </w:p>
        </w:tc>
        <w:tc>
          <w:tcPr>
            <w:tcW w:w="837" w:type="dxa"/>
            <w:noWrap w:val="0"/>
            <w:vAlign w:val="top"/>
          </w:tcPr>
          <w:p w14:paraId="601E938B">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14814B3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85DBFB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4F5D23">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2AE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C314F4">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4644" w:type="dxa"/>
            <w:noWrap w:val="0"/>
            <w:vAlign w:val="center"/>
          </w:tcPr>
          <w:p w14:paraId="322AF764">
            <w:pPr>
              <w:pageBreakBefore w:val="0"/>
              <w:kinsoku/>
              <w:wordWrap w:val="0"/>
              <w:bidi w:val="0"/>
              <w:snapToGrid w:val="0"/>
              <w:spacing w:line="340" w:lineRule="atLeast"/>
              <w:ind w:left="-50" w:right="-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837" w:type="dxa"/>
            <w:noWrap w:val="0"/>
            <w:vAlign w:val="top"/>
          </w:tcPr>
          <w:p w14:paraId="6E5AA374">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837" w:type="dxa"/>
            <w:noWrap w:val="0"/>
            <w:vAlign w:val="center"/>
          </w:tcPr>
          <w:p w14:paraId="376C4D9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811DE0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2E681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FDC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7A241A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510-2</w:t>
            </w:r>
          </w:p>
        </w:tc>
        <w:tc>
          <w:tcPr>
            <w:tcW w:w="4644" w:type="dxa"/>
            <w:noWrap w:val="0"/>
            <w:vAlign w:val="center"/>
          </w:tcPr>
          <w:p w14:paraId="028A9071">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消防设施</w:t>
            </w:r>
          </w:p>
        </w:tc>
        <w:tc>
          <w:tcPr>
            <w:tcW w:w="837" w:type="dxa"/>
            <w:noWrap w:val="0"/>
            <w:vAlign w:val="center"/>
          </w:tcPr>
          <w:p w14:paraId="3462D41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71933F6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0AF0E6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9A16C3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5EF2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C366E21">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644" w:type="dxa"/>
            <w:noWrap w:val="0"/>
            <w:vAlign w:val="center"/>
          </w:tcPr>
          <w:p w14:paraId="0498AC63">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供水钢管（</w:t>
            </w:r>
            <w:r>
              <w:rPr>
                <w:rFonts w:hint="default" w:ascii="Times New Roman" w:hAnsi="Times New Roman" w:cs="Times New Roman"/>
                <w:color w:val="auto"/>
                <w:szCs w:val="21"/>
                <w:highlight w:val="none"/>
              </w:rPr>
              <w:t>Ф…mm</w:t>
            </w:r>
            <w:r>
              <w:rPr>
                <w:rFonts w:hint="default" w:ascii="Times New Roman" w:hAnsi="Times New Roman" w:cs="Times New Roman"/>
                <w:color w:val="auto"/>
                <w:kern w:val="0"/>
                <w:szCs w:val="21"/>
                <w:highlight w:val="none"/>
              </w:rPr>
              <w:t>）</w:t>
            </w:r>
          </w:p>
        </w:tc>
        <w:tc>
          <w:tcPr>
            <w:tcW w:w="837" w:type="dxa"/>
            <w:noWrap w:val="0"/>
            <w:vAlign w:val="center"/>
          </w:tcPr>
          <w:p w14:paraId="3AE2A757">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540493E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8E4305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D621F0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E9A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7D69117">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644" w:type="dxa"/>
            <w:noWrap w:val="0"/>
            <w:vAlign w:val="center"/>
          </w:tcPr>
          <w:p w14:paraId="3C7E5C82">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消防洞室防火门</w:t>
            </w:r>
          </w:p>
        </w:tc>
        <w:tc>
          <w:tcPr>
            <w:tcW w:w="837" w:type="dxa"/>
            <w:noWrap w:val="0"/>
            <w:vAlign w:val="center"/>
          </w:tcPr>
          <w:p w14:paraId="2F281DF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套</w:t>
            </w:r>
          </w:p>
        </w:tc>
        <w:tc>
          <w:tcPr>
            <w:tcW w:w="837" w:type="dxa"/>
            <w:noWrap w:val="0"/>
            <w:vAlign w:val="center"/>
          </w:tcPr>
          <w:p w14:paraId="3A47B90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A0CC36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CDDC84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F8C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90A0702">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644" w:type="dxa"/>
            <w:noWrap w:val="0"/>
            <w:vAlign w:val="center"/>
          </w:tcPr>
          <w:p w14:paraId="75C36595">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集水池</w:t>
            </w:r>
          </w:p>
        </w:tc>
        <w:tc>
          <w:tcPr>
            <w:tcW w:w="837" w:type="dxa"/>
            <w:noWrap w:val="0"/>
            <w:vAlign w:val="center"/>
          </w:tcPr>
          <w:p w14:paraId="70D4F354">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座</w:t>
            </w:r>
          </w:p>
        </w:tc>
        <w:tc>
          <w:tcPr>
            <w:tcW w:w="837" w:type="dxa"/>
            <w:noWrap w:val="0"/>
            <w:vAlign w:val="center"/>
          </w:tcPr>
          <w:p w14:paraId="5E1EE5E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364F72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E870EC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C4F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1CDD205">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-d</w:t>
            </w:r>
          </w:p>
        </w:tc>
        <w:tc>
          <w:tcPr>
            <w:tcW w:w="4644" w:type="dxa"/>
            <w:noWrap w:val="0"/>
            <w:vAlign w:val="center"/>
          </w:tcPr>
          <w:p w14:paraId="1C69127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蓄水池</w:t>
            </w:r>
          </w:p>
        </w:tc>
        <w:tc>
          <w:tcPr>
            <w:tcW w:w="837" w:type="dxa"/>
            <w:noWrap w:val="0"/>
            <w:vAlign w:val="center"/>
          </w:tcPr>
          <w:p w14:paraId="390A7B9F">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座</w:t>
            </w:r>
          </w:p>
        </w:tc>
        <w:tc>
          <w:tcPr>
            <w:tcW w:w="837" w:type="dxa"/>
            <w:noWrap w:val="0"/>
            <w:vAlign w:val="center"/>
          </w:tcPr>
          <w:p w14:paraId="25D8904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DC9B48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4AE561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BB9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C1CD336">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-e</w:t>
            </w:r>
          </w:p>
        </w:tc>
        <w:tc>
          <w:tcPr>
            <w:tcW w:w="4644" w:type="dxa"/>
            <w:noWrap w:val="0"/>
            <w:vAlign w:val="center"/>
          </w:tcPr>
          <w:p w14:paraId="522CE9AC">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泵房</w:t>
            </w:r>
          </w:p>
        </w:tc>
        <w:tc>
          <w:tcPr>
            <w:tcW w:w="837" w:type="dxa"/>
            <w:noWrap w:val="0"/>
            <w:vAlign w:val="center"/>
          </w:tcPr>
          <w:p w14:paraId="20A23CCC">
            <w:pPr>
              <w:pageBreakBefore w:val="0"/>
              <w:kinsoku/>
              <w:wordWrap w:val="0"/>
              <w:bidi w:val="0"/>
              <w:snapToGrid w:val="0"/>
              <w:spacing w:line="340" w:lineRule="atLeast"/>
              <w:ind w:right="-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座</w:t>
            </w:r>
          </w:p>
        </w:tc>
        <w:tc>
          <w:tcPr>
            <w:tcW w:w="837" w:type="dxa"/>
            <w:noWrap w:val="0"/>
            <w:vAlign w:val="center"/>
          </w:tcPr>
          <w:p w14:paraId="41E2A80C">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4CF9B0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067ED9">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276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A3433E4">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4644" w:type="dxa"/>
            <w:noWrap w:val="0"/>
            <w:vAlign w:val="center"/>
          </w:tcPr>
          <w:p w14:paraId="0F3BF413">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w:t>
            </w:r>
          </w:p>
        </w:tc>
        <w:tc>
          <w:tcPr>
            <w:tcW w:w="837" w:type="dxa"/>
            <w:noWrap w:val="0"/>
            <w:vAlign w:val="top"/>
          </w:tcPr>
          <w:p w14:paraId="6C15B878">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837" w:type="dxa"/>
            <w:noWrap w:val="0"/>
            <w:vAlign w:val="center"/>
          </w:tcPr>
          <w:p w14:paraId="655FB33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11A137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B814D17">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9DF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72BEA92">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4644" w:type="dxa"/>
            <w:noWrap w:val="0"/>
            <w:vAlign w:val="center"/>
          </w:tcPr>
          <w:p w14:paraId="2ACBBFDA">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p>
        </w:tc>
        <w:tc>
          <w:tcPr>
            <w:tcW w:w="837" w:type="dxa"/>
            <w:noWrap w:val="0"/>
            <w:vAlign w:val="top"/>
          </w:tcPr>
          <w:p w14:paraId="6312C65E">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837" w:type="dxa"/>
            <w:noWrap w:val="0"/>
            <w:vAlign w:val="center"/>
          </w:tcPr>
          <w:p w14:paraId="2FC532F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082AA6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2A119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9C2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4B66FAE">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4644" w:type="dxa"/>
            <w:noWrap w:val="0"/>
            <w:vAlign w:val="center"/>
          </w:tcPr>
          <w:p w14:paraId="312579AE">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p>
        </w:tc>
        <w:tc>
          <w:tcPr>
            <w:tcW w:w="837" w:type="dxa"/>
            <w:noWrap w:val="0"/>
            <w:vAlign w:val="top"/>
          </w:tcPr>
          <w:p w14:paraId="65EA361F">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837" w:type="dxa"/>
            <w:noWrap w:val="0"/>
            <w:vAlign w:val="center"/>
          </w:tcPr>
          <w:p w14:paraId="1B552F5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5E4645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F2754A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4950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7B58D99">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4644" w:type="dxa"/>
            <w:noWrap w:val="0"/>
            <w:vAlign w:val="center"/>
          </w:tcPr>
          <w:p w14:paraId="52B540B3">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p>
        </w:tc>
        <w:tc>
          <w:tcPr>
            <w:tcW w:w="837" w:type="dxa"/>
            <w:noWrap w:val="0"/>
            <w:vAlign w:val="top"/>
          </w:tcPr>
          <w:p w14:paraId="668A1957">
            <w:pPr>
              <w:pageBreakBefore w:val="0"/>
              <w:kinsoku/>
              <w:wordWrap w:val="0"/>
              <w:bidi w:val="0"/>
              <w:snapToGrid w:val="0"/>
              <w:spacing w:line="340" w:lineRule="atLeast"/>
              <w:ind w:left="-50" w:right="-50"/>
              <w:jc w:val="center"/>
              <w:rPr>
                <w:rFonts w:hint="default" w:ascii="Times New Roman" w:hAnsi="Times New Roman" w:cs="Times New Roman"/>
                <w:color w:val="auto"/>
                <w:szCs w:val="21"/>
                <w:highlight w:val="none"/>
              </w:rPr>
            </w:pPr>
          </w:p>
        </w:tc>
        <w:tc>
          <w:tcPr>
            <w:tcW w:w="837" w:type="dxa"/>
            <w:noWrap w:val="0"/>
            <w:vAlign w:val="center"/>
          </w:tcPr>
          <w:p w14:paraId="586C8D6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E92E9E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DE4C13E">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216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56" w:type="dxa"/>
            <w:gridSpan w:val="6"/>
            <w:tcBorders>
              <w:left w:val="single" w:color="auto" w:sz="12" w:space="0"/>
              <w:bottom w:val="single" w:color="auto" w:sz="12" w:space="0"/>
              <w:right w:val="single" w:color="auto" w:sz="12" w:space="0"/>
            </w:tcBorders>
            <w:noWrap w:val="0"/>
            <w:vAlign w:val="center"/>
          </w:tcPr>
          <w:p w14:paraId="43AA301D">
            <w:pPr>
              <w:pageBreakBefore w:val="0"/>
              <w:kinsoku/>
              <w:wordWrap w:val="0"/>
              <w:bidi w:val="0"/>
              <w:spacing w:line="360" w:lineRule="atLeast"/>
              <w:jc w:val="center"/>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清单第500章合计  人民币</w:t>
            </w:r>
            <w:r>
              <w:rPr>
                <w:rFonts w:hint="default" w:ascii="Times New Roman" w:hAnsi="Times New Roman" w:cs="Times New Roman"/>
                <w:color w:val="auto"/>
                <w:szCs w:val="21"/>
                <w:highlight w:val="none"/>
                <w:u w:val="single"/>
              </w:rPr>
              <w:t xml:space="preserve">                    </w:t>
            </w:r>
          </w:p>
        </w:tc>
      </w:tr>
    </w:tbl>
    <w:p w14:paraId="6518F576">
      <w:pPr>
        <w:pageBreakBefore w:val="0"/>
        <w:kinsoku/>
        <w:wordWrap w:val="0"/>
        <w:bidi w:val="0"/>
        <w:jc w:val="center"/>
        <w:rPr>
          <w:rFonts w:hint="default" w:ascii="Times New Roman" w:hAnsi="Times New Roman" w:eastAsia="黑体" w:cs="Times New Roman"/>
          <w:color w:val="auto"/>
          <w:sz w:val="28"/>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8"/>
          <w:highlight w:val="none"/>
        </w:rPr>
        <w:t>工 程 量 清 单</w:t>
      </w:r>
    </w:p>
    <w:p w14:paraId="06DA0DD1">
      <w:pPr>
        <w:pageBreakBefore w:val="0"/>
        <w:kinsoku/>
        <w:wordWrap w:val="0"/>
        <w:bidi w:val="0"/>
        <w:jc w:val="center"/>
        <w:rPr>
          <w:rFonts w:hint="default" w:ascii="Times New Roman" w:hAnsi="Times New Roman" w:cs="Times New Roman"/>
          <w:color w:val="auto"/>
          <w:sz w:val="24"/>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32"/>
        <w:gridCol w:w="749"/>
        <w:gridCol w:w="837"/>
        <w:gridCol w:w="837"/>
        <w:gridCol w:w="837"/>
      </w:tblGrid>
      <w:tr w14:paraId="40F1D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7CF11502">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第600章   安全设施及预埋管线</w:t>
            </w:r>
          </w:p>
        </w:tc>
      </w:tr>
      <w:tr w14:paraId="1BD6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66C5E14E">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center"/>
          </w:tcPr>
          <w:p w14:paraId="493F1AD0">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center"/>
          </w:tcPr>
          <w:p w14:paraId="4B65327E">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47065767">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4EACB6FD">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72855DD8">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28A1A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bottom w:val="single" w:color="auto" w:sz="4" w:space="0"/>
              <w:right w:val="single" w:color="auto" w:sz="4" w:space="0"/>
            </w:tcBorders>
            <w:noWrap w:val="0"/>
            <w:vAlign w:val="center"/>
          </w:tcPr>
          <w:p w14:paraId="325B331E">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602</w:t>
            </w:r>
          </w:p>
        </w:tc>
        <w:tc>
          <w:tcPr>
            <w:tcW w:w="4732" w:type="dxa"/>
            <w:tcBorders>
              <w:top w:val="single" w:color="auto" w:sz="4" w:space="0"/>
              <w:left w:val="single" w:color="auto" w:sz="4" w:space="0"/>
              <w:bottom w:val="single" w:color="auto" w:sz="4" w:space="0"/>
              <w:right w:val="single" w:color="auto" w:sz="4" w:space="0"/>
            </w:tcBorders>
            <w:noWrap w:val="0"/>
            <w:vAlign w:val="center"/>
          </w:tcPr>
          <w:p w14:paraId="6AE0EF41">
            <w:pPr>
              <w:pageBreakBefore w:val="0"/>
              <w:widowControl/>
              <w:kinsoku/>
              <w:wordWrap w:val="0"/>
              <w:bidi w:val="0"/>
              <w:spacing w:line="36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护栏</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5BE38C5C">
            <w:pPr>
              <w:pageBreakBefore w:val="0"/>
              <w:widowControl/>
              <w:kinsoku/>
              <w:wordWrap w:val="0"/>
              <w:bidi w:val="0"/>
              <w:spacing w:line="360" w:lineRule="atLeast"/>
              <w:jc w:val="center"/>
              <w:rPr>
                <w:rFonts w:hint="default" w:ascii="Times New Roman" w:hAnsi="Times New Roman" w:cs="Times New Roman"/>
                <w:bCs/>
                <w:color w:val="auto"/>
                <w:kern w:val="0"/>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7ADD695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4" w:space="0"/>
            </w:tcBorders>
            <w:noWrap w:val="0"/>
            <w:vAlign w:val="center"/>
          </w:tcPr>
          <w:p w14:paraId="308E31B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bottom w:val="single" w:color="auto" w:sz="4" w:space="0"/>
              <w:right w:val="single" w:color="auto" w:sz="12" w:space="0"/>
            </w:tcBorders>
            <w:noWrap w:val="0"/>
            <w:vAlign w:val="center"/>
          </w:tcPr>
          <w:p w14:paraId="4ED2FCE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FB7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top w:val="single" w:color="auto" w:sz="4" w:space="0"/>
              <w:left w:val="single" w:color="auto" w:sz="12" w:space="0"/>
              <w:right w:val="single" w:color="auto" w:sz="4" w:space="0"/>
            </w:tcBorders>
            <w:noWrap w:val="0"/>
            <w:vAlign w:val="center"/>
          </w:tcPr>
          <w:p w14:paraId="0BDDEE2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602-1</w:t>
            </w:r>
          </w:p>
        </w:tc>
        <w:tc>
          <w:tcPr>
            <w:tcW w:w="4732" w:type="dxa"/>
            <w:tcBorders>
              <w:top w:val="single" w:color="auto" w:sz="4" w:space="0"/>
              <w:left w:val="single" w:color="auto" w:sz="4" w:space="0"/>
              <w:right w:val="single" w:color="auto" w:sz="4" w:space="0"/>
            </w:tcBorders>
            <w:noWrap w:val="0"/>
            <w:vAlign w:val="center"/>
          </w:tcPr>
          <w:p w14:paraId="24AE0F8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混凝土护栏（护墙、立柱）</w:t>
            </w:r>
          </w:p>
        </w:tc>
        <w:tc>
          <w:tcPr>
            <w:tcW w:w="749" w:type="dxa"/>
            <w:tcBorders>
              <w:top w:val="single" w:color="auto" w:sz="4" w:space="0"/>
              <w:left w:val="single" w:color="auto" w:sz="4" w:space="0"/>
              <w:right w:val="single" w:color="auto" w:sz="4" w:space="0"/>
            </w:tcBorders>
            <w:noWrap w:val="0"/>
            <w:vAlign w:val="center"/>
          </w:tcPr>
          <w:p w14:paraId="129819A5">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tcBorders>
              <w:top w:val="single" w:color="auto" w:sz="4" w:space="0"/>
              <w:left w:val="single" w:color="auto" w:sz="4" w:space="0"/>
              <w:right w:val="single" w:color="auto" w:sz="4" w:space="0"/>
            </w:tcBorders>
            <w:noWrap w:val="0"/>
            <w:vAlign w:val="center"/>
          </w:tcPr>
          <w:p w14:paraId="353A642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4" w:space="0"/>
            </w:tcBorders>
            <w:noWrap w:val="0"/>
            <w:vAlign w:val="center"/>
          </w:tcPr>
          <w:p w14:paraId="5A8B3B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top w:val="single" w:color="auto" w:sz="4" w:space="0"/>
              <w:left w:val="single" w:color="auto" w:sz="4" w:space="0"/>
              <w:right w:val="single" w:color="auto" w:sz="12" w:space="0"/>
            </w:tcBorders>
            <w:noWrap w:val="0"/>
            <w:vAlign w:val="center"/>
          </w:tcPr>
          <w:p w14:paraId="41EB8D9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99B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A838EE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77FBFA6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现浇混凝土护栏</w:t>
            </w:r>
          </w:p>
        </w:tc>
        <w:tc>
          <w:tcPr>
            <w:tcW w:w="749" w:type="dxa"/>
            <w:noWrap w:val="0"/>
            <w:vAlign w:val="center"/>
          </w:tcPr>
          <w:p w14:paraId="1BDF3F9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1CFD7B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C2FD4E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8B4D08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B72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EFA7E2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36689CF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预制安装混凝土护栏</w:t>
            </w:r>
          </w:p>
        </w:tc>
        <w:tc>
          <w:tcPr>
            <w:tcW w:w="749" w:type="dxa"/>
            <w:noWrap w:val="0"/>
            <w:vAlign w:val="center"/>
          </w:tcPr>
          <w:p w14:paraId="1B577CF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50C1153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2135BD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6357D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4A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9FAB70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157270C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现浇混凝土基础</w:t>
            </w:r>
          </w:p>
        </w:tc>
        <w:tc>
          <w:tcPr>
            <w:tcW w:w="749" w:type="dxa"/>
            <w:noWrap w:val="0"/>
            <w:vAlign w:val="center"/>
          </w:tcPr>
          <w:p w14:paraId="21C2742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3680B38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5F5483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F6F444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82C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D0EDF9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-d</w:t>
            </w:r>
          </w:p>
        </w:tc>
        <w:tc>
          <w:tcPr>
            <w:tcW w:w="4732" w:type="dxa"/>
            <w:noWrap w:val="0"/>
            <w:vAlign w:val="center"/>
          </w:tcPr>
          <w:p w14:paraId="36B55BB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钢筋</w:t>
            </w:r>
          </w:p>
        </w:tc>
        <w:tc>
          <w:tcPr>
            <w:tcW w:w="749" w:type="dxa"/>
            <w:noWrap w:val="0"/>
            <w:vAlign w:val="center"/>
          </w:tcPr>
          <w:p w14:paraId="6D37794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kg</w:t>
            </w:r>
          </w:p>
        </w:tc>
        <w:tc>
          <w:tcPr>
            <w:tcW w:w="837" w:type="dxa"/>
            <w:noWrap w:val="0"/>
            <w:vAlign w:val="center"/>
          </w:tcPr>
          <w:p w14:paraId="3C011A4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A742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E4E79D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56F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BCAD4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602-2</w:t>
            </w:r>
          </w:p>
        </w:tc>
        <w:tc>
          <w:tcPr>
            <w:tcW w:w="4732" w:type="dxa"/>
            <w:noWrap w:val="0"/>
            <w:vAlign w:val="center"/>
          </w:tcPr>
          <w:p w14:paraId="60F4DA4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石砌护墙</w:t>
            </w:r>
          </w:p>
        </w:tc>
        <w:tc>
          <w:tcPr>
            <w:tcW w:w="749" w:type="dxa"/>
            <w:noWrap w:val="0"/>
            <w:vAlign w:val="center"/>
          </w:tcPr>
          <w:p w14:paraId="736B12C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3</w:t>
            </w:r>
          </w:p>
        </w:tc>
        <w:tc>
          <w:tcPr>
            <w:tcW w:w="837" w:type="dxa"/>
            <w:noWrap w:val="0"/>
            <w:vAlign w:val="center"/>
          </w:tcPr>
          <w:p w14:paraId="67BD7EB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E536F7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1EB91F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F51E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505E9B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602-3</w:t>
            </w:r>
          </w:p>
        </w:tc>
        <w:tc>
          <w:tcPr>
            <w:tcW w:w="4732" w:type="dxa"/>
            <w:noWrap w:val="0"/>
            <w:vAlign w:val="center"/>
          </w:tcPr>
          <w:p w14:paraId="61A965EF">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波形梁钢护栏</w:t>
            </w:r>
          </w:p>
        </w:tc>
        <w:tc>
          <w:tcPr>
            <w:tcW w:w="749" w:type="dxa"/>
            <w:noWrap w:val="0"/>
            <w:vAlign w:val="center"/>
          </w:tcPr>
          <w:p w14:paraId="01E75BB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0CDBEC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90E7E4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BE3088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B4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C586D0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777557B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路侧波形梁钢护栏</w:t>
            </w:r>
          </w:p>
        </w:tc>
        <w:tc>
          <w:tcPr>
            <w:tcW w:w="749" w:type="dxa"/>
            <w:noWrap w:val="0"/>
            <w:vAlign w:val="center"/>
          </w:tcPr>
          <w:p w14:paraId="146E6BB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　</w:t>
            </w:r>
          </w:p>
        </w:tc>
        <w:tc>
          <w:tcPr>
            <w:tcW w:w="837" w:type="dxa"/>
            <w:noWrap w:val="0"/>
            <w:vAlign w:val="center"/>
          </w:tcPr>
          <w:p w14:paraId="6B32A32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915493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38D697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3114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534A1B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1CAA5B1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中央分隔带波形梁钢护栏</w:t>
            </w:r>
          </w:p>
        </w:tc>
        <w:tc>
          <w:tcPr>
            <w:tcW w:w="749" w:type="dxa"/>
            <w:noWrap w:val="0"/>
            <w:vAlign w:val="center"/>
          </w:tcPr>
          <w:p w14:paraId="41F08A9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DEADC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8E8450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17C5E7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608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D7DA12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6307717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波形梁钢护栏端头</w:t>
            </w:r>
          </w:p>
        </w:tc>
        <w:tc>
          <w:tcPr>
            <w:tcW w:w="749" w:type="dxa"/>
            <w:noWrap w:val="0"/>
            <w:vAlign w:val="center"/>
          </w:tcPr>
          <w:p w14:paraId="0A3B760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2D89B31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FF6CB3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B4A6A2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DA3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45251EB">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602-4</w:t>
            </w:r>
          </w:p>
        </w:tc>
        <w:tc>
          <w:tcPr>
            <w:tcW w:w="4732" w:type="dxa"/>
            <w:noWrap w:val="0"/>
            <w:vAlign w:val="center"/>
          </w:tcPr>
          <w:p w14:paraId="006C2D76">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缆索护栏</w:t>
            </w:r>
          </w:p>
        </w:tc>
        <w:tc>
          <w:tcPr>
            <w:tcW w:w="749" w:type="dxa"/>
            <w:noWrap w:val="0"/>
            <w:vAlign w:val="center"/>
          </w:tcPr>
          <w:p w14:paraId="12F1D92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136E17E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F27E8A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06429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3050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2E51F8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29E8E2F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路侧缆索护栏</w:t>
            </w:r>
          </w:p>
        </w:tc>
        <w:tc>
          <w:tcPr>
            <w:tcW w:w="749" w:type="dxa"/>
            <w:noWrap w:val="0"/>
            <w:vAlign w:val="center"/>
          </w:tcPr>
          <w:p w14:paraId="147736D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381DB1A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C5AAD0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6DED9B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89F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CC68AD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2C45CD0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中央分隔带缆索护栏</w:t>
            </w:r>
          </w:p>
        </w:tc>
        <w:tc>
          <w:tcPr>
            <w:tcW w:w="749" w:type="dxa"/>
            <w:noWrap w:val="0"/>
            <w:vAlign w:val="center"/>
          </w:tcPr>
          <w:p w14:paraId="725470F6">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DB2391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637005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30266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D9C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F1A300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602-5</w:t>
            </w:r>
          </w:p>
        </w:tc>
        <w:tc>
          <w:tcPr>
            <w:tcW w:w="4732" w:type="dxa"/>
            <w:noWrap w:val="0"/>
            <w:vAlign w:val="center"/>
          </w:tcPr>
          <w:p w14:paraId="7708C93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中央分隔带活动护栏</w:t>
            </w:r>
          </w:p>
        </w:tc>
        <w:tc>
          <w:tcPr>
            <w:tcW w:w="749" w:type="dxa"/>
            <w:noWrap w:val="0"/>
            <w:vAlign w:val="center"/>
          </w:tcPr>
          <w:p w14:paraId="7465195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　</w:t>
            </w:r>
          </w:p>
        </w:tc>
        <w:tc>
          <w:tcPr>
            <w:tcW w:w="837" w:type="dxa"/>
            <w:noWrap w:val="0"/>
            <w:vAlign w:val="center"/>
          </w:tcPr>
          <w:p w14:paraId="74AB6C4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858D7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7985A3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6E39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D968F9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-a</w:t>
            </w:r>
          </w:p>
        </w:tc>
        <w:tc>
          <w:tcPr>
            <w:tcW w:w="4732" w:type="dxa"/>
            <w:noWrap w:val="0"/>
            <w:vAlign w:val="center"/>
          </w:tcPr>
          <w:p w14:paraId="64BE576D">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钢质插拔式</w:t>
            </w:r>
          </w:p>
        </w:tc>
        <w:tc>
          <w:tcPr>
            <w:tcW w:w="749" w:type="dxa"/>
            <w:noWrap w:val="0"/>
            <w:vAlign w:val="center"/>
          </w:tcPr>
          <w:p w14:paraId="21E7737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4B91B2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79B5CB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806474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BB2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EC2B99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-b</w:t>
            </w:r>
          </w:p>
        </w:tc>
        <w:tc>
          <w:tcPr>
            <w:tcW w:w="4732" w:type="dxa"/>
            <w:noWrap w:val="0"/>
            <w:vAlign w:val="center"/>
          </w:tcPr>
          <w:p w14:paraId="2841A3F9">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钢质伸缩式</w:t>
            </w:r>
          </w:p>
        </w:tc>
        <w:tc>
          <w:tcPr>
            <w:tcW w:w="749" w:type="dxa"/>
            <w:noWrap w:val="0"/>
            <w:vAlign w:val="center"/>
          </w:tcPr>
          <w:p w14:paraId="1C7A6DE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5BB9CA2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7FC66F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59080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51A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8B72F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-c</w:t>
            </w:r>
          </w:p>
        </w:tc>
        <w:tc>
          <w:tcPr>
            <w:tcW w:w="4732" w:type="dxa"/>
            <w:noWrap w:val="0"/>
            <w:vAlign w:val="center"/>
          </w:tcPr>
          <w:p w14:paraId="5A46512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钢管预应力索防撞活动护栏</w:t>
            </w:r>
          </w:p>
        </w:tc>
        <w:tc>
          <w:tcPr>
            <w:tcW w:w="749" w:type="dxa"/>
            <w:noWrap w:val="0"/>
            <w:vAlign w:val="center"/>
          </w:tcPr>
          <w:p w14:paraId="6780F26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88540B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2949BC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51C85D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FE2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4973DAA">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603</w:t>
            </w:r>
          </w:p>
        </w:tc>
        <w:tc>
          <w:tcPr>
            <w:tcW w:w="4732" w:type="dxa"/>
            <w:noWrap w:val="0"/>
            <w:vAlign w:val="center"/>
          </w:tcPr>
          <w:p w14:paraId="7BDC610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隔离栅和防落物网</w:t>
            </w:r>
          </w:p>
        </w:tc>
        <w:tc>
          <w:tcPr>
            <w:tcW w:w="749" w:type="dxa"/>
            <w:noWrap w:val="0"/>
            <w:vAlign w:val="center"/>
          </w:tcPr>
          <w:p w14:paraId="67BC284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5482006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F30CB2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6B2520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430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433E7F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603-1</w:t>
            </w:r>
          </w:p>
        </w:tc>
        <w:tc>
          <w:tcPr>
            <w:tcW w:w="4732" w:type="dxa"/>
            <w:noWrap w:val="0"/>
            <w:vAlign w:val="center"/>
          </w:tcPr>
          <w:p w14:paraId="2222BAC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钢板网隔离栅</w:t>
            </w:r>
          </w:p>
        </w:tc>
        <w:tc>
          <w:tcPr>
            <w:tcW w:w="749" w:type="dxa"/>
            <w:noWrap w:val="0"/>
            <w:vAlign w:val="center"/>
          </w:tcPr>
          <w:p w14:paraId="2CD4476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4C14EF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AA5AD1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39906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54A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54954A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603-2</w:t>
            </w:r>
          </w:p>
        </w:tc>
        <w:tc>
          <w:tcPr>
            <w:tcW w:w="4732" w:type="dxa"/>
            <w:noWrap w:val="0"/>
            <w:vAlign w:val="center"/>
          </w:tcPr>
          <w:p w14:paraId="55D9D9CB">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编织网隔离栅</w:t>
            </w:r>
          </w:p>
        </w:tc>
        <w:tc>
          <w:tcPr>
            <w:tcW w:w="749" w:type="dxa"/>
            <w:noWrap w:val="0"/>
            <w:vAlign w:val="center"/>
          </w:tcPr>
          <w:p w14:paraId="1525294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5C7F96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0F0B03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0C3E95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C4D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FE1F89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603-3</w:t>
            </w:r>
          </w:p>
        </w:tc>
        <w:tc>
          <w:tcPr>
            <w:tcW w:w="4732" w:type="dxa"/>
            <w:noWrap w:val="0"/>
            <w:vAlign w:val="center"/>
          </w:tcPr>
          <w:p w14:paraId="0E6845A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焊接网隔离栅</w:t>
            </w:r>
          </w:p>
        </w:tc>
        <w:tc>
          <w:tcPr>
            <w:tcW w:w="749" w:type="dxa"/>
            <w:noWrap w:val="0"/>
            <w:vAlign w:val="center"/>
          </w:tcPr>
          <w:p w14:paraId="3AC7556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0FF4F72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75F848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D90387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E2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E2035A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603-4</w:t>
            </w:r>
          </w:p>
        </w:tc>
        <w:tc>
          <w:tcPr>
            <w:tcW w:w="4732" w:type="dxa"/>
            <w:noWrap w:val="0"/>
            <w:vAlign w:val="center"/>
          </w:tcPr>
          <w:p w14:paraId="27395FE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刺钢丝网隔离栅</w:t>
            </w:r>
          </w:p>
        </w:tc>
        <w:tc>
          <w:tcPr>
            <w:tcW w:w="749" w:type="dxa"/>
            <w:noWrap w:val="0"/>
            <w:vAlign w:val="center"/>
          </w:tcPr>
          <w:p w14:paraId="5193541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4A5E44A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20CCB3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A9AFFB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20D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3EF803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603-5</w:t>
            </w:r>
          </w:p>
        </w:tc>
        <w:tc>
          <w:tcPr>
            <w:tcW w:w="4732" w:type="dxa"/>
            <w:noWrap w:val="0"/>
            <w:vAlign w:val="center"/>
          </w:tcPr>
          <w:p w14:paraId="6BE8AB9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防落物网</w:t>
            </w:r>
          </w:p>
        </w:tc>
        <w:tc>
          <w:tcPr>
            <w:tcW w:w="749" w:type="dxa"/>
            <w:noWrap w:val="0"/>
            <w:vAlign w:val="center"/>
          </w:tcPr>
          <w:p w14:paraId="4457C56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7FED969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89BDA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92BC49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01CC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57BB52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w:t>
            </w:r>
          </w:p>
        </w:tc>
        <w:tc>
          <w:tcPr>
            <w:tcW w:w="4732" w:type="dxa"/>
            <w:noWrap w:val="0"/>
            <w:vAlign w:val="center"/>
          </w:tcPr>
          <w:p w14:paraId="27DE47A7">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道路交通标志</w:t>
            </w:r>
          </w:p>
        </w:tc>
        <w:tc>
          <w:tcPr>
            <w:tcW w:w="749" w:type="dxa"/>
            <w:noWrap w:val="0"/>
            <w:vAlign w:val="center"/>
          </w:tcPr>
          <w:p w14:paraId="5649B9B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6CD4FE2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90487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3ADA9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8C5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293865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604-1</w:t>
            </w:r>
          </w:p>
        </w:tc>
        <w:tc>
          <w:tcPr>
            <w:tcW w:w="4732" w:type="dxa"/>
            <w:noWrap w:val="0"/>
            <w:vAlign w:val="center"/>
          </w:tcPr>
          <w:p w14:paraId="562BF83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单柱式交通标志</w:t>
            </w:r>
          </w:p>
        </w:tc>
        <w:tc>
          <w:tcPr>
            <w:tcW w:w="749" w:type="dxa"/>
            <w:noWrap w:val="0"/>
            <w:vAlign w:val="center"/>
          </w:tcPr>
          <w:p w14:paraId="20B2AB0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0AC086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06D71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3987E5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F9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97B87C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604-2</w:t>
            </w:r>
          </w:p>
        </w:tc>
        <w:tc>
          <w:tcPr>
            <w:tcW w:w="4732" w:type="dxa"/>
            <w:noWrap w:val="0"/>
            <w:vAlign w:val="center"/>
          </w:tcPr>
          <w:p w14:paraId="5017D46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双柱式交通标志</w:t>
            </w:r>
          </w:p>
        </w:tc>
        <w:tc>
          <w:tcPr>
            <w:tcW w:w="749" w:type="dxa"/>
            <w:noWrap w:val="0"/>
            <w:vAlign w:val="center"/>
          </w:tcPr>
          <w:p w14:paraId="7866B79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039AF76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F3FA8E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82A3AE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367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875891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604-3</w:t>
            </w:r>
          </w:p>
        </w:tc>
        <w:tc>
          <w:tcPr>
            <w:tcW w:w="4732" w:type="dxa"/>
            <w:noWrap w:val="0"/>
            <w:vAlign w:val="center"/>
          </w:tcPr>
          <w:p w14:paraId="49B9C39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三柱式交通标志</w:t>
            </w:r>
          </w:p>
        </w:tc>
        <w:tc>
          <w:tcPr>
            <w:tcW w:w="749" w:type="dxa"/>
            <w:noWrap w:val="0"/>
            <w:vAlign w:val="center"/>
          </w:tcPr>
          <w:p w14:paraId="59045AC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45ED11E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95AF5B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031147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93C6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80C27E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604-4</w:t>
            </w:r>
          </w:p>
        </w:tc>
        <w:tc>
          <w:tcPr>
            <w:tcW w:w="4732" w:type="dxa"/>
            <w:noWrap w:val="0"/>
            <w:vAlign w:val="center"/>
          </w:tcPr>
          <w:p w14:paraId="5772002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门架式交通标志</w:t>
            </w:r>
          </w:p>
        </w:tc>
        <w:tc>
          <w:tcPr>
            <w:tcW w:w="749" w:type="dxa"/>
            <w:noWrap w:val="0"/>
            <w:vAlign w:val="center"/>
          </w:tcPr>
          <w:p w14:paraId="38B656F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2657266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21954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EADC04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6AE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9B0401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604-5</w:t>
            </w:r>
          </w:p>
        </w:tc>
        <w:tc>
          <w:tcPr>
            <w:tcW w:w="4732" w:type="dxa"/>
            <w:noWrap w:val="0"/>
            <w:vAlign w:val="center"/>
          </w:tcPr>
          <w:p w14:paraId="373A53B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单悬臂式交通标志</w:t>
            </w:r>
          </w:p>
        </w:tc>
        <w:tc>
          <w:tcPr>
            <w:tcW w:w="749" w:type="dxa"/>
            <w:noWrap w:val="0"/>
            <w:vAlign w:val="center"/>
          </w:tcPr>
          <w:p w14:paraId="76B078F0">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5A3D37E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2066ED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FBCCB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E66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916A1D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604-6</w:t>
            </w:r>
          </w:p>
        </w:tc>
        <w:tc>
          <w:tcPr>
            <w:tcW w:w="4732" w:type="dxa"/>
            <w:noWrap w:val="0"/>
            <w:vAlign w:val="center"/>
          </w:tcPr>
          <w:p w14:paraId="79F11A0F">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双悬臂式交通标志</w:t>
            </w:r>
          </w:p>
        </w:tc>
        <w:tc>
          <w:tcPr>
            <w:tcW w:w="749" w:type="dxa"/>
            <w:noWrap w:val="0"/>
            <w:vAlign w:val="center"/>
          </w:tcPr>
          <w:p w14:paraId="463A283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7CA567F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083C43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CDACB7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944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8B0EA3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604-7</w:t>
            </w:r>
          </w:p>
        </w:tc>
        <w:tc>
          <w:tcPr>
            <w:tcW w:w="4732" w:type="dxa"/>
            <w:noWrap w:val="0"/>
            <w:vAlign w:val="center"/>
          </w:tcPr>
          <w:p w14:paraId="5023795A">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附着式交通标志</w:t>
            </w:r>
          </w:p>
        </w:tc>
        <w:tc>
          <w:tcPr>
            <w:tcW w:w="749" w:type="dxa"/>
            <w:noWrap w:val="0"/>
            <w:vAlign w:val="center"/>
          </w:tcPr>
          <w:p w14:paraId="363FECC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02A0D88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B06449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FE9927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39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7596BADF">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第600章   安全设施及预埋管线</w:t>
            </w:r>
          </w:p>
        </w:tc>
      </w:tr>
      <w:tr w14:paraId="43D8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1AA591A8">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center"/>
          </w:tcPr>
          <w:p w14:paraId="09D0CC31">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center"/>
          </w:tcPr>
          <w:p w14:paraId="2105E164">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426C5ED8">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16AF7D16">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279C2215">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3415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8FF675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604-8</w:t>
            </w:r>
          </w:p>
        </w:tc>
        <w:tc>
          <w:tcPr>
            <w:tcW w:w="4732" w:type="dxa"/>
            <w:noWrap w:val="0"/>
            <w:vAlign w:val="center"/>
          </w:tcPr>
          <w:p w14:paraId="38AD4082">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里程碑</w:t>
            </w:r>
          </w:p>
        </w:tc>
        <w:tc>
          <w:tcPr>
            <w:tcW w:w="749" w:type="dxa"/>
            <w:noWrap w:val="0"/>
            <w:vAlign w:val="center"/>
          </w:tcPr>
          <w:p w14:paraId="23C90CC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679FE4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9275E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1B3E7B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259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930032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604-9</w:t>
            </w:r>
          </w:p>
        </w:tc>
        <w:tc>
          <w:tcPr>
            <w:tcW w:w="4732" w:type="dxa"/>
            <w:noWrap w:val="0"/>
            <w:vAlign w:val="center"/>
          </w:tcPr>
          <w:p w14:paraId="589E0D1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公路界碑</w:t>
            </w:r>
          </w:p>
        </w:tc>
        <w:tc>
          <w:tcPr>
            <w:tcW w:w="749" w:type="dxa"/>
            <w:noWrap w:val="0"/>
            <w:vAlign w:val="center"/>
          </w:tcPr>
          <w:p w14:paraId="3450875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7EDFED7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CD072F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68AAC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290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FDDAFA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604-10</w:t>
            </w:r>
          </w:p>
        </w:tc>
        <w:tc>
          <w:tcPr>
            <w:tcW w:w="4732" w:type="dxa"/>
            <w:noWrap w:val="0"/>
            <w:vAlign w:val="center"/>
          </w:tcPr>
          <w:p w14:paraId="0D79060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百米桩</w:t>
            </w:r>
          </w:p>
        </w:tc>
        <w:tc>
          <w:tcPr>
            <w:tcW w:w="749" w:type="dxa"/>
            <w:noWrap w:val="0"/>
            <w:vAlign w:val="center"/>
          </w:tcPr>
          <w:p w14:paraId="4D1A49D9">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600270A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100BC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F1FF86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D192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99C532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604-11</w:t>
            </w:r>
          </w:p>
        </w:tc>
        <w:tc>
          <w:tcPr>
            <w:tcW w:w="4732" w:type="dxa"/>
            <w:noWrap w:val="0"/>
            <w:vAlign w:val="center"/>
          </w:tcPr>
          <w:p w14:paraId="727DA748">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防撞桶</w:t>
            </w:r>
          </w:p>
        </w:tc>
        <w:tc>
          <w:tcPr>
            <w:tcW w:w="749" w:type="dxa"/>
            <w:noWrap w:val="0"/>
            <w:vAlign w:val="center"/>
          </w:tcPr>
          <w:p w14:paraId="0F1CA3F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4AA8701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077AB6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E60753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9D99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02D21D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604-12</w:t>
            </w:r>
          </w:p>
        </w:tc>
        <w:tc>
          <w:tcPr>
            <w:tcW w:w="4732" w:type="dxa"/>
            <w:noWrap w:val="0"/>
            <w:vAlign w:val="center"/>
          </w:tcPr>
          <w:p w14:paraId="1825BC87">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锥形桶</w:t>
            </w:r>
          </w:p>
        </w:tc>
        <w:tc>
          <w:tcPr>
            <w:tcW w:w="749" w:type="dxa"/>
            <w:noWrap w:val="0"/>
            <w:vAlign w:val="center"/>
          </w:tcPr>
          <w:p w14:paraId="75C02E9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75010F3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44B55C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C305A9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6D8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A9A647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604-13</w:t>
            </w:r>
          </w:p>
        </w:tc>
        <w:tc>
          <w:tcPr>
            <w:tcW w:w="4732" w:type="dxa"/>
            <w:noWrap w:val="0"/>
            <w:vAlign w:val="center"/>
          </w:tcPr>
          <w:p w14:paraId="146105FE">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szCs w:val="21"/>
                <w:highlight w:val="none"/>
              </w:rPr>
              <w:t>道路反光镜</w:t>
            </w:r>
          </w:p>
        </w:tc>
        <w:tc>
          <w:tcPr>
            <w:tcW w:w="749" w:type="dxa"/>
            <w:noWrap w:val="0"/>
            <w:vAlign w:val="center"/>
          </w:tcPr>
          <w:p w14:paraId="1430D99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26F863F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F5917C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B84504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440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9550B5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605</w:t>
            </w:r>
          </w:p>
        </w:tc>
        <w:tc>
          <w:tcPr>
            <w:tcW w:w="4732" w:type="dxa"/>
            <w:noWrap w:val="0"/>
            <w:vAlign w:val="center"/>
          </w:tcPr>
          <w:p w14:paraId="10406504">
            <w:pPr>
              <w:pageBreakBefore w:val="0"/>
              <w:widowControl/>
              <w:kinsoku/>
              <w:wordWrap w:val="0"/>
              <w:bidi w:val="0"/>
              <w:spacing w:line="360" w:lineRule="atLeas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道路交通标线</w:t>
            </w:r>
          </w:p>
        </w:tc>
        <w:tc>
          <w:tcPr>
            <w:tcW w:w="749" w:type="dxa"/>
            <w:noWrap w:val="0"/>
            <w:vAlign w:val="top"/>
          </w:tcPr>
          <w:p w14:paraId="0DE0A4A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EC2765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9100C6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63F24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DC6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30201B8">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60</w:t>
            </w:r>
            <w:r>
              <w:rPr>
                <w:rFonts w:hint="default" w:ascii="Times New Roman" w:hAnsi="Times New Roman" w:cs="Times New Roman"/>
                <w:color w:val="auto"/>
                <w:szCs w:val="21"/>
                <w:highlight w:val="none"/>
              </w:rPr>
              <w:t>5-1</w:t>
            </w:r>
          </w:p>
        </w:tc>
        <w:tc>
          <w:tcPr>
            <w:tcW w:w="4732" w:type="dxa"/>
            <w:noWrap w:val="0"/>
            <w:vAlign w:val="top"/>
          </w:tcPr>
          <w:p w14:paraId="272C0422">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热熔型涂料路面标线</w:t>
            </w:r>
          </w:p>
        </w:tc>
        <w:tc>
          <w:tcPr>
            <w:tcW w:w="749" w:type="dxa"/>
            <w:noWrap w:val="0"/>
            <w:vAlign w:val="top"/>
          </w:tcPr>
          <w:p w14:paraId="72F77A8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117D37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4182E8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9B8553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071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132CB1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07EC4F86">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9" w:type="dxa"/>
            <w:noWrap w:val="0"/>
            <w:vAlign w:val="top"/>
          </w:tcPr>
          <w:p w14:paraId="65109E1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0FCDD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AD8FA1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9AAAE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0A6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0C1444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605-2</w:t>
            </w:r>
          </w:p>
        </w:tc>
        <w:tc>
          <w:tcPr>
            <w:tcW w:w="4732" w:type="dxa"/>
            <w:noWrap w:val="0"/>
            <w:vAlign w:val="center"/>
          </w:tcPr>
          <w:p w14:paraId="0083E93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溶剂型涂料路面标线</w:t>
            </w:r>
          </w:p>
        </w:tc>
        <w:tc>
          <w:tcPr>
            <w:tcW w:w="749" w:type="dxa"/>
            <w:noWrap w:val="0"/>
            <w:vAlign w:val="top"/>
          </w:tcPr>
          <w:p w14:paraId="338B6FC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B0AA75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41639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BE441A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9D5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55D50D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6BAD6B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9" w:type="dxa"/>
            <w:noWrap w:val="0"/>
            <w:vAlign w:val="top"/>
          </w:tcPr>
          <w:p w14:paraId="6642C01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621475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7C77B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6AC489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B2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2318C20">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605-3</w:t>
            </w:r>
          </w:p>
        </w:tc>
        <w:tc>
          <w:tcPr>
            <w:tcW w:w="4732" w:type="dxa"/>
            <w:noWrap w:val="0"/>
            <w:vAlign w:val="center"/>
          </w:tcPr>
          <w:p w14:paraId="4587F4B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预成型标线带</w:t>
            </w:r>
          </w:p>
        </w:tc>
        <w:tc>
          <w:tcPr>
            <w:tcW w:w="749" w:type="dxa"/>
            <w:noWrap w:val="0"/>
            <w:vAlign w:val="top"/>
          </w:tcPr>
          <w:p w14:paraId="6A01083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C43465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D696C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FE65B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679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03E2EA2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626C9D24">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9" w:type="dxa"/>
            <w:noWrap w:val="0"/>
            <w:vAlign w:val="top"/>
          </w:tcPr>
          <w:p w14:paraId="272C28D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42024DC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BB11DB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264CC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BF9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ECA3373">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60</w:t>
            </w:r>
            <w:r>
              <w:rPr>
                <w:rFonts w:hint="default" w:ascii="Times New Roman" w:hAnsi="Times New Roman" w:cs="Times New Roman"/>
                <w:color w:val="auto"/>
                <w:szCs w:val="21"/>
                <w:highlight w:val="none"/>
              </w:rPr>
              <w:t>5-4</w:t>
            </w:r>
          </w:p>
        </w:tc>
        <w:tc>
          <w:tcPr>
            <w:tcW w:w="4732" w:type="dxa"/>
            <w:noWrap w:val="0"/>
            <w:vAlign w:val="top"/>
          </w:tcPr>
          <w:p w14:paraId="49925146">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突起路标</w:t>
            </w:r>
          </w:p>
        </w:tc>
        <w:tc>
          <w:tcPr>
            <w:tcW w:w="749" w:type="dxa"/>
            <w:noWrap w:val="0"/>
            <w:vAlign w:val="top"/>
          </w:tcPr>
          <w:p w14:paraId="6957B38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4F0F6ED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1FE4B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C892F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67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9FA0F9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60</w:t>
            </w:r>
            <w:r>
              <w:rPr>
                <w:rFonts w:hint="default" w:ascii="Times New Roman" w:hAnsi="Times New Roman" w:cs="Times New Roman"/>
                <w:color w:val="auto"/>
                <w:szCs w:val="21"/>
                <w:highlight w:val="none"/>
              </w:rPr>
              <w:t>5-5</w:t>
            </w:r>
          </w:p>
        </w:tc>
        <w:tc>
          <w:tcPr>
            <w:tcW w:w="4732" w:type="dxa"/>
            <w:noWrap w:val="0"/>
            <w:vAlign w:val="top"/>
          </w:tcPr>
          <w:p w14:paraId="0058E5B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轮廓标</w:t>
            </w:r>
          </w:p>
        </w:tc>
        <w:tc>
          <w:tcPr>
            <w:tcW w:w="749" w:type="dxa"/>
            <w:noWrap w:val="0"/>
            <w:vAlign w:val="top"/>
          </w:tcPr>
          <w:p w14:paraId="6EFBCA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9981D2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BC02FB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57EC15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23D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864" w:type="dxa"/>
            <w:tcBorders>
              <w:left w:val="single" w:color="auto" w:sz="12" w:space="0"/>
            </w:tcBorders>
            <w:noWrap w:val="0"/>
            <w:vAlign w:val="top"/>
          </w:tcPr>
          <w:p w14:paraId="4B589EA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6F80802B">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柱式轮廓标</w:t>
            </w:r>
          </w:p>
        </w:tc>
        <w:tc>
          <w:tcPr>
            <w:tcW w:w="749" w:type="dxa"/>
            <w:noWrap w:val="0"/>
            <w:vAlign w:val="top"/>
          </w:tcPr>
          <w:p w14:paraId="463074A7">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29D594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83D5FE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F3D69A">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D52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B98893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0F8C37B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附着式轮廓标</w:t>
            </w:r>
          </w:p>
        </w:tc>
        <w:tc>
          <w:tcPr>
            <w:tcW w:w="749" w:type="dxa"/>
            <w:noWrap w:val="0"/>
            <w:vAlign w:val="top"/>
          </w:tcPr>
          <w:p w14:paraId="54B865D7">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22BB9A8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E2AC1C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555D63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7831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87C8F8C">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605-6</w:t>
            </w:r>
          </w:p>
        </w:tc>
        <w:tc>
          <w:tcPr>
            <w:tcW w:w="4732" w:type="dxa"/>
            <w:noWrap w:val="0"/>
            <w:vAlign w:val="center"/>
          </w:tcPr>
          <w:p w14:paraId="7D9281EF">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立面标记</w:t>
            </w:r>
          </w:p>
        </w:tc>
        <w:tc>
          <w:tcPr>
            <w:tcW w:w="749" w:type="dxa"/>
            <w:noWrap w:val="0"/>
            <w:vAlign w:val="center"/>
          </w:tcPr>
          <w:p w14:paraId="00EE121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处</w:t>
            </w:r>
          </w:p>
        </w:tc>
        <w:tc>
          <w:tcPr>
            <w:tcW w:w="837" w:type="dxa"/>
            <w:noWrap w:val="0"/>
            <w:vAlign w:val="center"/>
          </w:tcPr>
          <w:p w14:paraId="3C54D9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CF8AD4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174D9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09A1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CE386AD">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605-7</w:t>
            </w:r>
          </w:p>
        </w:tc>
        <w:tc>
          <w:tcPr>
            <w:tcW w:w="4732" w:type="dxa"/>
            <w:noWrap w:val="0"/>
            <w:vAlign w:val="center"/>
          </w:tcPr>
          <w:p w14:paraId="4EE71F11">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锥形路标</w:t>
            </w:r>
          </w:p>
        </w:tc>
        <w:tc>
          <w:tcPr>
            <w:tcW w:w="749" w:type="dxa"/>
            <w:noWrap w:val="0"/>
            <w:vAlign w:val="center"/>
          </w:tcPr>
          <w:p w14:paraId="7F773FD7">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个</w:t>
            </w:r>
          </w:p>
        </w:tc>
        <w:tc>
          <w:tcPr>
            <w:tcW w:w="837" w:type="dxa"/>
            <w:noWrap w:val="0"/>
            <w:vAlign w:val="center"/>
          </w:tcPr>
          <w:p w14:paraId="49679F8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173790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BF2C49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5C1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3922C363">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605-8</w:t>
            </w:r>
          </w:p>
        </w:tc>
        <w:tc>
          <w:tcPr>
            <w:tcW w:w="4732" w:type="dxa"/>
            <w:noWrap w:val="0"/>
            <w:vAlign w:val="center"/>
          </w:tcPr>
          <w:p w14:paraId="4AF8EE53">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减速带</w:t>
            </w:r>
          </w:p>
        </w:tc>
        <w:tc>
          <w:tcPr>
            <w:tcW w:w="749" w:type="dxa"/>
            <w:noWrap w:val="0"/>
            <w:vAlign w:val="center"/>
          </w:tcPr>
          <w:p w14:paraId="334D3D7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32450B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046E08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158651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C09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AD57A4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605-9</w:t>
            </w:r>
          </w:p>
        </w:tc>
        <w:tc>
          <w:tcPr>
            <w:tcW w:w="4732" w:type="dxa"/>
            <w:noWrap w:val="0"/>
            <w:vAlign w:val="center"/>
          </w:tcPr>
          <w:p w14:paraId="2F842CB4">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铲除原有路面标线</w:t>
            </w:r>
          </w:p>
        </w:tc>
        <w:tc>
          <w:tcPr>
            <w:tcW w:w="749" w:type="dxa"/>
            <w:noWrap w:val="0"/>
            <w:vAlign w:val="center"/>
          </w:tcPr>
          <w:p w14:paraId="3F39BC20">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2DF60C5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8EB69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77BCC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3B5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3902AF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606</w:t>
            </w:r>
          </w:p>
        </w:tc>
        <w:tc>
          <w:tcPr>
            <w:tcW w:w="4732" w:type="dxa"/>
            <w:noWrap w:val="0"/>
            <w:vAlign w:val="center"/>
          </w:tcPr>
          <w:p w14:paraId="5A09574C">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防眩设施</w:t>
            </w:r>
          </w:p>
        </w:tc>
        <w:tc>
          <w:tcPr>
            <w:tcW w:w="749" w:type="dxa"/>
            <w:noWrap w:val="0"/>
            <w:vAlign w:val="center"/>
          </w:tcPr>
          <w:p w14:paraId="58B3D218">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p>
        </w:tc>
        <w:tc>
          <w:tcPr>
            <w:tcW w:w="837" w:type="dxa"/>
            <w:noWrap w:val="0"/>
            <w:vAlign w:val="center"/>
          </w:tcPr>
          <w:p w14:paraId="2DE7795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136D7F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279CF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51F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1A98D2F">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606-1</w:t>
            </w:r>
          </w:p>
        </w:tc>
        <w:tc>
          <w:tcPr>
            <w:tcW w:w="4732" w:type="dxa"/>
            <w:noWrap w:val="0"/>
            <w:vAlign w:val="center"/>
          </w:tcPr>
          <w:p w14:paraId="3C37E135">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防眩板</w:t>
            </w:r>
          </w:p>
        </w:tc>
        <w:tc>
          <w:tcPr>
            <w:tcW w:w="749" w:type="dxa"/>
            <w:noWrap w:val="0"/>
            <w:vAlign w:val="center"/>
          </w:tcPr>
          <w:p w14:paraId="3D443A31">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块</w:t>
            </w:r>
          </w:p>
        </w:tc>
        <w:tc>
          <w:tcPr>
            <w:tcW w:w="837" w:type="dxa"/>
            <w:noWrap w:val="0"/>
            <w:vAlign w:val="center"/>
          </w:tcPr>
          <w:p w14:paraId="763502F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E89247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3551D2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AA5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3581884">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606-2</w:t>
            </w:r>
          </w:p>
        </w:tc>
        <w:tc>
          <w:tcPr>
            <w:tcW w:w="4732" w:type="dxa"/>
            <w:noWrap w:val="0"/>
            <w:vAlign w:val="center"/>
          </w:tcPr>
          <w:p w14:paraId="57FF8D5A">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防眩网</w:t>
            </w:r>
          </w:p>
        </w:tc>
        <w:tc>
          <w:tcPr>
            <w:tcW w:w="749" w:type="dxa"/>
            <w:noWrap w:val="0"/>
            <w:vAlign w:val="center"/>
          </w:tcPr>
          <w:p w14:paraId="286D690E">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2E86D44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64BDF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645988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8CB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94A5852">
            <w:pPr>
              <w:pageBreakBefore w:val="0"/>
              <w:widowControl/>
              <w:kinsoku/>
              <w:wordWrap w:val="0"/>
              <w:bidi w:val="0"/>
              <w:spacing w:line="36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607</w:t>
            </w:r>
          </w:p>
        </w:tc>
        <w:tc>
          <w:tcPr>
            <w:tcW w:w="4732" w:type="dxa"/>
            <w:noWrap w:val="0"/>
            <w:vAlign w:val="center"/>
          </w:tcPr>
          <w:p w14:paraId="535AF480">
            <w:pPr>
              <w:pageBreakBefore w:val="0"/>
              <w:widowControl/>
              <w:kinsoku/>
              <w:wordWrap w:val="0"/>
              <w:bidi w:val="0"/>
              <w:spacing w:line="36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通信和电力管道与预埋（预留）基础</w:t>
            </w:r>
          </w:p>
        </w:tc>
        <w:tc>
          <w:tcPr>
            <w:tcW w:w="749" w:type="dxa"/>
            <w:noWrap w:val="0"/>
            <w:vAlign w:val="top"/>
          </w:tcPr>
          <w:p w14:paraId="1A4C04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BFBCD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8AECCF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E31064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328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83E78D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60</w:t>
            </w:r>
            <w:r>
              <w:rPr>
                <w:rFonts w:hint="default" w:ascii="Times New Roman" w:hAnsi="Times New Roman" w:cs="Times New Roman"/>
                <w:color w:val="auto"/>
                <w:szCs w:val="21"/>
                <w:highlight w:val="none"/>
              </w:rPr>
              <w:t>7-1</w:t>
            </w:r>
          </w:p>
        </w:tc>
        <w:tc>
          <w:tcPr>
            <w:tcW w:w="4732" w:type="dxa"/>
            <w:noWrap w:val="0"/>
            <w:vAlign w:val="top"/>
          </w:tcPr>
          <w:p w14:paraId="6C00EDB4">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人（手）孔</w:t>
            </w:r>
          </w:p>
        </w:tc>
        <w:tc>
          <w:tcPr>
            <w:tcW w:w="749" w:type="dxa"/>
            <w:noWrap w:val="0"/>
            <w:vAlign w:val="top"/>
          </w:tcPr>
          <w:p w14:paraId="1CC2E5D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12D9716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EDCB32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550197E">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FEF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99CBB2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60</w:t>
            </w:r>
            <w:r>
              <w:rPr>
                <w:rFonts w:hint="default" w:ascii="Times New Roman" w:hAnsi="Times New Roman" w:cs="Times New Roman"/>
                <w:color w:val="auto"/>
                <w:szCs w:val="21"/>
                <w:highlight w:val="none"/>
              </w:rPr>
              <w:t>7-2</w:t>
            </w:r>
          </w:p>
        </w:tc>
        <w:tc>
          <w:tcPr>
            <w:tcW w:w="4732" w:type="dxa"/>
            <w:noWrap w:val="0"/>
            <w:vAlign w:val="top"/>
          </w:tcPr>
          <w:p w14:paraId="7006EAB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紧急电话平台</w:t>
            </w:r>
          </w:p>
        </w:tc>
        <w:tc>
          <w:tcPr>
            <w:tcW w:w="749" w:type="dxa"/>
            <w:noWrap w:val="0"/>
            <w:vAlign w:val="top"/>
          </w:tcPr>
          <w:p w14:paraId="54CF361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6FFCF4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7968E8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964090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0F0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F35305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eastAsia="黑体" w:cs="Times New Roman"/>
                <w:color w:val="auto"/>
                <w:szCs w:val="21"/>
                <w:highlight w:val="none"/>
              </w:rPr>
              <w:t>60</w:t>
            </w:r>
            <w:r>
              <w:rPr>
                <w:rFonts w:hint="default" w:ascii="Times New Roman" w:hAnsi="Times New Roman" w:cs="Times New Roman"/>
                <w:color w:val="auto"/>
                <w:szCs w:val="21"/>
                <w:highlight w:val="none"/>
              </w:rPr>
              <w:t>7-3</w:t>
            </w:r>
          </w:p>
        </w:tc>
        <w:tc>
          <w:tcPr>
            <w:tcW w:w="4732" w:type="dxa"/>
            <w:noWrap w:val="0"/>
            <w:vAlign w:val="top"/>
          </w:tcPr>
          <w:p w14:paraId="1786CB3A">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管道工程</w:t>
            </w:r>
          </w:p>
        </w:tc>
        <w:tc>
          <w:tcPr>
            <w:tcW w:w="749" w:type="dxa"/>
            <w:noWrap w:val="0"/>
            <w:vAlign w:val="top"/>
          </w:tcPr>
          <w:p w14:paraId="3B5A268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D11923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A0327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510A63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A01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6DDB9AD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608</w:t>
            </w:r>
          </w:p>
        </w:tc>
        <w:tc>
          <w:tcPr>
            <w:tcW w:w="4732" w:type="dxa"/>
            <w:noWrap w:val="0"/>
            <w:vAlign w:val="center"/>
          </w:tcPr>
          <w:p w14:paraId="2C1D997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kern w:val="0"/>
                <w:szCs w:val="21"/>
                <w:highlight w:val="none"/>
              </w:rPr>
              <w:t>收费设施及地下管道</w:t>
            </w:r>
          </w:p>
        </w:tc>
        <w:tc>
          <w:tcPr>
            <w:tcW w:w="749" w:type="dxa"/>
            <w:noWrap w:val="0"/>
            <w:vAlign w:val="top"/>
          </w:tcPr>
          <w:p w14:paraId="3165BB2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654450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81779A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A15AAC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B9D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7A99971">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608-1</w:t>
            </w:r>
          </w:p>
        </w:tc>
        <w:tc>
          <w:tcPr>
            <w:tcW w:w="4732" w:type="dxa"/>
            <w:noWrap w:val="0"/>
            <w:vAlign w:val="top"/>
          </w:tcPr>
          <w:p w14:paraId="2C088FAD">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收费亭</w:t>
            </w:r>
          </w:p>
        </w:tc>
        <w:tc>
          <w:tcPr>
            <w:tcW w:w="749" w:type="dxa"/>
            <w:noWrap w:val="0"/>
            <w:vAlign w:val="top"/>
          </w:tcPr>
          <w:p w14:paraId="399BCF4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63A7D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7A499C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F2FDB3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D7A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E35AAA8">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0A7AA2A">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单人收费亭</w:t>
            </w:r>
          </w:p>
        </w:tc>
        <w:tc>
          <w:tcPr>
            <w:tcW w:w="749" w:type="dxa"/>
            <w:noWrap w:val="0"/>
            <w:vAlign w:val="top"/>
          </w:tcPr>
          <w:p w14:paraId="6351E237">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78D0291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1A18E1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9A1E16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324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3A9EA20">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6E91493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双人收费亭</w:t>
            </w:r>
          </w:p>
        </w:tc>
        <w:tc>
          <w:tcPr>
            <w:tcW w:w="749" w:type="dxa"/>
            <w:noWrap w:val="0"/>
            <w:vAlign w:val="top"/>
          </w:tcPr>
          <w:p w14:paraId="5000F08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7810853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1A9ADC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648B494">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594D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643C79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608-2</w:t>
            </w:r>
          </w:p>
        </w:tc>
        <w:tc>
          <w:tcPr>
            <w:tcW w:w="4732" w:type="dxa"/>
            <w:noWrap w:val="0"/>
            <w:vAlign w:val="top"/>
          </w:tcPr>
          <w:p w14:paraId="0B50073B">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收费天棚</w:t>
            </w:r>
          </w:p>
        </w:tc>
        <w:tc>
          <w:tcPr>
            <w:tcW w:w="749" w:type="dxa"/>
            <w:noWrap w:val="0"/>
            <w:vAlign w:val="top"/>
          </w:tcPr>
          <w:p w14:paraId="02178348">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39EB572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31816C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CAF991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26D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4C9637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608-3</w:t>
            </w:r>
          </w:p>
        </w:tc>
        <w:tc>
          <w:tcPr>
            <w:tcW w:w="4732" w:type="dxa"/>
            <w:noWrap w:val="0"/>
            <w:vAlign w:val="top"/>
          </w:tcPr>
          <w:p w14:paraId="2309BF99">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收费岛</w:t>
            </w:r>
          </w:p>
        </w:tc>
        <w:tc>
          <w:tcPr>
            <w:tcW w:w="749" w:type="dxa"/>
            <w:noWrap w:val="0"/>
            <w:vAlign w:val="top"/>
          </w:tcPr>
          <w:p w14:paraId="782FFD8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FEE84D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F440F3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8EDEF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AA0B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A7A8F86">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0C63A4C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单向收费岛</w:t>
            </w:r>
          </w:p>
        </w:tc>
        <w:tc>
          <w:tcPr>
            <w:tcW w:w="749" w:type="dxa"/>
            <w:noWrap w:val="0"/>
            <w:vAlign w:val="top"/>
          </w:tcPr>
          <w:p w14:paraId="49A27E4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140A169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DFA6AE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706047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E82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3347879">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426B4E0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双向收费岛</w:t>
            </w:r>
          </w:p>
        </w:tc>
        <w:tc>
          <w:tcPr>
            <w:tcW w:w="749" w:type="dxa"/>
            <w:noWrap w:val="0"/>
            <w:vAlign w:val="top"/>
          </w:tcPr>
          <w:p w14:paraId="5EDCDB4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个</w:t>
            </w:r>
          </w:p>
        </w:tc>
        <w:tc>
          <w:tcPr>
            <w:tcW w:w="837" w:type="dxa"/>
            <w:noWrap w:val="0"/>
            <w:vAlign w:val="center"/>
          </w:tcPr>
          <w:p w14:paraId="4425CE0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C4FBC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BCCE6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929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E1E219B">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608-4</w:t>
            </w:r>
          </w:p>
        </w:tc>
        <w:tc>
          <w:tcPr>
            <w:tcW w:w="4732" w:type="dxa"/>
            <w:noWrap w:val="0"/>
            <w:vAlign w:val="top"/>
          </w:tcPr>
          <w:p w14:paraId="672FDB54">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地下通道</w:t>
            </w:r>
          </w:p>
        </w:tc>
        <w:tc>
          <w:tcPr>
            <w:tcW w:w="749" w:type="dxa"/>
            <w:noWrap w:val="0"/>
            <w:vAlign w:val="top"/>
          </w:tcPr>
          <w:p w14:paraId="4E75977D">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1F9D5D0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4F23A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C4AF36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ED5D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2BD90B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608-5</w:t>
            </w:r>
          </w:p>
        </w:tc>
        <w:tc>
          <w:tcPr>
            <w:tcW w:w="4732" w:type="dxa"/>
            <w:noWrap w:val="0"/>
            <w:vAlign w:val="top"/>
          </w:tcPr>
          <w:p w14:paraId="5F7557B3">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预埋管线</w:t>
            </w:r>
          </w:p>
        </w:tc>
        <w:tc>
          <w:tcPr>
            <w:tcW w:w="749" w:type="dxa"/>
            <w:noWrap w:val="0"/>
            <w:vAlign w:val="top"/>
          </w:tcPr>
          <w:p w14:paraId="60BF5A2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CDB4F4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6CC2C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71AC0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3EC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602A76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721C092E">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（管线规格）</w:t>
            </w:r>
          </w:p>
        </w:tc>
        <w:tc>
          <w:tcPr>
            <w:tcW w:w="749" w:type="dxa"/>
            <w:noWrap w:val="0"/>
            <w:vAlign w:val="top"/>
          </w:tcPr>
          <w:p w14:paraId="42AD3FE4">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7491FEC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DC65FD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5E3CB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30CC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7A786A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427FFCF0">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（管线规格）</w:t>
            </w:r>
          </w:p>
        </w:tc>
        <w:tc>
          <w:tcPr>
            <w:tcW w:w="749" w:type="dxa"/>
            <w:noWrap w:val="0"/>
            <w:vAlign w:val="top"/>
          </w:tcPr>
          <w:p w14:paraId="3A83FE5E">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421F79A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D2568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85D4B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BF1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E911CE5">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608-6</w:t>
            </w:r>
          </w:p>
        </w:tc>
        <w:tc>
          <w:tcPr>
            <w:tcW w:w="4732" w:type="dxa"/>
            <w:noWrap w:val="0"/>
            <w:vAlign w:val="top"/>
          </w:tcPr>
          <w:p w14:paraId="280AA68C">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架设管线</w:t>
            </w:r>
          </w:p>
        </w:tc>
        <w:tc>
          <w:tcPr>
            <w:tcW w:w="749" w:type="dxa"/>
            <w:noWrap w:val="0"/>
            <w:vAlign w:val="top"/>
          </w:tcPr>
          <w:p w14:paraId="1AB3C97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55CAB9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E6F54A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A22BD5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303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2C4B1A2">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1384E3F1">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（管线规格）</w:t>
            </w:r>
          </w:p>
        </w:tc>
        <w:tc>
          <w:tcPr>
            <w:tcW w:w="749" w:type="dxa"/>
            <w:noWrap w:val="0"/>
            <w:vAlign w:val="top"/>
          </w:tcPr>
          <w:p w14:paraId="4E8AFCAF">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4140188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E3E837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F6A158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1F1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7D46F4C">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6F390E05">
            <w:pPr>
              <w:pageBreakBefore w:val="0"/>
              <w:kinsoku/>
              <w:wordWrap w:val="0"/>
              <w:bidi w:val="0"/>
              <w:spacing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（管线规格）</w:t>
            </w:r>
          </w:p>
        </w:tc>
        <w:tc>
          <w:tcPr>
            <w:tcW w:w="749" w:type="dxa"/>
            <w:noWrap w:val="0"/>
            <w:vAlign w:val="top"/>
          </w:tcPr>
          <w:p w14:paraId="2BB4F7FA">
            <w:pPr>
              <w:pageBreakBefore w:val="0"/>
              <w:kinsoku/>
              <w:wordWrap w:val="0"/>
              <w:bidi w:val="0"/>
              <w:spacing w:line="36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54A2167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DA6B01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01C8C8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7B4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027C57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42F66509">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32C0ED2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898C5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577E2C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F9FC7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49EF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86D262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19902531">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4CAAB7C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1C9DDB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AF32AA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961F05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273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67B02E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42283C01">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6BFCFEC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F93C65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5CE315D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1E694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0CD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1F6324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39A910E2">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292DF5B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DB71B0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04E0B0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625C76">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815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33662A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0B6C5A24">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21EC2F2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0696DD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E688F5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904AFCF">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78EE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80A661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5F57C785">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5BBDB0C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CF9CE9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35B02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5290FD1">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D7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EBD39E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7199F645">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565E7F6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CB7CB32">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EABE0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CBAEB6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2D3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B9510E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7FB5B4EE">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7D56F36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C30D8D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07C240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A4668A0">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52B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FC3F9F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60B9EEA2">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47E453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35D47B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E03C6A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80FB84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DD7A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C89264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2AC676B0">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5AFAA38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5ACDCF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230FB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438A92">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872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469924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1F9D5F65">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769DB3D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DA5492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9C40C5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07915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3626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0CD3E7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423863BD">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5A76300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B3B8D8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1105B1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63D8BE9">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96A5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46CC0E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7927C6FC">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282FB01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E4B689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B4BE5E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A7F849C">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AA6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37C60F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33FDFE11">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5890912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9B707CF">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4E8DA5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F26FC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166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2EDE2B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29B360BE">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480374E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90C57B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953441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7A3F36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403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4932E33">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1508DD76">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3028D6B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35A0BAB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FA5B8D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9EEB975">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2CB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FB0539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2459708C">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26C99778">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AF1439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17E384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D960BC3">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63D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9E8BD4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48A54292">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5A80108C">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C611E0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6BB33F5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1E8DBFB">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12D9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04CA849">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63BA3924">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2A5D2AC6">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55EBFA1">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4F9517F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B754F97">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5958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77F2660">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4F0BD231">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3D25BC85">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2895577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7B5CE35E">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614446D">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0218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2C5627D">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1F803483">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2EC3F00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B9D13C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25DD7DA">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701AE9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6B3E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1B06534">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4732" w:type="dxa"/>
            <w:noWrap w:val="0"/>
            <w:vAlign w:val="top"/>
          </w:tcPr>
          <w:p w14:paraId="69FB36C5">
            <w:pPr>
              <w:pageBreakBefore w:val="0"/>
              <w:kinsoku/>
              <w:wordWrap w:val="0"/>
              <w:bidi w:val="0"/>
              <w:spacing w:line="360" w:lineRule="atLeast"/>
              <w:rPr>
                <w:rFonts w:hint="default" w:ascii="Times New Roman" w:hAnsi="Times New Roman" w:cs="Times New Roman"/>
                <w:color w:val="auto"/>
                <w:szCs w:val="21"/>
                <w:highlight w:val="none"/>
              </w:rPr>
            </w:pPr>
          </w:p>
        </w:tc>
        <w:tc>
          <w:tcPr>
            <w:tcW w:w="749" w:type="dxa"/>
            <w:noWrap w:val="0"/>
            <w:vAlign w:val="top"/>
          </w:tcPr>
          <w:p w14:paraId="02E7455B">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14C2092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noWrap w:val="0"/>
            <w:vAlign w:val="center"/>
          </w:tcPr>
          <w:p w14:paraId="04832607">
            <w:pPr>
              <w:pageBreakBefore w:val="0"/>
              <w:kinsoku/>
              <w:wordWrap w:val="0"/>
              <w:bidi w:val="0"/>
              <w:spacing w:line="36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0EE4388">
            <w:pPr>
              <w:pageBreakBefore w:val="0"/>
              <w:kinsoku/>
              <w:wordWrap w:val="0"/>
              <w:bidi w:val="0"/>
              <w:spacing w:line="360" w:lineRule="atLeast"/>
              <w:jc w:val="center"/>
              <w:rPr>
                <w:rFonts w:hint="default" w:ascii="Times New Roman" w:hAnsi="Times New Roman" w:cs="Times New Roman"/>
                <w:color w:val="auto"/>
                <w:szCs w:val="21"/>
                <w:highlight w:val="none"/>
              </w:rPr>
            </w:pPr>
          </w:p>
        </w:tc>
      </w:tr>
      <w:tr w14:paraId="2733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8856" w:type="dxa"/>
            <w:gridSpan w:val="6"/>
            <w:tcBorders>
              <w:left w:val="single" w:color="auto" w:sz="12" w:space="0"/>
              <w:bottom w:val="single" w:color="auto" w:sz="12" w:space="0"/>
              <w:right w:val="single" w:color="auto" w:sz="12" w:space="0"/>
            </w:tcBorders>
            <w:noWrap w:val="0"/>
            <w:vAlign w:val="center"/>
          </w:tcPr>
          <w:p w14:paraId="291D41BA">
            <w:pPr>
              <w:pageBreakBefore w:val="0"/>
              <w:kinsoku/>
              <w:wordWrap w:val="0"/>
              <w:bidi w:val="0"/>
              <w:spacing w:line="360" w:lineRule="atLeast"/>
              <w:jc w:val="center"/>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清单第600章合计  人民币</w:t>
            </w:r>
            <w:r>
              <w:rPr>
                <w:rFonts w:hint="default" w:ascii="Times New Roman" w:hAnsi="Times New Roman" w:cs="Times New Roman"/>
                <w:color w:val="auto"/>
                <w:szCs w:val="21"/>
                <w:highlight w:val="none"/>
                <w:u w:val="single"/>
              </w:rPr>
              <w:t xml:space="preserve">                    </w:t>
            </w:r>
          </w:p>
        </w:tc>
      </w:tr>
    </w:tbl>
    <w:p w14:paraId="1F25B896">
      <w:pPr>
        <w:pageBreakBefore w:val="0"/>
        <w:kinsoku/>
        <w:wordWrap w:val="0"/>
        <w:bidi w:val="0"/>
        <w:jc w:val="center"/>
        <w:rPr>
          <w:rFonts w:hint="default" w:ascii="Times New Roman" w:hAnsi="Times New Roman" w:eastAsia="黑体" w:cs="Times New Roman"/>
          <w:color w:val="auto"/>
          <w:sz w:val="28"/>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8"/>
          <w:highlight w:val="none"/>
        </w:rPr>
        <w:t>工 程 量 清 单</w:t>
      </w:r>
    </w:p>
    <w:p w14:paraId="5F580CE6">
      <w:pPr>
        <w:pageBreakBefore w:val="0"/>
        <w:kinsoku/>
        <w:wordWrap w:val="0"/>
        <w:bidi w:val="0"/>
        <w:jc w:val="center"/>
        <w:rPr>
          <w:rFonts w:hint="default" w:ascii="Times New Roman" w:hAnsi="Times New Roman" w:cs="Times New Roman"/>
          <w:color w:val="auto"/>
          <w:sz w:val="24"/>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4732"/>
        <w:gridCol w:w="749"/>
        <w:gridCol w:w="837"/>
        <w:gridCol w:w="837"/>
        <w:gridCol w:w="837"/>
      </w:tblGrid>
      <w:tr w14:paraId="24E2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856" w:type="dxa"/>
            <w:gridSpan w:val="6"/>
            <w:tcBorders>
              <w:top w:val="single" w:color="auto" w:sz="12" w:space="0"/>
              <w:left w:val="single" w:color="auto" w:sz="12" w:space="0"/>
              <w:bottom w:val="single" w:color="auto" w:sz="8" w:space="0"/>
              <w:right w:val="single" w:color="auto" w:sz="12" w:space="0"/>
            </w:tcBorders>
            <w:noWrap w:val="0"/>
            <w:vAlign w:val="center"/>
          </w:tcPr>
          <w:p w14:paraId="4EB3BFA3">
            <w:pPr>
              <w:pageBreakBefore w:val="0"/>
              <w:kinsoku/>
              <w:wordWrap w:val="0"/>
              <w:bidi w:val="0"/>
              <w:spacing w:before="120" w:after="120" w:line="36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   第700章   绿化及环境保护设施</w:t>
            </w:r>
          </w:p>
        </w:tc>
      </w:tr>
      <w:tr w14:paraId="68B03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4" w:type="dxa"/>
            <w:tcBorders>
              <w:top w:val="single" w:color="auto" w:sz="8" w:space="0"/>
              <w:left w:val="single" w:color="auto" w:sz="12" w:space="0"/>
              <w:bottom w:val="single" w:color="auto" w:sz="4" w:space="0"/>
              <w:right w:val="single" w:color="auto" w:sz="4" w:space="0"/>
            </w:tcBorders>
            <w:noWrap w:val="0"/>
            <w:vAlign w:val="center"/>
          </w:tcPr>
          <w:p w14:paraId="10027651">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子目号</w:t>
            </w:r>
          </w:p>
        </w:tc>
        <w:tc>
          <w:tcPr>
            <w:tcW w:w="4732" w:type="dxa"/>
            <w:tcBorders>
              <w:top w:val="single" w:color="auto" w:sz="8" w:space="0"/>
              <w:left w:val="single" w:color="auto" w:sz="4" w:space="0"/>
              <w:bottom w:val="single" w:color="auto" w:sz="4" w:space="0"/>
              <w:right w:val="single" w:color="auto" w:sz="4" w:space="0"/>
            </w:tcBorders>
            <w:noWrap w:val="0"/>
            <w:vAlign w:val="center"/>
          </w:tcPr>
          <w:p w14:paraId="5A674B14">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子  目  名  称</w:t>
            </w:r>
          </w:p>
        </w:tc>
        <w:tc>
          <w:tcPr>
            <w:tcW w:w="749" w:type="dxa"/>
            <w:tcBorders>
              <w:top w:val="single" w:color="auto" w:sz="8" w:space="0"/>
              <w:left w:val="single" w:color="auto" w:sz="4" w:space="0"/>
              <w:bottom w:val="single" w:color="auto" w:sz="4" w:space="0"/>
              <w:right w:val="single" w:color="auto" w:sz="4" w:space="0"/>
            </w:tcBorders>
            <w:noWrap w:val="0"/>
            <w:vAlign w:val="center"/>
          </w:tcPr>
          <w:p w14:paraId="1B26BAD1">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153A60E9">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837" w:type="dxa"/>
            <w:tcBorders>
              <w:top w:val="single" w:color="auto" w:sz="8" w:space="0"/>
              <w:left w:val="single" w:color="auto" w:sz="4" w:space="0"/>
              <w:bottom w:val="single" w:color="auto" w:sz="4" w:space="0"/>
              <w:right w:val="single" w:color="auto" w:sz="4" w:space="0"/>
            </w:tcBorders>
            <w:noWrap w:val="0"/>
            <w:vAlign w:val="center"/>
          </w:tcPr>
          <w:p w14:paraId="420214CB">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单价</w:t>
            </w:r>
          </w:p>
        </w:tc>
        <w:tc>
          <w:tcPr>
            <w:tcW w:w="837" w:type="dxa"/>
            <w:tcBorders>
              <w:top w:val="single" w:color="auto" w:sz="8" w:space="0"/>
              <w:left w:val="single" w:color="auto" w:sz="4" w:space="0"/>
              <w:bottom w:val="single" w:color="auto" w:sz="4" w:space="0"/>
              <w:right w:val="single" w:color="auto" w:sz="12" w:space="0"/>
            </w:tcBorders>
            <w:noWrap w:val="0"/>
            <w:vAlign w:val="center"/>
          </w:tcPr>
          <w:p w14:paraId="50BCDDC5">
            <w:pPr>
              <w:pageBreakBefore w:val="0"/>
              <w:kinsoku/>
              <w:wordWrap w:val="0"/>
              <w:bidi w:val="0"/>
              <w:spacing w:line="360" w:lineRule="atLeast"/>
              <w:ind w:left="-57" w:right="-57"/>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合价</w:t>
            </w:r>
          </w:p>
        </w:tc>
      </w:tr>
      <w:tr w14:paraId="4CBC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5A0BBC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702</w:t>
            </w:r>
          </w:p>
        </w:tc>
        <w:tc>
          <w:tcPr>
            <w:tcW w:w="4732" w:type="dxa"/>
            <w:noWrap w:val="0"/>
            <w:vAlign w:val="center"/>
          </w:tcPr>
          <w:p w14:paraId="7D2BDE69">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铺设表土</w:t>
            </w:r>
          </w:p>
        </w:tc>
        <w:tc>
          <w:tcPr>
            <w:tcW w:w="749" w:type="dxa"/>
            <w:noWrap w:val="0"/>
            <w:vAlign w:val="top"/>
          </w:tcPr>
          <w:p w14:paraId="6D02947E">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1F20091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A65050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D3DBED9">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1F7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4701691">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702-1</w:t>
            </w:r>
          </w:p>
        </w:tc>
        <w:tc>
          <w:tcPr>
            <w:tcW w:w="4732" w:type="dxa"/>
            <w:noWrap w:val="0"/>
            <w:vAlign w:val="top"/>
          </w:tcPr>
          <w:p w14:paraId="620229AE">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开挖并铺设表土</w:t>
            </w:r>
          </w:p>
        </w:tc>
        <w:tc>
          <w:tcPr>
            <w:tcW w:w="749" w:type="dxa"/>
            <w:noWrap w:val="0"/>
            <w:vAlign w:val="top"/>
          </w:tcPr>
          <w:p w14:paraId="6D6D591E">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vertAlign w:val="superscript"/>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612C50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8D0A8A0">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4E1F4A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140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D07BDF3">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702-2</w:t>
            </w:r>
          </w:p>
        </w:tc>
        <w:tc>
          <w:tcPr>
            <w:tcW w:w="4732" w:type="dxa"/>
            <w:noWrap w:val="0"/>
            <w:vAlign w:val="top"/>
          </w:tcPr>
          <w:p w14:paraId="71E223CD">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铺设利用的表土</w:t>
            </w:r>
          </w:p>
        </w:tc>
        <w:tc>
          <w:tcPr>
            <w:tcW w:w="749" w:type="dxa"/>
            <w:noWrap w:val="0"/>
            <w:vAlign w:val="top"/>
          </w:tcPr>
          <w:p w14:paraId="5F2ECA80">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vertAlign w:val="superscript"/>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05FE044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F7D6AB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E9D0EAA">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0C9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65D934F">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703</w:t>
            </w:r>
          </w:p>
        </w:tc>
        <w:tc>
          <w:tcPr>
            <w:tcW w:w="4732" w:type="dxa"/>
            <w:noWrap w:val="0"/>
            <w:vAlign w:val="center"/>
          </w:tcPr>
          <w:p w14:paraId="731DE968">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撒播草种和铺植草皮</w:t>
            </w:r>
          </w:p>
        </w:tc>
        <w:tc>
          <w:tcPr>
            <w:tcW w:w="749" w:type="dxa"/>
            <w:noWrap w:val="0"/>
            <w:vAlign w:val="top"/>
          </w:tcPr>
          <w:p w14:paraId="41849D34">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31E873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7F9D6C0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813E16E">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612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6468FBD">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703-1</w:t>
            </w:r>
          </w:p>
        </w:tc>
        <w:tc>
          <w:tcPr>
            <w:tcW w:w="4732" w:type="dxa"/>
            <w:noWrap w:val="0"/>
            <w:vAlign w:val="top"/>
          </w:tcPr>
          <w:p w14:paraId="1250182F">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撒播草种</w:t>
            </w:r>
            <w:r>
              <w:rPr>
                <w:rFonts w:hint="default" w:ascii="Times New Roman" w:hAnsi="Times New Roman" w:cs="Times New Roman"/>
                <w:color w:val="auto"/>
                <w:kern w:val="0"/>
                <w:szCs w:val="21"/>
                <w:highlight w:val="none"/>
              </w:rPr>
              <w:t>（含喷播）</w:t>
            </w:r>
          </w:p>
        </w:tc>
        <w:tc>
          <w:tcPr>
            <w:tcW w:w="749" w:type="dxa"/>
            <w:noWrap w:val="0"/>
            <w:vAlign w:val="top"/>
          </w:tcPr>
          <w:p w14:paraId="5D992A65">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vertAlign w:val="superscript"/>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10DB33A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2D44FD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001957A">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16F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2000F1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703-2</w:t>
            </w:r>
          </w:p>
        </w:tc>
        <w:tc>
          <w:tcPr>
            <w:tcW w:w="4732" w:type="dxa"/>
            <w:noWrap w:val="0"/>
            <w:vAlign w:val="center"/>
          </w:tcPr>
          <w:p w14:paraId="4D99ECA8">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撒播草种及花卉、灌木籽（含喷播）</w:t>
            </w:r>
          </w:p>
        </w:tc>
        <w:tc>
          <w:tcPr>
            <w:tcW w:w="749" w:type="dxa"/>
            <w:noWrap w:val="0"/>
            <w:vAlign w:val="center"/>
          </w:tcPr>
          <w:p w14:paraId="3E836784">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4DEE49C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43D06B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75E067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40B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0539B44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703-3</w:t>
            </w:r>
          </w:p>
        </w:tc>
        <w:tc>
          <w:tcPr>
            <w:tcW w:w="4732" w:type="dxa"/>
            <w:noWrap w:val="0"/>
            <w:vAlign w:val="center"/>
          </w:tcPr>
          <w:p w14:paraId="1A228BD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先点播灌木后喷播草种</w:t>
            </w:r>
          </w:p>
        </w:tc>
        <w:tc>
          <w:tcPr>
            <w:tcW w:w="749" w:type="dxa"/>
            <w:noWrap w:val="0"/>
            <w:vAlign w:val="center"/>
          </w:tcPr>
          <w:p w14:paraId="0B87A4F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6C6DDC9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F050AF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24C73AB1">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3B2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5038FBBC">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703-4</w:t>
            </w:r>
          </w:p>
        </w:tc>
        <w:tc>
          <w:tcPr>
            <w:tcW w:w="4732" w:type="dxa"/>
            <w:noWrap w:val="0"/>
            <w:vAlign w:val="top"/>
          </w:tcPr>
          <w:p w14:paraId="507D0A71">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铺植草皮</w:t>
            </w:r>
          </w:p>
        </w:tc>
        <w:tc>
          <w:tcPr>
            <w:tcW w:w="749" w:type="dxa"/>
            <w:noWrap w:val="0"/>
            <w:vAlign w:val="top"/>
          </w:tcPr>
          <w:p w14:paraId="54036955">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8905BB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893D86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3E833FA">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94D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9EF5A92">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5D4EE72F">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马尼拉草皮</w:t>
            </w:r>
          </w:p>
        </w:tc>
        <w:tc>
          <w:tcPr>
            <w:tcW w:w="749" w:type="dxa"/>
            <w:noWrap w:val="0"/>
            <w:vAlign w:val="top"/>
          </w:tcPr>
          <w:p w14:paraId="49AC43C4">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519D5C0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6C3619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EB8304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6E19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6941E50">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5C42DF6B">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美国二号草皮</w:t>
            </w:r>
          </w:p>
        </w:tc>
        <w:tc>
          <w:tcPr>
            <w:tcW w:w="749" w:type="dxa"/>
            <w:noWrap w:val="0"/>
            <w:vAlign w:val="top"/>
          </w:tcPr>
          <w:p w14:paraId="7355D71E">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2</w:t>
            </w:r>
          </w:p>
        </w:tc>
        <w:tc>
          <w:tcPr>
            <w:tcW w:w="837" w:type="dxa"/>
            <w:noWrap w:val="0"/>
            <w:vAlign w:val="center"/>
          </w:tcPr>
          <w:p w14:paraId="277FF16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A14441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2D3748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9F9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6C4A206">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4732" w:type="dxa"/>
            <w:noWrap w:val="0"/>
            <w:vAlign w:val="top"/>
          </w:tcPr>
          <w:p w14:paraId="2BB52F0C">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9" w:type="dxa"/>
            <w:noWrap w:val="0"/>
            <w:vAlign w:val="top"/>
          </w:tcPr>
          <w:p w14:paraId="1BFCC389">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0E04F88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AA193C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C2BA19E">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3B6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71A318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703-5</w:t>
            </w:r>
          </w:p>
        </w:tc>
        <w:tc>
          <w:tcPr>
            <w:tcW w:w="4732" w:type="dxa"/>
            <w:noWrap w:val="0"/>
            <w:vAlign w:val="center"/>
          </w:tcPr>
          <w:p w14:paraId="46432B3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三维土工网植草</w:t>
            </w:r>
          </w:p>
        </w:tc>
        <w:tc>
          <w:tcPr>
            <w:tcW w:w="749" w:type="dxa"/>
            <w:noWrap w:val="0"/>
            <w:vAlign w:val="center"/>
          </w:tcPr>
          <w:p w14:paraId="356BF86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7C41A4E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064032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ACB3353">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70D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3DAD3E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703-6</w:t>
            </w:r>
          </w:p>
        </w:tc>
        <w:tc>
          <w:tcPr>
            <w:tcW w:w="4732" w:type="dxa"/>
            <w:noWrap w:val="0"/>
            <w:vAlign w:val="center"/>
          </w:tcPr>
          <w:p w14:paraId="6F5EE8A0">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客土喷播</w:t>
            </w:r>
          </w:p>
        </w:tc>
        <w:tc>
          <w:tcPr>
            <w:tcW w:w="749" w:type="dxa"/>
            <w:noWrap w:val="0"/>
            <w:vAlign w:val="center"/>
          </w:tcPr>
          <w:p w14:paraId="2EAE4E17">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79F3898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2405D9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C89A97E">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938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BE66A20">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703-7</w:t>
            </w:r>
          </w:p>
        </w:tc>
        <w:tc>
          <w:tcPr>
            <w:tcW w:w="4732" w:type="dxa"/>
            <w:noWrap w:val="0"/>
            <w:vAlign w:val="center"/>
          </w:tcPr>
          <w:p w14:paraId="5278EE3F">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植生袋</w:t>
            </w:r>
          </w:p>
        </w:tc>
        <w:tc>
          <w:tcPr>
            <w:tcW w:w="749" w:type="dxa"/>
            <w:noWrap w:val="0"/>
            <w:vAlign w:val="center"/>
          </w:tcPr>
          <w:p w14:paraId="6EC6A1F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r>
              <w:rPr>
                <w:rFonts w:hint="default" w:ascii="Times New Roman" w:hAnsi="Times New Roman" w:cs="Times New Roman"/>
                <w:color w:val="auto"/>
                <w:kern w:val="0"/>
                <w:szCs w:val="21"/>
                <w:highlight w:val="none"/>
                <w:vertAlign w:val="superscript"/>
              </w:rPr>
              <w:t>2</w:t>
            </w:r>
          </w:p>
        </w:tc>
        <w:tc>
          <w:tcPr>
            <w:tcW w:w="837" w:type="dxa"/>
            <w:noWrap w:val="0"/>
            <w:vAlign w:val="center"/>
          </w:tcPr>
          <w:p w14:paraId="535F3DD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71108A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30F94C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E620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423D64F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703-8</w:t>
            </w:r>
          </w:p>
        </w:tc>
        <w:tc>
          <w:tcPr>
            <w:tcW w:w="4732" w:type="dxa"/>
            <w:noWrap w:val="0"/>
            <w:vAlign w:val="center"/>
          </w:tcPr>
          <w:p w14:paraId="62B12F5E">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绿地喷灌管道</w:t>
            </w:r>
          </w:p>
        </w:tc>
        <w:tc>
          <w:tcPr>
            <w:tcW w:w="749" w:type="dxa"/>
            <w:noWrap w:val="0"/>
            <w:vAlign w:val="center"/>
          </w:tcPr>
          <w:p w14:paraId="7C5046ED">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m</w:t>
            </w:r>
          </w:p>
        </w:tc>
        <w:tc>
          <w:tcPr>
            <w:tcW w:w="837" w:type="dxa"/>
            <w:noWrap w:val="0"/>
            <w:vAlign w:val="center"/>
          </w:tcPr>
          <w:p w14:paraId="1B567B1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2D20C3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3594C0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22A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5376948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704</w:t>
            </w:r>
          </w:p>
        </w:tc>
        <w:tc>
          <w:tcPr>
            <w:tcW w:w="4732" w:type="dxa"/>
            <w:noWrap w:val="0"/>
            <w:vAlign w:val="center"/>
          </w:tcPr>
          <w:p w14:paraId="66C5B791">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种植乔木、灌木和攀缘植物</w:t>
            </w:r>
          </w:p>
        </w:tc>
        <w:tc>
          <w:tcPr>
            <w:tcW w:w="749" w:type="dxa"/>
            <w:noWrap w:val="0"/>
            <w:vAlign w:val="top"/>
          </w:tcPr>
          <w:p w14:paraId="0F32EF0A">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FD7E87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ACE909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77ADB23">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3B9D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341185E">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704-1</w:t>
            </w:r>
          </w:p>
        </w:tc>
        <w:tc>
          <w:tcPr>
            <w:tcW w:w="4732" w:type="dxa"/>
            <w:noWrap w:val="0"/>
            <w:vAlign w:val="top"/>
          </w:tcPr>
          <w:p w14:paraId="221C4ABC">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人工种植乔木</w:t>
            </w:r>
          </w:p>
        </w:tc>
        <w:tc>
          <w:tcPr>
            <w:tcW w:w="749" w:type="dxa"/>
            <w:noWrap w:val="0"/>
            <w:vAlign w:val="top"/>
          </w:tcPr>
          <w:p w14:paraId="38802A6D">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2E019E0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AC64E4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4F6973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4EF4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9A787E0">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2612AA7D">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香樟</w:t>
            </w:r>
          </w:p>
        </w:tc>
        <w:tc>
          <w:tcPr>
            <w:tcW w:w="749" w:type="dxa"/>
            <w:noWrap w:val="0"/>
            <w:vAlign w:val="top"/>
          </w:tcPr>
          <w:p w14:paraId="40B9555B">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7F045835">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A6F4DA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0277A1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61E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4BB9753C">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119A9BC0">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大叶樟</w:t>
            </w:r>
          </w:p>
        </w:tc>
        <w:tc>
          <w:tcPr>
            <w:tcW w:w="749" w:type="dxa"/>
            <w:noWrap w:val="0"/>
            <w:vAlign w:val="top"/>
          </w:tcPr>
          <w:p w14:paraId="54DE25A4">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2780DEE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C0767FE">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FBFFEC4">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48AF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2026102D">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top"/>
          </w:tcPr>
          <w:p w14:paraId="3EB0BB01">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杜英</w:t>
            </w:r>
          </w:p>
        </w:tc>
        <w:tc>
          <w:tcPr>
            <w:tcW w:w="749" w:type="dxa"/>
            <w:noWrap w:val="0"/>
            <w:vAlign w:val="top"/>
          </w:tcPr>
          <w:p w14:paraId="0DFC9A9F">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5E14FD3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44DDEF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3737D60">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517C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1B09943C">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4732" w:type="dxa"/>
            <w:noWrap w:val="0"/>
            <w:vAlign w:val="top"/>
          </w:tcPr>
          <w:p w14:paraId="4A9536D0">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9" w:type="dxa"/>
            <w:noWrap w:val="0"/>
            <w:vAlign w:val="top"/>
          </w:tcPr>
          <w:p w14:paraId="5C576831">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302FB55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5C1AE84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DB6189">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AD4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7A35114">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704-2</w:t>
            </w:r>
          </w:p>
        </w:tc>
        <w:tc>
          <w:tcPr>
            <w:tcW w:w="4732" w:type="dxa"/>
            <w:noWrap w:val="0"/>
            <w:vAlign w:val="top"/>
          </w:tcPr>
          <w:p w14:paraId="5084260D">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人工种植灌木</w:t>
            </w:r>
          </w:p>
        </w:tc>
        <w:tc>
          <w:tcPr>
            <w:tcW w:w="749" w:type="dxa"/>
            <w:noWrap w:val="0"/>
            <w:vAlign w:val="top"/>
          </w:tcPr>
          <w:p w14:paraId="34EA5F20">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35C566E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1ACA3E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EC9A92">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831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32CE926F">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4732" w:type="dxa"/>
            <w:noWrap w:val="0"/>
            <w:vAlign w:val="top"/>
          </w:tcPr>
          <w:p w14:paraId="3D0FEAE1">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夹竹桃</w:t>
            </w:r>
          </w:p>
        </w:tc>
        <w:tc>
          <w:tcPr>
            <w:tcW w:w="749" w:type="dxa"/>
            <w:noWrap w:val="0"/>
            <w:vAlign w:val="top"/>
          </w:tcPr>
          <w:p w14:paraId="12E22021">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0B8A4A4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3210D5E4">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42785CAC">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1F9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FE85454">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p>
        </w:tc>
        <w:tc>
          <w:tcPr>
            <w:tcW w:w="4732" w:type="dxa"/>
            <w:noWrap w:val="0"/>
            <w:vAlign w:val="top"/>
          </w:tcPr>
          <w:p w14:paraId="4F78E328">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木芙蓉</w:t>
            </w:r>
          </w:p>
        </w:tc>
        <w:tc>
          <w:tcPr>
            <w:tcW w:w="749" w:type="dxa"/>
            <w:noWrap w:val="0"/>
            <w:vAlign w:val="top"/>
          </w:tcPr>
          <w:p w14:paraId="2D4BB62F">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62B1936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30F765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800AA3D">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5F4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D95DB16">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-c</w:t>
            </w:r>
          </w:p>
        </w:tc>
        <w:tc>
          <w:tcPr>
            <w:tcW w:w="4732" w:type="dxa"/>
            <w:noWrap w:val="0"/>
            <w:vAlign w:val="top"/>
          </w:tcPr>
          <w:p w14:paraId="0C7FD9D1">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春杜鹃</w:t>
            </w:r>
          </w:p>
        </w:tc>
        <w:tc>
          <w:tcPr>
            <w:tcW w:w="749" w:type="dxa"/>
            <w:noWrap w:val="0"/>
            <w:vAlign w:val="top"/>
          </w:tcPr>
          <w:p w14:paraId="2332D1A6">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3E99216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205AFE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11DF9F0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550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7BEA8087">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4732" w:type="dxa"/>
            <w:noWrap w:val="0"/>
            <w:vAlign w:val="top"/>
          </w:tcPr>
          <w:p w14:paraId="77D5B5E5">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9" w:type="dxa"/>
            <w:noWrap w:val="0"/>
            <w:vAlign w:val="top"/>
          </w:tcPr>
          <w:p w14:paraId="7573E234">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C0A016A">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33CC1B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4BDA5F8">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355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top"/>
          </w:tcPr>
          <w:p w14:paraId="6C047E41">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704-3</w:t>
            </w:r>
          </w:p>
        </w:tc>
        <w:tc>
          <w:tcPr>
            <w:tcW w:w="4732" w:type="dxa"/>
            <w:noWrap w:val="0"/>
            <w:vAlign w:val="top"/>
          </w:tcPr>
          <w:p w14:paraId="22A2C908">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人工种植攀缘植物</w:t>
            </w:r>
          </w:p>
        </w:tc>
        <w:tc>
          <w:tcPr>
            <w:tcW w:w="749" w:type="dxa"/>
            <w:noWrap w:val="0"/>
            <w:vAlign w:val="top"/>
          </w:tcPr>
          <w:p w14:paraId="0CEC312D">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棵</w:t>
            </w:r>
          </w:p>
        </w:tc>
        <w:tc>
          <w:tcPr>
            <w:tcW w:w="837" w:type="dxa"/>
            <w:noWrap w:val="0"/>
            <w:vAlign w:val="center"/>
          </w:tcPr>
          <w:p w14:paraId="593FE4C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16F79B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A3B5F15">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48D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D5B130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704-4</w:t>
            </w:r>
          </w:p>
        </w:tc>
        <w:tc>
          <w:tcPr>
            <w:tcW w:w="4732" w:type="dxa"/>
            <w:noWrap w:val="0"/>
            <w:vAlign w:val="center"/>
          </w:tcPr>
          <w:p w14:paraId="27E7A3A6">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人工种植竹类</w:t>
            </w:r>
          </w:p>
        </w:tc>
        <w:tc>
          <w:tcPr>
            <w:tcW w:w="749" w:type="dxa"/>
            <w:noWrap w:val="0"/>
            <w:vAlign w:val="center"/>
          </w:tcPr>
          <w:p w14:paraId="141B6DB3">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棵</w:t>
            </w:r>
          </w:p>
        </w:tc>
        <w:tc>
          <w:tcPr>
            <w:tcW w:w="837" w:type="dxa"/>
            <w:noWrap w:val="0"/>
            <w:vAlign w:val="center"/>
          </w:tcPr>
          <w:p w14:paraId="4D5A90C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0D3EE12">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025390C4">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48A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74C3A46E">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706</w:t>
            </w:r>
          </w:p>
        </w:tc>
        <w:tc>
          <w:tcPr>
            <w:tcW w:w="4732" w:type="dxa"/>
            <w:noWrap w:val="0"/>
            <w:vAlign w:val="center"/>
          </w:tcPr>
          <w:p w14:paraId="2D170EC4">
            <w:pPr>
              <w:pageBreakBefore w:val="0"/>
              <w:widowControl/>
              <w:kinsoku/>
              <w:wordWrap w:val="0"/>
              <w:bidi w:val="0"/>
              <w:spacing w:line="340" w:lineRule="atLeas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声屏障</w:t>
            </w:r>
          </w:p>
        </w:tc>
        <w:tc>
          <w:tcPr>
            <w:tcW w:w="749" w:type="dxa"/>
            <w:noWrap w:val="0"/>
            <w:vAlign w:val="center"/>
          </w:tcPr>
          <w:p w14:paraId="4B521DFE">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5558168B">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085B9A2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7D57E2DF">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6735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A827242">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706-1</w:t>
            </w:r>
          </w:p>
        </w:tc>
        <w:tc>
          <w:tcPr>
            <w:tcW w:w="4732" w:type="dxa"/>
            <w:noWrap w:val="0"/>
            <w:vAlign w:val="center"/>
          </w:tcPr>
          <w:p w14:paraId="099B39FC">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吸、隔声板声屏障</w:t>
            </w:r>
          </w:p>
        </w:tc>
        <w:tc>
          <w:tcPr>
            <w:tcW w:w="749" w:type="dxa"/>
            <w:noWrap w:val="0"/>
            <w:vAlign w:val="center"/>
          </w:tcPr>
          <w:p w14:paraId="15B816AF">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w:t>
            </w:r>
          </w:p>
        </w:tc>
        <w:tc>
          <w:tcPr>
            <w:tcW w:w="837" w:type="dxa"/>
            <w:noWrap w:val="0"/>
            <w:vAlign w:val="center"/>
          </w:tcPr>
          <w:p w14:paraId="00B5F8BD">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1E8AF418">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58A554F6">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08C95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B93D308">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706-2</w:t>
            </w:r>
          </w:p>
        </w:tc>
        <w:tc>
          <w:tcPr>
            <w:tcW w:w="4732" w:type="dxa"/>
            <w:noWrap w:val="0"/>
            <w:vAlign w:val="center"/>
          </w:tcPr>
          <w:p w14:paraId="41CFEFA1">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吸声砖声屏障</w:t>
            </w:r>
          </w:p>
        </w:tc>
        <w:tc>
          <w:tcPr>
            <w:tcW w:w="749" w:type="dxa"/>
            <w:noWrap w:val="0"/>
            <w:vAlign w:val="center"/>
          </w:tcPr>
          <w:p w14:paraId="11152505">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vertAlign w:val="superscript"/>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2709AE96">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29D7F387">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3120AC3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269A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2DE68DE6">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706-3</w:t>
            </w:r>
          </w:p>
        </w:tc>
        <w:tc>
          <w:tcPr>
            <w:tcW w:w="4732" w:type="dxa"/>
            <w:noWrap w:val="0"/>
            <w:vAlign w:val="center"/>
          </w:tcPr>
          <w:p w14:paraId="4AFEC233">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砖墙声屏障</w:t>
            </w:r>
          </w:p>
        </w:tc>
        <w:tc>
          <w:tcPr>
            <w:tcW w:w="749" w:type="dxa"/>
            <w:noWrap w:val="0"/>
            <w:vAlign w:val="center"/>
          </w:tcPr>
          <w:p w14:paraId="0DE45010">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vertAlign w:val="superscript"/>
              </w:rPr>
            </w:pPr>
            <w:r>
              <w:rPr>
                <w:rFonts w:hint="default" w:ascii="Times New Roman" w:hAnsi="Times New Roman" w:cs="Times New Roman"/>
                <w:color w:val="auto"/>
                <w:szCs w:val="21"/>
                <w:highlight w:val="none"/>
              </w:rPr>
              <w:t>m</w:t>
            </w:r>
            <w:r>
              <w:rPr>
                <w:rFonts w:hint="default" w:ascii="Times New Roman" w:hAnsi="Times New Roman" w:cs="Times New Roman"/>
                <w:color w:val="auto"/>
                <w:szCs w:val="21"/>
                <w:highlight w:val="none"/>
                <w:vertAlign w:val="superscript"/>
              </w:rPr>
              <w:t>3</w:t>
            </w:r>
          </w:p>
        </w:tc>
        <w:tc>
          <w:tcPr>
            <w:tcW w:w="837" w:type="dxa"/>
            <w:noWrap w:val="0"/>
            <w:vAlign w:val="center"/>
          </w:tcPr>
          <w:p w14:paraId="71145671">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659955FF">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4513FE1">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1A88C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tcBorders>
              <w:left w:val="single" w:color="auto" w:sz="12" w:space="0"/>
            </w:tcBorders>
            <w:noWrap w:val="0"/>
            <w:vAlign w:val="center"/>
          </w:tcPr>
          <w:p w14:paraId="1B67ADB1">
            <w:pPr>
              <w:pageBreakBefore w:val="0"/>
              <w:widowControl/>
              <w:kinsoku/>
              <w:wordWrap w:val="0"/>
              <w:bidi w:val="0"/>
              <w:spacing w:line="340" w:lineRule="atLeast"/>
              <w:jc w:val="center"/>
              <w:rPr>
                <w:rFonts w:hint="default" w:ascii="Times New Roman" w:hAnsi="Times New Roman" w:cs="Times New Roman"/>
                <w:color w:val="auto"/>
                <w:kern w:val="0"/>
                <w:szCs w:val="21"/>
                <w:highlight w:val="none"/>
              </w:rPr>
            </w:pPr>
          </w:p>
        </w:tc>
        <w:tc>
          <w:tcPr>
            <w:tcW w:w="4732" w:type="dxa"/>
            <w:noWrap w:val="0"/>
            <w:vAlign w:val="center"/>
          </w:tcPr>
          <w:p w14:paraId="5B753939">
            <w:pPr>
              <w:pageBreakBefore w:val="0"/>
              <w:widowControl/>
              <w:kinsoku/>
              <w:wordWrap w:val="0"/>
              <w:autoSpaceDE w:val="0"/>
              <w:autoSpaceDN w:val="0"/>
              <w:bidi w:val="0"/>
              <w:spacing w:line="340" w:lineRule="atLeast"/>
              <w:textAlignment w:val="bottom"/>
              <w:rPr>
                <w:rFonts w:hint="default" w:ascii="Times New Roman" w:hAnsi="Times New Roman" w:cs="Times New Roman"/>
                <w:color w:val="auto"/>
                <w:szCs w:val="21"/>
                <w:highlight w:val="none"/>
              </w:rPr>
            </w:pPr>
          </w:p>
        </w:tc>
        <w:tc>
          <w:tcPr>
            <w:tcW w:w="749" w:type="dxa"/>
            <w:noWrap w:val="0"/>
            <w:vAlign w:val="center"/>
          </w:tcPr>
          <w:p w14:paraId="21AAE37A">
            <w:pPr>
              <w:pageBreakBefore w:val="0"/>
              <w:widowControl/>
              <w:kinsoku/>
              <w:wordWrap w:val="0"/>
              <w:autoSpaceDE w:val="0"/>
              <w:autoSpaceDN w:val="0"/>
              <w:bidi w:val="0"/>
              <w:spacing w:line="340" w:lineRule="atLeast"/>
              <w:jc w:val="center"/>
              <w:textAlignment w:val="bottom"/>
              <w:rPr>
                <w:rFonts w:hint="default" w:ascii="Times New Roman" w:hAnsi="Times New Roman" w:cs="Times New Roman"/>
                <w:color w:val="auto"/>
                <w:szCs w:val="21"/>
                <w:highlight w:val="none"/>
              </w:rPr>
            </w:pPr>
          </w:p>
        </w:tc>
        <w:tc>
          <w:tcPr>
            <w:tcW w:w="837" w:type="dxa"/>
            <w:noWrap w:val="0"/>
            <w:vAlign w:val="center"/>
          </w:tcPr>
          <w:p w14:paraId="65A0E2A9">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noWrap w:val="0"/>
            <w:vAlign w:val="center"/>
          </w:tcPr>
          <w:p w14:paraId="4DD29E13">
            <w:pPr>
              <w:pageBreakBefore w:val="0"/>
              <w:kinsoku/>
              <w:wordWrap w:val="0"/>
              <w:bidi w:val="0"/>
              <w:spacing w:line="340" w:lineRule="atLeast"/>
              <w:jc w:val="center"/>
              <w:rPr>
                <w:rFonts w:hint="default" w:ascii="Times New Roman" w:hAnsi="Times New Roman" w:cs="Times New Roman"/>
                <w:color w:val="auto"/>
                <w:szCs w:val="21"/>
                <w:highlight w:val="none"/>
              </w:rPr>
            </w:pPr>
          </w:p>
        </w:tc>
        <w:tc>
          <w:tcPr>
            <w:tcW w:w="837" w:type="dxa"/>
            <w:tcBorders>
              <w:right w:val="single" w:color="auto" w:sz="12" w:space="0"/>
            </w:tcBorders>
            <w:noWrap w:val="0"/>
            <w:vAlign w:val="center"/>
          </w:tcPr>
          <w:p w14:paraId="61C9717B">
            <w:pPr>
              <w:pageBreakBefore w:val="0"/>
              <w:kinsoku/>
              <w:wordWrap w:val="0"/>
              <w:bidi w:val="0"/>
              <w:spacing w:line="340" w:lineRule="atLeast"/>
              <w:jc w:val="center"/>
              <w:rPr>
                <w:rFonts w:hint="default" w:ascii="Times New Roman" w:hAnsi="Times New Roman" w:cs="Times New Roman"/>
                <w:color w:val="auto"/>
                <w:szCs w:val="21"/>
                <w:highlight w:val="none"/>
              </w:rPr>
            </w:pPr>
          </w:p>
        </w:tc>
      </w:tr>
      <w:tr w14:paraId="71F7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6" w:type="dxa"/>
            <w:gridSpan w:val="6"/>
            <w:tcBorders>
              <w:left w:val="single" w:color="auto" w:sz="12" w:space="0"/>
              <w:right w:val="single" w:color="auto" w:sz="12" w:space="0"/>
            </w:tcBorders>
            <w:noWrap w:val="0"/>
            <w:vAlign w:val="center"/>
          </w:tcPr>
          <w:p w14:paraId="6BDEE928">
            <w:pPr>
              <w:pageBreakBefore w:val="0"/>
              <w:kinsoku/>
              <w:wordWrap w:val="0"/>
              <w:bidi w:val="0"/>
              <w:spacing w:line="3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清单第700章合计  人民币</w:t>
            </w:r>
            <w:r>
              <w:rPr>
                <w:rFonts w:hint="default" w:ascii="Times New Roman" w:hAnsi="Times New Roman" w:cs="Times New Roman"/>
                <w:color w:val="auto"/>
                <w:szCs w:val="21"/>
                <w:highlight w:val="none"/>
                <w:u w:val="single"/>
              </w:rPr>
              <w:t xml:space="preserve">                    </w:t>
            </w:r>
          </w:p>
        </w:tc>
      </w:tr>
    </w:tbl>
    <w:p w14:paraId="7F7955BA">
      <w:pPr>
        <w:pageBreakBefore w:val="0"/>
        <w:kinsoku/>
        <w:wordWrap w:val="0"/>
        <w:bidi w:val="0"/>
        <w:spacing w:before="0" w:after="480" w:afterLines="200" w:line="380" w:lineRule="atLeast"/>
        <w:ind w:firstLine="1680" w:firstLineChars="300"/>
        <w:jc w:val="center"/>
        <w:outlineLvl w:val="0"/>
        <w:rPr>
          <w:rFonts w:hint="default" w:eastAsia="黑体" w:cs="Times New Roman"/>
          <w:color w:val="auto"/>
          <w:sz w:val="56"/>
          <w:szCs w:val="56"/>
          <w:highlight w:val="none"/>
          <w:lang w:eastAsia="zh-CN"/>
        </w:rPr>
        <w:sectPr>
          <w:headerReference r:id="rId38" w:type="default"/>
          <w:footerReference r:id="rId39" w:type="default"/>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bookmarkEnd w:id="1814"/>
    <w:p w14:paraId="4BEB173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B95ECC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8560DC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AB6275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E88779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376116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3C54C72">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7C3A85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64D064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468545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917A56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2F10AC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0E3565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BDCCBC1">
      <w:pPr>
        <w:pageBreakBefore w:val="0"/>
        <w:kinsoku/>
        <w:wordWrap w:val="0"/>
        <w:bidi w:val="0"/>
        <w:jc w:val="center"/>
        <w:outlineLvl w:val="0"/>
        <w:rPr>
          <w:rFonts w:hint="default" w:ascii="Times New Roman" w:hAnsi="Times New Roman" w:eastAsia="黑体" w:cs="Times New Roman"/>
          <w:color w:val="auto"/>
          <w:sz w:val="76"/>
          <w:szCs w:val="76"/>
          <w:highlight w:val="none"/>
        </w:rPr>
      </w:pPr>
      <w:bookmarkStart w:id="1821" w:name="_Toc7411"/>
      <w:bookmarkStart w:id="1822" w:name="_Toc234833247"/>
      <w:bookmarkStart w:id="1823" w:name="_Toc30494"/>
      <w:bookmarkStart w:id="1824" w:name="_Toc2859"/>
      <w:r>
        <w:rPr>
          <w:rFonts w:hint="default" w:ascii="Times New Roman" w:hAnsi="Times New Roman" w:eastAsia="黑体" w:cs="Times New Roman"/>
          <w:color w:val="auto"/>
          <w:sz w:val="76"/>
          <w:szCs w:val="76"/>
          <w:highlight w:val="none"/>
        </w:rPr>
        <w:t>第  二  卷</w:t>
      </w:r>
      <w:bookmarkEnd w:id="1821"/>
      <w:bookmarkEnd w:id="1822"/>
      <w:bookmarkEnd w:id="1823"/>
      <w:bookmarkEnd w:id="1824"/>
    </w:p>
    <w:p w14:paraId="081EEB27">
      <w:pPr>
        <w:pageBreakBefore w:val="0"/>
        <w:kinsoku/>
        <w:wordWrap w:val="0"/>
        <w:bidi w:val="0"/>
        <w:jc w:val="center"/>
        <w:rPr>
          <w:rFonts w:hint="default" w:ascii="Times New Roman" w:hAnsi="Times New Roman" w:eastAsia="黑体" w:cs="Times New Roman"/>
          <w:color w:val="auto"/>
          <w:sz w:val="76"/>
          <w:szCs w:val="76"/>
          <w:highlight w:val="none"/>
        </w:rPr>
      </w:pPr>
    </w:p>
    <w:p w14:paraId="73270D13">
      <w:pPr>
        <w:pageBreakBefore w:val="0"/>
        <w:kinsoku/>
        <w:wordWrap w:val="0"/>
        <w:bidi w:val="0"/>
        <w:jc w:val="center"/>
        <w:rPr>
          <w:rFonts w:hint="default" w:ascii="Times New Roman" w:hAnsi="Times New Roman" w:eastAsia="黑体" w:cs="Times New Roman"/>
          <w:color w:val="auto"/>
          <w:sz w:val="76"/>
          <w:szCs w:val="76"/>
          <w:highlight w:val="none"/>
        </w:rPr>
        <w:sectPr>
          <w:headerReference r:id="rId40" w:type="default"/>
          <w:footerReference r:id="rId42" w:type="default"/>
          <w:headerReference r:id="rId41" w:type="even"/>
          <w:footerReference r:id="rId43"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2DA5D92F">
      <w:pPr>
        <w:pageBreakBefore w:val="0"/>
        <w:kinsoku/>
        <w:wordWrap w:val="0"/>
        <w:bidi w:val="0"/>
        <w:jc w:val="center"/>
        <w:rPr>
          <w:rFonts w:hint="default" w:ascii="Times New Roman" w:hAnsi="Times New Roman" w:eastAsia="黑体" w:cs="Times New Roman"/>
          <w:color w:val="auto"/>
          <w:sz w:val="76"/>
          <w:szCs w:val="76"/>
          <w:highlight w:val="none"/>
        </w:rPr>
      </w:pPr>
    </w:p>
    <w:p w14:paraId="2FDB667E">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73071619">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0993FA31">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74773640">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68A76A1A">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2AC30757">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422860D7">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28495B12">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6EA94B5F">
      <w:pPr>
        <w:pageBreakBefore w:val="0"/>
        <w:kinsoku/>
        <w:wordWrap w:val="0"/>
        <w:bidi w:val="0"/>
        <w:spacing w:line="440" w:lineRule="exact"/>
        <w:ind w:firstLine="3045" w:firstLineChars="1050"/>
        <w:rPr>
          <w:rFonts w:hint="default" w:ascii="Times New Roman" w:hAnsi="Times New Roman" w:eastAsia="黑体" w:cs="Times New Roman"/>
          <w:color w:val="auto"/>
          <w:sz w:val="29"/>
          <w:szCs w:val="29"/>
          <w:highlight w:val="none"/>
        </w:rPr>
      </w:pPr>
    </w:p>
    <w:p w14:paraId="007A1670">
      <w:pPr>
        <w:pStyle w:val="2"/>
        <w:pageBreakBefore w:val="0"/>
        <w:kinsoku/>
        <w:wordWrap w:val="0"/>
        <w:bidi w:val="0"/>
        <w:spacing w:before="360" w:beforeLines="150" w:after="240" w:afterLines="100" w:line="380" w:lineRule="atLeast"/>
        <w:jc w:val="center"/>
        <w:rPr>
          <w:rFonts w:hint="default" w:ascii="Times New Roman" w:hAnsi="Times New Roman" w:eastAsia="黑体" w:cs="Times New Roman"/>
          <w:b w:val="0"/>
          <w:color w:val="auto"/>
          <w:sz w:val="56"/>
          <w:szCs w:val="56"/>
          <w:highlight w:val="none"/>
        </w:rPr>
      </w:pPr>
      <w:bookmarkStart w:id="1825" w:name="_Toc16666"/>
      <w:bookmarkStart w:id="1826" w:name="_Toc15063"/>
      <w:bookmarkStart w:id="1827" w:name="_Toc16740"/>
      <w:bookmarkStart w:id="1828" w:name="_Toc234833248"/>
      <w:r>
        <w:rPr>
          <w:rFonts w:hint="default" w:ascii="Times New Roman" w:hAnsi="Times New Roman" w:eastAsia="黑体" w:cs="Times New Roman"/>
          <w:b w:val="0"/>
          <w:color w:val="auto"/>
          <w:sz w:val="56"/>
          <w:szCs w:val="56"/>
          <w:highlight w:val="none"/>
        </w:rPr>
        <w:t>第六章  图纸（另册）</w:t>
      </w:r>
      <w:bookmarkEnd w:id="1825"/>
      <w:bookmarkEnd w:id="1826"/>
      <w:bookmarkEnd w:id="1827"/>
      <w:bookmarkEnd w:id="1828"/>
    </w:p>
    <w:p w14:paraId="1F1B6477">
      <w:pPr>
        <w:pStyle w:val="2"/>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none"/>
        </w:rPr>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07EE2185">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none"/>
        </w:rPr>
      </w:pPr>
    </w:p>
    <w:p w14:paraId="316FFAA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48863D1">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E5F9EB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A3D6C0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C1C238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D54FAF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0B6449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6B6BAF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05CE24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BB1B97B">
      <w:pPr>
        <w:pageBreakBefore w:val="0"/>
        <w:kinsoku/>
        <w:wordWrap w:val="0"/>
        <w:bidi w:val="0"/>
        <w:jc w:val="center"/>
        <w:outlineLvl w:val="0"/>
        <w:rPr>
          <w:rFonts w:hint="default" w:ascii="Times New Roman" w:hAnsi="Times New Roman" w:eastAsia="黑体" w:cs="Times New Roman"/>
          <w:color w:val="auto"/>
          <w:sz w:val="76"/>
          <w:szCs w:val="76"/>
          <w:highlight w:val="none"/>
        </w:rPr>
      </w:pPr>
      <w:bookmarkStart w:id="1829" w:name="_Toc234833249"/>
      <w:bookmarkStart w:id="1830" w:name="_Toc5182"/>
      <w:bookmarkStart w:id="1831" w:name="_Toc27800"/>
      <w:bookmarkStart w:id="1832" w:name="_Toc26586"/>
      <w:r>
        <w:rPr>
          <w:rFonts w:hint="default" w:ascii="Times New Roman" w:hAnsi="Times New Roman" w:eastAsia="黑体" w:cs="Times New Roman"/>
          <w:color w:val="auto"/>
          <w:sz w:val="76"/>
          <w:szCs w:val="76"/>
          <w:highlight w:val="none"/>
        </w:rPr>
        <w:t>第  三  卷</w:t>
      </w:r>
      <w:bookmarkEnd w:id="1829"/>
      <w:r>
        <w:rPr>
          <w:rFonts w:hint="default" w:ascii="Times New Roman" w:hAnsi="Times New Roman" w:eastAsia="黑体" w:cs="Times New Roman"/>
          <w:color w:val="auto"/>
          <w:sz w:val="76"/>
          <w:szCs w:val="76"/>
          <w:highlight w:val="none"/>
        </w:rPr>
        <w:br w:type="page"/>
      </w:r>
      <w:bookmarkEnd w:id="1830"/>
      <w:bookmarkEnd w:id="1831"/>
      <w:bookmarkEnd w:id="1832"/>
    </w:p>
    <w:p w14:paraId="0843394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8163AD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1B6499B">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AF54B8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38DB58F">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BC5814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7CBBBB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AB14C1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B7961D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C59922A">
      <w:pPr>
        <w:pStyle w:val="2"/>
        <w:pageBreakBefore w:val="0"/>
        <w:kinsoku/>
        <w:wordWrap w:val="0"/>
        <w:bidi w:val="0"/>
        <w:spacing w:before="360" w:beforeLines="150" w:after="240" w:afterLines="100" w:line="380" w:lineRule="atLeast"/>
        <w:jc w:val="center"/>
        <w:rPr>
          <w:rFonts w:hint="default" w:ascii="Times New Roman" w:hAnsi="Times New Roman" w:eastAsia="黑体" w:cs="Times New Roman"/>
          <w:b w:val="0"/>
          <w:color w:val="auto"/>
          <w:sz w:val="56"/>
          <w:szCs w:val="56"/>
          <w:highlight w:val="none"/>
        </w:rPr>
      </w:pPr>
      <w:bookmarkStart w:id="1833" w:name="_Toc15033"/>
      <w:bookmarkStart w:id="1834" w:name="_Toc234833250"/>
      <w:bookmarkStart w:id="1835" w:name="_Toc15579"/>
      <w:bookmarkStart w:id="1836" w:name="_Toc18862"/>
      <w:r>
        <w:rPr>
          <w:rFonts w:hint="default" w:ascii="Times New Roman" w:hAnsi="Times New Roman" w:eastAsia="黑体" w:cs="Times New Roman"/>
          <w:b w:val="0"/>
          <w:color w:val="auto"/>
          <w:sz w:val="56"/>
          <w:szCs w:val="56"/>
          <w:highlight w:val="none"/>
        </w:rPr>
        <w:t>第七章  技术规范（另册）</w:t>
      </w:r>
      <w:bookmarkEnd w:id="1833"/>
      <w:bookmarkEnd w:id="1834"/>
      <w:bookmarkEnd w:id="1835"/>
      <w:r>
        <w:rPr>
          <w:rFonts w:hint="default" w:ascii="Times New Roman" w:hAnsi="Times New Roman" w:eastAsia="黑体" w:cs="Times New Roman"/>
          <w:b w:val="0"/>
          <w:bCs w:val="0"/>
          <w:color w:val="auto"/>
          <w:sz w:val="28"/>
          <w:szCs w:val="36"/>
          <w:highlight w:val="none"/>
          <w:vertAlign w:val="superscript"/>
        </w:rPr>
        <w:footnoteReference w:id="42"/>
      </w:r>
      <w:bookmarkEnd w:id="1836"/>
    </w:p>
    <w:p w14:paraId="5782545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28F8D3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58500A6">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AF519AA">
      <w:pPr>
        <w:pageBreakBefore w:val="0"/>
        <w:kinsoku/>
        <w:wordWrap w:val="0"/>
        <w:bidi w:val="0"/>
        <w:jc w:val="center"/>
        <w:rPr>
          <w:rFonts w:hint="default" w:ascii="Times New Roman" w:hAnsi="Times New Roman" w:eastAsia="黑体" w:cs="Times New Roman"/>
          <w:color w:val="auto"/>
          <w:sz w:val="76"/>
          <w:szCs w:val="76"/>
          <w:highlight w:val="none"/>
        </w:rPr>
      </w:pPr>
      <w:r>
        <w:rPr>
          <w:rFonts w:hint="default" w:ascii="Times New Roman" w:hAnsi="Times New Roman" w:eastAsia="黑体" w:cs="Times New Roman"/>
          <w:color w:val="auto"/>
          <w:sz w:val="20"/>
          <w:szCs w:val="20"/>
          <w:highlight w:val="none"/>
        </w:rPr>
        <w:br w:type="page"/>
      </w:r>
    </w:p>
    <w:p w14:paraId="2D63DA5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AAE41D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D37A99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0029BD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404B31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DF86324">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67101C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071988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587B5F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0B74749">
      <w:pPr>
        <w:pStyle w:val="2"/>
        <w:pageBreakBefore w:val="0"/>
        <w:kinsoku/>
        <w:wordWrap w:val="0"/>
        <w:bidi w:val="0"/>
        <w:spacing w:before="360" w:beforeLines="150" w:after="240" w:afterLines="100" w:line="380" w:lineRule="atLeast"/>
        <w:jc w:val="center"/>
        <w:rPr>
          <w:rFonts w:hint="default" w:ascii="Times New Roman" w:hAnsi="Times New Roman" w:eastAsia="黑体" w:cs="Times New Roman"/>
          <w:b w:val="0"/>
          <w:color w:val="auto"/>
          <w:sz w:val="56"/>
          <w:szCs w:val="56"/>
          <w:highlight w:val="none"/>
        </w:rPr>
      </w:pPr>
      <w:bookmarkStart w:id="1837" w:name="_Toc11545"/>
      <w:bookmarkStart w:id="1838" w:name="_Toc31352"/>
      <w:bookmarkStart w:id="1839" w:name="_Toc32110"/>
      <w:r>
        <w:rPr>
          <w:rFonts w:hint="default" w:ascii="Times New Roman" w:hAnsi="Times New Roman" w:eastAsia="黑体" w:cs="Times New Roman"/>
          <w:b w:val="0"/>
          <w:color w:val="auto"/>
          <w:sz w:val="56"/>
          <w:szCs w:val="56"/>
          <w:highlight w:val="none"/>
        </w:rPr>
        <w:t>第八章  工程量清单计量规则</w:t>
      </w:r>
      <w:bookmarkEnd w:id="1837"/>
      <w:bookmarkEnd w:id="1838"/>
      <w:r>
        <w:rPr>
          <w:rFonts w:hint="default" w:ascii="Times New Roman" w:hAnsi="Times New Roman" w:eastAsia="黑体" w:cs="Times New Roman"/>
          <w:b w:val="0"/>
          <w:bCs w:val="0"/>
          <w:color w:val="auto"/>
          <w:sz w:val="28"/>
          <w:szCs w:val="36"/>
          <w:highlight w:val="none"/>
          <w:vertAlign w:val="superscript"/>
        </w:rPr>
        <w:footnoteReference w:id="43"/>
      </w:r>
      <w:bookmarkEnd w:id="1839"/>
    </w:p>
    <w:p w14:paraId="3D9C3A4C">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b w:val="0"/>
          <w:color w:val="auto"/>
          <w:sz w:val="56"/>
          <w:szCs w:val="56"/>
          <w:highlight w:val="none"/>
        </w:rPr>
      </w:pPr>
      <w:bookmarkStart w:id="1840" w:name="_Toc501257474"/>
      <w:bookmarkStart w:id="1841" w:name="_Toc470752702"/>
      <w:r>
        <w:rPr>
          <w:rFonts w:hint="default" w:ascii="Times New Roman" w:hAnsi="Times New Roman" w:eastAsia="黑体" w:cs="Times New Roman"/>
          <w:b w:val="0"/>
          <w:color w:val="auto"/>
          <w:sz w:val="56"/>
          <w:szCs w:val="56"/>
          <w:highlight w:val="none"/>
        </w:rPr>
        <w:t>（另</w:t>
      </w:r>
      <w:r>
        <w:rPr>
          <w:rFonts w:hint="default" w:ascii="Times New Roman" w:hAnsi="Times New Roman" w:eastAsia="黑体" w:cs="Times New Roman"/>
          <w:b w:val="0"/>
          <w:color w:val="auto"/>
          <w:sz w:val="56"/>
          <w:szCs w:val="56"/>
          <w:highlight w:val="none"/>
          <w:lang w:eastAsia="zh-CN"/>
        </w:rPr>
        <w:t xml:space="preserve">   </w:t>
      </w:r>
      <w:r>
        <w:rPr>
          <w:rFonts w:hint="default" w:ascii="Times New Roman" w:hAnsi="Times New Roman" w:eastAsia="黑体" w:cs="Times New Roman"/>
          <w:b w:val="0"/>
          <w:color w:val="auto"/>
          <w:sz w:val="56"/>
          <w:szCs w:val="56"/>
          <w:highlight w:val="none"/>
        </w:rPr>
        <w:t>册）</w:t>
      </w:r>
      <w:bookmarkEnd w:id="1840"/>
      <w:bookmarkEnd w:id="1841"/>
    </w:p>
    <w:p w14:paraId="4B1318F2">
      <w:pPr>
        <w:spacing w:after="240" w:line="360" w:lineRule="auto"/>
        <w:ind w:left="2100" w:leftChars="1000"/>
        <w:jc w:val="both"/>
        <w:rPr>
          <w:rFonts w:hint="default" w:ascii="Times New Roman" w:hAnsi="Times New Roman" w:eastAsia="黑体" w:cs="Times New Roman"/>
          <w:b w:val="0"/>
          <w:bCs w:val="0"/>
          <w:color w:val="auto"/>
          <w:sz w:val="28"/>
          <w:szCs w:val="36"/>
          <w:highlight w:val="none"/>
        </w:rPr>
      </w:pPr>
    </w:p>
    <w:p w14:paraId="5271328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0D2D686">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8FB412A">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AA97D55">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D6FFD2C">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468653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r>
        <w:rPr>
          <w:rFonts w:hint="default" w:ascii="Times New Roman" w:hAnsi="Times New Roman" w:eastAsia="黑体" w:cs="Times New Roman"/>
          <w:color w:val="auto"/>
          <w:sz w:val="20"/>
          <w:szCs w:val="20"/>
          <w:highlight w:val="none"/>
        </w:rPr>
        <w:br w:type="page"/>
      </w:r>
    </w:p>
    <w:p w14:paraId="265C11C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8737E1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DD75CA8">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9B7145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C713DD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612FC0CA">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907A3E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225971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598D7E6D">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D7FB07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5D988B3">
      <w:pPr>
        <w:pageBreakBefore w:val="0"/>
        <w:kinsoku/>
        <w:wordWrap w:val="0"/>
        <w:bidi w:val="0"/>
        <w:jc w:val="center"/>
        <w:outlineLvl w:val="0"/>
        <w:rPr>
          <w:rFonts w:hint="default" w:ascii="Times New Roman" w:hAnsi="Times New Roman" w:eastAsia="黑体" w:cs="Times New Roman"/>
          <w:color w:val="auto"/>
          <w:sz w:val="29"/>
          <w:szCs w:val="29"/>
          <w:highlight w:val="none"/>
        </w:rPr>
      </w:pPr>
      <w:bookmarkStart w:id="1842" w:name="_Toc234833251"/>
      <w:bookmarkStart w:id="1843" w:name="_Toc27378"/>
      <w:bookmarkStart w:id="1844" w:name="_Toc1042"/>
      <w:bookmarkStart w:id="1845" w:name="_Toc2682"/>
      <w:r>
        <w:rPr>
          <w:rFonts w:hint="default" w:ascii="Times New Roman" w:hAnsi="Times New Roman" w:eastAsia="黑体" w:cs="Times New Roman"/>
          <w:color w:val="auto"/>
          <w:sz w:val="76"/>
          <w:szCs w:val="76"/>
          <w:highlight w:val="none"/>
        </w:rPr>
        <w:t>第  四  卷</w:t>
      </w:r>
      <w:bookmarkEnd w:id="1842"/>
      <w:r>
        <w:rPr>
          <w:rFonts w:hint="default" w:ascii="Times New Roman" w:hAnsi="Times New Roman" w:eastAsia="黑体" w:cs="Times New Roman"/>
          <w:color w:val="auto"/>
          <w:sz w:val="76"/>
          <w:szCs w:val="76"/>
          <w:highlight w:val="none"/>
        </w:rPr>
        <w:br w:type="page"/>
      </w:r>
      <w:bookmarkEnd w:id="1843"/>
      <w:bookmarkEnd w:id="1844"/>
      <w:bookmarkEnd w:id="1845"/>
    </w:p>
    <w:p w14:paraId="4CFFA46E">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454115D7">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74A69256">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F544F7C">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D6646C5">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0B1E740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10720C49">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250373D3">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6357340">
      <w:pPr>
        <w:pageBreakBefore w:val="0"/>
        <w:kinsoku/>
        <w:wordWrap w:val="0"/>
        <w:bidi w:val="0"/>
        <w:spacing w:line="440" w:lineRule="exact"/>
        <w:jc w:val="center"/>
        <w:rPr>
          <w:rFonts w:hint="default" w:ascii="Times New Roman" w:hAnsi="Times New Roman" w:eastAsia="黑体" w:cs="Times New Roman"/>
          <w:color w:val="auto"/>
          <w:sz w:val="29"/>
          <w:szCs w:val="29"/>
          <w:highlight w:val="none"/>
        </w:rPr>
      </w:pPr>
    </w:p>
    <w:p w14:paraId="374C9859">
      <w:pPr>
        <w:pStyle w:val="2"/>
        <w:pageBreakBefore w:val="0"/>
        <w:kinsoku/>
        <w:wordWrap w:val="0"/>
        <w:bidi w:val="0"/>
        <w:spacing w:before="360" w:beforeLines="150" w:after="240" w:afterLines="100" w:line="380" w:lineRule="atLeast"/>
        <w:jc w:val="center"/>
        <w:rPr>
          <w:rFonts w:hint="default" w:ascii="Times New Roman" w:hAnsi="Times New Roman" w:eastAsia="黑体" w:cs="Times New Roman"/>
          <w:b w:val="0"/>
          <w:color w:val="auto"/>
          <w:sz w:val="56"/>
          <w:szCs w:val="56"/>
          <w:highlight w:val="none"/>
        </w:rPr>
      </w:pPr>
      <w:bookmarkStart w:id="1846" w:name="_Toc29271"/>
      <w:bookmarkStart w:id="1847" w:name="_Toc16811"/>
      <w:bookmarkStart w:id="1848" w:name="_Toc234833252"/>
      <w:bookmarkStart w:id="1849" w:name="_Toc12459"/>
      <w:r>
        <w:rPr>
          <w:rFonts w:hint="default" w:ascii="Times New Roman" w:hAnsi="Times New Roman" w:eastAsia="黑体" w:cs="Times New Roman"/>
          <w:b w:val="0"/>
          <w:color w:val="auto"/>
          <w:sz w:val="56"/>
          <w:szCs w:val="56"/>
          <w:highlight w:val="none"/>
        </w:rPr>
        <w:t>第九章  投标文件格式</w:t>
      </w:r>
      <w:r>
        <w:rPr>
          <w:rStyle w:val="47"/>
          <w:rFonts w:hint="default" w:ascii="Times New Roman" w:hAnsi="Times New Roman" w:eastAsia="黑体" w:cs="Times New Roman"/>
          <w:color w:val="auto"/>
          <w:sz w:val="56"/>
          <w:szCs w:val="56"/>
          <w:highlight w:val="none"/>
        </w:rPr>
        <w:footnoteReference w:id="44"/>
      </w:r>
      <w:bookmarkEnd w:id="1846"/>
      <w:bookmarkEnd w:id="1847"/>
      <w:bookmarkEnd w:id="1848"/>
      <w:bookmarkEnd w:id="1849"/>
    </w:p>
    <w:p w14:paraId="794DE827">
      <w:pPr>
        <w:pageBreakBefore w:val="0"/>
        <w:kinsoku/>
        <w:wordWrap w:val="0"/>
        <w:bidi w:val="0"/>
        <w:spacing w:line="440" w:lineRule="exact"/>
        <w:jc w:val="center"/>
        <w:rPr>
          <w:rFonts w:hint="default" w:ascii="Times New Roman" w:hAnsi="Times New Roman" w:eastAsia="黑体" w:cs="Times New Roman"/>
          <w:color w:val="auto"/>
          <w:sz w:val="36"/>
          <w:szCs w:val="36"/>
          <w:highlight w:val="none"/>
        </w:rPr>
      </w:pPr>
    </w:p>
    <w:p w14:paraId="37768CC4">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 xml:space="preserve"> </w:t>
      </w:r>
    </w:p>
    <w:p w14:paraId="1BD3E422">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br w:type="page"/>
      </w:r>
    </w:p>
    <w:p w14:paraId="52AD9DCB">
      <w:pPr>
        <w:pStyle w:val="15"/>
        <w:keepNext w:val="0"/>
        <w:keepLines w:val="0"/>
        <w:pageBreakBefore w:val="0"/>
        <w:widowControl w:val="0"/>
        <w:kinsoku/>
        <w:overflowPunct/>
        <w:topLinePunct w:val="0"/>
        <w:autoSpaceDE/>
        <w:autoSpaceDN/>
        <w:bidi w:val="0"/>
        <w:adjustRightInd/>
        <w:snapToGrid/>
        <w:spacing w:line="360" w:lineRule="auto"/>
        <w:ind w:firstLine="0" w:firstLineChars="0"/>
        <w:jc w:val="center"/>
        <w:textAlignment w:val="auto"/>
        <w:outlineLvl w:val="9"/>
        <w:rPr>
          <w:rFonts w:hint="eastAsia" w:ascii="Times New Roman" w:hAnsi="Times New Roman" w:eastAsia="黑体" w:cs="Times New Roman"/>
          <w:color w:val="auto"/>
          <w:sz w:val="31"/>
          <w:szCs w:val="31"/>
          <w:highlight w:val="none"/>
          <w:lang w:eastAsia="zh-CN"/>
        </w:rPr>
      </w:pPr>
      <w:bookmarkStart w:id="1850" w:name="_Toc24566"/>
      <w:r>
        <w:rPr>
          <w:rFonts w:hint="eastAsia" w:ascii="Times New Roman" w:eastAsia="黑体" w:cs="Times New Roman"/>
          <w:color w:val="auto"/>
          <w:sz w:val="31"/>
          <w:szCs w:val="31"/>
          <w:highlight w:val="none"/>
          <w:u w:val="single"/>
          <w:lang w:eastAsia="zh-CN"/>
        </w:rPr>
        <w:t>辽宁省</w:t>
      </w:r>
      <w:bookmarkEnd w:id="1850"/>
    </w:p>
    <w:p w14:paraId="6842E2B0">
      <w:pPr>
        <w:pageBreakBefore w:val="0"/>
        <w:kinsoku/>
        <w:wordWrap w:val="0"/>
        <w:bidi w:val="0"/>
        <w:spacing w:line="440" w:lineRule="exact"/>
        <w:rPr>
          <w:rFonts w:hint="default" w:ascii="Times New Roman" w:hAnsi="Times New Roman" w:eastAsia="黑体" w:cs="Times New Roman"/>
          <w:color w:val="auto"/>
          <w:sz w:val="24"/>
          <w:highlight w:val="none"/>
          <w:lang w:val="en-US"/>
        </w:rPr>
      </w:pP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（项目名称）</w:t>
      </w: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w:t>
      </w:r>
      <w:r>
        <w:rPr>
          <w:rFonts w:hint="default" w:ascii="Times New Roman" w:hAnsi="Times New Roman" w:eastAsia="黑体" w:cs="Times New Roman"/>
          <w:b w:val="0"/>
          <w:bCs w:val="0"/>
          <w:color w:val="auto"/>
          <w:sz w:val="31"/>
          <w:szCs w:val="31"/>
          <w:highlight w:val="none"/>
          <w:lang w:val="en-US" w:eastAsia="zh-CN"/>
        </w:rPr>
        <w:t>标段</w:t>
      </w:r>
      <w:r>
        <w:rPr>
          <w:rFonts w:hint="default" w:ascii="Times New Roman" w:hAnsi="Times New Roman" w:eastAsia="黑体" w:cs="Times New Roman"/>
          <w:b w:val="0"/>
          <w:bCs w:val="0"/>
          <w:color w:val="auto"/>
          <w:sz w:val="31"/>
          <w:szCs w:val="31"/>
          <w:highlight w:val="none"/>
        </w:rPr>
        <w:t>名称</w:t>
      </w:r>
      <w:r>
        <w:rPr>
          <w:rFonts w:hint="default" w:ascii="Times New Roman" w:hAnsi="Times New Roman" w:eastAsia="黑体" w:cs="Times New Roman"/>
          <w:b w:val="0"/>
          <w:bCs w:val="0"/>
          <w:color w:val="auto"/>
          <w:sz w:val="31"/>
          <w:szCs w:val="31"/>
          <w:highlight w:val="none"/>
          <w:lang w:eastAsia="zh-CN"/>
        </w:rPr>
        <w:t>）</w:t>
      </w:r>
      <w:r>
        <w:rPr>
          <w:rFonts w:hint="default" w:ascii="Times New Roman" w:hAnsi="Times New Roman" w:eastAsia="黑体" w:cs="Times New Roman"/>
          <w:b w:val="0"/>
          <w:bCs w:val="0"/>
          <w:color w:val="auto"/>
          <w:sz w:val="31"/>
          <w:szCs w:val="31"/>
          <w:highlight w:val="none"/>
          <w:lang w:val="en-US" w:eastAsia="zh-CN"/>
        </w:rPr>
        <w:t>施工招标</w:t>
      </w:r>
    </w:p>
    <w:p w14:paraId="4B7C0946">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 xml:space="preserve"> </w:t>
      </w:r>
    </w:p>
    <w:p w14:paraId="2142FB4E">
      <w:pPr>
        <w:pageBreakBefore w:val="0"/>
        <w:kinsoku/>
        <w:wordWrap w:val="0"/>
        <w:bidi w:val="0"/>
        <w:spacing w:line="440" w:lineRule="exact"/>
        <w:rPr>
          <w:rFonts w:hint="default" w:ascii="Times New Roman" w:hAnsi="Times New Roman" w:eastAsia="黑体" w:cs="Times New Roman"/>
          <w:color w:val="auto"/>
          <w:sz w:val="40"/>
          <w:szCs w:val="40"/>
          <w:highlight w:val="none"/>
        </w:rPr>
      </w:pPr>
    </w:p>
    <w:p w14:paraId="469B9682">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4AC4B521">
      <w:pPr>
        <w:pStyle w:val="16"/>
        <w:rPr>
          <w:rFonts w:hint="default" w:ascii="Times New Roman" w:hAnsi="Times New Roman" w:eastAsia="黑体" w:cs="Times New Roman"/>
          <w:color w:val="auto"/>
          <w:sz w:val="40"/>
          <w:szCs w:val="40"/>
          <w:highlight w:val="none"/>
        </w:rPr>
      </w:pPr>
    </w:p>
    <w:p w14:paraId="228C19CF">
      <w:pPr>
        <w:pStyle w:val="16"/>
        <w:rPr>
          <w:rFonts w:hint="default" w:ascii="Times New Roman" w:hAnsi="Times New Roman" w:eastAsia="黑体" w:cs="Times New Roman"/>
          <w:color w:val="auto"/>
          <w:sz w:val="40"/>
          <w:szCs w:val="40"/>
          <w:highlight w:val="none"/>
        </w:rPr>
      </w:pPr>
    </w:p>
    <w:p w14:paraId="62860FB4">
      <w:pPr>
        <w:pStyle w:val="16"/>
        <w:rPr>
          <w:rFonts w:hint="default" w:ascii="Times New Roman" w:hAnsi="Times New Roman" w:eastAsia="黑体" w:cs="Times New Roman"/>
          <w:color w:val="auto"/>
          <w:sz w:val="40"/>
          <w:szCs w:val="40"/>
          <w:highlight w:val="none"/>
        </w:rPr>
      </w:pPr>
    </w:p>
    <w:p w14:paraId="0CF40996">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173F0BC5">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0A0BC413">
      <w:pPr>
        <w:pageBreakBefore w:val="0"/>
        <w:kinsoku/>
        <w:wordWrap/>
        <w:bidi w:val="0"/>
        <w:spacing w:before="0" w:after="0" w:line="360" w:lineRule="auto"/>
        <w:jc w:val="center"/>
        <w:outlineLvl w:val="9"/>
        <w:rPr>
          <w:rFonts w:hint="default" w:ascii="Times New Roman" w:hAnsi="Times New Roman" w:eastAsia="黑体" w:cs="Times New Roman"/>
          <w:b w:val="0"/>
          <w:color w:val="auto"/>
          <w:sz w:val="30"/>
          <w:szCs w:val="30"/>
          <w:highlight w:val="none"/>
        </w:rPr>
      </w:pPr>
      <w:bookmarkStart w:id="1851" w:name="_Toc11276"/>
      <w:bookmarkStart w:id="1852" w:name="_Toc1346"/>
      <w:bookmarkStart w:id="1853" w:name="_Toc23497"/>
      <w:bookmarkStart w:id="1854" w:name="_Toc26407"/>
      <w:bookmarkStart w:id="1855" w:name="_Toc11253"/>
      <w:r>
        <w:rPr>
          <w:rFonts w:hint="default" w:ascii="Times New Roman" w:hAnsi="Times New Roman" w:eastAsia="黑体" w:cs="Times New Roman"/>
          <w:b w:val="0"/>
          <w:color w:val="auto"/>
          <w:sz w:val="72"/>
          <w:szCs w:val="72"/>
          <w:highlight w:val="none"/>
        </w:rPr>
        <w:t xml:space="preserve">投  标  文  件 </w:t>
      </w:r>
    </w:p>
    <w:p w14:paraId="5C3DD159">
      <w:pPr>
        <w:pageBreakBefore w:val="0"/>
        <w:kinsoku/>
        <w:wordWrap/>
        <w:bidi w:val="0"/>
        <w:spacing w:before="0" w:after="0" w:line="360" w:lineRule="auto"/>
        <w:jc w:val="center"/>
        <w:outlineLvl w:val="9"/>
        <w:rPr>
          <w:rFonts w:hint="default" w:ascii="Times New Roman" w:hAnsi="Times New Roman" w:eastAsia="黑体" w:cs="Times New Roman"/>
          <w:b w:val="0"/>
          <w:color w:val="auto"/>
          <w:sz w:val="30"/>
          <w:szCs w:val="30"/>
          <w:highlight w:val="none"/>
        </w:rPr>
      </w:pPr>
      <w:r>
        <w:rPr>
          <w:rFonts w:hint="default" w:ascii="Times New Roman" w:hAnsi="Times New Roman" w:eastAsia="黑体" w:cs="Times New Roman"/>
          <w:b w:val="0"/>
          <w:color w:val="auto"/>
          <w:sz w:val="32"/>
          <w:szCs w:val="32"/>
          <w:highlight w:val="none"/>
        </w:rPr>
        <w:t>（</w:t>
      </w:r>
      <w:r>
        <w:rPr>
          <w:rFonts w:hint="default" w:ascii="Times New Roman" w:hAnsi="Times New Roman" w:eastAsia="黑体" w:cs="Times New Roman"/>
          <w:b w:val="0"/>
          <w:color w:val="auto"/>
          <w:sz w:val="32"/>
          <w:szCs w:val="32"/>
          <w:highlight w:val="none"/>
          <w:lang w:val="en-US" w:eastAsia="zh-CN"/>
        </w:rPr>
        <w:t>第一个信封</w:t>
      </w:r>
      <w:r>
        <w:rPr>
          <w:rFonts w:hint="default" w:ascii="Times New Roman" w:hAnsi="Times New Roman" w:cs="Times New Roman"/>
          <w:b w:val="0"/>
          <w:color w:val="auto"/>
          <w:sz w:val="32"/>
          <w:szCs w:val="32"/>
          <w:highlight w:val="none"/>
          <w:lang w:val="en-US" w:eastAsia="zh-CN"/>
        </w:rPr>
        <w:t xml:space="preserve"> </w:t>
      </w:r>
      <w:r>
        <w:rPr>
          <w:rFonts w:hint="default" w:ascii="Times New Roman" w:hAnsi="Times New Roman" w:eastAsia="黑体" w:cs="Times New Roman"/>
          <w:b w:val="0"/>
          <w:color w:val="auto"/>
          <w:sz w:val="32"/>
          <w:szCs w:val="32"/>
          <w:highlight w:val="none"/>
        </w:rPr>
        <w:t>商务及技术文件）</w:t>
      </w:r>
      <w:bookmarkEnd w:id="1851"/>
      <w:bookmarkEnd w:id="1852"/>
      <w:bookmarkEnd w:id="1853"/>
      <w:bookmarkEnd w:id="1854"/>
      <w:bookmarkEnd w:id="1855"/>
    </w:p>
    <w:p w14:paraId="1BF3717B">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A26F6B4">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CC6668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BFD4ABF">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B3608E5">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5F59F9D">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FE7F46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F280172">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9734F15">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投标人：</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w:t>
      </w:r>
      <w:r>
        <w:rPr>
          <w:rFonts w:hint="default" w:ascii="Times New Roman" w:hAnsi="Times New Roman" w:eastAsia="黑体" w:cs="Times New Roman"/>
          <w:color w:val="auto"/>
          <w:sz w:val="28"/>
          <w:highlight w:val="none"/>
          <w:lang w:eastAsia="zh-CN"/>
        </w:rPr>
        <w:t>盖单位电子印章</w:t>
      </w:r>
      <w:r>
        <w:rPr>
          <w:rFonts w:hint="default" w:ascii="Times New Roman" w:hAnsi="Times New Roman" w:eastAsia="黑体" w:cs="Times New Roman"/>
          <w:color w:val="auto"/>
          <w:sz w:val="28"/>
          <w:szCs w:val="28"/>
          <w:highlight w:val="none"/>
        </w:rPr>
        <w:t>）</w:t>
      </w:r>
    </w:p>
    <w:p w14:paraId="22D3B735">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6E5F3995">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年</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月</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日</w:t>
      </w:r>
    </w:p>
    <w:p w14:paraId="3686E929">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46CA42BB">
      <w:pPr>
        <w:pStyle w:val="2"/>
        <w:pageBreakBefore w:val="0"/>
        <w:kinsoku/>
        <w:wordWrap w:val="0"/>
        <w:bidi w:val="0"/>
        <w:spacing w:before="360" w:beforeLines="150" w:after="240" w:afterLines="100" w:line="380" w:lineRule="atLeast"/>
        <w:jc w:val="center"/>
        <w:rPr>
          <w:rFonts w:hint="default" w:ascii="Times New Roman" w:hAnsi="Times New Roman" w:eastAsia="黑体" w:cs="Times New Roman"/>
          <w:b w:val="0"/>
          <w:color w:val="auto"/>
          <w:sz w:val="30"/>
          <w:szCs w:val="30"/>
          <w:highlight w:val="none"/>
        </w:rPr>
      </w:pPr>
      <w:r>
        <w:rPr>
          <w:rFonts w:hint="default" w:ascii="Times New Roman" w:hAnsi="Times New Roman" w:eastAsia="黑体" w:cs="Times New Roman"/>
          <w:color w:val="auto"/>
          <w:sz w:val="20"/>
          <w:szCs w:val="20"/>
          <w:highlight w:val="none"/>
        </w:rPr>
        <w:br w:type="page"/>
      </w:r>
      <w:bookmarkStart w:id="1856" w:name="_Toc16968"/>
      <w:bookmarkStart w:id="1857" w:name="_Toc234833253"/>
      <w:bookmarkStart w:id="1858" w:name="_Toc23660"/>
      <w:bookmarkStart w:id="1859" w:name="_Toc18939"/>
      <w:bookmarkStart w:id="1860" w:name="_Toc11971"/>
      <w:r>
        <w:rPr>
          <w:rFonts w:hint="default" w:ascii="Times New Roman" w:hAnsi="Times New Roman" w:eastAsia="黑体" w:cs="Times New Roman"/>
          <w:b w:val="0"/>
          <w:color w:val="auto"/>
          <w:sz w:val="30"/>
          <w:szCs w:val="30"/>
          <w:highlight w:val="none"/>
        </w:rPr>
        <w:t>目     录</w:t>
      </w:r>
      <w:bookmarkEnd w:id="1856"/>
      <w:bookmarkEnd w:id="1857"/>
      <w:bookmarkEnd w:id="1858"/>
      <w:bookmarkEnd w:id="1859"/>
      <w:bookmarkEnd w:id="1860"/>
    </w:p>
    <w:p w14:paraId="6A4E240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74FC2583">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一、投标函及投标函附录</w:t>
      </w:r>
    </w:p>
    <w:p w14:paraId="1F104194">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二、授权委托书或法定代表人身份证明</w:t>
      </w:r>
    </w:p>
    <w:p w14:paraId="39118011">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三、联合体协议书</w:t>
      </w:r>
      <w:r>
        <w:rPr>
          <w:rFonts w:hint="default" w:ascii="Times New Roman" w:hAnsi="Times New Roman" w:cs="Times New Roman"/>
          <w:color w:val="auto"/>
          <w:sz w:val="24"/>
          <w:highlight w:val="yellow"/>
          <w:lang w:eastAsia="zh-CN"/>
        </w:rPr>
        <w:t>（</w:t>
      </w:r>
      <w:r>
        <w:rPr>
          <w:rFonts w:hint="default" w:ascii="Times New Roman" w:hAnsi="Times New Roman" w:cs="Times New Roman"/>
          <w:color w:val="auto"/>
          <w:sz w:val="24"/>
          <w:highlight w:val="yellow"/>
          <w:lang w:val="en-US" w:eastAsia="zh-CN"/>
        </w:rPr>
        <w:t>本项目不适用</w:t>
      </w:r>
      <w:r>
        <w:rPr>
          <w:rFonts w:hint="default" w:ascii="Times New Roman" w:hAnsi="Times New Roman" w:cs="Times New Roman"/>
          <w:color w:val="auto"/>
          <w:sz w:val="24"/>
          <w:highlight w:val="none"/>
          <w:lang w:eastAsia="zh-CN"/>
        </w:rPr>
        <w:t>）</w:t>
      </w:r>
    </w:p>
    <w:p w14:paraId="7BF29693">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四、投标保证金</w:t>
      </w:r>
    </w:p>
    <w:p w14:paraId="44EB39B3">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五、施工组织设计</w:t>
      </w:r>
    </w:p>
    <w:p w14:paraId="1923933D">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六、项目管理机构</w:t>
      </w:r>
    </w:p>
    <w:p w14:paraId="2FFF39D2">
      <w:pPr>
        <w:pageBreakBefore w:val="0"/>
        <w:kinsoku/>
        <w:wordWrap w:val="0"/>
        <w:bidi w:val="0"/>
        <w:spacing w:line="440" w:lineRule="exact"/>
        <w:ind w:left="1619" w:leftChars="771" w:firstLine="1"/>
        <w:rPr>
          <w:rFonts w:hint="default" w:cs="Times New Roman"/>
          <w:color w:val="auto"/>
          <w:sz w:val="24"/>
          <w:highlight w:val="none"/>
          <w:lang w:val="en-US" w:eastAsia="zh-CN"/>
        </w:rPr>
      </w:pPr>
      <w:r>
        <w:rPr>
          <w:rFonts w:hint="eastAsia" w:cs="Times New Roman"/>
          <w:color w:val="auto"/>
          <w:sz w:val="24"/>
          <w:highlight w:val="none"/>
          <w:lang w:val="en-US" w:eastAsia="zh-CN"/>
        </w:rPr>
        <w:t>七、拟分包项目情况表</w:t>
      </w:r>
      <w:r>
        <w:rPr>
          <w:rFonts w:hint="eastAsia" w:cs="Times New Roman"/>
          <w:color w:val="auto"/>
          <w:sz w:val="24"/>
          <w:highlight w:val="yellow"/>
          <w:lang w:val="en-US" w:eastAsia="zh-CN"/>
        </w:rPr>
        <w:t>（本项目不适用）</w:t>
      </w:r>
    </w:p>
    <w:p w14:paraId="6284C4F1">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eastAsia" w:cs="Times New Roman"/>
          <w:color w:val="auto"/>
          <w:sz w:val="24"/>
          <w:highlight w:val="none"/>
          <w:lang w:val="en-US" w:eastAsia="zh-CN"/>
        </w:rPr>
        <w:t>八</w:t>
      </w:r>
      <w:r>
        <w:rPr>
          <w:rFonts w:hint="default" w:ascii="Times New Roman" w:hAnsi="Times New Roman" w:cs="Times New Roman"/>
          <w:color w:val="auto"/>
          <w:sz w:val="24"/>
          <w:highlight w:val="none"/>
        </w:rPr>
        <w:t>、资格审查资料</w:t>
      </w:r>
    </w:p>
    <w:p w14:paraId="3D384FA5">
      <w:pPr>
        <w:pageBreakBefore w:val="0"/>
        <w:kinsoku/>
        <w:wordWrap w:val="0"/>
        <w:overflowPunct/>
        <w:bidi w:val="0"/>
        <w:spacing w:line="440" w:lineRule="exact"/>
        <w:ind w:left="1619" w:leftChars="771" w:firstLine="1"/>
        <w:rPr>
          <w:rFonts w:hint="default" w:ascii="Times New Roman" w:hAnsi="Times New Roman" w:cs="Times New Roman"/>
          <w:color w:val="auto"/>
          <w:sz w:val="24"/>
          <w:highlight w:val="none"/>
        </w:rPr>
      </w:pPr>
      <w:r>
        <w:rPr>
          <w:rFonts w:hint="eastAsia" w:cs="Times New Roman"/>
          <w:color w:val="auto"/>
          <w:sz w:val="24"/>
          <w:highlight w:val="none"/>
          <w:lang w:val="en-US" w:eastAsia="zh-CN"/>
        </w:rPr>
        <w:t>九</w:t>
      </w:r>
      <w:r>
        <w:rPr>
          <w:rFonts w:hint="default" w:ascii="Times New Roman" w:hAnsi="Times New Roman" w:cs="Times New Roman"/>
          <w:color w:val="auto"/>
          <w:sz w:val="24"/>
          <w:highlight w:val="none"/>
        </w:rPr>
        <w:t>、投标人告知承诺函</w:t>
      </w:r>
    </w:p>
    <w:p w14:paraId="19F9F953">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eastAsia" w:cs="Times New Roman"/>
          <w:color w:val="auto"/>
          <w:sz w:val="24"/>
          <w:highlight w:val="none"/>
          <w:lang w:val="en-US" w:eastAsia="zh-CN"/>
        </w:rPr>
        <w:t>十</w:t>
      </w:r>
      <w:r>
        <w:rPr>
          <w:rFonts w:hint="default" w:ascii="Times New Roman" w:hAnsi="Times New Roman" w:cs="Times New Roman"/>
          <w:color w:val="auto"/>
          <w:sz w:val="24"/>
          <w:highlight w:val="none"/>
          <w:lang w:val="en-US" w:eastAsia="zh-CN"/>
        </w:rPr>
        <w:t>、</w:t>
      </w:r>
      <w:r>
        <w:rPr>
          <w:rFonts w:hint="default" w:ascii="Times New Roman" w:hAnsi="Times New Roman" w:cs="Times New Roman"/>
          <w:color w:val="auto"/>
          <w:sz w:val="24"/>
          <w:highlight w:val="none"/>
        </w:rPr>
        <w:t>其他资料</w:t>
      </w:r>
    </w:p>
    <w:p w14:paraId="235A0785">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none"/>
        </w:rPr>
      </w:pPr>
    </w:p>
    <w:p w14:paraId="314A3DBC">
      <w:pPr>
        <w:pStyle w:val="2"/>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b w:val="0"/>
          <w:color w:val="auto"/>
          <w:sz w:val="30"/>
          <w:szCs w:val="30"/>
          <w:highlight w:val="none"/>
        </w:rPr>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bookmarkStart w:id="1861" w:name="_Toc234833254"/>
    </w:p>
    <w:bookmarkEnd w:id="1861"/>
    <w:p w14:paraId="4F9423FF">
      <w:pPr>
        <w:pStyle w:val="2"/>
        <w:pageBreakBefore w:val="0"/>
        <w:kinsoku/>
        <w:wordWrap w:val="0"/>
        <w:bidi w:val="0"/>
        <w:spacing w:before="0" w:after="0" w:line="400" w:lineRule="atLeast"/>
        <w:jc w:val="center"/>
        <w:outlineLvl w:val="1"/>
        <w:rPr>
          <w:rFonts w:hint="default" w:ascii="Times New Roman" w:hAnsi="Times New Roman" w:eastAsia="黑体" w:cs="Times New Roman"/>
          <w:b w:val="0"/>
          <w:color w:val="auto"/>
          <w:sz w:val="30"/>
          <w:szCs w:val="30"/>
          <w:highlight w:val="none"/>
        </w:rPr>
      </w:pPr>
      <w:bookmarkStart w:id="1862" w:name="_Toc25446"/>
      <w:bookmarkStart w:id="1863" w:name="_Toc26238"/>
      <w:bookmarkStart w:id="1864" w:name="_Toc234833255"/>
      <w:bookmarkStart w:id="1865" w:name="_Toc21625"/>
      <w:r>
        <w:rPr>
          <w:rFonts w:hint="default" w:ascii="Times New Roman" w:hAnsi="Times New Roman" w:eastAsia="黑体" w:cs="Times New Roman"/>
          <w:b w:val="0"/>
          <w:color w:val="auto"/>
          <w:sz w:val="30"/>
          <w:szCs w:val="30"/>
          <w:highlight w:val="none"/>
        </w:rPr>
        <w:t>一、投标函及投标函附录</w:t>
      </w:r>
      <w:bookmarkEnd w:id="1862"/>
      <w:bookmarkEnd w:id="1863"/>
      <w:bookmarkEnd w:id="1864"/>
      <w:bookmarkEnd w:id="1865"/>
    </w:p>
    <w:p w14:paraId="37421C35">
      <w:pPr>
        <w:pStyle w:val="2"/>
        <w:pageBreakBefore w:val="0"/>
        <w:kinsoku/>
        <w:wordWrap w:val="0"/>
        <w:bidi w:val="0"/>
        <w:spacing w:before="360" w:beforeLines="150" w:after="240" w:afterLines="100" w:line="360" w:lineRule="atLeast"/>
        <w:jc w:val="center"/>
        <w:outlineLvl w:val="2"/>
        <w:rPr>
          <w:rFonts w:hint="default" w:ascii="Times New Roman" w:hAnsi="Times New Roman" w:eastAsia="黑体" w:cs="Times New Roman"/>
          <w:b w:val="0"/>
          <w:color w:val="auto"/>
          <w:sz w:val="28"/>
          <w:szCs w:val="28"/>
          <w:highlight w:val="none"/>
        </w:rPr>
      </w:pPr>
      <w:bookmarkStart w:id="1866" w:name="_Toc12342"/>
      <w:bookmarkStart w:id="1867" w:name="_Toc585"/>
      <w:bookmarkStart w:id="1868" w:name="_Toc234833256"/>
      <w:bookmarkStart w:id="1869" w:name="_Toc18251"/>
      <w:r>
        <w:rPr>
          <w:rFonts w:hint="default" w:ascii="Times New Roman" w:hAnsi="Times New Roman" w:eastAsia="黑体" w:cs="Times New Roman"/>
          <w:b w:val="0"/>
          <w:color w:val="auto"/>
          <w:sz w:val="28"/>
          <w:szCs w:val="28"/>
          <w:highlight w:val="none"/>
        </w:rPr>
        <w:t>（一） 投 标 函</w:t>
      </w:r>
      <w:bookmarkEnd w:id="1866"/>
      <w:bookmarkEnd w:id="1867"/>
      <w:bookmarkEnd w:id="1868"/>
      <w:bookmarkEnd w:id="1869"/>
    </w:p>
    <w:p w14:paraId="5C659C11">
      <w:pPr>
        <w:pageBreakBefore w:val="0"/>
        <w:kinsoku/>
        <w:wordWrap w:val="0"/>
        <w:bidi w:val="0"/>
        <w:spacing w:before="240" w:beforeLines="100" w:after="120" w:afterLines="50" w:line="36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p>
    <w:p w14:paraId="22528299">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1．我方已仔细研究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default" w:ascii="Times New Roman" w:hAnsi="Times New Roman" w:cs="Times New Roman"/>
          <w:color w:val="auto"/>
          <w:sz w:val="24"/>
          <w:highlight w:val="none"/>
        </w:rPr>
        <w:t>施工招标文件的全部内容（含补遗书第___号至第___号），在考察工程现场后，愿意以第二个信封（报价文件）中的投标总报价（或根据招标文件规定修正核实后确定的另一金额），按合同约定实施和完成承包工程，修补工程中的任何缺陷。</w:t>
      </w:r>
    </w:p>
    <w:p w14:paraId="2AD0F202">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2．我方承诺在招标文件规定的投标有效期内不撤销投标文件。</w:t>
      </w:r>
    </w:p>
    <w:p w14:paraId="035830B2">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3．工程质量：</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，安全目标：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，工期：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日历天。</w:t>
      </w:r>
    </w:p>
    <w:p w14:paraId="540CDDD6">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4．如我方中标，我方承诺：</w:t>
      </w:r>
    </w:p>
    <w:p w14:paraId="72E2ABED">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（1）在收到中标通知书后，在中标通知书规定的期限内与你方签订合同；</w:t>
      </w:r>
    </w:p>
    <w:p w14:paraId="1347EAAA">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（2）在签订合同时不向你方提出附加条件；</w:t>
      </w:r>
    </w:p>
    <w:p w14:paraId="12C48E07">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（3）按照招标文件要求提交履约保证金；</w:t>
      </w:r>
      <w:bookmarkStart w:id="1870" w:name="_Toc352691658"/>
      <w:bookmarkStart w:id="1871" w:name="_Toc1187"/>
      <w:bookmarkStart w:id="1872" w:name="_Toc369531694"/>
    </w:p>
    <w:p w14:paraId="74729A88">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（4）在合</w:t>
      </w:r>
      <w:bookmarkEnd w:id="1870"/>
      <w:bookmarkEnd w:id="1871"/>
      <w:bookmarkEnd w:id="1872"/>
      <w:r>
        <w:rPr>
          <w:rFonts w:hint="default" w:ascii="Times New Roman" w:hAnsi="Times New Roman" w:cs="Times New Roman"/>
          <w:color w:val="auto"/>
          <w:sz w:val="24"/>
          <w:highlight w:val="none"/>
        </w:rPr>
        <w:t>同约定的期限内完成合同规定的全部义务；</w:t>
      </w:r>
    </w:p>
    <w:p w14:paraId="75DA6A9A">
      <w:pPr>
        <w:pageBreakBefore w:val="0"/>
        <w:kinsoku/>
        <w:wordWrap w:val="0"/>
        <w:bidi w:val="0"/>
        <w:spacing w:line="360" w:lineRule="atLeast"/>
        <w:ind w:firstLine="480" w:firstLineChars="200"/>
        <w:rPr>
          <w:rFonts w:hint="default" w:ascii="Times New Roman" w:hAnsi="Times New Roman" w:cs="Times New Roman"/>
          <w:color w:val="auto"/>
          <w:sz w:val="24"/>
          <w:highlight w:val="none"/>
          <w:vertAlign w:val="superscript"/>
        </w:rPr>
      </w:pPr>
      <w:r>
        <w:rPr>
          <w:rFonts w:hint="default" w:ascii="Times New Roman" w:hAnsi="Times New Roman" w:cs="Times New Roman"/>
          <w:color w:val="auto"/>
          <w:sz w:val="24"/>
          <w:highlight w:val="none"/>
        </w:rPr>
        <w:t>（5）在你方和我方进行合同谈判之前，我方将按照合同附件提出的最低要求填报派驻本标段的其他管理和技术人员及主要机械设备和试验检测设备，经你方审批后作为派驻本标段的项目管理机构主要人员和主要设备且不进行更换。如我方拟派驻的人员和设备不满足合同附件要求，你方有权取消我方中标资格。</w:t>
      </w:r>
      <w:r>
        <w:rPr>
          <w:rFonts w:hint="default" w:ascii="Times New Roman" w:hAnsi="Times New Roman" w:cs="Times New Roman"/>
          <w:color w:val="auto"/>
          <w:sz w:val="24"/>
          <w:highlight w:val="none"/>
          <w:vertAlign w:val="superscript"/>
        </w:rPr>
        <w:footnoteReference w:id="45"/>
      </w:r>
    </w:p>
    <w:p w14:paraId="5E291149">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5．我方在此声明，所递交的投标文件及有关资料内容完整、真实和准确，且不存在招标文件第二章</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投标人须知</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第1.4.3项和第1.4.4项规定的任何一种情形。</w:t>
      </w:r>
    </w:p>
    <w:p w14:paraId="50357F16">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6．在合同协议书正式签署生效之前，本投标函连同你方的中标通知书将构成我们双方之间共同遵守的文件，对双方具有约束力。</w:t>
      </w:r>
    </w:p>
    <w:p w14:paraId="3FE75774">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（其他补充说明）。</w:t>
      </w:r>
    </w:p>
    <w:p w14:paraId="10C2E3BC">
      <w:pPr>
        <w:pageBreakBefore w:val="0"/>
        <w:kinsoku/>
        <w:wordWrap w:val="0"/>
        <w:bidi w:val="0"/>
        <w:spacing w:line="360" w:lineRule="atLeast"/>
        <w:ind w:firstLine="480" w:firstLineChars="200"/>
        <w:rPr>
          <w:rFonts w:hint="default" w:ascii="Times New Roman" w:hAnsi="Times New Roman" w:cs="Times New Roman"/>
          <w:color w:val="auto"/>
          <w:sz w:val="24"/>
          <w:highlight w:val="none"/>
        </w:rPr>
      </w:pPr>
    </w:p>
    <w:p w14:paraId="04A7CECD">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 标 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w:t>
      </w:r>
      <w:r>
        <w:rPr>
          <w:rFonts w:hint="default" w:ascii="Times New Roman" w:hAnsi="Times New Roman" w:cs="Times New Roman"/>
          <w:color w:val="auto"/>
          <w:sz w:val="24"/>
          <w:highlight w:val="none"/>
          <w:lang w:val="en-US" w:eastAsia="zh-CN"/>
        </w:rPr>
        <w:t>电子印</w:t>
      </w:r>
      <w:r>
        <w:rPr>
          <w:rFonts w:hint="default" w:ascii="Times New Roman" w:hAnsi="Times New Roman" w:cs="Times New Roman"/>
          <w:color w:val="auto"/>
          <w:sz w:val="24"/>
          <w:highlight w:val="none"/>
        </w:rPr>
        <w:t>章）</w:t>
      </w:r>
    </w:p>
    <w:p w14:paraId="3A36671C">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outlineLvl w:val="9"/>
        <w:rPr>
          <w:rFonts w:hint="default" w:ascii="Times New Roman" w:hAnsi="Times New Roman" w:cs="Times New Roman"/>
          <w:color w:val="auto"/>
          <w:sz w:val="24"/>
          <w:highlight w:val="none"/>
        </w:rPr>
      </w:pPr>
      <w:bookmarkStart w:id="1873" w:name="_Toc23140"/>
      <w:bookmarkStart w:id="1874" w:name="_Toc26277"/>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bookmarkEnd w:id="1873"/>
      <w:bookmarkEnd w:id="1874"/>
    </w:p>
    <w:p w14:paraId="7CFB0A2C">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3224E899">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网    址：</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p>
    <w:p w14:paraId="19533287">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13848E86">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传    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5D288CE3">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邮政编码：</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p>
    <w:p w14:paraId="52F5A589">
      <w:pPr>
        <w:pageBreakBefore w:val="0"/>
        <w:kinsoku/>
        <w:wordWrap w:val="0"/>
        <w:overflowPunct/>
        <w:bidi w:val="0"/>
        <w:spacing w:line="400" w:lineRule="atLeast"/>
        <w:ind w:firstLine="4740" w:firstLineChars="197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78382DB8">
      <w:pPr>
        <w:pStyle w:val="5"/>
        <w:pageBreakBefore w:val="0"/>
        <w:kinsoku/>
        <w:wordWrap w:val="0"/>
        <w:bidi w:val="0"/>
        <w:spacing w:before="360" w:beforeLines="150" w:after="240" w:afterLines="100" w:line="380" w:lineRule="atLeast"/>
        <w:jc w:val="center"/>
        <w:outlineLvl w:val="2"/>
        <w:rPr>
          <w:rFonts w:hint="default" w:ascii="Times New Roman" w:hAnsi="Times New Roman" w:eastAsia="黑体" w:cs="Times New Roman"/>
          <w:b w:val="0"/>
          <w:color w:val="auto"/>
          <w:sz w:val="30"/>
          <w:szCs w:val="30"/>
          <w:highlight w:val="none"/>
        </w:rPr>
      </w:pPr>
      <w:r>
        <w:rPr>
          <w:rFonts w:hint="default" w:ascii="Times New Roman" w:hAnsi="Times New Roman" w:eastAsia="黑体" w:cs="Times New Roman"/>
          <w:color w:val="auto"/>
          <w:sz w:val="23"/>
          <w:szCs w:val="23"/>
          <w:highlight w:val="none"/>
        </w:rPr>
        <w:br w:type="page"/>
      </w:r>
      <w:bookmarkStart w:id="1875" w:name="_Toc30343"/>
      <w:bookmarkStart w:id="1876" w:name="_Toc27025"/>
      <w:bookmarkStart w:id="1877" w:name="_Toc234833257"/>
      <w:bookmarkStart w:id="1878" w:name="_Toc27486"/>
      <w:r>
        <w:rPr>
          <w:rFonts w:hint="default" w:ascii="Times New Roman" w:hAnsi="Times New Roman" w:eastAsia="黑体" w:cs="Times New Roman"/>
          <w:b w:val="0"/>
          <w:color w:val="auto"/>
          <w:sz w:val="30"/>
          <w:szCs w:val="30"/>
          <w:highlight w:val="none"/>
        </w:rPr>
        <w:t>（二）投标函附录</w:t>
      </w:r>
      <w:bookmarkEnd w:id="1875"/>
      <w:bookmarkEnd w:id="1876"/>
      <w:bookmarkEnd w:id="1877"/>
      <w:bookmarkEnd w:id="1878"/>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2710"/>
        <w:gridCol w:w="1185"/>
        <w:gridCol w:w="3613"/>
        <w:gridCol w:w="749"/>
      </w:tblGrid>
      <w:tr w14:paraId="447D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7A21C6F9">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序号</w:t>
            </w:r>
          </w:p>
        </w:tc>
        <w:tc>
          <w:tcPr>
            <w:tcW w:w="2710" w:type="dxa"/>
            <w:noWrap w:val="0"/>
            <w:vAlign w:val="center"/>
          </w:tcPr>
          <w:p w14:paraId="129F06A3">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条款名称</w:t>
            </w:r>
          </w:p>
        </w:tc>
        <w:tc>
          <w:tcPr>
            <w:tcW w:w="1185" w:type="dxa"/>
            <w:noWrap w:val="0"/>
            <w:vAlign w:val="center"/>
          </w:tcPr>
          <w:p w14:paraId="527C0CD6">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合同条目号</w:t>
            </w:r>
          </w:p>
        </w:tc>
        <w:tc>
          <w:tcPr>
            <w:tcW w:w="3613" w:type="dxa"/>
            <w:noWrap w:val="0"/>
            <w:vAlign w:val="center"/>
          </w:tcPr>
          <w:p w14:paraId="6F7EB65E">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约定内容</w:t>
            </w:r>
          </w:p>
        </w:tc>
        <w:tc>
          <w:tcPr>
            <w:tcW w:w="749" w:type="dxa"/>
            <w:noWrap w:val="0"/>
            <w:vAlign w:val="center"/>
          </w:tcPr>
          <w:p w14:paraId="7878DB53">
            <w:pPr>
              <w:pageBreakBefore w:val="0"/>
              <w:kinsoku/>
              <w:wordWrap w:val="0"/>
              <w:bidi w:val="0"/>
              <w:spacing w:line="400" w:lineRule="atLeast"/>
              <w:ind w:left="-105" w:leftChars="-50" w:right="-105" w:rightChars="-50"/>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备注</w:t>
            </w:r>
          </w:p>
        </w:tc>
      </w:tr>
      <w:tr w14:paraId="37BE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5B463D33">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2710" w:type="dxa"/>
            <w:noWrap w:val="0"/>
            <w:vAlign w:val="center"/>
          </w:tcPr>
          <w:p w14:paraId="7734825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缺陷责任期</w:t>
            </w:r>
          </w:p>
        </w:tc>
        <w:tc>
          <w:tcPr>
            <w:tcW w:w="1185" w:type="dxa"/>
            <w:noWrap w:val="0"/>
            <w:vAlign w:val="center"/>
          </w:tcPr>
          <w:p w14:paraId="67D941D7">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1.1.4.5</w:t>
            </w:r>
          </w:p>
        </w:tc>
        <w:tc>
          <w:tcPr>
            <w:tcW w:w="3613" w:type="dxa"/>
            <w:noWrap w:val="0"/>
            <w:vAlign w:val="center"/>
          </w:tcPr>
          <w:p w14:paraId="4F650F33">
            <w:pPr>
              <w:pageBreakBefore w:val="0"/>
              <w:kinsoku/>
              <w:wordWrap w:val="0"/>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自实际交工日期起计算</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749" w:type="dxa"/>
            <w:noWrap w:val="0"/>
            <w:vAlign w:val="center"/>
          </w:tcPr>
          <w:p w14:paraId="0170E25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052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00DA2926">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p>
        </w:tc>
        <w:tc>
          <w:tcPr>
            <w:tcW w:w="2710" w:type="dxa"/>
            <w:noWrap w:val="0"/>
            <w:vAlign w:val="center"/>
          </w:tcPr>
          <w:p w14:paraId="10ED4FC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逾期交工违约金</w:t>
            </w:r>
          </w:p>
        </w:tc>
        <w:tc>
          <w:tcPr>
            <w:tcW w:w="1185" w:type="dxa"/>
            <w:noWrap w:val="0"/>
            <w:vAlign w:val="center"/>
          </w:tcPr>
          <w:p w14:paraId="2A229A24">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11.5（3）</w:t>
            </w:r>
          </w:p>
        </w:tc>
        <w:tc>
          <w:tcPr>
            <w:tcW w:w="3613" w:type="dxa"/>
            <w:noWrap w:val="0"/>
            <w:vAlign w:val="center"/>
          </w:tcPr>
          <w:p w14:paraId="1677E6A8">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元/天</w:t>
            </w:r>
          </w:p>
        </w:tc>
        <w:tc>
          <w:tcPr>
            <w:tcW w:w="749" w:type="dxa"/>
            <w:noWrap w:val="0"/>
            <w:vAlign w:val="center"/>
          </w:tcPr>
          <w:p w14:paraId="7505FE73">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4781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2D84CF02">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w:t>
            </w:r>
          </w:p>
        </w:tc>
        <w:tc>
          <w:tcPr>
            <w:tcW w:w="2710" w:type="dxa"/>
            <w:noWrap w:val="0"/>
            <w:vAlign w:val="center"/>
          </w:tcPr>
          <w:p w14:paraId="60E7BA47">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逾期交工违约金限额</w:t>
            </w:r>
          </w:p>
        </w:tc>
        <w:tc>
          <w:tcPr>
            <w:tcW w:w="1185" w:type="dxa"/>
            <w:noWrap w:val="0"/>
            <w:vAlign w:val="center"/>
          </w:tcPr>
          <w:p w14:paraId="63818A95">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11.5（3）</w:t>
            </w:r>
          </w:p>
        </w:tc>
        <w:tc>
          <w:tcPr>
            <w:tcW w:w="3613" w:type="dxa"/>
            <w:noWrap w:val="0"/>
            <w:vAlign w:val="center"/>
          </w:tcPr>
          <w:p w14:paraId="1BDB1441">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c>
          <w:tcPr>
            <w:tcW w:w="749" w:type="dxa"/>
            <w:noWrap w:val="0"/>
            <w:vAlign w:val="center"/>
          </w:tcPr>
          <w:p w14:paraId="2B0D3ABF">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288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1B594D26">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w:t>
            </w:r>
          </w:p>
        </w:tc>
        <w:tc>
          <w:tcPr>
            <w:tcW w:w="2710" w:type="dxa"/>
            <w:noWrap w:val="0"/>
            <w:vAlign w:val="center"/>
          </w:tcPr>
          <w:p w14:paraId="0B194576">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提前交工的奖金 </w:t>
            </w:r>
          </w:p>
        </w:tc>
        <w:tc>
          <w:tcPr>
            <w:tcW w:w="1185" w:type="dxa"/>
            <w:noWrap w:val="0"/>
            <w:vAlign w:val="center"/>
          </w:tcPr>
          <w:p w14:paraId="5EA1D5C0">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11.6</w:t>
            </w:r>
          </w:p>
        </w:tc>
        <w:tc>
          <w:tcPr>
            <w:tcW w:w="3613" w:type="dxa"/>
            <w:noWrap w:val="0"/>
            <w:vAlign w:val="center"/>
          </w:tcPr>
          <w:p w14:paraId="33ECCD51">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元/天</w:t>
            </w:r>
          </w:p>
        </w:tc>
        <w:tc>
          <w:tcPr>
            <w:tcW w:w="749" w:type="dxa"/>
            <w:noWrap w:val="0"/>
            <w:vAlign w:val="center"/>
          </w:tcPr>
          <w:p w14:paraId="1B32E423">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BF8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54A43FE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w:t>
            </w:r>
          </w:p>
        </w:tc>
        <w:tc>
          <w:tcPr>
            <w:tcW w:w="2710" w:type="dxa"/>
            <w:noWrap w:val="0"/>
            <w:vAlign w:val="center"/>
          </w:tcPr>
          <w:p w14:paraId="7C2CC417">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提前交工的奖金限额</w:t>
            </w:r>
          </w:p>
        </w:tc>
        <w:tc>
          <w:tcPr>
            <w:tcW w:w="1185" w:type="dxa"/>
            <w:noWrap w:val="0"/>
            <w:vAlign w:val="center"/>
          </w:tcPr>
          <w:p w14:paraId="4FBF468B">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11.6</w:t>
            </w:r>
          </w:p>
        </w:tc>
        <w:tc>
          <w:tcPr>
            <w:tcW w:w="3613" w:type="dxa"/>
            <w:noWrap w:val="0"/>
            <w:vAlign w:val="center"/>
          </w:tcPr>
          <w:p w14:paraId="16173087">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c>
          <w:tcPr>
            <w:tcW w:w="749" w:type="dxa"/>
            <w:noWrap w:val="0"/>
            <w:vAlign w:val="center"/>
          </w:tcPr>
          <w:p w14:paraId="626324C1">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E71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2237FA71">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w:t>
            </w:r>
          </w:p>
        </w:tc>
        <w:tc>
          <w:tcPr>
            <w:tcW w:w="2710" w:type="dxa"/>
            <w:noWrap w:val="0"/>
            <w:vAlign w:val="center"/>
          </w:tcPr>
          <w:p w14:paraId="19CB42EC">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价格调整的差额计算</w:t>
            </w:r>
          </w:p>
        </w:tc>
        <w:tc>
          <w:tcPr>
            <w:tcW w:w="1185" w:type="dxa"/>
            <w:noWrap w:val="0"/>
            <w:vAlign w:val="center"/>
          </w:tcPr>
          <w:p w14:paraId="02CB9296">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16.1.1</w:t>
            </w:r>
          </w:p>
        </w:tc>
        <w:tc>
          <w:tcPr>
            <w:tcW w:w="3613" w:type="dxa"/>
            <w:noWrap w:val="0"/>
            <w:vAlign w:val="center"/>
          </w:tcPr>
          <w:p w14:paraId="5D8C23CF">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见价格指数和权重表</w:t>
            </w:r>
          </w:p>
        </w:tc>
        <w:tc>
          <w:tcPr>
            <w:tcW w:w="749" w:type="dxa"/>
            <w:noWrap w:val="0"/>
            <w:vAlign w:val="center"/>
          </w:tcPr>
          <w:p w14:paraId="23FA29F1">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A8F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7325235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w:t>
            </w:r>
          </w:p>
        </w:tc>
        <w:tc>
          <w:tcPr>
            <w:tcW w:w="2710" w:type="dxa"/>
            <w:noWrap w:val="0"/>
            <w:vAlign w:val="center"/>
          </w:tcPr>
          <w:p w14:paraId="0F7AD91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开工预付款金额</w:t>
            </w:r>
          </w:p>
        </w:tc>
        <w:tc>
          <w:tcPr>
            <w:tcW w:w="1185" w:type="dxa"/>
            <w:noWrap w:val="0"/>
            <w:vAlign w:val="center"/>
          </w:tcPr>
          <w:p w14:paraId="5A86FBB0">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17.2.1（1）</w:t>
            </w:r>
          </w:p>
        </w:tc>
        <w:tc>
          <w:tcPr>
            <w:tcW w:w="3613" w:type="dxa"/>
            <w:noWrap w:val="0"/>
            <w:vAlign w:val="center"/>
          </w:tcPr>
          <w:p w14:paraId="4231F990">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w:t>
            </w:r>
          </w:p>
        </w:tc>
        <w:tc>
          <w:tcPr>
            <w:tcW w:w="749" w:type="dxa"/>
            <w:noWrap w:val="0"/>
            <w:vAlign w:val="center"/>
          </w:tcPr>
          <w:p w14:paraId="704976D1">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FDA2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1934A1D1">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8</w:t>
            </w:r>
          </w:p>
        </w:tc>
        <w:tc>
          <w:tcPr>
            <w:tcW w:w="2710" w:type="dxa"/>
            <w:noWrap w:val="0"/>
            <w:vAlign w:val="center"/>
          </w:tcPr>
          <w:p w14:paraId="19D774F2">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材料、设备预付款比例</w:t>
            </w:r>
          </w:p>
        </w:tc>
        <w:tc>
          <w:tcPr>
            <w:tcW w:w="1185" w:type="dxa"/>
            <w:noWrap w:val="0"/>
            <w:vAlign w:val="center"/>
          </w:tcPr>
          <w:p w14:paraId="5BA45185">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17.2.1（2）</w:t>
            </w:r>
          </w:p>
        </w:tc>
        <w:tc>
          <w:tcPr>
            <w:tcW w:w="3613" w:type="dxa"/>
            <w:noWrap w:val="0"/>
            <w:vAlign w:val="center"/>
          </w:tcPr>
          <w:p w14:paraId="29C5F72F">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等主要材料、设备单据所列费用的</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w:t>
            </w:r>
          </w:p>
        </w:tc>
        <w:tc>
          <w:tcPr>
            <w:tcW w:w="749" w:type="dxa"/>
            <w:noWrap w:val="0"/>
            <w:vAlign w:val="center"/>
          </w:tcPr>
          <w:p w14:paraId="02B47E1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67A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6515479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9</w:t>
            </w:r>
          </w:p>
        </w:tc>
        <w:tc>
          <w:tcPr>
            <w:tcW w:w="2710" w:type="dxa"/>
            <w:noWrap w:val="0"/>
            <w:vAlign w:val="center"/>
          </w:tcPr>
          <w:p w14:paraId="492FDA2C">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进度付款证书最低限额</w:t>
            </w:r>
          </w:p>
        </w:tc>
        <w:tc>
          <w:tcPr>
            <w:tcW w:w="1185" w:type="dxa"/>
            <w:noWrap w:val="0"/>
            <w:vAlign w:val="center"/>
          </w:tcPr>
          <w:p w14:paraId="0020AAFA">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17.3.3（1）</w:t>
            </w:r>
          </w:p>
        </w:tc>
        <w:tc>
          <w:tcPr>
            <w:tcW w:w="3613" w:type="dxa"/>
            <w:noWrap w:val="0"/>
            <w:vAlign w:val="center"/>
          </w:tcPr>
          <w:p w14:paraId="6A527A58">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%签约合同价或</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万元</w:t>
            </w:r>
          </w:p>
        </w:tc>
        <w:tc>
          <w:tcPr>
            <w:tcW w:w="749" w:type="dxa"/>
            <w:noWrap w:val="0"/>
            <w:vAlign w:val="center"/>
          </w:tcPr>
          <w:p w14:paraId="5338245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BB3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3F470A6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w:t>
            </w:r>
          </w:p>
        </w:tc>
        <w:tc>
          <w:tcPr>
            <w:tcW w:w="2710" w:type="dxa"/>
            <w:noWrap w:val="0"/>
            <w:vAlign w:val="center"/>
          </w:tcPr>
          <w:p w14:paraId="090DB88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逾期付款违约金的利率</w:t>
            </w:r>
          </w:p>
        </w:tc>
        <w:tc>
          <w:tcPr>
            <w:tcW w:w="1185" w:type="dxa"/>
            <w:noWrap w:val="0"/>
            <w:vAlign w:val="center"/>
          </w:tcPr>
          <w:p w14:paraId="7F66BB00">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17.3.3（2）</w:t>
            </w:r>
          </w:p>
        </w:tc>
        <w:tc>
          <w:tcPr>
            <w:tcW w:w="3613" w:type="dxa"/>
            <w:noWrap w:val="0"/>
            <w:vAlign w:val="center"/>
          </w:tcPr>
          <w:p w14:paraId="001ADFBC">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‰/天</w:t>
            </w:r>
          </w:p>
        </w:tc>
        <w:tc>
          <w:tcPr>
            <w:tcW w:w="749" w:type="dxa"/>
            <w:noWrap w:val="0"/>
            <w:vAlign w:val="center"/>
          </w:tcPr>
          <w:p w14:paraId="5950C344">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6BF1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55BCF76C">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11</w:t>
            </w:r>
          </w:p>
        </w:tc>
        <w:tc>
          <w:tcPr>
            <w:tcW w:w="2710" w:type="dxa"/>
            <w:noWrap w:val="0"/>
            <w:vAlign w:val="center"/>
          </w:tcPr>
          <w:p w14:paraId="3271DDC6">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质量保证金金额</w:t>
            </w:r>
          </w:p>
        </w:tc>
        <w:tc>
          <w:tcPr>
            <w:tcW w:w="1185" w:type="dxa"/>
            <w:noWrap w:val="0"/>
            <w:vAlign w:val="center"/>
          </w:tcPr>
          <w:p w14:paraId="0C14A00C">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17.4.1</w:t>
            </w:r>
          </w:p>
        </w:tc>
        <w:tc>
          <w:tcPr>
            <w:tcW w:w="3613" w:type="dxa"/>
            <w:noWrap w:val="0"/>
            <w:vAlign w:val="center"/>
          </w:tcPr>
          <w:p w14:paraId="5151C836">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%合同价格，若交工验收时承包人具备被</w:t>
            </w:r>
            <w:r>
              <w:rPr>
                <w:rFonts w:hint="eastAsia" w:cs="Times New Roman"/>
                <w:color w:val="auto"/>
                <w:szCs w:val="21"/>
                <w:highlight w:val="none"/>
                <w:lang w:val="en-US" w:eastAsia="zh-CN"/>
              </w:rPr>
              <w:t>辽宁省交通运输厅</w:t>
            </w:r>
            <w:r>
              <w:rPr>
                <w:rFonts w:hint="default" w:ascii="Times New Roman" w:hAnsi="Times New Roman" w:cs="Times New Roman"/>
                <w:color w:val="auto"/>
                <w:szCs w:val="21"/>
                <w:highlight w:val="none"/>
              </w:rPr>
              <w:t>评定的最高信用等级，发包人给予</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%合同价格质量保证金的优惠</w:t>
            </w:r>
          </w:p>
        </w:tc>
        <w:tc>
          <w:tcPr>
            <w:tcW w:w="749" w:type="dxa"/>
            <w:noWrap w:val="0"/>
            <w:vAlign w:val="center"/>
          </w:tcPr>
          <w:p w14:paraId="271D8647">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F07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2" w:type="dxa"/>
            <w:noWrap w:val="0"/>
            <w:vAlign w:val="center"/>
          </w:tcPr>
          <w:p w14:paraId="0E2D703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12</w:t>
            </w:r>
          </w:p>
        </w:tc>
        <w:tc>
          <w:tcPr>
            <w:tcW w:w="2710" w:type="dxa"/>
            <w:noWrap w:val="0"/>
            <w:vAlign w:val="center"/>
          </w:tcPr>
          <w:p w14:paraId="3DA73FD2">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保修期</w:t>
            </w:r>
          </w:p>
        </w:tc>
        <w:tc>
          <w:tcPr>
            <w:tcW w:w="1185" w:type="dxa"/>
            <w:noWrap w:val="0"/>
            <w:vAlign w:val="center"/>
          </w:tcPr>
          <w:p w14:paraId="6A82A807">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19.7（1）</w:t>
            </w:r>
          </w:p>
        </w:tc>
        <w:tc>
          <w:tcPr>
            <w:tcW w:w="3613" w:type="dxa"/>
            <w:noWrap w:val="0"/>
            <w:vAlign w:val="center"/>
          </w:tcPr>
          <w:p w14:paraId="5A8B9415">
            <w:pPr>
              <w:pageBreakBefore w:val="0"/>
              <w:kinsoku/>
              <w:wordWrap w:val="0"/>
              <w:bidi w:val="0"/>
              <w:snapToGrid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自实际交工日期起计算</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749" w:type="dxa"/>
            <w:noWrap w:val="0"/>
            <w:vAlign w:val="center"/>
          </w:tcPr>
          <w:p w14:paraId="1B9A7D24">
            <w:pPr>
              <w:pageBreakBefore w:val="0"/>
              <w:kinsoku/>
              <w:wordWrap w:val="0"/>
              <w:bidi w:val="0"/>
              <w:spacing w:line="400" w:lineRule="atLeast"/>
              <w:jc w:val="center"/>
              <w:rPr>
                <w:rFonts w:hint="default" w:ascii="Times New Roman" w:hAnsi="Times New Roman" w:cs="Times New Roman"/>
                <w:color w:val="auto"/>
                <w:szCs w:val="21"/>
                <w:highlight w:val="none"/>
              </w:rPr>
            </w:pPr>
          </w:p>
        </w:tc>
      </w:tr>
    </w:tbl>
    <w:p w14:paraId="0EB6CF7E">
      <w:pPr>
        <w:pageBreakBefore w:val="0"/>
        <w:kinsoku/>
        <w:wordWrap w:val="0"/>
        <w:bidi w:val="0"/>
        <w:snapToGrid w:val="0"/>
        <w:spacing w:line="400" w:lineRule="atLeast"/>
        <w:ind w:firstLine="3240" w:firstLineChars="1350"/>
        <w:rPr>
          <w:rFonts w:hint="default" w:ascii="Times New Roman" w:hAnsi="Times New Roman" w:cs="Times New Roman"/>
          <w:color w:val="auto"/>
          <w:sz w:val="24"/>
          <w:highlight w:val="none"/>
        </w:rPr>
      </w:pPr>
    </w:p>
    <w:p w14:paraId="6B2987BC">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8D4C829">
      <w:pPr>
        <w:pageBreakBefore w:val="0"/>
        <w:kinsoku/>
        <w:wordWrap w:val="0"/>
        <w:bidi w:val="0"/>
        <w:spacing w:line="440" w:lineRule="exac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br w:type="page"/>
      </w:r>
      <w:r>
        <w:rPr>
          <w:rFonts w:hint="default" w:ascii="Times New Roman" w:hAnsi="Times New Roman" w:eastAsia="黑体" w:cs="Times New Roman"/>
          <w:color w:val="auto"/>
          <w:sz w:val="24"/>
          <w:highlight w:val="none"/>
        </w:rPr>
        <w:t>价格指数和权重表</w:t>
      </w:r>
    </w:p>
    <w:p w14:paraId="562507EA">
      <w:pPr>
        <w:pageBreakBefore w:val="0"/>
        <w:kinsoku/>
        <w:wordWrap w:val="0"/>
        <w:bidi w:val="0"/>
        <w:spacing w:line="440" w:lineRule="exact"/>
        <w:jc w:val="center"/>
        <w:rPr>
          <w:rFonts w:hint="default" w:ascii="Times New Roman" w:hAnsi="Times New Roman" w:eastAsia="黑体" w:cs="Times New Roman"/>
          <w:color w:val="auto"/>
          <w:sz w:val="24"/>
          <w:highlight w:val="none"/>
        </w:rPr>
      </w:pPr>
    </w:p>
    <w:tbl>
      <w:tblPr>
        <w:tblStyle w:val="3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872"/>
        <w:gridCol w:w="748"/>
        <w:gridCol w:w="900"/>
        <w:gridCol w:w="648"/>
        <w:gridCol w:w="1266"/>
        <w:gridCol w:w="1630"/>
        <w:gridCol w:w="1970"/>
      </w:tblGrid>
      <w:tr w14:paraId="0E7F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 w:hRule="atLeast"/>
        </w:trPr>
        <w:tc>
          <w:tcPr>
            <w:tcW w:w="1298" w:type="dxa"/>
            <w:gridSpan w:val="2"/>
            <w:vMerge w:val="restart"/>
            <w:noWrap w:val="0"/>
            <w:vAlign w:val="center"/>
          </w:tcPr>
          <w:p w14:paraId="1A6572BF">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名称</w:t>
            </w:r>
          </w:p>
        </w:tc>
        <w:tc>
          <w:tcPr>
            <w:tcW w:w="1648" w:type="dxa"/>
            <w:gridSpan w:val="2"/>
            <w:noWrap w:val="0"/>
            <w:vAlign w:val="center"/>
          </w:tcPr>
          <w:p w14:paraId="672879CD">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基本价格指数</w:t>
            </w:r>
          </w:p>
        </w:tc>
        <w:tc>
          <w:tcPr>
            <w:tcW w:w="3544" w:type="dxa"/>
            <w:gridSpan w:val="3"/>
            <w:noWrap w:val="0"/>
            <w:vAlign w:val="center"/>
          </w:tcPr>
          <w:p w14:paraId="707B88A8">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权       重</w:t>
            </w:r>
          </w:p>
        </w:tc>
        <w:tc>
          <w:tcPr>
            <w:tcW w:w="1970" w:type="dxa"/>
            <w:vMerge w:val="restart"/>
            <w:noWrap w:val="0"/>
            <w:vAlign w:val="center"/>
          </w:tcPr>
          <w:p w14:paraId="73A06992">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价格指数来源</w:t>
            </w:r>
          </w:p>
        </w:tc>
      </w:tr>
      <w:tr w14:paraId="3093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6" w:hRule="atLeast"/>
        </w:trPr>
        <w:tc>
          <w:tcPr>
            <w:tcW w:w="1298" w:type="dxa"/>
            <w:gridSpan w:val="2"/>
            <w:vMerge w:val="continue"/>
            <w:noWrap w:val="0"/>
            <w:vAlign w:val="center"/>
          </w:tcPr>
          <w:p w14:paraId="261590E7">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c>
          <w:tcPr>
            <w:tcW w:w="748" w:type="dxa"/>
            <w:noWrap w:val="0"/>
            <w:vAlign w:val="center"/>
          </w:tcPr>
          <w:p w14:paraId="4BF75908">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代号</w:t>
            </w:r>
          </w:p>
        </w:tc>
        <w:tc>
          <w:tcPr>
            <w:tcW w:w="900" w:type="dxa"/>
            <w:noWrap w:val="0"/>
            <w:vAlign w:val="center"/>
          </w:tcPr>
          <w:p w14:paraId="3508F86A">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指数值</w:t>
            </w:r>
          </w:p>
        </w:tc>
        <w:tc>
          <w:tcPr>
            <w:tcW w:w="648" w:type="dxa"/>
            <w:noWrap w:val="0"/>
            <w:vAlign w:val="center"/>
          </w:tcPr>
          <w:p w14:paraId="609CB2F8">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代号</w:t>
            </w:r>
          </w:p>
        </w:tc>
        <w:tc>
          <w:tcPr>
            <w:tcW w:w="1266" w:type="dxa"/>
            <w:noWrap w:val="0"/>
            <w:vAlign w:val="center"/>
          </w:tcPr>
          <w:p w14:paraId="35065E42">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允许范围</w:t>
            </w:r>
          </w:p>
        </w:tc>
        <w:tc>
          <w:tcPr>
            <w:tcW w:w="1630" w:type="dxa"/>
            <w:noWrap w:val="0"/>
            <w:vAlign w:val="center"/>
          </w:tcPr>
          <w:p w14:paraId="5462A200">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投标人建议值</w:t>
            </w:r>
          </w:p>
        </w:tc>
        <w:tc>
          <w:tcPr>
            <w:tcW w:w="1970" w:type="dxa"/>
            <w:vMerge w:val="continue"/>
            <w:noWrap w:val="0"/>
            <w:vAlign w:val="center"/>
          </w:tcPr>
          <w:p w14:paraId="2F0BDAB3">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r>
      <w:tr w14:paraId="42F7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298" w:type="dxa"/>
            <w:gridSpan w:val="2"/>
            <w:noWrap w:val="0"/>
            <w:vAlign w:val="center"/>
          </w:tcPr>
          <w:p w14:paraId="693EF74F">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定值部分</w:t>
            </w:r>
          </w:p>
        </w:tc>
        <w:tc>
          <w:tcPr>
            <w:tcW w:w="748" w:type="dxa"/>
            <w:noWrap w:val="0"/>
            <w:vAlign w:val="center"/>
          </w:tcPr>
          <w:p w14:paraId="2E879912">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900" w:type="dxa"/>
            <w:noWrap w:val="0"/>
            <w:vAlign w:val="center"/>
          </w:tcPr>
          <w:p w14:paraId="3BA49BB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251FEC0A">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A</w:t>
            </w:r>
          </w:p>
        </w:tc>
        <w:tc>
          <w:tcPr>
            <w:tcW w:w="1266" w:type="dxa"/>
            <w:noWrap w:val="0"/>
            <w:vAlign w:val="center"/>
          </w:tcPr>
          <w:p w14:paraId="4FB2F6A4">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c>
          <w:tcPr>
            <w:tcW w:w="1630" w:type="dxa"/>
            <w:noWrap w:val="0"/>
            <w:vAlign w:val="center"/>
          </w:tcPr>
          <w:p w14:paraId="624F3E1B">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c>
          <w:tcPr>
            <w:tcW w:w="1970" w:type="dxa"/>
            <w:noWrap w:val="0"/>
            <w:vAlign w:val="center"/>
          </w:tcPr>
          <w:p w14:paraId="76A6F010">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p>
        </w:tc>
      </w:tr>
      <w:tr w14:paraId="75565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trPr>
        <w:tc>
          <w:tcPr>
            <w:tcW w:w="426" w:type="dxa"/>
            <w:vMerge w:val="restart"/>
            <w:noWrap w:val="0"/>
            <w:vAlign w:val="center"/>
          </w:tcPr>
          <w:p w14:paraId="1729DB9D">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变值部分</w:t>
            </w:r>
          </w:p>
        </w:tc>
        <w:tc>
          <w:tcPr>
            <w:tcW w:w="872" w:type="dxa"/>
            <w:noWrap w:val="0"/>
            <w:vAlign w:val="center"/>
          </w:tcPr>
          <w:p w14:paraId="00340977">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人工费</w:t>
            </w:r>
          </w:p>
        </w:tc>
        <w:tc>
          <w:tcPr>
            <w:tcW w:w="748" w:type="dxa"/>
            <w:noWrap w:val="0"/>
            <w:vAlign w:val="center"/>
          </w:tcPr>
          <w:p w14:paraId="3D3840E3">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vertAlign w:val="subscript"/>
              </w:rPr>
            </w:pP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vertAlign w:val="subscript"/>
              </w:rPr>
              <w:t>01</w:t>
            </w:r>
          </w:p>
        </w:tc>
        <w:tc>
          <w:tcPr>
            <w:tcW w:w="900" w:type="dxa"/>
            <w:noWrap w:val="0"/>
            <w:vAlign w:val="center"/>
          </w:tcPr>
          <w:p w14:paraId="4E0B9069">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7CCE8AF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vertAlign w:val="subscript"/>
              </w:rPr>
              <w:t>1</w:t>
            </w:r>
          </w:p>
        </w:tc>
        <w:tc>
          <w:tcPr>
            <w:tcW w:w="1266" w:type="dxa"/>
            <w:noWrap w:val="0"/>
            <w:vAlign w:val="top"/>
          </w:tcPr>
          <w:p w14:paraId="798D3626">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至</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tc>
        <w:tc>
          <w:tcPr>
            <w:tcW w:w="1630" w:type="dxa"/>
            <w:noWrap w:val="0"/>
            <w:vAlign w:val="top"/>
          </w:tcPr>
          <w:p w14:paraId="2E9773F5">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1EA2526A">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7612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trPr>
        <w:tc>
          <w:tcPr>
            <w:tcW w:w="426" w:type="dxa"/>
            <w:vMerge w:val="continue"/>
            <w:noWrap w:val="0"/>
            <w:vAlign w:val="center"/>
          </w:tcPr>
          <w:p w14:paraId="664C4E22">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1B073BE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钢材</w:t>
            </w:r>
          </w:p>
        </w:tc>
        <w:tc>
          <w:tcPr>
            <w:tcW w:w="748" w:type="dxa"/>
            <w:noWrap w:val="0"/>
            <w:vAlign w:val="center"/>
          </w:tcPr>
          <w:p w14:paraId="0E76AAA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vertAlign w:val="subscript"/>
              </w:rPr>
              <w:t>02</w:t>
            </w:r>
          </w:p>
        </w:tc>
        <w:tc>
          <w:tcPr>
            <w:tcW w:w="900" w:type="dxa"/>
            <w:noWrap w:val="0"/>
            <w:vAlign w:val="center"/>
          </w:tcPr>
          <w:p w14:paraId="3E4D06C4">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09C66C0A">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vertAlign w:val="subscript"/>
              </w:rPr>
              <w:t>2</w:t>
            </w:r>
          </w:p>
        </w:tc>
        <w:tc>
          <w:tcPr>
            <w:tcW w:w="1266" w:type="dxa"/>
            <w:noWrap w:val="0"/>
            <w:vAlign w:val="top"/>
          </w:tcPr>
          <w:p w14:paraId="45F2E771">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至</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tc>
        <w:tc>
          <w:tcPr>
            <w:tcW w:w="1630" w:type="dxa"/>
            <w:noWrap w:val="0"/>
            <w:vAlign w:val="top"/>
          </w:tcPr>
          <w:p w14:paraId="0D3996D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4CD1586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655C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26" w:type="dxa"/>
            <w:vMerge w:val="continue"/>
            <w:noWrap w:val="0"/>
            <w:vAlign w:val="center"/>
          </w:tcPr>
          <w:p w14:paraId="3DCC0CC9">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1C32E3C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水泥</w:t>
            </w:r>
          </w:p>
        </w:tc>
        <w:tc>
          <w:tcPr>
            <w:tcW w:w="748" w:type="dxa"/>
            <w:noWrap w:val="0"/>
            <w:vAlign w:val="center"/>
          </w:tcPr>
          <w:p w14:paraId="3E5A0843">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F</w:t>
            </w:r>
            <w:r>
              <w:rPr>
                <w:rFonts w:hint="default" w:ascii="Times New Roman" w:hAnsi="Times New Roman" w:cs="Times New Roman"/>
                <w:color w:val="auto"/>
                <w:szCs w:val="21"/>
                <w:highlight w:val="none"/>
                <w:vertAlign w:val="subscript"/>
              </w:rPr>
              <w:t>03</w:t>
            </w:r>
          </w:p>
        </w:tc>
        <w:tc>
          <w:tcPr>
            <w:tcW w:w="900" w:type="dxa"/>
            <w:noWrap w:val="0"/>
            <w:vAlign w:val="center"/>
          </w:tcPr>
          <w:p w14:paraId="12ECA06D">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155ECBB0">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B</w:t>
            </w:r>
            <w:r>
              <w:rPr>
                <w:rFonts w:hint="default" w:ascii="Times New Roman" w:hAnsi="Times New Roman" w:cs="Times New Roman"/>
                <w:color w:val="auto"/>
                <w:szCs w:val="21"/>
                <w:highlight w:val="none"/>
                <w:vertAlign w:val="subscript"/>
              </w:rPr>
              <w:t>3</w:t>
            </w:r>
          </w:p>
        </w:tc>
        <w:tc>
          <w:tcPr>
            <w:tcW w:w="1266" w:type="dxa"/>
            <w:noWrap w:val="0"/>
            <w:vAlign w:val="top"/>
          </w:tcPr>
          <w:p w14:paraId="3A860BE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至</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 xml:space="preserve">  </w:t>
            </w:r>
          </w:p>
        </w:tc>
        <w:tc>
          <w:tcPr>
            <w:tcW w:w="1630" w:type="dxa"/>
            <w:noWrap w:val="0"/>
            <w:vAlign w:val="top"/>
          </w:tcPr>
          <w:p w14:paraId="3EB8310D">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2080B1EA">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4EDC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8" w:hRule="atLeast"/>
        </w:trPr>
        <w:tc>
          <w:tcPr>
            <w:tcW w:w="426" w:type="dxa"/>
            <w:vMerge w:val="continue"/>
            <w:noWrap w:val="0"/>
            <w:vAlign w:val="center"/>
          </w:tcPr>
          <w:p w14:paraId="63BA559F">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2205F0D0">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748" w:type="dxa"/>
            <w:noWrap w:val="0"/>
            <w:vAlign w:val="center"/>
          </w:tcPr>
          <w:p w14:paraId="33B91FB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900" w:type="dxa"/>
            <w:noWrap w:val="0"/>
            <w:vAlign w:val="center"/>
          </w:tcPr>
          <w:p w14:paraId="2F71950B">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68B6D4D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266" w:type="dxa"/>
            <w:noWrap w:val="0"/>
            <w:vAlign w:val="top"/>
          </w:tcPr>
          <w:p w14:paraId="3E6627D8">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630" w:type="dxa"/>
            <w:noWrap w:val="0"/>
            <w:vAlign w:val="top"/>
          </w:tcPr>
          <w:p w14:paraId="0F1A42D2">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1D88F890">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39E99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 w:hRule="atLeast"/>
        </w:trPr>
        <w:tc>
          <w:tcPr>
            <w:tcW w:w="426" w:type="dxa"/>
            <w:vMerge w:val="continue"/>
            <w:noWrap w:val="0"/>
            <w:vAlign w:val="center"/>
          </w:tcPr>
          <w:p w14:paraId="01825D1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872" w:type="dxa"/>
            <w:noWrap w:val="0"/>
            <w:vAlign w:val="center"/>
          </w:tcPr>
          <w:p w14:paraId="20A1A326">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748" w:type="dxa"/>
            <w:noWrap w:val="0"/>
            <w:vAlign w:val="center"/>
          </w:tcPr>
          <w:p w14:paraId="27D38DA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900" w:type="dxa"/>
            <w:noWrap w:val="0"/>
            <w:vAlign w:val="center"/>
          </w:tcPr>
          <w:p w14:paraId="128C8AC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648" w:type="dxa"/>
            <w:noWrap w:val="0"/>
            <w:vAlign w:val="center"/>
          </w:tcPr>
          <w:p w14:paraId="0B77863C">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266" w:type="dxa"/>
            <w:noWrap w:val="0"/>
            <w:vAlign w:val="top"/>
          </w:tcPr>
          <w:p w14:paraId="4854F39E">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630" w:type="dxa"/>
            <w:noWrap w:val="0"/>
            <w:vAlign w:val="top"/>
          </w:tcPr>
          <w:p w14:paraId="4E09D056">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c>
          <w:tcPr>
            <w:tcW w:w="1970" w:type="dxa"/>
            <w:noWrap w:val="0"/>
            <w:vAlign w:val="top"/>
          </w:tcPr>
          <w:p w14:paraId="6BEC0773">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r w14:paraId="1F36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4860" w:type="dxa"/>
            <w:gridSpan w:val="6"/>
            <w:noWrap w:val="0"/>
            <w:vAlign w:val="center"/>
          </w:tcPr>
          <w:p w14:paraId="00864664">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合        计</w:t>
            </w:r>
          </w:p>
        </w:tc>
        <w:tc>
          <w:tcPr>
            <w:tcW w:w="1630" w:type="dxa"/>
            <w:noWrap w:val="0"/>
            <w:vAlign w:val="center"/>
          </w:tcPr>
          <w:p w14:paraId="1AFABB01">
            <w:pPr>
              <w:pageBreakBefore w:val="0"/>
              <w:kinsoku/>
              <w:wordWrap w:val="0"/>
              <w:bidi w:val="0"/>
              <w:spacing w:before="480" w:beforeLines="200" w:after="480" w:afterLines="200"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1.00</w:t>
            </w:r>
          </w:p>
        </w:tc>
        <w:tc>
          <w:tcPr>
            <w:tcW w:w="1970" w:type="dxa"/>
            <w:noWrap w:val="0"/>
            <w:vAlign w:val="top"/>
          </w:tcPr>
          <w:p w14:paraId="31A874FD">
            <w:pPr>
              <w:pageBreakBefore w:val="0"/>
              <w:kinsoku/>
              <w:wordWrap w:val="0"/>
              <w:bidi w:val="0"/>
              <w:spacing w:before="480" w:beforeLines="200" w:after="480" w:afterLines="200" w:line="240" w:lineRule="atLeast"/>
              <w:rPr>
                <w:rFonts w:hint="default" w:ascii="Times New Roman" w:hAnsi="Times New Roman" w:cs="Times New Roman"/>
                <w:color w:val="auto"/>
                <w:szCs w:val="21"/>
                <w:highlight w:val="none"/>
              </w:rPr>
            </w:pPr>
          </w:p>
        </w:tc>
      </w:tr>
    </w:tbl>
    <w:p w14:paraId="630A3C13">
      <w:pPr>
        <w:pageBreakBefore w:val="0"/>
        <w:kinsoku/>
        <w:wordWrap w:val="0"/>
        <w:bidi w:val="0"/>
        <w:spacing w:line="440" w:lineRule="exact"/>
        <w:rPr>
          <w:rFonts w:hint="default" w:ascii="Times New Roman" w:hAnsi="Times New Roman" w:eastAsia="黑体" w:cs="Times New Roman"/>
          <w:color w:val="auto"/>
          <w:sz w:val="24"/>
          <w:highlight w:val="none"/>
        </w:rPr>
      </w:pPr>
    </w:p>
    <w:p w14:paraId="0A385D5D">
      <w:pPr>
        <w:pageBreakBefore w:val="0"/>
        <w:kinsoku/>
        <w:wordWrap w:val="0"/>
        <w:bidi w:val="0"/>
        <w:spacing w:line="440" w:lineRule="exact"/>
        <w:jc w:val="center"/>
        <w:rPr>
          <w:rFonts w:hint="default" w:ascii="Times New Roman" w:hAnsi="Times New Roman" w:eastAsia="黑体" w:cs="Times New Roman"/>
          <w:color w:val="auto"/>
          <w:sz w:val="20"/>
          <w:szCs w:val="20"/>
          <w:highlight w:val="none"/>
        </w:rPr>
      </w:pPr>
    </w:p>
    <w:p w14:paraId="656C0FCD">
      <w:pPr>
        <w:rPr>
          <w:rFonts w:hint="default" w:ascii="Times New Roman" w:hAnsi="Times New Roman" w:cs="Times New Roman"/>
          <w:color w:val="auto"/>
          <w:highlight w:val="none"/>
        </w:rPr>
      </w:pPr>
      <w:bookmarkStart w:id="1879" w:name="_Toc234833261"/>
    </w:p>
    <w:p w14:paraId="76A3F366">
      <w:pPr>
        <w:rPr>
          <w:rFonts w:hint="default" w:ascii="Times New Roman" w:hAnsi="Times New Roman" w:cs="Times New Roman"/>
          <w:color w:val="auto"/>
          <w:highlight w:val="none"/>
        </w:rPr>
      </w:pPr>
    </w:p>
    <w:p w14:paraId="5649CAD5">
      <w:pPr>
        <w:rPr>
          <w:rFonts w:hint="default" w:ascii="Times New Roman" w:hAnsi="Times New Roman" w:cs="Times New Roman"/>
          <w:color w:val="auto"/>
          <w:highlight w:val="none"/>
        </w:rPr>
      </w:pPr>
    </w:p>
    <w:p w14:paraId="03B4C84B">
      <w:pPr>
        <w:rPr>
          <w:rFonts w:hint="default" w:ascii="Times New Roman" w:hAnsi="Times New Roman" w:cs="Times New Roman"/>
          <w:color w:val="auto"/>
          <w:highlight w:val="none"/>
        </w:rPr>
      </w:pPr>
    </w:p>
    <w:p w14:paraId="5ACB3234">
      <w:pPr>
        <w:rPr>
          <w:rFonts w:hint="default" w:ascii="Times New Roman" w:hAnsi="Times New Roman" w:cs="Times New Roman"/>
          <w:color w:val="auto"/>
          <w:highlight w:val="none"/>
        </w:rPr>
      </w:pPr>
    </w:p>
    <w:p w14:paraId="6C222FA9">
      <w:pPr>
        <w:rPr>
          <w:rFonts w:hint="default" w:ascii="Times New Roman" w:hAnsi="Times New Roman" w:cs="Times New Roman"/>
          <w:color w:val="auto"/>
          <w:highlight w:val="none"/>
        </w:rPr>
      </w:pPr>
    </w:p>
    <w:p w14:paraId="4EDD8156">
      <w:pPr>
        <w:rPr>
          <w:rFonts w:hint="default" w:ascii="Times New Roman" w:hAnsi="Times New Roman" w:cs="Times New Roman"/>
          <w:color w:val="auto"/>
          <w:highlight w:val="none"/>
        </w:rPr>
      </w:pPr>
    </w:p>
    <w:p w14:paraId="7A1F6AF5">
      <w:pPr>
        <w:rPr>
          <w:rFonts w:hint="default" w:ascii="Times New Roman" w:hAnsi="Times New Roman" w:cs="Times New Roman"/>
          <w:color w:val="auto"/>
          <w:highlight w:val="none"/>
        </w:rPr>
      </w:pPr>
    </w:p>
    <w:p w14:paraId="4C9CA98E">
      <w:pPr>
        <w:rPr>
          <w:rFonts w:hint="default" w:ascii="Times New Roman" w:hAnsi="Times New Roman" w:cs="Times New Roman"/>
          <w:color w:val="auto"/>
          <w:highlight w:val="none"/>
        </w:rPr>
      </w:pPr>
    </w:p>
    <w:p w14:paraId="33236E8B">
      <w:pPr>
        <w:rPr>
          <w:rFonts w:hint="default" w:ascii="Times New Roman" w:hAnsi="Times New Roman" w:cs="Times New Roman"/>
          <w:color w:val="auto"/>
          <w:highlight w:val="none"/>
        </w:rPr>
      </w:pPr>
    </w:p>
    <w:p w14:paraId="1B000303">
      <w:pPr>
        <w:rPr>
          <w:rFonts w:hint="default" w:ascii="Times New Roman" w:hAnsi="Times New Roman" w:cs="Times New Roman"/>
          <w:color w:val="auto"/>
          <w:highlight w:val="none"/>
        </w:rPr>
      </w:pPr>
    </w:p>
    <w:p w14:paraId="2ED94A4E">
      <w:pPr>
        <w:jc w:val="center"/>
        <w:rPr>
          <w:rFonts w:hint="default" w:ascii="Times New Roman" w:hAnsi="Times New Roman" w:cs="Times New Roman"/>
          <w:color w:val="auto"/>
          <w:highlight w:val="none"/>
        </w:rPr>
      </w:pPr>
    </w:p>
    <w:p w14:paraId="2D3EF7D0">
      <w:pPr>
        <w:pStyle w:val="3"/>
        <w:numPr>
          <w:ilvl w:val="0"/>
          <w:numId w:val="0"/>
        </w:numPr>
        <w:spacing w:before="0" w:after="0" w:line="400" w:lineRule="atLeast"/>
        <w:ind w:left="180" w:firstLine="280" w:firstLineChars="100"/>
        <w:jc w:val="center"/>
        <w:rPr>
          <w:rFonts w:hint="default" w:ascii="Times New Roman" w:hAnsi="Times New Roman" w:cs="Times New Roman"/>
          <w:bCs w:val="0"/>
          <w:i w:val="0"/>
          <w:iCs w:val="0"/>
          <w:color w:val="auto"/>
          <w:kern w:val="0"/>
          <w:sz w:val="28"/>
          <w:highlight w:val="none"/>
        </w:rPr>
      </w:pPr>
      <w:bookmarkStart w:id="1880" w:name="_Toc500352763"/>
      <w:bookmarkStart w:id="1881" w:name="_Toc458576166"/>
      <w:bookmarkStart w:id="1882" w:name="_Toc438571660"/>
      <w:bookmarkStart w:id="1883" w:name="_Toc10083"/>
      <w:bookmarkStart w:id="1884" w:name="_Toc14724"/>
      <w:bookmarkStart w:id="1885" w:name="_Toc26154"/>
      <w:bookmarkStart w:id="1886" w:name="_Toc112032692"/>
      <w:bookmarkStart w:id="1887" w:name="_Toc5786"/>
      <w:bookmarkStart w:id="1888" w:name="_Toc12173"/>
      <w:bookmarkStart w:id="1889" w:name="_Toc137074942"/>
      <w:r>
        <w:rPr>
          <w:rFonts w:hint="default" w:ascii="Times New Roman" w:hAnsi="Times New Roman" w:cs="Times New Roman"/>
          <w:bCs w:val="0"/>
          <w:i w:val="0"/>
          <w:iCs w:val="0"/>
          <w:color w:val="auto"/>
          <w:kern w:val="0"/>
          <w:sz w:val="28"/>
          <w:highlight w:val="none"/>
        </w:rPr>
        <w:t>二、授权委托书或法定代表人身份证明</w:t>
      </w:r>
      <w:bookmarkEnd w:id="1880"/>
      <w:bookmarkEnd w:id="1881"/>
      <w:bookmarkEnd w:id="1882"/>
      <w:bookmarkEnd w:id="1883"/>
      <w:bookmarkEnd w:id="1884"/>
      <w:bookmarkEnd w:id="1885"/>
      <w:bookmarkEnd w:id="1886"/>
      <w:bookmarkEnd w:id="1887"/>
      <w:bookmarkEnd w:id="1888"/>
      <w:bookmarkEnd w:id="1889"/>
    </w:p>
    <w:p w14:paraId="328F88D6">
      <w:pPr>
        <w:rPr>
          <w:rFonts w:hint="default" w:ascii="Times New Roman" w:hAnsi="Times New Roman" w:eastAsia="黑体" w:cs="Times New Roman"/>
          <w:color w:val="auto"/>
          <w:szCs w:val="21"/>
          <w:highlight w:val="none"/>
        </w:rPr>
      </w:pPr>
    </w:p>
    <w:p w14:paraId="3C15CEF2">
      <w:pPr>
        <w:rPr>
          <w:rFonts w:hint="default" w:ascii="Times New Roman" w:hAnsi="Times New Roman" w:eastAsia="黑体" w:cs="Times New Roman"/>
          <w:color w:val="auto"/>
          <w:szCs w:val="21"/>
          <w:highlight w:val="none"/>
        </w:rPr>
      </w:pPr>
    </w:p>
    <w:p w14:paraId="62D2E4B1">
      <w:pPr>
        <w:spacing w:line="360" w:lineRule="auto"/>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注：</w:t>
      </w:r>
      <w:r>
        <w:rPr>
          <w:rFonts w:hint="default" w:ascii="Times New Roman" w:hAnsi="Times New Roman" w:cs="Times New Roman"/>
          <w:color w:val="auto"/>
          <w:sz w:val="24"/>
          <w:highlight w:val="none"/>
        </w:rPr>
        <w:t>①</w:t>
      </w:r>
      <w:r>
        <w:rPr>
          <w:rFonts w:hint="default" w:ascii="Times New Roman" w:hAnsi="Times New Roman" w:eastAsia="黑体" w:cs="Times New Roman"/>
          <w:color w:val="auto"/>
          <w:sz w:val="24"/>
          <w:highlight w:val="none"/>
        </w:rPr>
        <w:t>如果由投标人的委托代理人签署投标文件，则只须按要求提供《授权委托书》；</w:t>
      </w:r>
    </w:p>
    <w:p w14:paraId="4942B4FC">
      <w:pPr>
        <w:spacing w:line="360" w:lineRule="auto"/>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rPr>
        <w:t>②</w:t>
      </w:r>
      <w:r>
        <w:rPr>
          <w:rFonts w:hint="default" w:ascii="Times New Roman" w:hAnsi="Times New Roman" w:eastAsia="黑体" w:cs="Times New Roman"/>
          <w:color w:val="auto"/>
          <w:sz w:val="24"/>
          <w:highlight w:val="none"/>
        </w:rPr>
        <w:t>如果由投标人的法定代表人签署投标文件，则只须按要求提供《法定代表人身份证明》。</w:t>
      </w:r>
    </w:p>
    <w:p w14:paraId="12CC7CC0">
      <w:pPr>
        <w:spacing w:line="360" w:lineRule="auto"/>
        <w:ind w:firstLine="480" w:firstLineChars="200"/>
        <w:rPr>
          <w:rFonts w:hint="default" w:ascii="Times New Roman" w:hAnsi="Times New Roman" w:eastAsia="黑体" w:cs="Times New Roman"/>
          <w:color w:val="auto"/>
          <w:sz w:val="24"/>
          <w:highlight w:val="none"/>
        </w:rPr>
      </w:pPr>
    </w:p>
    <w:p w14:paraId="754DB707">
      <w:pPr>
        <w:keepNext/>
        <w:keepLines/>
        <w:widowControl/>
        <w:tabs>
          <w:tab w:val="left" w:pos="1440"/>
        </w:tabs>
        <w:wordWrap w:val="0"/>
        <w:topLinePunct/>
        <w:spacing w:line="440" w:lineRule="exact"/>
        <w:jc w:val="center"/>
        <w:outlineLvl w:val="2"/>
        <w:rPr>
          <w:rFonts w:hint="default" w:ascii="Times New Roman" w:hAnsi="Times New Roman" w:eastAsia="黑体" w:cs="Times New Roman"/>
          <w:bCs/>
          <w:color w:val="auto"/>
          <w:kern w:val="0"/>
          <w:sz w:val="24"/>
          <w:highlight w:val="none"/>
        </w:rPr>
      </w:pPr>
      <w:r>
        <w:rPr>
          <w:rFonts w:hint="default" w:ascii="Times New Roman" w:hAnsi="Times New Roman" w:cs="Times New Roman"/>
          <w:color w:val="auto"/>
          <w:highlight w:val="none"/>
        </w:rPr>
        <w:br w:type="page"/>
      </w:r>
      <w:bookmarkStart w:id="1890" w:name="_Toc1277"/>
      <w:bookmarkStart w:id="1891" w:name="_Toc495663699"/>
      <w:bookmarkStart w:id="1892" w:name="_Toc483640988"/>
      <w:bookmarkStart w:id="1893" w:name="_Toc500352764"/>
      <w:r>
        <w:rPr>
          <w:rFonts w:hint="default" w:ascii="Times New Roman" w:hAnsi="Times New Roman" w:eastAsia="黑体" w:cs="Times New Roman"/>
          <w:bCs/>
          <w:color w:val="auto"/>
          <w:kern w:val="0"/>
          <w:sz w:val="24"/>
          <w:highlight w:val="none"/>
        </w:rPr>
        <w:t>（一）授权委托书</w:t>
      </w:r>
      <w:bookmarkEnd w:id="1890"/>
    </w:p>
    <w:p w14:paraId="2B9E4D3D">
      <w:pPr>
        <w:topLinePunct/>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（姓名）系</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（投标人名称）的法定代表人，现委托</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（姓名）为我方代理人。代理人根据授权，以我方名义签署、澄清确认、递交、撤回、修改</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default" w:ascii="Times New Roman" w:hAnsi="Times New Roman" w:cs="Times New Roman"/>
          <w:color w:val="auto"/>
          <w:sz w:val="24"/>
          <w:highlight w:val="none"/>
        </w:rPr>
        <w:t>施工投标文件、签订合同和处理有关事宜，其法律后果由我方承担。</w:t>
      </w:r>
    </w:p>
    <w:p w14:paraId="114961FD">
      <w:pPr>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委托期限：自本委托书签署之日起至投标有效期期满。</w:t>
      </w:r>
    </w:p>
    <w:p w14:paraId="6828F14C">
      <w:pPr>
        <w:wordWrap w:val="0"/>
        <w:topLinePunct/>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代理人无转委托权。</w:t>
      </w:r>
    </w:p>
    <w:p w14:paraId="29290C7F">
      <w:pPr>
        <w:wordWrap w:val="0"/>
        <w:topLinePunct/>
        <w:spacing w:line="440" w:lineRule="exact"/>
        <w:ind w:firstLine="480" w:firstLineChars="200"/>
        <w:rPr>
          <w:rFonts w:hint="default" w:ascii="Times New Roman" w:hAnsi="Times New Roman" w:cs="Times New Roman"/>
          <w:color w:val="auto"/>
          <w:sz w:val="24"/>
          <w:highlight w:val="none"/>
        </w:rPr>
      </w:pPr>
    </w:p>
    <w:p w14:paraId="51C3DE0C">
      <w:pP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法定代表人身份证</w:t>
      </w:r>
      <w:r>
        <w:rPr>
          <w:rFonts w:hint="eastAsia" w:eastAsia="黑体" w:cs="Times New Roman"/>
          <w:color w:val="auto"/>
          <w:sz w:val="24"/>
          <w:highlight w:val="none"/>
          <w:lang w:val="en-US" w:eastAsia="zh-CN"/>
        </w:rPr>
        <w:t>原件扫描件</w:t>
      </w:r>
      <w:r>
        <w:rPr>
          <w:rFonts w:hint="default" w:ascii="Times New Roman" w:hAnsi="Times New Roman" w:eastAsia="黑体" w:cs="Times New Roman"/>
          <w:color w:val="auto"/>
          <w:sz w:val="24"/>
          <w:highlight w:val="none"/>
        </w:rPr>
        <w:t xml:space="preserve">       委托代理人身份证</w:t>
      </w:r>
      <w:r>
        <w:rPr>
          <w:rFonts w:hint="eastAsia" w:eastAsia="黑体" w:cs="Times New Roman"/>
          <w:color w:val="auto"/>
          <w:sz w:val="24"/>
          <w:highlight w:val="none"/>
          <w:lang w:val="en-US" w:eastAsia="zh-CN"/>
        </w:rPr>
        <w:t>原件扫描件</w:t>
      </w:r>
    </w:p>
    <w:tbl>
      <w:tblPr>
        <w:tblStyle w:val="39"/>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5"/>
        <w:gridCol w:w="4644"/>
      </w:tblGrid>
      <w:tr w14:paraId="27A8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4645" w:type="dxa"/>
            <w:vAlign w:val="center"/>
          </w:tcPr>
          <w:p w14:paraId="42AF98B3">
            <w:pPr>
              <w:topLinePunct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（国徽面）</w:t>
            </w:r>
          </w:p>
        </w:tc>
        <w:tc>
          <w:tcPr>
            <w:tcW w:w="4644" w:type="dxa"/>
            <w:vAlign w:val="center"/>
          </w:tcPr>
          <w:p w14:paraId="1F671B5C">
            <w:pPr>
              <w:topLinePunc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（国徽面）</w:t>
            </w:r>
          </w:p>
        </w:tc>
      </w:tr>
      <w:tr w14:paraId="6D15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4645" w:type="dxa"/>
            <w:vAlign w:val="center"/>
          </w:tcPr>
          <w:p w14:paraId="1A1CD8A9">
            <w:pPr>
              <w:topLinePunct w:val="0"/>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（人像面）</w:t>
            </w:r>
          </w:p>
        </w:tc>
        <w:tc>
          <w:tcPr>
            <w:tcW w:w="4644" w:type="dxa"/>
            <w:vAlign w:val="center"/>
          </w:tcPr>
          <w:p w14:paraId="741EC4B8">
            <w:pPr>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（人像面）</w:t>
            </w:r>
          </w:p>
        </w:tc>
      </w:tr>
    </w:tbl>
    <w:p w14:paraId="0052AAB6">
      <w:pPr>
        <w:wordWrap w:val="0"/>
        <w:topLinePunct/>
        <w:spacing w:line="440" w:lineRule="exact"/>
        <w:rPr>
          <w:rFonts w:hint="default" w:ascii="Times New Roman" w:hAnsi="Times New Roman" w:cs="Times New Roman"/>
          <w:color w:val="auto"/>
          <w:sz w:val="24"/>
          <w:highlight w:val="none"/>
        </w:rPr>
      </w:pPr>
    </w:p>
    <w:p w14:paraId="68CC178E">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（全称） （</w:t>
      </w:r>
      <w:r>
        <w:rPr>
          <w:rFonts w:hint="default" w:ascii="Times New Roman" w:hAnsi="Times New Roman" w:cs="Times New Roman"/>
          <w:color w:val="auto"/>
          <w:sz w:val="24"/>
          <w:highlight w:val="none"/>
          <w:lang w:val="en-US" w:eastAsia="zh-CN"/>
        </w:rPr>
        <w:t>盖单位电子印章</w:t>
      </w:r>
      <w:r>
        <w:rPr>
          <w:rFonts w:hint="default" w:ascii="Times New Roman" w:hAnsi="Times New Roman" w:cs="Times New Roman"/>
          <w:color w:val="auto"/>
          <w:sz w:val="24"/>
          <w:highlight w:val="none"/>
        </w:rPr>
        <w:t>）</w:t>
      </w:r>
    </w:p>
    <w:p w14:paraId="16912EDA">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650460F0">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身份证号码：</w:t>
      </w:r>
      <w:r>
        <w:rPr>
          <w:rFonts w:hint="default" w:ascii="Times New Roman" w:hAnsi="Times New Roman" w:cs="Times New Roman"/>
          <w:color w:val="auto"/>
          <w:sz w:val="24"/>
          <w:highlight w:val="none"/>
          <w:u w:val="single"/>
        </w:rPr>
        <w:t xml:space="preserve">                   </w:t>
      </w:r>
    </w:p>
    <w:p w14:paraId="5736F438">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p>
    <w:p w14:paraId="1699371A">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4EA54B76">
      <w:pPr>
        <w:keepNext w:val="0"/>
        <w:keepLines w:val="0"/>
        <w:pageBreakBefore w:val="0"/>
        <w:widowControl w:val="0"/>
        <w:kinsoku/>
        <w:wordWrap w:val="0"/>
        <w:overflowPunct/>
        <w:topLinePunct/>
        <w:autoSpaceDE/>
        <w:autoSpaceDN/>
        <w:bidi w:val="0"/>
        <w:adjustRightInd/>
        <w:snapToGrid/>
        <w:spacing w:line="400" w:lineRule="atLeast"/>
        <w:ind w:firstLine="1920" w:firstLineChars="8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身份证号码：</w:t>
      </w:r>
      <w:r>
        <w:rPr>
          <w:rFonts w:hint="default" w:ascii="Times New Roman" w:hAnsi="Times New Roman" w:cs="Times New Roman"/>
          <w:color w:val="auto"/>
          <w:sz w:val="24"/>
          <w:highlight w:val="none"/>
          <w:u w:val="single"/>
        </w:rPr>
        <w:t xml:space="preserve">                            </w:t>
      </w:r>
    </w:p>
    <w:p w14:paraId="32876827">
      <w:pPr>
        <w:wordWrap w:val="0"/>
        <w:topLinePunct/>
        <w:spacing w:line="400" w:lineRule="atLeast"/>
        <w:ind w:left="418" w:leftChars="199" w:firstLine="3720" w:firstLineChars="155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年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月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日</w:t>
      </w:r>
    </w:p>
    <w:p w14:paraId="53FF8CD3">
      <w:pPr>
        <w:wordWrap w:val="0"/>
        <w:topLinePunct/>
        <w:spacing w:line="400" w:lineRule="atLeast"/>
        <w:ind w:firstLine="420" w:firstLineChars="200"/>
        <w:rPr>
          <w:rFonts w:hint="default" w:ascii="Times New Roman" w:hAnsi="Times New Roman" w:eastAsia="黑体" w:cs="Times New Roman"/>
          <w:color w:val="auto"/>
          <w:szCs w:val="21"/>
          <w:highlight w:val="none"/>
        </w:rPr>
      </w:pPr>
    </w:p>
    <w:p w14:paraId="3F65ADAE">
      <w:pPr>
        <w:wordWrap w:val="0"/>
        <w:topLinePunct/>
        <w:spacing w:line="400" w:lineRule="atLeast"/>
        <w:ind w:firstLine="420" w:firstLineChars="200"/>
        <w:rPr>
          <w:rFonts w:hint="default" w:ascii="Times New Roman" w:hAnsi="Times New Roman" w:eastAsia="黑体" w:cs="Times New Roman"/>
          <w:color w:val="auto"/>
          <w:szCs w:val="21"/>
          <w:highlight w:val="none"/>
        </w:rPr>
      </w:pPr>
      <w:r>
        <w:rPr>
          <w:rFonts w:hint="default" w:ascii="Times New Roman" w:hAnsi="Times New Roman" w:cs="Times New Roman"/>
          <w:color w:val="auto"/>
          <w:kern w:val="2"/>
          <w:sz w:val="21"/>
          <w:szCs w:val="21"/>
          <w:highlight w:val="none"/>
        </w:rPr>
        <w:t>注：</w:t>
      </w:r>
      <w:r>
        <w:rPr>
          <w:rFonts w:hint="default" w:ascii="Times New Roman" w:hAnsi="Times New Roman" w:cs="Times New Roman"/>
          <w:color w:val="auto"/>
          <w:szCs w:val="21"/>
          <w:highlight w:val="none"/>
        </w:rPr>
        <w:t>以联合体形式投标的，本授权委托书应由联合体牵头人的法定代表人按上述规定签署。</w:t>
      </w:r>
    </w:p>
    <w:p w14:paraId="0D57DD77">
      <w:pPr>
        <w:spacing w:line="360" w:lineRule="auto"/>
        <w:ind w:firstLine="3360"/>
        <w:jc w:val="right"/>
        <w:rPr>
          <w:rFonts w:hint="default" w:ascii="Times New Roman" w:hAnsi="Times New Roman" w:eastAsia="仿宋_GB2312" w:cs="Times New Roman"/>
          <w:color w:val="auto"/>
          <w:sz w:val="32"/>
          <w:szCs w:val="32"/>
          <w:highlight w:val="none"/>
        </w:rPr>
      </w:pPr>
    </w:p>
    <w:p w14:paraId="2782F2AA">
      <w:pPr>
        <w:keepNext/>
        <w:keepLines/>
        <w:widowControl/>
        <w:tabs>
          <w:tab w:val="left" w:pos="1440"/>
        </w:tabs>
        <w:wordWrap w:val="0"/>
        <w:topLinePunct/>
        <w:spacing w:line="440" w:lineRule="exact"/>
        <w:jc w:val="center"/>
        <w:outlineLvl w:val="2"/>
        <w:rPr>
          <w:rFonts w:hint="default" w:ascii="Times New Roman" w:hAnsi="Times New Roman" w:eastAsia="黑体" w:cs="Times New Roman"/>
          <w:bCs/>
          <w:color w:val="auto"/>
          <w:kern w:val="0"/>
          <w:sz w:val="24"/>
          <w:highlight w:val="none"/>
        </w:rPr>
      </w:pPr>
      <w:r>
        <w:rPr>
          <w:rFonts w:hint="default" w:ascii="Times New Roman" w:hAnsi="Times New Roman" w:cs="Times New Roman"/>
          <w:color w:val="auto"/>
          <w:highlight w:val="none"/>
        </w:rPr>
        <w:br w:type="page"/>
      </w:r>
      <w:bookmarkStart w:id="1894" w:name="_Toc5869"/>
      <w:r>
        <w:rPr>
          <w:rFonts w:hint="default" w:ascii="Times New Roman" w:hAnsi="Times New Roman" w:eastAsia="黑体" w:cs="Times New Roman"/>
          <w:bCs/>
          <w:color w:val="auto"/>
          <w:kern w:val="0"/>
          <w:sz w:val="24"/>
          <w:highlight w:val="none"/>
        </w:rPr>
        <w:t>（二）法定代表人身份证明</w:t>
      </w:r>
      <w:bookmarkEnd w:id="1891"/>
      <w:bookmarkEnd w:id="1892"/>
      <w:bookmarkEnd w:id="1893"/>
      <w:bookmarkEnd w:id="1894"/>
    </w:p>
    <w:p w14:paraId="53482FBA">
      <w:pPr>
        <w:rPr>
          <w:rFonts w:hint="default" w:ascii="Times New Roman" w:hAnsi="Times New Roman" w:cs="Times New Roman"/>
          <w:color w:val="auto"/>
          <w:highlight w:val="none"/>
        </w:rPr>
      </w:pPr>
    </w:p>
    <w:p w14:paraId="7F181884">
      <w:pPr>
        <w:rPr>
          <w:rFonts w:hint="default" w:ascii="Times New Roman" w:hAnsi="Times New Roman" w:cs="Times New Roman"/>
          <w:color w:val="auto"/>
          <w:highlight w:val="none"/>
        </w:rPr>
      </w:pPr>
    </w:p>
    <w:p w14:paraId="3E19E016">
      <w:pPr>
        <w:wordWrap w:val="0"/>
        <w:topLinePunct/>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32810483">
      <w:pPr>
        <w:wordWrap w:val="0"/>
        <w:topLinePunct/>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姓名：</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bCs/>
          <w:color w:val="auto"/>
          <w:sz w:val="24"/>
          <w:highlight w:val="none"/>
          <w:u w:val="single"/>
        </w:rPr>
        <w:t>（法定代表人个人</w:t>
      </w:r>
      <w:r>
        <w:rPr>
          <w:rFonts w:hint="eastAsia" w:cs="Times New Roman"/>
          <w:bCs/>
          <w:color w:val="auto"/>
          <w:sz w:val="24"/>
          <w:highlight w:val="none"/>
          <w:u w:val="single"/>
          <w:lang w:eastAsia="zh-CN"/>
        </w:rPr>
        <w:t>电子签名</w:t>
      </w:r>
      <w:r>
        <w:rPr>
          <w:rFonts w:hint="default" w:ascii="Times New Roman" w:hAnsi="Times New Roman" w:cs="Times New Roman"/>
          <w:bCs/>
          <w:color w:val="auto"/>
          <w:sz w:val="24"/>
          <w:highlight w:val="none"/>
          <w:u w:val="single"/>
        </w:rPr>
        <w:t>或个人电子印章）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性别：</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年龄：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职务：</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系</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（投标人名称）的法定代表人。</w:t>
      </w:r>
    </w:p>
    <w:p w14:paraId="76FFE5C2">
      <w:pPr>
        <w:wordWrap w:val="0"/>
        <w:topLinePunct/>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特此证明。</w:t>
      </w:r>
    </w:p>
    <w:p w14:paraId="5F41F334">
      <w:pPr>
        <w:wordWrap w:val="0"/>
        <w:topLinePunct/>
        <w:spacing w:line="440" w:lineRule="exact"/>
        <w:rPr>
          <w:rFonts w:hint="default" w:ascii="Times New Roman" w:hAnsi="Times New Roman" w:cs="Times New Roman"/>
          <w:color w:val="auto"/>
          <w:sz w:val="24"/>
          <w:highlight w:val="none"/>
        </w:rPr>
      </w:pPr>
    </w:p>
    <w:p w14:paraId="27613499">
      <w:pPr>
        <w:topLinePunct/>
        <w:spacing w:line="440" w:lineRule="exact"/>
        <w:jc w:val="center"/>
        <w:outlineLvl w:val="9"/>
        <w:rPr>
          <w:rFonts w:hint="default" w:ascii="Times New Roman" w:hAnsi="Times New Roman" w:eastAsia="黑体" w:cs="Times New Roman"/>
          <w:color w:val="auto"/>
          <w:sz w:val="24"/>
          <w:highlight w:val="none"/>
          <w:lang w:val="en-US" w:eastAsia="zh-CN"/>
        </w:rPr>
      </w:pPr>
      <w:bookmarkStart w:id="1895" w:name="_Toc15500"/>
      <w:r>
        <w:rPr>
          <w:rFonts w:hint="default" w:ascii="Times New Roman" w:hAnsi="Times New Roman" w:eastAsia="黑体" w:cs="Times New Roman"/>
          <w:color w:val="auto"/>
          <w:sz w:val="24"/>
          <w:highlight w:val="none"/>
        </w:rPr>
        <w:t>法定代表人身份证</w:t>
      </w:r>
      <w:r>
        <w:rPr>
          <w:rFonts w:hint="eastAsia" w:eastAsia="黑体" w:cs="Times New Roman"/>
          <w:color w:val="auto"/>
          <w:sz w:val="24"/>
          <w:highlight w:val="none"/>
          <w:lang w:val="en-US" w:eastAsia="zh-CN"/>
        </w:rPr>
        <w:t>原件扫描件</w:t>
      </w:r>
      <w:bookmarkEnd w:id="1895"/>
    </w:p>
    <w:p w14:paraId="63CF87DC">
      <w:pPr>
        <w:ind w:firstLine="420"/>
        <w:rPr>
          <w:rFonts w:hint="default" w:ascii="Times New Roman" w:hAnsi="Times New Roman" w:cs="Times New Roman"/>
          <w:color w:val="auto"/>
          <w:highlight w:val="none"/>
        </w:rPr>
      </w:pPr>
    </w:p>
    <w:tbl>
      <w:tblPr>
        <w:tblStyle w:val="39"/>
        <w:tblW w:w="9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5"/>
        <w:gridCol w:w="4644"/>
      </w:tblGrid>
      <w:tr w14:paraId="78FCA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4" w:hRule="atLeast"/>
        </w:trPr>
        <w:tc>
          <w:tcPr>
            <w:tcW w:w="4645" w:type="dxa"/>
            <w:vAlign w:val="center"/>
          </w:tcPr>
          <w:p w14:paraId="6F9B6BB4">
            <w:pPr>
              <w:wordWrap w:val="0"/>
              <w:topLinePunct/>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国徽面</w:t>
            </w:r>
            <w:r>
              <w:rPr>
                <w:rFonts w:hint="default" w:ascii="Times New Roman" w:hAnsi="Times New Roman" w:cs="Times New Roman"/>
                <w:color w:val="auto"/>
                <w:sz w:val="24"/>
                <w:highlight w:val="none"/>
              </w:rPr>
              <w:t>）</w:t>
            </w:r>
          </w:p>
        </w:tc>
        <w:tc>
          <w:tcPr>
            <w:tcW w:w="4644" w:type="dxa"/>
            <w:vAlign w:val="center"/>
          </w:tcPr>
          <w:p w14:paraId="20290B8F">
            <w:pPr>
              <w:wordWrap w:val="0"/>
              <w:topLinePunct/>
              <w:spacing w:line="440" w:lineRule="exact"/>
              <w:jc w:val="center"/>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人像面</w:t>
            </w:r>
            <w:r>
              <w:rPr>
                <w:rFonts w:hint="default" w:ascii="Times New Roman" w:hAnsi="Times New Roman" w:cs="Times New Roman"/>
                <w:color w:val="auto"/>
                <w:sz w:val="24"/>
                <w:highlight w:val="none"/>
              </w:rPr>
              <w:t>）</w:t>
            </w:r>
          </w:p>
        </w:tc>
      </w:tr>
    </w:tbl>
    <w:p w14:paraId="2E6B8AA0">
      <w:pPr>
        <w:wordWrap w:val="0"/>
        <w:topLinePunct/>
        <w:spacing w:line="440" w:lineRule="exact"/>
        <w:rPr>
          <w:rFonts w:hint="default" w:ascii="Times New Roman" w:hAnsi="Times New Roman" w:cs="Times New Roman"/>
          <w:color w:val="auto"/>
          <w:sz w:val="24"/>
          <w:highlight w:val="none"/>
        </w:rPr>
      </w:pPr>
    </w:p>
    <w:p w14:paraId="1A23D6F9">
      <w:pPr>
        <w:wordWrap w:val="0"/>
        <w:topLinePunct/>
        <w:spacing w:line="440" w:lineRule="exact"/>
        <w:rPr>
          <w:rFonts w:hint="default" w:ascii="Times New Roman" w:hAnsi="Times New Roman" w:cs="Times New Roman"/>
          <w:color w:val="auto"/>
          <w:sz w:val="24"/>
          <w:highlight w:val="none"/>
        </w:rPr>
      </w:pPr>
    </w:p>
    <w:p w14:paraId="05E1CC5E">
      <w:pPr>
        <w:wordWrap w:val="0"/>
        <w:topLinePunct/>
        <w:spacing w:line="440" w:lineRule="exact"/>
        <w:rPr>
          <w:rFonts w:hint="default" w:ascii="Times New Roman" w:hAnsi="Times New Roman" w:cs="Times New Roman"/>
          <w:color w:val="auto"/>
          <w:sz w:val="24"/>
          <w:highlight w:val="none"/>
        </w:rPr>
      </w:pPr>
    </w:p>
    <w:p w14:paraId="3DE91E1C">
      <w:pPr>
        <w:wordWrap w:val="0"/>
        <w:topLinePunct/>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投标人：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（全称） （盖单位</w:t>
      </w:r>
      <w:r>
        <w:rPr>
          <w:rFonts w:hint="default" w:ascii="Times New Roman" w:hAnsi="Times New Roman" w:cs="Times New Roman"/>
          <w:color w:val="auto"/>
          <w:sz w:val="24"/>
          <w:highlight w:val="none"/>
          <w:lang w:val="en-US" w:eastAsia="zh-CN"/>
        </w:rPr>
        <w:t>电子印</w:t>
      </w:r>
      <w:r>
        <w:rPr>
          <w:rFonts w:hint="default" w:ascii="Times New Roman" w:hAnsi="Times New Roman" w:cs="Times New Roman"/>
          <w:color w:val="auto"/>
          <w:sz w:val="24"/>
          <w:highlight w:val="none"/>
        </w:rPr>
        <w:t>章）</w:t>
      </w:r>
    </w:p>
    <w:p w14:paraId="23EA7D7F">
      <w:pPr>
        <w:wordWrap w:val="0"/>
        <w:topLinePunct/>
        <w:spacing w:line="44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20153CC4">
      <w:pPr>
        <w:wordWrap w:val="0"/>
        <w:topLinePunct/>
        <w:spacing w:line="440" w:lineRule="exact"/>
        <w:rPr>
          <w:rFonts w:hint="default" w:ascii="Times New Roman" w:hAnsi="Times New Roman" w:eastAsia="黑体" w:cs="Times New Roman"/>
          <w:color w:val="auto"/>
          <w:sz w:val="24"/>
          <w:highlight w:val="none"/>
        </w:rPr>
      </w:pPr>
    </w:p>
    <w:p w14:paraId="19A2D01B">
      <w:pPr>
        <w:wordWrap w:val="0"/>
        <w:topLinePunct/>
        <w:spacing w:line="440" w:lineRule="exact"/>
        <w:rPr>
          <w:rFonts w:hint="default" w:ascii="Times New Roman" w:hAnsi="Times New Roman" w:eastAsia="黑体" w:cs="Times New Roman"/>
          <w:color w:val="auto"/>
          <w:sz w:val="24"/>
          <w:highlight w:val="none"/>
        </w:rPr>
      </w:pPr>
    </w:p>
    <w:p w14:paraId="15D79489">
      <w:pPr>
        <w:wordWrap w:val="0"/>
        <w:topLinePunct/>
        <w:spacing w:line="400" w:lineRule="atLeast"/>
        <w:ind w:firstLine="420" w:firstLineChars="200"/>
        <w:rPr>
          <w:rFonts w:hint="default" w:ascii="Times New Roman" w:hAnsi="Times New Roman" w:eastAsia="黑体" w:cs="Times New Roman"/>
          <w:color w:val="auto"/>
          <w:szCs w:val="21"/>
          <w:highlight w:val="none"/>
        </w:rPr>
      </w:pPr>
      <w:r>
        <w:rPr>
          <w:rFonts w:hint="default" w:ascii="Times New Roman" w:hAnsi="Times New Roman" w:cs="Times New Roman"/>
          <w:color w:val="auto"/>
          <w:kern w:val="2"/>
          <w:sz w:val="21"/>
          <w:szCs w:val="21"/>
          <w:highlight w:val="none"/>
        </w:rPr>
        <w:t>注：</w:t>
      </w:r>
      <w:r>
        <w:rPr>
          <w:rFonts w:hint="default" w:ascii="Times New Roman" w:hAnsi="Times New Roman" w:cs="Times New Roman"/>
          <w:color w:val="auto"/>
          <w:szCs w:val="21"/>
          <w:highlight w:val="none"/>
        </w:rPr>
        <w:t>以联合体形式投标的，本法定代表人身份证明应由联合体牵头人的法定代表人按上述规定签署。</w:t>
      </w:r>
    </w:p>
    <w:p w14:paraId="30413A66">
      <w:pPr>
        <w:pStyle w:val="2"/>
        <w:pageBreakBefore w:val="0"/>
        <w:kinsoku/>
        <w:wordWrap w:val="0"/>
        <w:overflowPunct/>
        <w:bidi w:val="0"/>
        <w:spacing w:beforeLines="150" w:afterLines="100" w:line="380" w:lineRule="atLeast"/>
        <w:jc w:val="center"/>
        <w:outlineLvl w:val="9"/>
        <w:rPr>
          <w:rFonts w:hint="default" w:ascii="Times New Roman" w:hAnsi="Times New Roman" w:eastAsia="黑体" w:cs="Times New Roman"/>
          <w:color w:val="auto"/>
          <w:sz w:val="28"/>
          <w:szCs w:val="28"/>
          <w:highlight w:val="none"/>
        </w:rPr>
        <w:sectPr>
          <w:headerReference r:id="rId44" w:type="even"/>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1349B647">
      <w:pPr>
        <w:pStyle w:val="2"/>
        <w:pageBreakBefore w:val="0"/>
        <w:kinsoku/>
        <w:wordWrap w:val="0"/>
        <w:bidi w:val="0"/>
        <w:spacing w:before="360" w:beforeLines="150" w:after="240" w:afterLines="100" w:line="380" w:lineRule="atLeast"/>
        <w:jc w:val="center"/>
        <w:outlineLvl w:val="1"/>
        <w:rPr>
          <w:rFonts w:hint="default" w:ascii="Times New Roman" w:hAnsi="Times New Roman" w:eastAsia="黑体" w:cs="Times New Roman"/>
          <w:color w:val="auto"/>
          <w:sz w:val="28"/>
          <w:szCs w:val="28"/>
          <w:highlight w:val="none"/>
        </w:rPr>
      </w:pPr>
      <w:bookmarkStart w:id="1896" w:name="_Toc29148"/>
      <w:bookmarkStart w:id="1897" w:name="_Toc21278"/>
      <w:bookmarkStart w:id="1898" w:name="_Toc12038"/>
      <w:r>
        <w:rPr>
          <w:rFonts w:hint="default" w:ascii="Times New Roman" w:hAnsi="Times New Roman" w:eastAsia="黑体" w:cs="Times New Roman"/>
          <w:color w:val="auto"/>
          <w:sz w:val="28"/>
          <w:szCs w:val="28"/>
          <w:highlight w:val="none"/>
        </w:rPr>
        <w:t>三、</w:t>
      </w:r>
      <w:r>
        <w:rPr>
          <w:rFonts w:hint="default" w:ascii="Times New Roman" w:hAnsi="Times New Roman" w:eastAsia="黑体" w:cs="Times New Roman"/>
          <w:b w:val="0"/>
          <w:color w:val="auto"/>
          <w:sz w:val="28"/>
          <w:szCs w:val="28"/>
          <w:highlight w:val="none"/>
        </w:rPr>
        <w:t>联合体协议书</w:t>
      </w:r>
      <w:r>
        <w:rPr>
          <w:rStyle w:val="47"/>
          <w:rFonts w:hint="default" w:ascii="Times New Roman" w:hAnsi="Times New Roman" w:eastAsia="黑体" w:cs="Times New Roman"/>
          <w:color w:val="auto"/>
          <w:sz w:val="28"/>
          <w:szCs w:val="28"/>
          <w:highlight w:val="none"/>
        </w:rPr>
        <w:footnoteReference w:id="46"/>
      </w:r>
      <w:bookmarkEnd w:id="1879"/>
      <w:bookmarkEnd w:id="1896"/>
      <w:bookmarkEnd w:id="1897"/>
      <w:bookmarkEnd w:id="1898"/>
      <w:r>
        <w:rPr>
          <w:rFonts w:hint="eastAsia" w:ascii="仿宋" w:hAnsi="仿宋" w:eastAsia="仿宋" w:cs="仿宋"/>
          <w:spacing w:val="-1"/>
          <w:sz w:val="24"/>
          <w:szCs w:val="24"/>
          <w:highlight w:val="none"/>
          <w:lang w:eastAsia="zh-CN"/>
        </w:rPr>
        <w:t>（</w:t>
      </w:r>
      <w:r>
        <w:rPr>
          <w:rFonts w:hint="eastAsia" w:ascii="仿宋" w:hAnsi="仿宋" w:eastAsia="仿宋" w:cs="仿宋"/>
          <w:spacing w:val="-1"/>
          <w:sz w:val="24"/>
          <w:szCs w:val="24"/>
          <w:highlight w:val="none"/>
          <w:lang w:val="en-US" w:eastAsia="zh-CN"/>
        </w:rPr>
        <w:t>本项目不适用</w:t>
      </w:r>
      <w:r>
        <w:rPr>
          <w:rFonts w:hint="eastAsia" w:ascii="仿宋" w:hAnsi="仿宋" w:eastAsia="仿宋" w:cs="仿宋"/>
          <w:spacing w:val="-1"/>
          <w:sz w:val="24"/>
          <w:szCs w:val="24"/>
          <w:highlight w:val="none"/>
          <w:lang w:eastAsia="zh-CN"/>
        </w:rPr>
        <w:t>）</w:t>
      </w:r>
    </w:p>
    <w:p w14:paraId="7ACB6EFB">
      <w:pPr>
        <w:pageBreakBefore w:val="0"/>
        <w:kinsoku/>
        <w:wordWrap w:val="0"/>
        <w:bidi w:val="0"/>
        <w:spacing w:line="440" w:lineRule="exact"/>
        <w:jc w:val="center"/>
        <w:rPr>
          <w:rFonts w:hint="default" w:ascii="Times New Roman" w:hAnsi="Times New Roman" w:eastAsia="黑体" w:cs="Times New Roman"/>
          <w:color w:val="auto"/>
          <w:sz w:val="24"/>
          <w:highlight w:val="none"/>
        </w:rPr>
      </w:pPr>
    </w:p>
    <w:p w14:paraId="46C01E8C">
      <w:pPr>
        <w:pageBreakBefore w:val="0"/>
        <w:kinsoku/>
        <w:wordWrap w:val="0"/>
        <w:bidi w:val="0"/>
        <w:spacing w:line="400" w:lineRule="atLeast"/>
        <w:ind w:firstLine="360"/>
        <w:rPr>
          <w:rFonts w:hint="default" w:ascii="Times New Roman" w:hAnsi="Times New Roman" w:cs="Times New Roman"/>
          <w:color w:val="auto"/>
          <w:sz w:val="24"/>
          <w:highlight w:val="none"/>
        </w:rPr>
      </w:pPr>
      <w:r>
        <w:rPr>
          <w:rFonts w:hint="default" w:ascii="Times New Roman" w:hAnsi="Times New Roman" w:eastAsia="黑体" w:cs="Times New Roman"/>
          <w:color w:val="auto"/>
          <w:sz w:val="24"/>
          <w:highlight w:val="none"/>
          <w:u w:val="single"/>
        </w:rPr>
        <w:t xml:space="preserve">                </w:t>
      </w:r>
      <w:r>
        <w:rPr>
          <w:rFonts w:hint="default" w:ascii="Times New Roman" w:hAnsi="Times New Roman" w:eastAsia="黑体" w:cs="Times New Roman"/>
          <w:color w:val="auto"/>
          <w:sz w:val="24"/>
          <w:highlight w:val="none"/>
        </w:rPr>
        <w:t>（</w:t>
      </w:r>
      <w:r>
        <w:rPr>
          <w:rFonts w:hint="default" w:ascii="Times New Roman" w:hAnsi="Times New Roman" w:cs="Times New Roman"/>
          <w:color w:val="auto"/>
          <w:sz w:val="24"/>
          <w:highlight w:val="none"/>
        </w:rPr>
        <w:t>所有成员单位名称）自愿组成</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（联合体名称）联合体，共同参加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标段</w:t>
      </w:r>
      <w:r>
        <w:rPr>
          <w:rFonts w:hint="default" w:ascii="Times New Roman" w:hAnsi="Times New Roman" w:cs="Times New Roman"/>
          <w:color w:val="auto"/>
          <w:sz w:val="24"/>
          <w:highlight w:val="none"/>
        </w:rPr>
        <w:t>名称）施工投标。现就联合体投标事宜订立如下协议。</w:t>
      </w:r>
    </w:p>
    <w:p w14:paraId="51E9AD01">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（某成员单位名称）为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（联合体名称）牵头人。</w:t>
      </w:r>
    </w:p>
    <w:p w14:paraId="750D4338">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2.联合体各成员授权牵头人代表联合体参加投标活动，签署文件，提交和接收相</w:t>
      </w:r>
      <w:bookmarkStart w:id="1899" w:name="_Toc300835212"/>
      <w:bookmarkStart w:id="1900" w:name="_Toc247514249"/>
      <w:bookmarkStart w:id="1901" w:name="_Toc152045790"/>
      <w:bookmarkStart w:id="1902" w:name="_Toc361508755"/>
      <w:bookmarkStart w:id="1903" w:name="_Toc152042579"/>
      <w:bookmarkStart w:id="1904" w:name="_Toc384308378"/>
      <w:bookmarkStart w:id="1905" w:name="_Toc144974859"/>
      <w:bookmarkStart w:id="1906" w:name="_Toc247527830"/>
      <w:r>
        <w:rPr>
          <w:rFonts w:hint="default" w:ascii="Times New Roman" w:hAnsi="Times New Roman" w:cs="Times New Roman"/>
          <w:color w:val="auto"/>
          <w:sz w:val="24"/>
          <w:highlight w:val="none"/>
        </w:rPr>
        <w:t>关的</w:t>
      </w:r>
      <w:bookmarkStart w:id="1907" w:name="_Toc352691664"/>
      <w:bookmarkStart w:id="1908" w:name="_Toc369531700"/>
      <w:bookmarkStart w:id="1909" w:name="_Toc7749"/>
      <w:r>
        <w:rPr>
          <w:rFonts w:hint="default" w:ascii="Times New Roman" w:hAnsi="Times New Roman" w:cs="Times New Roman"/>
          <w:color w:val="auto"/>
          <w:sz w:val="24"/>
          <w:highlight w:val="none"/>
        </w:rPr>
        <w:t>资料、信息及</w:t>
      </w:r>
      <w:bookmarkEnd w:id="1907"/>
      <w:bookmarkEnd w:id="1908"/>
      <w:bookmarkEnd w:id="1909"/>
      <w:r>
        <w:rPr>
          <w:rFonts w:hint="default" w:ascii="Times New Roman" w:hAnsi="Times New Roman" w:cs="Times New Roman"/>
          <w:color w:val="auto"/>
          <w:sz w:val="24"/>
          <w:highlight w:val="none"/>
        </w:rPr>
        <w:t>指</w:t>
      </w:r>
      <w:bookmarkEnd w:id="1899"/>
      <w:bookmarkEnd w:id="1900"/>
      <w:bookmarkEnd w:id="1901"/>
      <w:bookmarkEnd w:id="1902"/>
      <w:bookmarkEnd w:id="1903"/>
      <w:bookmarkEnd w:id="1904"/>
      <w:bookmarkEnd w:id="1905"/>
      <w:bookmarkEnd w:id="1906"/>
      <w:r>
        <w:rPr>
          <w:rFonts w:hint="default" w:ascii="Times New Roman" w:hAnsi="Times New Roman" w:cs="Times New Roman"/>
          <w:color w:val="auto"/>
          <w:sz w:val="24"/>
          <w:highlight w:val="none"/>
        </w:rPr>
        <w:t>示，进行合同谈判活动，负责合同实施阶段的组织和协调工作，以及处理与本招标项目有关的一切事宜。</w:t>
      </w:r>
    </w:p>
    <w:p w14:paraId="6F15A2AB">
      <w:pPr>
        <w:pageBreakBefore w:val="0"/>
        <w:kinsoku/>
        <w:wordWrap w:val="0"/>
        <w:bidi w:val="0"/>
        <w:spacing w:line="400" w:lineRule="atLeast"/>
        <w:ind w:firstLine="39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692EA393">
      <w:pPr>
        <w:pageBreakBefore w:val="0"/>
        <w:kinsoku/>
        <w:wordWrap w:val="0"/>
        <w:topLinePunct/>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4.联合体各成员单位内部的职责分工如下：</w:t>
      </w:r>
      <w:r>
        <w:rPr>
          <w:rFonts w:hint="default" w:ascii="Times New Roman" w:hAnsi="Times New Roman" w:cs="Times New Roman"/>
          <w:color w:val="auto"/>
          <w:sz w:val="24"/>
          <w:highlight w:val="none"/>
          <w:u w:val="single"/>
        </w:rPr>
        <w:t>（牵头人名称）</w:t>
      </w:r>
      <w:r>
        <w:rPr>
          <w:rFonts w:hint="default" w:ascii="Times New Roman" w:hAnsi="Times New Roman" w:cs="Times New Roman"/>
          <w:color w:val="auto"/>
          <w:sz w:val="24"/>
          <w:highlight w:val="none"/>
        </w:rPr>
        <w:t>承担</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专业工程，占总工程量的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Style w:val="47"/>
          <w:rFonts w:hint="default" w:ascii="Times New Roman" w:hAnsi="Times New Roman" w:cs="Times New Roman"/>
          <w:color w:val="auto"/>
          <w:sz w:val="24"/>
          <w:highlight w:val="none"/>
        </w:rPr>
        <w:footnoteReference w:id="47"/>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u w:val="single"/>
        </w:rPr>
        <w:t>（成员一名称）</w:t>
      </w:r>
      <w:r>
        <w:rPr>
          <w:rFonts w:hint="default" w:ascii="Times New Roman" w:hAnsi="Times New Roman" w:cs="Times New Roman"/>
          <w:color w:val="auto"/>
          <w:sz w:val="24"/>
          <w:highlight w:val="none"/>
        </w:rPr>
        <w:t>承担</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专业工程，占总工程量的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p>
    <w:p w14:paraId="48DCFFFC">
      <w:pPr>
        <w:pageBreakBefore w:val="0"/>
        <w:kinsoku/>
        <w:wordWrap w:val="0"/>
        <w:topLinePunct/>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5.投标工作和联合体在中标后工程实施过程中的有关费用按各自承担的工作量分摊。</w:t>
      </w:r>
    </w:p>
    <w:p w14:paraId="0E2E7970">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6.本协议书自所有成员单位法定代表人签字并加盖单位章之日起生效，合同履行完毕后自动失效。</w:t>
      </w:r>
    </w:p>
    <w:p w14:paraId="05243D29">
      <w:pPr>
        <w:pageBreakBefore w:val="0"/>
        <w:kinsoku/>
        <w:wordWrap w:val="0"/>
        <w:bidi w:val="0"/>
        <w:spacing w:line="400" w:lineRule="atLeast"/>
        <w:ind w:firstLine="480" w:firstLineChars="200"/>
        <w:outlineLvl w:val="9"/>
        <w:rPr>
          <w:rFonts w:hint="default" w:ascii="Times New Roman" w:hAnsi="Times New Roman" w:cs="Times New Roman"/>
          <w:color w:val="auto"/>
          <w:sz w:val="24"/>
          <w:highlight w:val="none"/>
        </w:rPr>
      </w:pPr>
      <w:bookmarkStart w:id="1910" w:name="_Toc26822"/>
      <w:bookmarkStart w:id="1911" w:name="_Toc8257"/>
      <w:r>
        <w:rPr>
          <w:rFonts w:hint="default" w:ascii="Times New Roman" w:hAnsi="Times New Roman" w:cs="Times New Roman"/>
          <w:color w:val="auto"/>
          <w:sz w:val="24"/>
          <w:highlight w:val="none"/>
        </w:rPr>
        <w:t>7.本协议书一式</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份，联合体成员和招标人各执一份。</w:t>
      </w:r>
      <w:bookmarkEnd w:id="1910"/>
      <w:bookmarkEnd w:id="1911"/>
    </w:p>
    <w:p w14:paraId="67A2A2AE">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p>
    <w:p w14:paraId="23B7342F">
      <w:pPr>
        <w:topLinePunct/>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联合体牵头人名称：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r>
        <w:rPr>
          <w:rFonts w:hint="default" w:ascii="Times New Roman" w:hAnsi="Times New Roman" w:cs="Times New Roman"/>
          <w:color w:val="auto"/>
          <w:sz w:val="24"/>
          <w:highlight w:val="none"/>
          <w:lang w:val="en-US" w:eastAsia="zh-CN"/>
        </w:rPr>
        <w:t>或盖单位电子印章</w:t>
      </w:r>
      <w:r>
        <w:rPr>
          <w:rFonts w:hint="default" w:ascii="Times New Roman" w:hAnsi="Times New Roman" w:cs="Times New Roman"/>
          <w:color w:val="auto"/>
          <w:sz w:val="24"/>
          <w:highlight w:val="none"/>
        </w:rPr>
        <w:t>）</w:t>
      </w:r>
    </w:p>
    <w:p w14:paraId="490E3D09">
      <w:pPr>
        <w:topLinePunct/>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r>
        <w:rPr>
          <w:rFonts w:hint="default" w:ascii="Times New Roman" w:hAnsi="Times New Roman" w:cs="Times New Roman"/>
          <w:color w:val="auto"/>
          <w:sz w:val="24"/>
          <w:highlight w:val="none"/>
          <w:lang w:val="en-US" w:eastAsia="zh-CN"/>
        </w:rPr>
        <w:t>或</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67E51F19">
      <w:pPr>
        <w:topLinePunct/>
        <w:spacing w:line="400" w:lineRule="atLeast"/>
        <w:ind w:firstLine="411" w:firstLineChars="196"/>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 xml:space="preserve"> </w:t>
      </w:r>
    </w:p>
    <w:p w14:paraId="30456C89">
      <w:pPr>
        <w:topLinePunct/>
        <w:spacing w:line="400" w:lineRule="atLeast"/>
        <w:ind w:firstLine="470" w:firstLineChars="196"/>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联合体成员名称：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r>
        <w:rPr>
          <w:rFonts w:hint="default" w:ascii="Times New Roman" w:hAnsi="Times New Roman" w:cs="Times New Roman"/>
          <w:color w:val="auto"/>
          <w:sz w:val="24"/>
          <w:highlight w:val="none"/>
          <w:lang w:val="en-US" w:eastAsia="zh-CN"/>
        </w:rPr>
        <w:t>或盖单位电子印章</w:t>
      </w:r>
      <w:r>
        <w:rPr>
          <w:rFonts w:hint="default" w:ascii="Times New Roman" w:hAnsi="Times New Roman" w:cs="Times New Roman"/>
          <w:color w:val="auto"/>
          <w:sz w:val="24"/>
          <w:highlight w:val="none"/>
        </w:rPr>
        <w:t>）</w:t>
      </w:r>
    </w:p>
    <w:p w14:paraId="7A4E2BC2">
      <w:pPr>
        <w:pageBreakBefore w:val="0"/>
        <w:kinsoku/>
        <w:wordWrap w:val="0"/>
        <w:overflowPunct/>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（签字</w:t>
      </w:r>
      <w:r>
        <w:rPr>
          <w:rFonts w:hint="default" w:ascii="Times New Roman" w:hAnsi="Times New Roman" w:cs="Times New Roman"/>
          <w:color w:val="auto"/>
          <w:sz w:val="24"/>
          <w:highlight w:val="none"/>
          <w:lang w:val="en-US" w:eastAsia="zh-CN"/>
        </w:rPr>
        <w:t>或</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3B09D433">
      <w:pPr>
        <w:pageBreakBefore w:val="0"/>
        <w:kinsoku/>
        <w:wordWrap w:val="0"/>
        <w:overflowPunct/>
        <w:bidi w:val="0"/>
        <w:spacing w:line="400" w:lineRule="atLeast"/>
        <w:ind w:firstLine="480" w:firstLineChars="20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w:t>
      </w:r>
    </w:p>
    <w:p w14:paraId="68AA664C">
      <w:pPr>
        <w:pageBreakBefore w:val="0"/>
        <w:kinsoku/>
        <w:wordWrap w:val="0"/>
        <w:bidi w:val="0"/>
        <w:spacing w:line="400" w:lineRule="atLeast"/>
        <w:ind w:firstLine="4620" w:firstLineChars="1925"/>
        <w:rPr>
          <w:rFonts w:hint="default" w:ascii="Times New Roman" w:hAnsi="Times New Roman" w:eastAsia="黑体" w:cs="Times New Roman"/>
          <w:color w:val="auto"/>
          <w:sz w:val="24"/>
          <w:highlight w:val="none"/>
          <w:u w:val="singl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年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0CF6C2DA">
      <w:pPr>
        <w:pStyle w:val="2"/>
        <w:pageBreakBefore w:val="0"/>
        <w:kinsoku/>
        <w:wordWrap w:val="0"/>
        <w:bidi w:val="0"/>
        <w:spacing w:before="360" w:beforeLines="150" w:after="240" w:afterLines="100" w:line="380" w:lineRule="atLeast"/>
        <w:jc w:val="center"/>
        <w:outlineLvl w:val="1"/>
        <w:rPr>
          <w:rFonts w:hint="default" w:ascii="Times New Roman" w:hAnsi="Times New Roman" w:eastAsia="黑体" w:cs="Times New Roman"/>
          <w:b w:val="0"/>
          <w:color w:val="auto"/>
          <w:sz w:val="28"/>
          <w:szCs w:val="28"/>
          <w:highlight w:val="none"/>
        </w:rPr>
      </w:pPr>
      <w:bookmarkStart w:id="1912" w:name="_Toc234833262"/>
      <w:r>
        <w:rPr>
          <w:rFonts w:hint="default" w:ascii="Times New Roman" w:hAnsi="Times New Roman" w:eastAsia="黑体" w:cs="Times New Roman"/>
          <w:b w:val="0"/>
          <w:color w:val="auto"/>
          <w:sz w:val="28"/>
          <w:szCs w:val="28"/>
          <w:highlight w:val="none"/>
        </w:rPr>
        <w:br w:type="page"/>
      </w:r>
      <w:bookmarkStart w:id="1913" w:name="_Toc21516"/>
      <w:bookmarkStart w:id="1914" w:name="_Toc25301"/>
      <w:bookmarkStart w:id="1915" w:name="_Toc3440"/>
      <w:r>
        <w:rPr>
          <w:rFonts w:hint="default" w:ascii="Times New Roman" w:hAnsi="Times New Roman" w:eastAsia="黑体" w:cs="Times New Roman"/>
          <w:b w:val="0"/>
          <w:color w:val="auto"/>
          <w:sz w:val="28"/>
          <w:szCs w:val="28"/>
          <w:highlight w:val="none"/>
        </w:rPr>
        <w:t>四、投标保证金</w:t>
      </w:r>
      <w:bookmarkEnd w:id="1912"/>
      <w:bookmarkEnd w:id="1913"/>
      <w:bookmarkEnd w:id="1914"/>
      <w:bookmarkEnd w:id="1915"/>
    </w:p>
    <w:p w14:paraId="628718B6">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p>
    <w:p w14:paraId="5EBDB43C">
      <w:pPr>
        <w:spacing w:line="400" w:lineRule="atLeast"/>
        <w:ind w:firstLine="508" w:firstLineChars="212"/>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若采用现金，投标人应在此提供汇款凭证的</w:t>
      </w:r>
      <w:r>
        <w:rPr>
          <w:rFonts w:hint="eastAsia" w:cs="Times New Roman"/>
          <w:color w:val="auto"/>
          <w:sz w:val="24"/>
          <w:highlight w:val="none"/>
          <w:lang w:val="en-US" w:eastAsia="zh-CN"/>
        </w:rPr>
        <w:t>原件扫描件</w:t>
      </w:r>
      <w:r>
        <w:rPr>
          <w:rFonts w:hint="default" w:ascii="Times New Roman" w:hAnsi="Times New Roman" w:cs="Times New Roman"/>
          <w:color w:val="auto"/>
          <w:sz w:val="24"/>
          <w:highlight w:val="none"/>
        </w:rPr>
        <w:t>。</w:t>
      </w:r>
    </w:p>
    <w:p w14:paraId="3530D6B7">
      <w:pPr>
        <w:spacing w:line="400" w:lineRule="exact"/>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若采用电子保函，</w:t>
      </w:r>
      <w:r>
        <w:rPr>
          <w:rFonts w:hint="default" w:ascii="Times New Roman" w:hAnsi="Times New Roman" w:cs="Times New Roman"/>
          <w:color w:val="auto"/>
          <w:sz w:val="24"/>
          <w:highlight w:val="none"/>
        </w:rPr>
        <w:t>投标人应在此提供</w:t>
      </w:r>
      <w:r>
        <w:rPr>
          <w:rFonts w:hint="default" w:ascii="Times New Roman" w:hAnsi="Times New Roman" w:cs="Times New Roman"/>
          <w:b w:val="0"/>
          <w:bCs w:val="0"/>
          <w:color w:val="auto"/>
          <w:sz w:val="24"/>
          <w:szCs w:val="24"/>
          <w:highlight w:val="none"/>
          <w:lang w:val="en-US" w:eastAsia="zh-CN"/>
        </w:rPr>
        <w:t>电子化保函验真渠道和从投标人基本账户支出</w:t>
      </w:r>
      <w:r>
        <w:rPr>
          <w:rFonts w:hint="eastAsia" w:cs="Times New Roman"/>
          <w:b w:val="0"/>
          <w:bCs w:val="0"/>
          <w:color w:val="auto"/>
          <w:sz w:val="24"/>
          <w:szCs w:val="24"/>
          <w:highlight w:val="none"/>
          <w:lang w:val="en-US" w:eastAsia="zh-CN"/>
        </w:rPr>
        <w:t>的</w:t>
      </w:r>
      <w:r>
        <w:rPr>
          <w:rFonts w:hint="default" w:ascii="Times New Roman" w:hAnsi="Times New Roman" w:cs="Times New Roman"/>
          <w:b w:val="0"/>
          <w:bCs w:val="0"/>
          <w:color w:val="auto"/>
          <w:sz w:val="24"/>
          <w:szCs w:val="24"/>
          <w:highlight w:val="none"/>
          <w:lang w:val="en-US" w:eastAsia="zh-CN"/>
        </w:rPr>
        <w:t>保函财务费用支付</w:t>
      </w:r>
      <w:r>
        <w:rPr>
          <w:rFonts w:hint="eastAsia" w:cs="Times New Roman"/>
          <w:b w:val="0"/>
          <w:bCs w:val="0"/>
          <w:color w:val="auto"/>
          <w:sz w:val="24"/>
          <w:szCs w:val="24"/>
          <w:highlight w:val="none"/>
          <w:lang w:val="en-US" w:eastAsia="zh-CN"/>
        </w:rPr>
        <w:t>凭证</w:t>
      </w:r>
      <w:r>
        <w:rPr>
          <w:rFonts w:hint="default" w:ascii="Times New Roman" w:hAnsi="Times New Roman" w:cs="Times New Roman"/>
          <w:b w:val="0"/>
          <w:bCs w:val="0"/>
          <w:color w:val="auto"/>
          <w:sz w:val="24"/>
          <w:szCs w:val="24"/>
          <w:highlight w:val="none"/>
          <w:lang w:val="en-US" w:eastAsia="zh-CN"/>
        </w:rPr>
        <w:t>。</w:t>
      </w:r>
    </w:p>
    <w:p w14:paraId="7E1D8A7E">
      <w:pPr>
        <w:spacing w:line="400" w:lineRule="exact"/>
        <w:ind w:firstLine="480" w:firstLineChars="200"/>
        <w:rPr>
          <w:rFonts w:hint="default" w:ascii="Times New Roman" w:hAnsi="Times New Roman" w:eastAsia="黑体" w:cs="Times New Roman"/>
          <w:color w:val="auto"/>
          <w:sz w:val="24"/>
          <w:highlight w:val="none"/>
        </w:rPr>
      </w:pPr>
      <w:r>
        <w:rPr>
          <w:rFonts w:hint="default" w:ascii="Times New Roman" w:hAnsi="Times New Roman" w:cs="Times New Roman"/>
          <w:color w:val="auto"/>
          <w:sz w:val="24"/>
          <w:highlight w:val="none"/>
          <w:lang w:val="en-US" w:eastAsia="zh-CN"/>
        </w:rPr>
        <w:t>若</w:t>
      </w:r>
      <w:r>
        <w:rPr>
          <w:rFonts w:hint="default" w:ascii="Times New Roman" w:hAnsi="Times New Roman" w:cs="Times New Roman"/>
          <w:color w:val="auto"/>
          <w:sz w:val="24"/>
          <w:highlight w:val="none"/>
        </w:rPr>
        <w:t>采用银行保函，投标人应在此提供银行保函</w:t>
      </w:r>
      <w:r>
        <w:rPr>
          <w:rFonts w:hint="eastAsia" w:cs="Times New Roman"/>
          <w:color w:val="auto"/>
          <w:sz w:val="24"/>
          <w:highlight w:val="none"/>
          <w:lang w:val="en-US" w:eastAsia="zh-CN"/>
        </w:rPr>
        <w:t>原件扫描件</w:t>
      </w:r>
      <w:r>
        <w:rPr>
          <w:rFonts w:hint="default" w:ascii="Times New Roman" w:hAnsi="Times New Roman" w:cs="Times New Roman"/>
          <w:color w:val="auto"/>
          <w:sz w:val="24"/>
          <w:highlight w:val="none"/>
        </w:rPr>
        <w:t>，格式如下。</w:t>
      </w:r>
    </w:p>
    <w:p w14:paraId="6C8047D0">
      <w:pPr>
        <w:spacing w:line="400" w:lineRule="exact"/>
        <w:ind w:firstLine="480" w:firstLineChars="200"/>
        <w:rPr>
          <w:rFonts w:hint="default" w:ascii="Times New Roman" w:hAnsi="Times New Roman" w:cs="Times New Roman"/>
          <w:color w:val="auto"/>
          <w:sz w:val="24"/>
          <w:highlight w:val="none"/>
        </w:rPr>
      </w:pPr>
    </w:p>
    <w:p w14:paraId="46925AED">
      <w:pPr>
        <w:spacing w:line="400" w:lineRule="exact"/>
        <w:jc w:val="center"/>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投标保函</w:t>
      </w:r>
    </w:p>
    <w:p w14:paraId="2D893B8D">
      <w:pPr>
        <w:spacing w:line="400" w:lineRule="exact"/>
        <w:rPr>
          <w:rFonts w:hint="default" w:ascii="Times New Roman" w:hAnsi="Times New Roman" w:cs="Times New Roman"/>
          <w:color w:val="auto"/>
          <w:sz w:val="24"/>
          <w:highlight w:val="none"/>
          <w:u w:val="single"/>
        </w:rPr>
      </w:pPr>
    </w:p>
    <w:p w14:paraId="04305E19">
      <w:pPr>
        <w:spacing w:line="40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你方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w:t>
      </w:r>
    </w:p>
    <w:p w14:paraId="11D0699E">
      <w:pPr>
        <w:spacing w:line="400" w:lineRule="exact"/>
        <w:jc w:val="center"/>
        <w:rPr>
          <w:rFonts w:hint="default" w:ascii="Times New Roman" w:hAnsi="Times New Roman" w:cs="Times New Roman"/>
          <w:color w:val="auto"/>
          <w:sz w:val="24"/>
          <w:highlight w:val="none"/>
        </w:rPr>
      </w:pPr>
    </w:p>
    <w:p w14:paraId="0EE88A9C">
      <w:pPr>
        <w:wordWrap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鉴于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（投标人名称）（以下称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投标人</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日参加</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eastAsia" w:cs="Times New Roman"/>
          <w:color w:val="auto"/>
          <w:sz w:val="24"/>
          <w:highlight w:val="none"/>
          <w:lang w:val="en-US" w:eastAsia="zh-CN"/>
        </w:rPr>
        <w:t>施工</w:t>
      </w:r>
      <w:r>
        <w:rPr>
          <w:rFonts w:hint="default" w:ascii="Times New Roman" w:hAnsi="Times New Roman" w:cs="Times New Roman"/>
          <w:color w:val="auto"/>
          <w:sz w:val="24"/>
          <w:highlight w:val="none"/>
        </w:rPr>
        <w:t>的投标，</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（担保人名称，以下简称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我方</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无条件地、不可撤销地保证：若投标人在投标有效期内撤销投标文件，中标后无正当理由不与招标人订立合同，在签订合同时向招标人提出附加条件，不按照招标文件要求提交履约保证金，或发生招标文件明确规定可以不予退还投标保证金的其他情形，我方承担保证责任。投标人发生以上任一情况时，收到你方书面通知后，我方在7日内向你方无条件支付人民币（大写）</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元。</w:t>
      </w:r>
    </w:p>
    <w:p w14:paraId="46DF964B">
      <w:pPr>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本保函在投标有效期或经延长的投标有效期内保持有效。要求我方承担保证责任的通知应在上述期限内送达我方。你方延长投标有效期的决定，应通知我方。</w:t>
      </w:r>
    </w:p>
    <w:p w14:paraId="56ED5F77">
      <w:pPr>
        <w:rPr>
          <w:rFonts w:hint="default" w:ascii="Times New Roman" w:hAnsi="Times New Roman" w:cs="Times New Roman"/>
          <w:color w:val="auto"/>
          <w:sz w:val="24"/>
          <w:highlight w:val="none"/>
        </w:rPr>
      </w:pPr>
    </w:p>
    <w:p w14:paraId="37DDBF08">
      <w:pPr>
        <w:rPr>
          <w:rFonts w:hint="default" w:ascii="Times New Roman" w:hAnsi="Times New Roman" w:cs="Times New Roman"/>
          <w:color w:val="auto"/>
          <w:sz w:val="24"/>
          <w:highlight w:val="none"/>
        </w:rPr>
      </w:pPr>
    </w:p>
    <w:p w14:paraId="6167168E">
      <w:pPr>
        <w:spacing w:line="40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担保人名称：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（盖单位章）</w:t>
      </w:r>
    </w:p>
    <w:p w14:paraId="43E23326">
      <w:pPr>
        <w:autoSpaceDE w:val="0"/>
        <w:autoSpaceDN w:val="0"/>
        <w:adjustRightInd w:val="0"/>
        <w:spacing w:line="400" w:lineRule="atLeast"/>
        <w:ind w:firstLine="2400" w:firstLineChars="1000"/>
        <w:jc w:val="lef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担保人法定代表人或其委托代理人（签字）：</w:t>
      </w:r>
      <w:r>
        <w:rPr>
          <w:rFonts w:hint="default" w:ascii="Times New Roman" w:hAnsi="Times New Roman" w:cs="Times New Roman"/>
          <w:color w:val="auto"/>
          <w:sz w:val="24"/>
          <w:highlight w:val="none"/>
          <w:u w:val="single"/>
        </w:rPr>
        <w:t xml:space="preserve">                 </w:t>
      </w:r>
    </w:p>
    <w:p w14:paraId="7BB62652">
      <w:pPr>
        <w:autoSpaceDE w:val="0"/>
        <w:autoSpaceDN w:val="0"/>
        <w:adjustRightInd w:val="0"/>
        <w:spacing w:line="400" w:lineRule="atLeast"/>
        <w:ind w:left="2409" w:leftChars="1147"/>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担保人地址：</w:t>
      </w:r>
      <w:r>
        <w:rPr>
          <w:rFonts w:hint="default" w:ascii="Times New Roman" w:hAnsi="Times New Roman" w:cs="Times New Roman"/>
          <w:color w:val="auto"/>
          <w:sz w:val="24"/>
          <w:highlight w:val="none"/>
          <w:u w:val="single"/>
        </w:rPr>
        <w:t xml:space="preserve">                                        </w:t>
      </w:r>
    </w:p>
    <w:p w14:paraId="52BFD407">
      <w:pPr>
        <w:autoSpaceDE w:val="0"/>
        <w:autoSpaceDN w:val="0"/>
        <w:adjustRightInd w:val="0"/>
        <w:spacing w:line="400" w:lineRule="atLeast"/>
        <w:ind w:left="2409" w:leftChars="1147"/>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担保人电话：</w:t>
      </w:r>
      <w:r>
        <w:rPr>
          <w:rFonts w:hint="default" w:ascii="Times New Roman" w:hAnsi="Times New Roman" w:cs="Times New Roman"/>
          <w:color w:val="auto"/>
          <w:sz w:val="24"/>
          <w:highlight w:val="none"/>
          <w:u w:val="single"/>
        </w:rPr>
        <w:t xml:space="preserve">                  </w:t>
      </w:r>
    </w:p>
    <w:p w14:paraId="556667FE">
      <w:pPr>
        <w:autoSpaceDE w:val="0"/>
        <w:autoSpaceDN w:val="0"/>
        <w:adjustRightInd w:val="0"/>
        <w:spacing w:line="400" w:lineRule="atLeast"/>
        <w:ind w:left="2409" w:leftChars="1147"/>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担保人传真：</w:t>
      </w:r>
      <w:r>
        <w:rPr>
          <w:rFonts w:hint="default" w:ascii="Times New Roman" w:hAnsi="Times New Roman" w:cs="Times New Roman"/>
          <w:color w:val="auto"/>
          <w:sz w:val="24"/>
          <w:highlight w:val="none"/>
          <w:u w:val="single"/>
        </w:rPr>
        <w:t xml:space="preserve">                  </w:t>
      </w:r>
    </w:p>
    <w:p w14:paraId="293DEDD2">
      <w:pPr>
        <w:pageBreakBefore w:val="0"/>
        <w:kinsoku/>
        <w:wordWrap w:val="0"/>
        <w:overflowPunct/>
        <w:bidi w:val="0"/>
        <w:spacing w:line="440" w:lineRule="exact"/>
        <w:ind w:firstLine="5040" w:firstLineChars="21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6C61D198">
      <w:pPr>
        <w:pageBreakBefore w:val="0"/>
        <w:kinsoku/>
        <w:wordWrap w:val="0"/>
        <w:bidi w:val="0"/>
        <w:spacing w:line="440" w:lineRule="exact"/>
        <w:rPr>
          <w:rFonts w:hint="default" w:ascii="Times New Roman" w:hAnsi="Times New Roman" w:cs="Times New Roman"/>
          <w:color w:val="auto"/>
          <w:sz w:val="24"/>
          <w:highlight w:val="none"/>
        </w:rPr>
      </w:pPr>
    </w:p>
    <w:p w14:paraId="5A5CC1F1">
      <w:pPr>
        <w:pStyle w:val="2"/>
        <w:pageBreakBefore w:val="0"/>
        <w:kinsoku/>
        <w:wordWrap w:val="0"/>
        <w:bidi w:val="0"/>
        <w:spacing w:before="360" w:beforeLines="150" w:after="240" w:afterLines="100" w:line="380" w:lineRule="atLeast"/>
        <w:jc w:val="center"/>
        <w:outlineLvl w:val="1"/>
        <w:rPr>
          <w:rFonts w:hint="default" w:ascii="Times New Roman" w:hAnsi="Times New Roman" w:eastAsia="黑体" w:cs="Times New Roman"/>
          <w:b w:val="0"/>
          <w:color w:val="auto"/>
          <w:sz w:val="28"/>
          <w:szCs w:val="28"/>
          <w:highlight w:val="none"/>
          <w:lang w:eastAsia="zh-CN"/>
        </w:rPr>
      </w:pPr>
      <w:bookmarkStart w:id="1916" w:name="_Toc234833264"/>
      <w:r>
        <w:rPr>
          <w:rFonts w:hint="default" w:ascii="Times New Roman" w:hAnsi="Times New Roman" w:eastAsia="黑体" w:cs="Times New Roman"/>
          <w:b w:val="0"/>
          <w:color w:val="auto"/>
          <w:sz w:val="28"/>
          <w:szCs w:val="28"/>
          <w:highlight w:val="none"/>
        </w:rPr>
        <w:br w:type="page"/>
      </w:r>
      <w:bookmarkStart w:id="1917" w:name="_Toc14539"/>
      <w:bookmarkStart w:id="1918" w:name="_Toc3268"/>
      <w:bookmarkStart w:id="1919" w:name="_Toc27090"/>
      <w:r>
        <w:rPr>
          <w:rFonts w:hint="default" w:ascii="Times New Roman" w:hAnsi="Times New Roman" w:eastAsia="黑体" w:cs="Times New Roman"/>
          <w:b w:val="0"/>
          <w:color w:val="auto"/>
          <w:sz w:val="28"/>
          <w:szCs w:val="28"/>
          <w:highlight w:val="none"/>
        </w:rPr>
        <w:t>五、施工组织设计</w:t>
      </w:r>
      <w:bookmarkEnd w:id="1917"/>
      <w:bookmarkEnd w:id="1918"/>
      <w:bookmarkEnd w:id="1919"/>
    </w:p>
    <w:p w14:paraId="5701320F">
      <w:pPr>
        <w:pageBreakBefore w:val="0"/>
        <w:kinsoku/>
        <w:wordWrap w:val="0"/>
        <w:bidi w:val="0"/>
        <w:jc w:val="center"/>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（适用于合理低价法和经评审的最低投标价法）</w:t>
      </w:r>
    </w:p>
    <w:p w14:paraId="02AD79D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79E516F">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投标人应按以下要点编制施工组织设计（文字宜精炼、内容具有针对性）：</w:t>
      </w:r>
    </w:p>
    <w:p w14:paraId="715C4CA8">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1.总体施工组织布置及规划</w:t>
      </w:r>
    </w:p>
    <w:p w14:paraId="4709E46F">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2.重点、关键和难点工程的施工方案</w:t>
      </w:r>
    </w:p>
    <w:p w14:paraId="5768F5FB">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3.工期关键线路图及保证措施</w:t>
      </w:r>
    </w:p>
    <w:p w14:paraId="477FB2F9">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4.关键工程质量保证措施</w:t>
      </w:r>
    </w:p>
    <w:p w14:paraId="7096959C">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5.安全保证措施</w:t>
      </w:r>
    </w:p>
    <w:p w14:paraId="3DF64059">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6.环境保护、水土保持、文明施工、文物保护保证措施</w:t>
      </w:r>
    </w:p>
    <w:p w14:paraId="0021B1EA">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7.项目风险预测与防范，事故应急预案</w:t>
      </w:r>
    </w:p>
    <w:p w14:paraId="0FE2A92D">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8.其他应说明的事项</w:t>
      </w:r>
    </w:p>
    <w:p w14:paraId="4BE63457">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p>
    <w:p w14:paraId="351E43FD">
      <w:pPr>
        <w:pageBreakBefore w:val="0"/>
        <w:kinsoku/>
        <w:wordWrap w:val="0"/>
        <w:bidi w:val="0"/>
        <w:spacing w:before="0" w:after="0" w:line="380" w:lineRule="atLeast"/>
        <w:outlineLvl w:val="9"/>
        <w:rPr>
          <w:rFonts w:hint="default" w:ascii="Times New Roman" w:hAnsi="Times New Roman" w:eastAsia="黑体" w:cs="Times New Roman"/>
          <w:color w:val="auto"/>
          <w:sz w:val="27"/>
          <w:szCs w:val="27"/>
          <w:highlight w:val="none"/>
        </w:rPr>
      </w:pPr>
      <w:r>
        <w:rPr>
          <w:rFonts w:hint="default" w:ascii="Times New Roman" w:hAnsi="Times New Roman" w:eastAsia="黑体" w:cs="Times New Roman"/>
          <w:b w:val="0"/>
          <w:color w:val="auto"/>
          <w:sz w:val="28"/>
          <w:szCs w:val="28"/>
          <w:highlight w:val="none"/>
        </w:rPr>
        <w:br w:type="page"/>
      </w:r>
      <w:bookmarkEnd w:id="1916"/>
    </w:p>
    <w:p w14:paraId="64A21BE5">
      <w:pPr>
        <w:pStyle w:val="2"/>
        <w:pageBreakBefore w:val="0"/>
        <w:kinsoku/>
        <w:wordWrap w:val="0"/>
        <w:bidi w:val="0"/>
        <w:spacing w:before="0" w:after="0" w:line="380" w:lineRule="atLeast"/>
        <w:jc w:val="center"/>
        <w:outlineLvl w:val="1"/>
        <w:rPr>
          <w:rFonts w:hint="default" w:ascii="Times New Roman" w:hAnsi="Times New Roman" w:eastAsia="黑体" w:cs="Times New Roman"/>
          <w:b w:val="0"/>
          <w:color w:val="auto"/>
          <w:sz w:val="28"/>
          <w:szCs w:val="28"/>
          <w:highlight w:val="none"/>
        </w:rPr>
      </w:pPr>
      <w:bookmarkStart w:id="1920" w:name="_Toc12366"/>
      <w:bookmarkStart w:id="1921" w:name="_Toc5183"/>
      <w:bookmarkStart w:id="1922" w:name="_Toc7173"/>
      <w:bookmarkStart w:id="1923" w:name="_Toc234833275"/>
      <w:r>
        <w:rPr>
          <w:rFonts w:hint="default" w:ascii="Times New Roman" w:hAnsi="Times New Roman" w:eastAsia="黑体" w:cs="Times New Roman"/>
          <w:b w:val="0"/>
          <w:color w:val="auto"/>
          <w:sz w:val="28"/>
          <w:szCs w:val="28"/>
          <w:highlight w:val="none"/>
        </w:rPr>
        <w:t>六、项目管理机构</w:t>
      </w:r>
      <w:bookmarkEnd w:id="1920"/>
      <w:bookmarkEnd w:id="1921"/>
      <w:bookmarkEnd w:id="1922"/>
      <w:bookmarkEnd w:id="1923"/>
    </w:p>
    <w:p w14:paraId="4EBA032B">
      <w:pPr>
        <w:pageBreakBefore w:val="0"/>
        <w:kinsoku/>
        <w:wordWrap w:val="0"/>
        <w:bidi w:val="0"/>
        <w:spacing w:before="0" w:after="0" w:line="380" w:lineRule="atLeast"/>
        <w:outlineLvl w:val="9"/>
        <w:rPr>
          <w:rFonts w:hint="default" w:ascii="Times New Roman" w:hAnsi="Times New Roman" w:eastAsia="黑体" w:cs="Times New Roman"/>
          <w:b w:val="0"/>
          <w:color w:val="auto"/>
          <w:sz w:val="28"/>
          <w:szCs w:val="28"/>
          <w:highlight w:val="none"/>
        </w:rPr>
      </w:pPr>
    </w:p>
    <w:p w14:paraId="6B89FBE0">
      <w:pPr>
        <w:pageBreakBefore w:val="0"/>
        <w:widowControl/>
        <w:kinsoku/>
        <w:wordWrap w:val="0"/>
        <w:autoSpaceDE w:val="0"/>
        <w:autoSpaceDN w:val="0"/>
        <w:bidi w:val="0"/>
        <w:spacing w:line="360" w:lineRule="atLeast"/>
        <w:ind w:left="180"/>
        <w:textAlignment w:val="bottom"/>
        <w:rPr>
          <w:rFonts w:hint="default" w:ascii="Times New Roman" w:hAnsi="Times New Roman" w:cs="Times New Roman"/>
          <w:color w:val="auto"/>
          <w:sz w:val="20"/>
          <w:szCs w:val="20"/>
          <w:highlight w:val="none"/>
        </w:rPr>
      </w:pPr>
    </w:p>
    <w:tbl>
      <w:tblPr>
        <w:tblStyle w:val="39"/>
        <w:tblW w:w="0" w:type="auto"/>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724"/>
      </w:tblGrid>
      <w:tr w14:paraId="2ED94A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56" w:hRule="atLeast"/>
        </w:trPr>
        <w:tc>
          <w:tcPr>
            <w:tcW w:w="8724" w:type="dxa"/>
            <w:tcBorders>
              <w:bottom w:val="single" w:color="auto" w:sz="6" w:space="0"/>
            </w:tcBorders>
            <w:noWrap w:val="0"/>
            <w:vAlign w:val="top"/>
          </w:tcPr>
          <w:p w14:paraId="2AA02BCB">
            <w:pPr>
              <w:pageBreakBefore w:val="0"/>
              <w:kinsoku/>
              <w:wordWrap w:val="0"/>
              <w:bidi w:val="0"/>
              <w:spacing w:line="520" w:lineRule="atLeast"/>
              <w:ind w:left="266" w:hanging="266"/>
              <w:rPr>
                <w:rFonts w:hint="default" w:ascii="Times New Roman" w:hAnsi="Times New Roman" w:cs="Times New Roman"/>
                <w:color w:val="auto"/>
                <w:szCs w:val="21"/>
                <w:highlight w:val="none"/>
              </w:rPr>
            </w:pPr>
          </w:p>
          <w:p w14:paraId="6E2968B4">
            <w:pPr>
              <w:pageBreakBefore w:val="0"/>
              <w:kinsoku/>
              <w:wordWrap w:val="0"/>
              <w:bidi w:val="0"/>
              <w:spacing w:line="52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拟为承包本标段工程设立的组织机构以框图方式表示。</w:t>
            </w:r>
          </w:p>
          <w:p w14:paraId="73A1D6FD">
            <w:pPr>
              <w:pageBreakBefore w:val="0"/>
              <w:kinsoku/>
              <w:wordWrap w:val="0"/>
              <w:bidi w:val="0"/>
              <w:spacing w:line="520" w:lineRule="atLeast"/>
              <w:rPr>
                <w:rFonts w:hint="default" w:ascii="Times New Roman" w:hAnsi="Times New Roman" w:cs="Times New Roman"/>
                <w:color w:val="auto"/>
                <w:szCs w:val="21"/>
                <w:highlight w:val="none"/>
              </w:rPr>
            </w:pPr>
          </w:p>
          <w:p w14:paraId="0556FBED">
            <w:pPr>
              <w:pageBreakBefore w:val="0"/>
              <w:kinsoku/>
              <w:wordWrap w:val="0"/>
              <w:bidi w:val="0"/>
              <w:spacing w:line="520" w:lineRule="atLeast"/>
              <w:rPr>
                <w:rFonts w:hint="default" w:ascii="Times New Roman" w:hAnsi="Times New Roman" w:cs="Times New Roman"/>
                <w:color w:val="auto"/>
                <w:szCs w:val="21"/>
                <w:highlight w:val="none"/>
              </w:rPr>
            </w:pPr>
          </w:p>
          <w:p w14:paraId="026B060E">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4289CE11">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3BC00D68">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56EEFAA2">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44E8104F">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02C8B9D2">
            <w:pPr>
              <w:pageBreakBefore w:val="0"/>
              <w:kinsoku/>
              <w:wordWrap w:val="0"/>
              <w:bidi w:val="0"/>
              <w:spacing w:line="520" w:lineRule="atLeast"/>
              <w:ind w:right="174" w:rightChars="83"/>
              <w:rPr>
                <w:rFonts w:hint="default" w:ascii="Times New Roman" w:hAnsi="Times New Roman" w:cs="Times New Roman"/>
                <w:color w:val="auto"/>
                <w:szCs w:val="21"/>
                <w:highlight w:val="none"/>
              </w:rPr>
            </w:pPr>
          </w:p>
          <w:p w14:paraId="3D2B7BE3">
            <w:pPr>
              <w:pageBreakBefore w:val="0"/>
              <w:kinsoku/>
              <w:wordWrap w:val="0"/>
              <w:bidi w:val="0"/>
              <w:spacing w:line="520" w:lineRule="atLeast"/>
              <w:rPr>
                <w:rFonts w:hint="default" w:ascii="Times New Roman" w:hAnsi="Times New Roman" w:cs="Times New Roman"/>
                <w:color w:val="auto"/>
                <w:szCs w:val="21"/>
                <w:highlight w:val="none"/>
              </w:rPr>
            </w:pPr>
          </w:p>
          <w:p w14:paraId="30D8A7F4">
            <w:pPr>
              <w:pageBreakBefore w:val="0"/>
              <w:kinsoku/>
              <w:wordWrap w:val="0"/>
              <w:bidi w:val="0"/>
              <w:spacing w:line="520" w:lineRule="atLeast"/>
              <w:rPr>
                <w:rFonts w:hint="default" w:ascii="Times New Roman" w:hAnsi="Times New Roman" w:cs="Times New Roman"/>
                <w:color w:val="auto"/>
                <w:szCs w:val="21"/>
                <w:highlight w:val="none"/>
              </w:rPr>
            </w:pPr>
          </w:p>
        </w:tc>
      </w:tr>
      <w:tr w14:paraId="65A2B8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105" w:hRule="atLeast"/>
        </w:trPr>
        <w:tc>
          <w:tcPr>
            <w:tcW w:w="8724" w:type="dxa"/>
            <w:noWrap w:val="0"/>
            <w:vAlign w:val="top"/>
          </w:tcPr>
          <w:p w14:paraId="38544454">
            <w:pPr>
              <w:pageBreakBefore w:val="0"/>
              <w:kinsoku/>
              <w:wordWrap w:val="0"/>
              <w:bidi w:val="0"/>
              <w:spacing w:line="52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w:t>
            </w:r>
          </w:p>
          <w:p w14:paraId="205F9BD9">
            <w:pPr>
              <w:pageBreakBefore w:val="0"/>
              <w:kinsoku/>
              <w:wordWrap w:val="0"/>
              <w:bidi w:val="0"/>
              <w:spacing w:line="520" w:lineRule="atLeast"/>
              <w:jc w:val="center"/>
              <w:rPr>
                <w:rFonts w:hint="default" w:ascii="Times New Roman" w:hAnsi="Times New Roman" w:cs="Times New Roman"/>
                <w:color w:val="auto"/>
                <w:szCs w:val="21"/>
                <w:highlight w:val="none"/>
              </w:rPr>
            </w:pPr>
          </w:p>
          <w:p w14:paraId="0984281F">
            <w:pPr>
              <w:pageBreakBefore w:val="0"/>
              <w:kinsoku/>
              <w:wordWrap w:val="0"/>
              <w:bidi w:val="0"/>
              <w:spacing w:line="520" w:lineRule="atLeast"/>
              <w:jc w:val="center"/>
              <w:rPr>
                <w:rFonts w:hint="default" w:ascii="Times New Roman" w:hAnsi="Times New Roman" w:cs="Times New Roman"/>
                <w:color w:val="auto"/>
                <w:szCs w:val="21"/>
                <w:highlight w:val="none"/>
              </w:rPr>
            </w:pPr>
          </w:p>
          <w:p w14:paraId="36750D79">
            <w:pPr>
              <w:pageBreakBefore w:val="0"/>
              <w:kinsoku/>
              <w:wordWrap w:val="0"/>
              <w:bidi w:val="0"/>
              <w:spacing w:line="520" w:lineRule="atLeast"/>
              <w:jc w:val="center"/>
              <w:rPr>
                <w:rFonts w:hint="default" w:ascii="Times New Roman" w:hAnsi="Times New Roman" w:cs="Times New Roman"/>
                <w:color w:val="auto"/>
                <w:szCs w:val="21"/>
                <w:highlight w:val="none"/>
              </w:rPr>
            </w:pPr>
          </w:p>
          <w:p w14:paraId="493E534B">
            <w:pPr>
              <w:pageBreakBefore w:val="0"/>
              <w:kinsoku/>
              <w:wordWrap w:val="0"/>
              <w:bidi w:val="0"/>
              <w:spacing w:line="520" w:lineRule="atLeast"/>
              <w:jc w:val="center"/>
              <w:rPr>
                <w:rFonts w:hint="default" w:ascii="Times New Roman" w:hAnsi="Times New Roman" w:cs="Times New Roman"/>
                <w:color w:val="auto"/>
                <w:szCs w:val="21"/>
                <w:highlight w:val="none"/>
              </w:rPr>
            </w:pPr>
          </w:p>
        </w:tc>
      </w:tr>
    </w:tbl>
    <w:p w14:paraId="1764C9F8">
      <w:pPr>
        <w:pageBreakBefore w:val="0"/>
        <w:widowControl/>
        <w:kinsoku/>
        <w:wordWrap w:val="0"/>
        <w:autoSpaceDE w:val="0"/>
        <w:autoSpaceDN w:val="0"/>
        <w:bidi w:val="0"/>
        <w:spacing w:line="360" w:lineRule="atLeast"/>
        <w:ind w:left="180"/>
        <w:textAlignment w:val="bottom"/>
        <w:rPr>
          <w:rFonts w:hint="default" w:ascii="Times New Roman" w:hAnsi="Times New Roman" w:cs="Times New Roman"/>
          <w:color w:val="auto"/>
          <w:sz w:val="20"/>
          <w:szCs w:val="20"/>
          <w:highlight w:val="none"/>
        </w:rPr>
      </w:pPr>
    </w:p>
    <w:p w14:paraId="5307445E">
      <w:pPr>
        <w:pageBreakBefore w:val="0"/>
        <w:kinsoku/>
        <w:wordWrap w:val="0"/>
        <w:bidi w:val="0"/>
        <w:spacing w:line="440" w:lineRule="exact"/>
        <w:jc w:val="center"/>
        <w:rPr>
          <w:rFonts w:hint="default" w:ascii="Times New Roman" w:hAnsi="Times New Roman" w:eastAsia="黑体" w:cs="Times New Roman"/>
          <w:color w:val="auto"/>
          <w:sz w:val="20"/>
          <w:szCs w:val="20"/>
          <w:highlight w:val="none"/>
        </w:rPr>
      </w:pPr>
    </w:p>
    <w:p w14:paraId="0C6FEA81">
      <w:pPr>
        <w:keepNext w:val="0"/>
        <w:keepLines w:val="0"/>
        <w:pageBreakBefore w:val="0"/>
        <w:widowControl/>
        <w:kinsoku/>
        <w:wordWrap/>
        <w:overflowPunct/>
        <w:topLinePunct w:val="0"/>
        <w:autoSpaceDE/>
        <w:autoSpaceDN/>
        <w:bidi w:val="0"/>
        <w:adjustRightInd/>
        <w:snapToGrid/>
        <w:spacing w:before="0" w:after="0" w:line="240" w:lineRule="auto"/>
        <w:ind w:firstLine="0" w:firstLineChars="0"/>
        <w:jc w:val="left"/>
        <w:textAlignment w:val="auto"/>
        <w:outlineLvl w:val="9"/>
        <w:rPr>
          <w:rFonts w:hint="eastAsia" w:eastAsia="黑体" w:cs="Times New Roman"/>
          <w:b w:val="0"/>
          <w:bCs/>
          <w:color w:val="auto"/>
          <w:kern w:val="44"/>
          <w:sz w:val="28"/>
          <w:szCs w:val="28"/>
          <w:highlight w:val="none"/>
          <w:lang w:val="en-US" w:eastAsia="zh-CN"/>
        </w:rPr>
      </w:pPr>
      <w:bookmarkStart w:id="1924" w:name="_Toc234833278"/>
      <w:bookmarkStart w:id="1925" w:name="_Toc9573"/>
      <w:r>
        <w:rPr>
          <w:rFonts w:hint="eastAsia" w:eastAsia="黑体" w:cs="Times New Roman"/>
          <w:b w:val="0"/>
          <w:bCs/>
          <w:color w:val="auto"/>
          <w:kern w:val="44"/>
          <w:sz w:val="28"/>
          <w:szCs w:val="28"/>
          <w:highlight w:val="none"/>
          <w:lang w:val="en-US" w:eastAsia="zh-CN"/>
        </w:rPr>
        <w:br w:type="page"/>
      </w:r>
    </w:p>
    <w:p w14:paraId="3925B086">
      <w:pPr>
        <w:pStyle w:val="3"/>
        <w:wordWrap w:val="0"/>
        <w:spacing w:before="0" w:after="0" w:line="380" w:lineRule="atLeast"/>
        <w:jc w:val="center"/>
        <w:outlineLvl w:val="1"/>
        <w:rPr>
          <w:i w:val="0"/>
          <w:iCs w:val="0"/>
          <w:color w:val="auto"/>
          <w:sz w:val="28"/>
          <w:szCs w:val="28"/>
          <w:highlight w:val="none"/>
        </w:rPr>
      </w:pPr>
      <w:bookmarkStart w:id="1926" w:name="_Toc234833276"/>
      <w:bookmarkStart w:id="1927" w:name="_Toc26668"/>
      <w:bookmarkStart w:id="1928" w:name="_Toc1872"/>
      <w:r>
        <w:rPr>
          <w:i w:val="0"/>
          <w:iCs w:val="0"/>
          <w:color w:val="auto"/>
          <w:sz w:val="28"/>
          <w:szCs w:val="28"/>
          <w:highlight w:val="none"/>
        </w:rPr>
        <w:t>七、拟分包项目情况表</w:t>
      </w:r>
      <w:bookmarkEnd w:id="1926"/>
      <w:bookmarkEnd w:id="1927"/>
      <w:bookmarkEnd w:id="1928"/>
    </w:p>
    <w:p w14:paraId="732D6BCE">
      <w:pPr>
        <w:wordWrap w:val="0"/>
        <w:spacing w:line="440" w:lineRule="exact"/>
        <w:rPr>
          <w:rFonts w:eastAsia="黑体"/>
          <w:color w:val="auto"/>
          <w:sz w:val="20"/>
          <w:szCs w:val="20"/>
          <w:highlight w:val="none"/>
        </w:rPr>
      </w:pPr>
      <w:r>
        <w:rPr>
          <w:rFonts w:eastAsia="黑体"/>
          <w:color w:val="auto"/>
          <w:sz w:val="20"/>
          <w:szCs w:val="20"/>
          <w:highlight w:val="none"/>
        </w:rPr>
        <w:t xml:space="preserve">                          </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9"/>
        <w:gridCol w:w="2456"/>
        <w:gridCol w:w="1864"/>
        <w:gridCol w:w="2582"/>
      </w:tblGrid>
      <w:tr w14:paraId="2127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9" w:type="dxa"/>
            <w:vAlign w:val="center"/>
          </w:tcPr>
          <w:p w14:paraId="6D281459">
            <w:pPr>
              <w:wordWrap w:val="0"/>
              <w:spacing w:line="440" w:lineRule="exact"/>
              <w:jc w:val="center"/>
              <w:rPr>
                <w:color w:val="auto"/>
                <w:szCs w:val="21"/>
                <w:highlight w:val="none"/>
              </w:rPr>
            </w:pPr>
            <w:r>
              <w:rPr>
                <w:color w:val="auto"/>
                <w:szCs w:val="21"/>
                <w:highlight w:val="none"/>
              </w:rPr>
              <w:t>拟分包的工程项目</w:t>
            </w:r>
          </w:p>
        </w:tc>
        <w:tc>
          <w:tcPr>
            <w:tcW w:w="2456" w:type="dxa"/>
            <w:vAlign w:val="center"/>
          </w:tcPr>
          <w:p w14:paraId="2ED294CC">
            <w:pPr>
              <w:wordWrap w:val="0"/>
              <w:spacing w:line="440" w:lineRule="exact"/>
              <w:jc w:val="center"/>
              <w:rPr>
                <w:color w:val="auto"/>
                <w:szCs w:val="21"/>
                <w:highlight w:val="none"/>
              </w:rPr>
            </w:pPr>
            <w:r>
              <w:rPr>
                <w:color w:val="auto"/>
                <w:szCs w:val="21"/>
                <w:highlight w:val="none"/>
              </w:rPr>
              <w:t>主要工程内容</w:t>
            </w:r>
          </w:p>
        </w:tc>
        <w:tc>
          <w:tcPr>
            <w:tcW w:w="1864" w:type="dxa"/>
            <w:vAlign w:val="center"/>
          </w:tcPr>
          <w:p w14:paraId="104EC5E4">
            <w:pPr>
              <w:wordWrap w:val="0"/>
              <w:spacing w:line="440" w:lineRule="exact"/>
              <w:jc w:val="center"/>
              <w:rPr>
                <w:color w:val="auto"/>
                <w:szCs w:val="21"/>
                <w:highlight w:val="none"/>
              </w:rPr>
            </w:pPr>
            <w:r>
              <w:rPr>
                <w:color w:val="auto"/>
                <w:szCs w:val="21"/>
                <w:highlight w:val="none"/>
              </w:rPr>
              <w:t>预计造价（万元）</w:t>
            </w:r>
          </w:p>
        </w:tc>
        <w:tc>
          <w:tcPr>
            <w:tcW w:w="2582" w:type="dxa"/>
            <w:vAlign w:val="center"/>
          </w:tcPr>
          <w:p w14:paraId="3A827E9E">
            <w:pPr>
              <w:wordWrap w:val="0"/>
              <w:spacing w:line="440" w:lineRule="exact"/>
              <w:jc w:val="center"/>
              <w:rPr>
                <w:color w:val="auto"/>
                <w:szCs w:val="21"/>
                <w:highlight w:val="none"/>
              </w:rPr>
            </w:pPr>
            <w:r>
              <w:rPr>
                <w:color w:val="auto"/>
                <w:szCs w:val="21"/>
                <w:highlight w:val="none"/>
              </w:rPr>
              <w:t>备 注</w:t>
            </w:r>
          </w:p>
        </w:tc>
      </w:tr>
      <w:tr w14:paraId="76A4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989" w:type="dxa"/>
            <w:vAlign w:val="center"/>
          </w:tcPr>
          <w:p w14:paraId="2CFE690B">
            <w:pPr>
              <w:wordWrap w:val="0"/>
              <w:spacing w:line="440" w:lineRule="exact"/>
              <w:jc w:val="center"/>
              <w:rPr>
                <w:color w:val="auto"/>
                <w:szCs w:val="21"/>
                <w:highlight w:val="none"/>
              </w:rPr>
            </w:pPr>
          </w:p>
        </w:tc>
        <w:tc>
          <w:tcPr>
            <w:tcW w:w="2456" w:type="dxa"/>
            <w:vAlign w:val="center"/>
          </w:tcPr>
          <w:p w14:paraId="0F3E5101">
            <w:pPr>
              <w:wordWrap w:val="0"/>
              <w:spacing w:line="440" w:lineRule="exact"/>
              <w:jc w:val="center"/>
              <w:rPr>
                <w:color w:val="auto"/>
                <w:szCs w:val="21"/>
                <w:highlight w:val="none"/>
              </w:rPr>
            </w:pPr>
          </w:p>
        </w:tc>
        <w:tc>
          <w:tcPr>
            <w:tcW w:w="1864" w:type="dxa"/>
            <w:vAlign w:val="center"/>
          </w:tcPr>
          <w:p w14:paraId="4A7A4DC2">
            <w:pPr>
              <w:wordWrap w:val="0"/>
              <w:spacing w:line="440" w:lineRule="exact"/>
              <w:jc w:val="center"/>
              <w:rPr>
                <w:color w:val="auto"/>
                <w:szCs w:val="21"/>
                <w:highlight w:val="none"/>
              </w:rPr>
            </w:pPr>
          </w:p>
        </w:tc>
        <w:tc>
          <w:tcPr>
            <w:tcW w:w="2582" w:type="dxa"/>
            <w:vMerge w:val="restart"/>
            <w:vAlign w:val="center"/>
          </w:tcPr>
          <w:p w14:paraId="6B3F8499">
            <w:pPr>
              <w:wordWrap w:val="0"/>
              <w:spacing w:line="440" w:lineRule="exact"/>
              <w:rPr>
                <w:color w:val="auto"/>
                <w:szCs w:val="21"/>
                <w:highlight w:val="none"/>
              </w:rPr>
            </w:pPr>
            <w:r>
              <w:rPr>
                <w:color w:val="auto"/>
                <w:szCs w:val="21"/>
                <w:highlight w:val="none"/>
              </w:rPr>
              <w:t>注：若无分包计划，则投标人应在本表填写</w:t>
            </w:r>
            <w:r>
              <w:rPr>
                <w:rFonts w:hint="eastAsia" w:ascii="宋体" w:hAnsi="宋体" w:eastAsia="宋体" w:cs="宋体"/>
                <w:color w:val="auto"/>
                <w:szCs w:val="21"/>
                <w:highlight w:val="none"/>
              </w:rPr>
              <w:t>“</w:t>
            </w:r>
            <w:r>
              <w:rPr>
                <w:color w:val="auto"/>
                <w:szCs w:val="21"/>
                <w:highlight w:val="none"/>
              </w:rPr>
              <w:t>无</w:t>
            </w:r>
            <w:r>
              <w:rPr>
                <w:rFonts w:hint="eastAsia" w:ascii="宋体" w:hAnsi="宋体" w:eastAsia="宋体" w:cs="宋体"/>
                <w:color w:val="auto"/>
                <w:szCs w:val="21"/>
                <w:highlight w:val="none"/>
              </w:rPr>
              <w:t>”</w:t>
            </w:r>
          </w:p>
        </w:tc>
      </w:tr>
      <w:tr w14:paraId="052C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1989" w:type="dxa"/>
            <w:vAlign w:val="center"/>
          </w:tcPr>
          <w:p w14:paraId="2E8046CC">
            <w:pPr>
              <w:wordWrap w:val="0"/>
              <w:spacing w:line="440" w:lineRule="exact"/>
              <w:jc w:val="center"/>
              <w:rPr>
                <w:color w:val="auto"/>
                <w:szCs w:val="21"/>
                <w:highlight w:val="none"/>
              </w:rPr>
            </w:pPr>
          </w:p>
        </w:tc>
        <w:tc>
          <w:tcPr>
            <w:tcW w:w="2456" w:type="dxa"/>
            <w:vAlign w:val="center"/>
          </w:tcPr>
          <w:p w14:paraId="54F11D12">
            <w:pPr>
              <w:wordWrap w:val="0"/>
              <w:spacing w:line="440" w:lineRule="exact"/>
              <w:jc w:val="center"/>
              <w:rPr>
                <w:color w:val="auto"/>
                <w:szCs w:val="21"/>
                <w:highlight w:val="none"/>
              </w:rPr>
            </w:pPr>
          </w:p>
        </w:tc>
        <w:tc>
          <w:tcPr>
            <w:tcW w:w="1864" w:type="dxa"/>
            <w:vAlign w:val="center"/>
          </w:tcPr>
          <w:p w14:paraId="05880439">
            <w:pPr>
              <w:wordWrap w:val="0"/>
              <w:spacing w:line="440" w:lineRule="exact"/>
              <w:jc w:val="center"/>
              <w:rPr>
                <w:color w:val="auto"/>
                <w:szCs w:val="21"/>
                <w:highlight w:val="none"/>
              </w:rPr>
            </w:pPr>
          </w:p>
        </w:tc>
        <w:tc>
          <w:tcPr>
            <w:tcW w:w="2582" w:type="dxa"/>
            <w:vMerge w:val="continue"/>
            <w:vAlign w:val="center"/>
          </w:tcPr>
          <w:p w14:paraId="6C94DCE0">
            <w:pPr>
              <w:wordWrap w:val="0"/>
              <w:spacing w:line="440" w:lineRule="exact"/>
              <w:jc w:val="center"/>
              <w:rPr>
                <w:color w:val="auto"/>
                <w:szCs w:val="21"/>
                <w:highlight w:val="none"/>
              </w:rPr>
            </w:pPr>
          </w:p>
        </w:tc>
      </w:tr>
      <w:tr w14:paraId="14A2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01A938FD">
            <w:pPr>
              <w:wordWrap w:val="0"/>
              <w:spacing w:line="440" w:lineRule="exact"/>
              <w:jc w:val="center"/>
              <w:rPr>
                <w:color w:val="auto"/>
                <w:szCs w:val="21"/>
                <w:highlight w:val="none"/>
              </w:rPr>
            </w:pPr>
          </w:p>
        </w:tc>
        <w:tc>
          <w:tcPr>
            <w:tcW w:w="2456" w:type="dxa"/>
            <w:vAlign w:val="center"/>
          </w:tcPr>
          <w:p w14:paraId="73A3B129">
            <w:pPr>
              <w:wordWrap w:val="0"/>
              <w:spacing w:line="440" w:lineRule="exact"/>
              <w:jc w:val="center"/>
              <w:rPr>
                <w:color w:val="auto"/>
                <w:szCs w:val="21"/>
                <w:highlight w:val="none"/>
              </w:rPr>
            </w:pPr>
          </w:p>
        </w:tc>
        <w:tc>
          <w:tcPr>
            <w:tcW w:w="1864" w:type="dxa"/>
            <w:vAlign w:val="center"/>
          </w:tcPr>
          <w:p w14:paraId="17264D9B">
            <w:pPr>
              <w:wordWrap w:val="0"/>
              <w:spacing w:line="440" w:lineRule="exact"/>
              <w:jc w:val="center"/>
              <w:rPr>
                <w:color w:val="auto"/>
                <w:szCs w:val="21"/>
                <w:highlight w:val="none"/>
              </w:rPr>
            </w:pPr>
          </w:p>
        </w:tc>
        <w:tc>
          <w:tcPr>
            <w:tcW w:w="2582" w:type="dxa"/>
            <w:vMerge w:val="continue"/>
            <w:vAlign w:val="center"/>
          </w:tcPr>
          <w:p w14:paraId="7C3058DB">
            <w:pPr>
              <w:wordWrap w:val="0"/>
              <w:spacing w:line="440" w:lineRule="exact"/>
              <w:jc w:val="center"/>
              <w:rPr>
                <w:color w:val="auto"/>
                <w:szCs w:val="21"/>
                <w:highlight w:val="none"/>
              </w:rPr>
            </w:pPr>
          </w:p>
        </w:tc>
      </w:tr>
      <w:tr w14:paraId="30FF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989" w:type="dxa"/>
            <w:vAlign w:val="center"/>
          </w:tcPr>
          <w:p w14:paraId="09DF8C1B">
            <w:pPr>
              <w:wordWrap w:val="0"/>
              <w:spacing w:line="440" w:lineRule="exact"/>
              <w:jc w:val="center"/>
              <w:rPr>
                <w:color w:val="auto"/>
                <w:szCs w:val="21"/>
                <w:highlight w:val="none"/>
              </w:rPr>
            </w:pPr>
          </w:p>
        </w:tc>
        <w:tc>
          <w:tcPr>
            <w:tcW w:w="2456" w:type="dxa"/>
            <w:vAlign w:val="center"/>
          </w:tcPr>
          <w:p w14:paraId="2F4534B9">
            <w:pPr>
              <w:wordWrap w:val="0"/>
              <w:spacing w:line="440" w:lineRule="exact"/>
              <w:jc w:val="center"/>
              <w:rPr>
                <w:color w:val="auto"/>
                <w:szCs w:val="21"/>
                <w:highlight w:val="none"/>
              </w:rPr>
            </w:pPr>
          </w:p>
        </w:tc>
        <w:tc>
          <w:tcPr>
            <w:tcW w:w="1864" w:type="dxa"/>
            <w:vAlign w:val="center"/>
          </w:tcPr>
          <w:p w14:paraId="3DBB3250">
            <w:pPr>
              <w:wordWrap w:val="0"/>
              <w:spacing w:line="440" w:lineRule="exact"/>
              <w:jc w:val="center"/>
              <w:rPr>
                <w:color w:val="auto"/>
                <w:szCs w:val="21"/>
                <w:highlight w:val="none"/>
              </w:rPr>
            </w:pPr>
          </w:p>
        </w:tc>
        <w:tc>
          <w:tcPr>
            <w:tcW w:w="2582" w:type="dxa"/>
            <w:vMerge w:val="continue"/>
            <w:vAlign w:val="center"/>
          </w:tcPr>
          <w:p w14:paraId="516BE55B">
            <w:pPr>
              <w:wordWrap w:val="0"/>
              <w:spacing w:line="440" w:lineRule="exact"/>
              <w:jc w:val="center"/>
              <w:rPr>
                <w:color w:val="auto"/>
                <w:szCs w:val="21"/>
                <w:highlight w:val="none"/>
              </w:rPr>
            </w:pPr>
          </w:p>
        </w:tc>
      </w:tr>
      <w:tr w14:paraId="3DC8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1989" w:type="dxa"/>
            <w:vAlign w:val="center"/>
          </w:tcPr>
          <w:p w14:paraId="6EA90E34">
            <w:pPr>
              <w:wordWrap w:val="0"/>
              <w:spacing w:line="440" w:lineRule="exact"/>
              <w:jc w:val="center"/>
              <w:rPr>
                <w:color w:val="auto"/>
                <w:szCs w:val="21"/>
                <w:highlight w:val="none"/>
              </w:rPr>
            </w:pPr>
          </w:p>
        </w:tc>
        <w:tc>
          <w:tcPr>
            <w:tcW w:w="2456" w:type="dxa"/>
            <w:vAlign w:val="center"/>
          </w:tcPr>
          <w:p w14:paraId="109707CE">
            <w:pPr>
              <w:wordWrap w:val="0"/>
              <w:spacing w:line="440" w:lineRule="exact"/>
              <w:jc w:val="center"/>
              <w:rPr>
                <w:color w:val="auto"/>
                <w:szCs w:val="21"/>
                <w:highlight w:val="none"/>
              </w:rPr>
            </w:pPr>
          </w:p>
        </w:tc>
        <w:tc>
          <w:tcPr>
            <w:tcW w:w="1864" w:type="dxa"/>
            <w:vAlign w:val="center"/>
          </w:tcPr>
          <w:p w14:paraId="72618814">
            <w:pPr>
              <w:wordWrap w:val="0"/>
              <w:spacing w:line="440" w:lineRule="exact"/>
              <w:jc w:val="center"/>
              <w:rPr>
                <w:color w:val="auto"/>
                <w:szCs w:val="21"/>
                <w:highlight w:val="none"/>
              </w:rPr>
            </w:pPr>
          </w:p>
        </w:tc>
        <w:tc>
          <w:tcPr>
            <w:tcW w:w="2582" w:type="dxa"/>
            <w:vMerge w:val="continue"/>
            <w:vAlign w:val="center"/>
          </w:tcPr>
          <w:p w14:paraId="1C09C6BF">
            <w:pPr>
              <w:wordWrap w:val="0"/>
              <w:spacing w:line="440" w:lineRule="exact"/>
              <w:jc w:val="center"/>
              <w:rPr>
                <w:color w:val="auto"/>
                <w:szCs w:val="21"/>
                <w:highlight w:val="none"/>
              </w:rPr>
            </w:pPr>
          </w:p>
        </w:tc>
      </w:tr>
      <w:tr w14:paraId="5FFA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7D04D98E">
            <w:pPr>
              <w:wordWrap w:val="0"/>
              <w:spacing w:line="440" w:lineRule="exact"/>
              <w:jc w:val="center"/>
              <w:rPr>
                <w:color w:val="auto"/>
                <w:szCs w:val="21"/>
                <w:highlight w:val="none"/>
              </w:rPr>
            </w:pPr>
          </w:p>
        </w:tc>
        <w:tc>
          <w:tcPr>
            <w:tcW w:w="2456" w:type="dxa"/>
            <w:vAlign w:val="center"/>
          </w:tcPr>
          <w:p w14:paraId="7568A917">
            <w:pPr>
              <w:wordWrap w:val="0"/>
              <w:spacing w:line="440" w:lineRule="exact"/>
              <w:jc w:val="center"/>
              <w:rPr>
                <w:color w:val="auto"/>
                <w:szCs w:val="21"/>
                <w:highlight w:val="none"/>
              </w:rPr>
            </w:pPr>
          </w:p>
        </w:tc>
        <w:tc>
          <w:tcPr>
            <w:tcW w:w="1864" w:type="dxa"/>
            <w:vAlign w:val="center"/>
          </w:tcPr>
          <w:p w14:paraId="709492E6">
            <w:pPr>
              <w:wordWrap w:val="0"/>
              <w:spacing w:line="440" w:lineRule="exact"/>
              <w:jc w:val="center"/>
              <w:rPr>
                <w:color w:val="auto"/>
                <w:szCs w:val="21"/>
                <w:highlight w:val="none"/>
              </w:rPr>
            </w:pPr>
          </w:p>
        </w:tc>
        <w:tc>
          <w:tcPr>
            <w:tcW w:w="2582" w:type="dxa"/>
            <w:vMerge w:val="continue"/>
            <w:vAlign w:val="center"/>
          </w:tcPr>
          <w:p w14:paraId="2F171735">
            <w:pPr>
              <w:wordWrap w:val="0"/>
              <w:spacing w:line="440" w:lineRule="exact"/>
              <w:jc w:val="center"/>
              <w:rPr>
                <w:color w:val="auto"/>
                <w:szCs w:val="21"/>
                <w:highlight w:val="none"/>
              </w:rPr>
            </w:pPr>
          </w:p>
        </w:tc>
      </w:tr>
      <w:tr w14:paraId="46B2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2967A3F8">
            <w:pPr>
              <w:wordWrap w:val="0"/>
              <w:spacing w:line="440" w:lineRule="exact"/>
              <w:jc w:val="center"/>
              <w:rPr>
                <w:color w:val="auto"/>
                <w:szCs w:val="21"/>
                <w:highlight w:val="none"/>
              </w:rPr>
            </w:pPr>
          </w:p>
        </w:tc>
        <w:tc>
          <w:tcPr>
            <w:tcW w:w="2456" w:type="dxa"/>
            <w:vAlign w:val="center"/>
          </w:tcPr>
          <w:p w14:paraId="5304E628">
            <w:pPr>
              <w:wordWrap w:val="0"/>
              <w:spacing w:line="440" w:lineRule="exact"/>
              <w:jc w:val="center"/>
              <w:rPr>
                <w:color w:val="auto"/>
                <w:szCs w:val="21"/>
                <w:highlight w:val="none"/>
              </w:rPr>
            </w:pPr>
          </w:p>
        </w:tc>
        <w:tc>
          <w:tcPr>
            <w:tcW w:w="1864" w:type="dxa"/>
            <w:vAlign w:val="center"/>
          </w:tcPr>
          <w:p w14:paraId="04C17067">
            <w:pPr>
              <w:wordWrap w:val="0"/>
              <w:spacing w:line="440" w:lineRule="exact"/>
              <w:jc w:val="center"/>
              <w:rPr>
                <w:color w:val="auto"/>
                <w:szCs w:val="21"/>
                <w:highlight w:val="none"/>
              </w:rPr>
            </w:pPr>
          </w:p>
        </w:tc>
        <w:tc>
          <w:tcPr>
            <w:tcW w:w="2582" w:type="dxa"/>
            <w:vMerge w:val="continue"/>
            <w:vAlign w:val="center"/>
          </w:tcPr>
          <w:p w14:paraId="7960337F">
            <w:pPr>
              <w:wordWrap w:val="0"/>
              <w:spacing w:line="440" w:lineRule="exact"/>
              <w:jc w:val="center"/>
              <w:rPr>
                <w:color w:val="auto"/>
                <w:szCs w:val="21"/>
                <w:highlight w:val="none"/>
              </w:rPr>
            </w:pPr>
          </w:p>
        </w:tc>
      </w:tr>
      <w:tr w14:paraId="48D1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28763C59">
            <w:pPr>
              <w:wordWrap w:val="0"/>
              <w:spacing w:line="440" w:lineRule="exact"/>
              <w:jc w:val="center"/>
              <w:rPr>
                <w:color w:val="auto"/>
                <w:szCs w:val="21"/>
                <w:highlight w:val="none"/>
              </w:rPr>
            </w:pPr>
          </w:p>
        </w:tc>
        <w:tc>
          <w:tcPr>
            <w:tcW w:w="2456" w:type="dxa"/>
            <w:vAlign w:val="center"/>
          </w:tcPr>
          <w:p w14:paraId="4C71FFDB">
            <w:pPr>
              <w:wordWrap w:val="0"/>
              <w:spacing w:line="440" w:lineRule="exact"/>
              <w:jc w:val="center"/>
              <w:rPr>
                <w:color w:val="auto"/>
                <w:szCs w:val="21"/>
                <w:highlight w:val="none"/>
              </w:rPr>
            </w:pPr>
          </w:p>
        </w:tc>
        <w:tc>
          <w:tcPr>
            <w:tcW w:w="1864" w:type="dxa"/>
            <w:vAlign w:val="center"/>
          </w:tcPr>
          <w:p w14:paraId="4D4BAECB">
            <w:pPr>
              <w:wordWrap w:val="0"/>
              <w:spacing w:line="440" w:lineRule="exact"/>
              <w:jc w:val="center"/>
              <w:rPr>
                <w:color w:val="auto"/>
                <w:szCs w:val="21"/>
                <w:highlight w:val="none"/>
              </w:rPr>
            </w:pPr>
          </w:p>
        </w:tc>
        <w:tc>
          <w:tcPr>
            <w:tcW w:w="2582" w:type="dxa"/>
            <w:vMerge w:val="continue"/>
            <w:vAlign w:val="center"/>
          </w:tcPr>
          <w:p w14:paraId="1B880D43">
            <w:pPr>
              <w:wordWrap w:val="0"/>
              <w:spacing w:line="440" w:lineRule="exact"/>
              <w:jc w:val="center"/>
              <w:rPr>
                <w:color w:val="auto"/>
                <w:szCs w:val="21"/>
                <w:highlight w:val="none"/>
              </w:rPr>
            </w:pPr>
          </w:p>
        </w:tc>
      </w:tr>
      <w:tr w14:paraId="4ED7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20FD5360">
            <w:pPr>
              <w:wordWrap w:val="0"/>
              <w:spacing w:line="440" w:lineRule="exact"/>
              <w:jc w:val="center"/>
              <w:rPr>
                <w:color w:val="auto"/>
                <w:szCs w:val="21"/>
                <w:highlight w:val="none"/>
              </w:rPr>
            </w:pPr>
          </w:p>
        </w:tc>
        <w:tc>
          <w:tcPr>
            <w:tcW w:w="2456" w:type="dxa"/>
            <w:vAlign w:val="center"/>
          </w:tcPr>
          <w:p w14:paraId="257844D8">
            <w:pPr>
              <w:wordWrap w:val="0"/>
              <w:spacing w:line="440" w:lineRule="exact"/>
              <w:jc w:val="center"/>
              <w:rPr>
                <w:color w:val="auto"/>
                <w:szCs w:val="21"/>
                <w:highlight w:val="none"/>
              </w:rPr>
            </w:pPr>
          </w:p>
        </w:tc>
        <w:tc>
          <w:tcPr>
            <w:tcW w:w="1864" w:type="dxa"/>
            <w:vAlign w:val="center"/>
          </w:tcPr>
          <w:p w14:paraId="4EEA0E64">
            <w:pPr>
              <w:wordWrap w:val="0"/>
              <w:spacing w:line="440" w:lineRule="exact"/>
              <w:jc w:val="center"/>
              <w:rPr>
                <w:color w:val="auto"/>
                <w:szCs w:val="21"/>
                <w:highlight w:val="none"/>
              </w:rPr>
            </w:pPr>
          </w:p>
        </w:tc>
        <w:tc>
          <w:tcPr>
            <w:tcW w:w="2582" w:type="dxa"/>
            <w:vMerge w:val="continue"/>
            <w:vAlign w:val="center"/>
          </w:tcPr>
          <w:p w14:paraId="36F05F14">
            <w:pPr>
              <w:wordWrap w:val="0"/>
              <w:spacing w:line="440" w:lineRule="exact"/>
              <w:jc w:val="center"/>
              <w:rPr>
                <w:color w:val="auto"/>
                <w:szCs w:val="21"/>
                <w:highlight w:val="none"/>
              </w:rPr>
            </w:pPr>
          </w:p>
        </w:tc>
      </w:tr>
      <w:tr w14:paraId="716C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5A7215B6">
            <w:pPr>
              <w:wordWrap w:val="0"/>
              <w:spacing w:line="440" w:lineRule="exact"/>
              <w:jc w:val="center"/>
              <w:rPr>
                <w:color w:val="auto"/>
                <w:szCs w:val="21"/>
                <w:highlight w:val="none"/>
              </w:rPr>
            </w:pPr>
          </w:p>
        </w:tc>
        <w:tc>
          <w:tcPr>
            <w:tcW w:w="2456" w:type="dxa"/>
            <w:vAlign w:val="center"/>
          </w:tcPr>
          <w:p w14:paraId="3FA65B3B">
            <w:pPr>
              <w:wordWrap w:val="0"/>
              <w:spacing w:line="440" w:lineRule="exact"/>
              <w:jc w:val="center"/>
              <w:rPr>
                <w:color w:val="auto"/>
                <w:szCs w:val="21"/>
                <w:highlight w:val="none"/>
              </w:rPr>
            </w:pPr>
          </w:p>
        </w:tc>
        <w:tc>
          <w:tcPr>
            <w:tcW w:w="1864" w:type="dxa"/>
            <w:vAlign w:val="center"/>
          </w:tcPr>
          <w:p w14:paraId="41A0EEC5">
            <w:pPr>
              <w:wordWrap w:val="0"/>
              <w:spacing w:line="440" w:lineRule="exact"/>
              <w:jc w:val="center"/>
              <w:rPr>
                <w:color w:val="auto"/>
                <w:szCs w:val="21"/>
                <w:highlight w:val="none"/>
              </w:rPr>
            </w:pPr>
          </w:p>
        </w:tc>
        <w:tc>
          <w:tcPr>
            <w:tcW w:w="2582" w:type="dxa"/>
            <w:vMerge w:val="continue"/>
            <w:vAlign w:val="center"/>
          </w:tcPr>
          <w:p w14:paraId="65AD7F4A">
            <w:pPr>
              <w:wordWrap w:val="0"/>
              <w:spacing w:line="440" w:lineRule="exact"/>
              <w:jc w:val="center"/>
              <w:rPr>
                <w:color w:val="auto"/>
                <w:szCs w:val="21"/>
                <w:highlight w:val="none"/>
              </w:rPr>
            </w:pPr>
          </w:p>
        </w:tc>
      </w:tr>
      <w:tr w14:paraId="6528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4534EB87">
            <w:pPr>
              <w:wordWrap w:val="0"/>
              <w:spacing w:line="440" w:lineRule="exact"/>
              <w:jc w:val="center"/>
              <w:rPr>
                <w:color w:val="auto"/>
                <w:szCs w:val="21"/>
                <w:highlight w:val="none"/>
              </w:rPr>
            </w:pPr>
          </w:p>
        </w:tc>
        <w:tc>
          <w:tcPr>
            <w:tcW w:w="2456" w:type="dxa"/>
            <w:vAlign w:val="center"/>
          </w:tcPr>
          <w:p w14:paraId="1B719CFA">
            <w:pPr>
              <w:wordWrap w:val="0"/>
              <w:spacing w:line="440" w:lineRule="exact"/>
              <w:jc w:val="center"/>
              <w:rPr>
                <w:color w:val="auto"/>
                <w:szCs w:val="21"/>
                <w:highlight w:val="none"/>
              </w:rPr>
            </w:pPr>
          </w:p>
        </w:tc>
        <w:tc>
          <w:tcPr>
            <w:tcW w:w="1864" w:type="dxa"/>
            <w:vAlign w:val="center"/>
          </w:tcPr>
          <w:p w14:paraId="3FA65476">
            <w:pPr>
              <w:wordWrap w:val="0"/>
              <w:spacing w:line="440" w:lineRule="exact"/>
              <w:jc w:val="center"/>
              <w:rPr>
                <w:color w:val="auto"/>
                <w:szCs w:val="21"/>
                <w:highlight w:val="none"/>
              </w:rPr>
            </w:pPr>
          </w:p>
        </w:tc>
        <w:tc>
          <w:tcPr>
            <w:tcW w:w="2582" w:type="dxa"/>
            <w:vMerge w:val="continue"/>
            <w:vAlign w:val="center"/>
          </w:tcPr>
          <w:p w14:paraId="22376045">
            <w:pPr>
              <w:wordWrap w:val="0"/>
              <w:spacing w:line="440" w:lineRule="exact"/>
              <w:jc w:val="center"/>
              <w:rPr>
                <w:color w:val="auto"/>
                <w:szCs w:val="21"/>
                <w:highlight w:val="none"/>
              </w:rPr>
            </w:pPr>
          </w:p>
        </w:tc>
      </w:tr>
      <w:tr w14:paraId="43DC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67E2DA66">
            <w:pPr>
              <w:wordWrap w:val="0"/>
              <w:spacing w:line="440" w:lineRule="exact"/>
              <w:jc w:val="center"/>
              <w:rPr>
                <w:color w:val="auto"/>
                <w:szCs w:val="21"/>
                <w:highlight w:val="none"/>
              </w:rPr>
            </w:pPr>
          </w:p>
        </w:tc>
        <w:tc>
          <w:tcPr>
            <w:tcW w:w="2456" w:type="dxa"/>
            <w:vAlign w:val="center"/>
          </w:tcPr>
          <w:p w14:paraId="64B261F8">
            <w:pPr>
              <w:wordWrap w:val="0"/>
              <w:spacing w:line="440" w:lineRule="exact"/>
              <w:jc w:val="center"/>
              <w:rPr>
                <w:color w:val="auto"/>
                <w:szCs w:val="21"/>
                <w:highlight w:val="none"/>
              </w:rPr>
            </w:pPr>
          </w:p>
        </w:tc>
        <w:tc>
          <w:tcPr>
            <w:tcW w:w="1864" w:type="dxa"/>
            <w:vAlign w:val="center"/>
          </w:tcPr>
          <w:p w14:paraId="76EF9A41">
            <w:pPr>
              <w:wordWrap w:val="0"/>
              <w:spacing w:line="440" w:lineRule="exact"/>
              <w:jc w:val="center"/>
              <w:rPr>
                <w:color w:val="auto"/>
                <w:szCs w:val="21"/>
                <w:highlight w:val="none"/>
              </w:rPr>
            </w:pPr>
          </w:p>
        </w:tc>
        <w:tc>
          <w:tcPr>
            <w:tcW w:w="2582" w:type="dxa"/>
            <w:vMerge w:val="continue"/>
            <w:vAlign w:val="center"/>
          </w:tcPr>
          <w:p w14:paraId="107FD09C">
            <w:pPr>
              <w:wordWrap w:val="0"/>
              <w:spacing w:line="440" w:lineRule="exact"/>
              <w:jc w:val="center"/>
              <w:rPr>
                <w:color w:val="auto"/>
                <w:szCs w:val="21"/>
                <w:highlight w:val="none"/>
              </w:rPr>
            </w:pPr>
          </w:p>
        </w:tc>
      </w:tr>
      <w:tr w14:paraId="603E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77162063">
            <w:pPr>
              <w:wordWrap w:val="0"/>
              <w:spacing w:line="440" w:lineRule="exact"/>
              <w:jc w:val="center"/>
              <w:rPr>
                <w:color w:val="auto"/>
                <w:szCs w:val="21"/>
                <w:highlight w:val="none"/>
              </w:rPr>
            </w:pPr>
          </w:p>
        </w:tc>
        <w:tc>
          <w:tcPr>
            <w:tcW w:w="2456" w:type="dxa"/>
            <w:vAlign w:val="center"/>
          </w:tcPr>
          <w:p w14:paraId="1979B416">
            <w:pPr>
              <w:wordWrap w:val="0"/>
              <w:spacing w:line="440" w:lineRule="exact"/>
              <w:jc w:val="center"/>
              <w:rPr>
                <w:color w:val="auto"/>
                <w:szCs w:val="21"/>
                <w:highlight w:val="none"/>
              </w:rPr>
            </w:pPr>
          </w:p>
        </w:tc>
        <w:tc>
          <w:tcPr>
            <w:tcW w:w="1864" w:type="dxa"/>
            <w:vAlign w:val="center"/>
          </w:tcPr>
          <w:p w14:paraId="3B947BFC">
            <w:pPr>
              <w:wordWrap w:val="0"/>
              <w:spacing w:line="440" w:lineRule="exact"/>
              <w:jc w:val="center"/>
              <w:rPr>
                <w:color w:val="auto"/>
                <w:szCs w:val="21"/>
                <w:highlight w:val="none"/>
              </w:rPr>
            </w:pPr>
          </w:p>
        </w:tc>
        <w:tc>
          <w:tcPr>
            <w:tcW w:w="2582" w:type="dxa"/>
            <w:vMerge w:val="continue"/>
            <w:vAlign w:val="center"/>
          </w:tcPr>
          <w:p w14:paraId="4CAF6BD4">
            <w:pPr>
              <w:wordWrap w:val="0"/>
              <w:spacing w:line="440" w:lineRule="exact"/>
              <w:jc w:val="center"/>
              <w:rPr>
                <w:color w:val="auto"/>
                <w:szCs w:val="21"/>
                <w:highlight w:val="none"/>
              </w:rPr>
            </w:pPr>
          </w:p>
        </w:tc>
      </w:tr>
      <w:tr w14:paraId="1159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1DA4DE9A">
            <w:pPr>
              <w:wordWrap w:val="0"/>
              <w:spacing w:line="440" w:lineRule="exact"/>
              <w:jc w:val="center"/>
              <w:rPr>
                <w:color w:val="auto"/>
                <w:szCs w:val="21"/>
                <w:highlight w:val="none"/>
              </w:rPr>
            </w:pPr>
          </w:p>
        </w:tc>
        <w:tc>
          <w:tcPr>
            <w:tcW w:w="2456" w:type="dxa"/>
            <w:vAlign w:val="center"/>
          </w:tcPr>
          <w:p w14:paraId="737D6C0D">
            <w:pPr>
              <w:wordWrap w:val="0"/>
              <w:spacing w:line="440" w:lineRule="exact"/>
              <w:jc w:val="center"/>
              <w:rPr>
                <w:color w:val="auto"/>
                <w:szCs w:val="21"/>
                <w:highlight w:val="none"/>
              </w:rPr>
            </w:pPr>
          </w:p>
        </w:tc>
        <w:tc>
          <w:tcPr>
            <w:tcW w:w="1864" w:type="dxa"/>
            <w:vAlign w:val="center"/>
          </w:tcPr>
          <w:p w14:paraId="1FB02135">
            <w:pPr>
              <w:wordWrap w:val="0"/>
              <w:spacing w:line="440" w:lineRule="exact"/>
              <w:jc w:val="center"/>
              <w:rPr>
                <w:color w:val="auto"/>
                <w:szCs w:val="21"/>
                <w:highlight w:val="none"/>
              </w:rPr>
            </w:pPr>
          </w:p>
        </w:tc>
        <w:tc>
          <w:tcPr>
            <w:tcW w:w="2582" w:type="dxa"/>
            <w:vMerge w:val="continue"/>
            <w:vAlign w:val="center"/>
          </w:tcPr>
          <w:p w14:paraId="5062D9AA">
            <w:pPr>
              <w:wordWrap w:val="0"/>
              <w:spacing w:line="440" w:lineRule="exact"/>
              <w:jc w:val="center"/>
              <w:rPr>
                <w:color w:val="auto"/>
                <w:szCs w:val="21"/>
                <w:highlight w:val="none"/>
              </w:rPr>
            </w:pPr>
          </w:p>
        </w:tc>
      </w:tr>
      <w:tr w14:paraId="06EC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3DA5614B">
            <w:pPr>
              <w:wordWrap w:val="0"/>
              <w:spacing w:line="440" w:lineRule="exact"/>
              <w:jc w:val="center"/>
              <w:rPr>
                <w:color w:val="auto"/>
                <w:szCs w:val="21"/>
                <w:highlight w:val="none"/>
              </w:rPr>
            </w:pPr>
          </w:p>
        </w:tc>
        <w:tc>
          <w:tcPr>
            <w:tcW w:w="2456" w:type="dxa"/>
            <w:vAlign w:val="center"/>
          </w:tcPr>
          <w:p w14:paraId="26FC19CB">
            <w:pPr>
              <w:wordWrap w:val="0"/>
              <w:spacing w:line="440" w:lineRule="exact"/>
              <w:jc w:val="center"/>
              <w:rPr>
                <w:color w:val="auto"/>
                <w:szCs w:val="21"/>
                <w:highlight w:val="none"/>
              </w:rPr>
            </w:pPr>
          </w:p>
        </w:tc>
        <w:tc>
          <w:tcPr>
            <w:tcW w:w="1864" w:type="dxa"/>
            <w:vAlign w:val="center"/>
          </w:tcPr>
          <w:p w14:paraId="30808129">
            <w:pPr>
              <w:wordWrap w:val="0"/>
              <w:spacing w:line="440" w:lineRule="exact"/>
              <w:jc w:val="center"/>
              <w:rPr>
                <w:color w:val="auto"/>
                <w:szCs w:val="21"/>
                <w:highlight w:val="none"/>
              </w:rPr>
            </w:pPr>
          </w:p>
        </w:tc>
        <w:tc>
          <w:tcPr>
            <w:tcW w:w="2582" w:type="dxa"/>
            <w:vMerge w:val="continue"/>
            <w:vAlign w:val="center"/>
          </w:tcPr>
          <w:p w14:paraId="7683DA49">
            <w:pPr>
              <w:wordWrap w:val="0"/>
              <w:spacing w:line="440" w:lineRule="exact"/>
              <w:jc w:val="center"/>
              <w:rPr>
                <w:color w:val="auto"/>
                <w:szCs w:val="21"/>
                <w:highlight w:val="none"/>
              </w:rPr>
            </w:pPr>
          </w:p>
        </w:tc>
      </w:tr>
      <w:tr w14:paraId="0385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5FB07C21">
            <w:pPr>
              <w:wordWrap w:val="0"/>
              <w:spacing w:line="440" w:lineRule="exact"/>
              <w:jc w:val="center"/>
              <w:rPr>
                <w:color w:val="auto"/>
                <w:szCs w:val="21"/>
                <w:highlight w:val="none"/>
              </w:rPr>
            </w:pPr>
          </w:p>
        </w:tc>
        <w:tc>
          <w:tcPr>
            <w:tcW w:w="2456" w:type="dxa"/>
            <w:vAlign w:val="center"/>
          </w:tcPr>
          <w:p w14:paraId="0F8359F9">
            <w:pPr>
              <w:wordWrap w:val="0"/>
              <w:spacing w:line="440" w:lineRule="exact"/>
              <w:jc w:val="center"/>
              <w:rPr>
                <w:color w:val="auto"/>
                <w:szCs w:val="21"/>
                <w:highlight w:val="none"/>
              </w:rPr>
            </w:pPr>
          </w:p>
        </w:tc>
        <w:tc>
          <w:tcPr>
            <w:tcW w:w="1864" w:type="dxa"/>
            <w:vAlign w:val="center"/>
          </w:tcPr>
          <w:p w14:paraId="24C67C56">
            <w:pPr>
              <w:wordWrap w:val="0"/>
              <w:spacing w:line="440" w:lineRule="exact"/>
              <w:jc w:val="center"/>
              <w:rPr>
                <w:color w:val="auto"/>
                <w:szCs w:val="21"/>
                <w:highlight w:val="none"/>
              </w:rPr>
            </w:pPr>
          </w:p>
        </w:tc>
        <w:tc>
          <w:tcPr>
            <w:tcW w:w="2582" w:type="dxa"/>
            <w:vMerge w:val="continue"/>
            <w:vAlign w:val="center"/>
          </w:tcPr>
          <w:p w14:paraId="15D52B12">
            <w:pPr>
              <w:wordWrap w:val="0"/>
              <w:spacing w:line="440" w:lineRule="exact"/>
              <w:jc w:val="center"/>
              <w:rPr>
                <w:color w:val="auto"/>
                <w:szCs w:val="21"/>
                <w:highlight w:val="none"/>
              </w:rPr>
            </w:pPr>
          </w:p>
        </w:tc>
      </w:tr>
      <w:tr w14:paraId="3FA8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5433B2FF">
            <w:pPr>
              <w:wordWrap w:val="0"/>
              <w:spacing w:line="440" w:lineRule="exact"/>
              <w:jc w:val="center"/>
              <w:rPr>
                <w:color w:val="auto"/>
                <w:szCs w:val="21"/>
                <w:highlight w:val="none"/>
              </w:rPr>
            </w:pPr>
          </w:p>
        </w:tc>
        <w:tc>
          <w:tcPr>
            <w:tcW w:w="2456" w:type="dxa"/>
            <w:vAlign w:val="center"/>
          </w:tcPr>
          <w:p w14:paraId="119B3369">
            <w:pPr>
              <w:wordWrap w:val="0"/>
              <w:spacing w:line="440" w:lineRule="exact"/>
              <w:jc w:val="center"/>
              <w:rPr>
                <w:color w:val="auto"/>
                <w:szCs w:val="21"/>
                <w:highlight w:val="none"/>
              </w:rPr>
            </w:pPr>
          </w:p>
        </w:tc>
        <w:tc>
          <w:tcPr>
            <w:tcW w:w="1864" w:type="dxa"/>
            <w:vAlign w:val="center"/>
          </w:tcPr>
          <w:p w14:paraId="22B30C52">
            <w:pPr>
              <w:wordWrap w:val="0"/>
              <w:spacing w:line="440" w:lineRule="exact"/>
              <w:jc w:val="center"/>
              <w:rPr>
                <w:color w:val="auto"/>
                <w:szCs w:val="21"/>
                <w:highlight w:val="none"/>
              </w:rPr>
            </w:pPr>
          </w:p>
        </w:tc>
        <w:tc>
          <w:tcPr>
            <w:tcW w:w="2582" w:type="dxa"/>
            <w:vMerge w:val="continue"/>
            <w:vAlign w:val="center"/>
          </w:tcPr>
          <w:p w14:paraId="14544E58">
            <w:pPr>
              <w:wordWrap w:val="0"/>
              <w:spacing w:line="440" w:lineRule="exact"/>
              <w:jc w:val="center"/>
              <w:rPr>
                <w:color w:val="auto"/>
                <w:szCs w:val="21"/>
                <w:highlight w:val="none"/>
              </w:rPr>
            </w:pPr>
          </w:p>
        </w:tc>
      </w:tr>
      <w:tr w14:paraId="5F17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497936BD">
            <w:pPr>
              <w:wordWrap w:val="0"/>
              <w:spacing w:line="440" w:lineRule="exact"/>
              <w:jc w:val="center"/>
              <w:rPr>
                <w:color w:val="auto"/>
                <w:szCs w:val="21"/>
                <w:highlight w:val="none"/>
              </w:rPr>
            </w:pPr>
          </w:p>
        </w:tc>
        <w:tc>
          <w:tcPr>
            <w:tcW w:w="2456" w:type="dxa"/>
            <w:vAlign w:val="center"/>
          </w:tcPr>
          <w:p w14:paraId="313588C0">
            <w:pPr>
              <w:wordWrap w:val="0"/>
              <w:spacing w:line="440" w:lineRule="exact"/>
              <w:jc w:val="center"/>
              <w:rPr>
                <w:color w:val="auto"/>
                <w:szCs w:val="21"/>
                <w:highlight w:val="none"/>
              </w:rPr>
            </w:pPr>
          </w:p>
        </w:tc>
        <w:tc>
          <w:tcPr>
            <w:tcW w:w="1864" w:type="dxa"/>
            <w:vAlign w:val="center"/>
          </w:tcPr>
          <w:p w14:paraId="5C26775D">
            <w:pPr>
              <w:wordWrap w:val="0"/>
              <w:spacing w:line="440" w:lineRule="exact"/>
              <w:jc w:val="center"/>
              <w:rPr>
                <w:color w:val="auto"/>
                <w:szCs w:val="21"/>
                <w:highlight w:val="none"/>
              </w:rPr>
            </w:pPr>
          </w:p>
        </w:tc>
        <w:tc>
          <w:tcPr>
            <w:tcW w:w="2582" w:type="dxa"/>
            <w:vMerge w:val="continue"/>
            <w:vAlign w:val="center"/>
          </w:tcPr>
          <w:p w14:paraId="782DD3B0">
            <w:pPr>
              <w:wordWrap w:val="0"/>
              <w:spacing w:line="440" w:lineRule="exact"/>
              <w:jc w:val="center"/>
              <w:rPr>
                <w:color w:val="auto"/>
                <w:szCs w:val="21"/>
                <w:highlight w:val="none"/>
              </w:rPr>
            </w:pPr>
          </w:p>
        </w:tc>
      </w:tr>
      <w:tr w14:paraId="714F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1989" w:type="dxa"/>
            <w:vAlign w:val="center"/>
          </w:tcPr>
          <w:p w14:paraId="25D12FB0">
            <w:pPr>
              <w:wordWrap w:val="0"/>
              <w:spacing w:line="440" w:lineRule="exact"/>
              <w:jc w:val="center"/>
              <w:rPr>
                <w:color w:val="auto"/>
                <w:szCs w:val="21"/>
                <w:highlight w:val="none"/>
              </w:rPr>
            </w:pPr>
          </w:p>
        </w:tc>
        <w:tc>
          <w:tcPr>
            <w:tcW w:w="2456" w:type="dxa"/>
            <w:vAlign w:val="center"/>
          </w:tcPr>
          <w:p w14:paraId="6145615D">
            <w:pPr>
              <w:wordWrap w:val="0"/>
              <w:spacing w:line="440" w:lineRule="exact"/>
              <w:jc w:val="center"/>
              <w:rPr>
                <w:color w:val="auto"/>
                <w:szCs w:val="21"/>
                <w:highlight w:val="none"/>
              </w:rPr>
            </w:pPr>
          </w:p>
        </w:tc>
        <w:tc>
          <w:tcPr>
            <w:tcW w:w="1864" w:type="dxa"/>
            <w:vAlign w:val="center"/>
          </w:tcPr>
          <w:p w14:paraId="5CD59F23">
            <w:pPr>
              <w:wordWrap w:val="0"/>
              <w:spacing w:line="440" w:lineRule="exact"/>
              <w:jc w:val="center"/>
              <w:rPr>
                <w:color w:val="auto"/>
                <w:szCs w:val="21"/>
                <w:highlight w:val="none"/>
              </w:rPr>
            </w:pPr>
          </w:p>
        </w:tc>
        <w:tc>
          <w:tcPr>
            <w:tcW w:w="2582" w:type="dxa"/>
            <w:vMerge w:val="continue"/>
            <w:vAlign w:val="center"/>
          </w:tcPr>
          <w:p w14:paraId="4452FDA2">
            <w:pPr>
              <w:wordWrap w:val="0"/>
              <w:spacing w:line="440" w:lineRule="exact"/>
              <w:jc w:val="center"/>
              <w:rPr>
                <w:color w:val="auto"/>
                <w:szCs w:val="21"/>
                <w:highlight w:val="none"/>
              </w:rPr>
            </w:pPr>
          </w:p>
        </w:tc>
      </w:tr>
      <w:tr w14:paraId="18D5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445" w:type="dxa"/>
            <w:gridSpan w:val="2"/>
            <w:vAlign w:val="center"/>
          </w:tcPr>
          <w:p w14:paraId="5715E7F0">
            <w:pPr>
              <w:wordWrap w:val="0"/>
              <w:spacing w:line="440" w:lineRule="exact"/>
              <w:jc w:val="center"/>
              <w:rPr>
                <w:color w:val="auto"/>
                <w:szCs w:val="21"/>
                <w:highlight w:val="none"/>
              </w:rPr>
            </w:pPr>
            <w:r>
              <w:rPr>
                <w:color w:val="auto"/>
                <w:szCs w:val="21"/>
                <w:highlight w:val="none"/>
              </w:rPr>
              <w:t>拟分包工程造价合计（万元）</w:t>
            </w:r>
          </w:p>
        </w:tc>
        <w:tc>
          <w:tcPr>
            <w:tcW w:w="1864" w:type="dxa"/>
            <w:vAlign w:val="center"/>
          </w:tcPr>
          <w:p w14:paraId="5C6186C5">
            <w:pPr>
              <w:wordWrap w:val="0"/>
              <w:spacing w:line="440" w:lineRule="exact"/>
              <w:jc w:val="center"/>
              <w:rPr>
                <w:color w:val="auto"/>
                <w:szCs w:val="21"/>
                <w:highlight w:val="none"/>
              </w:rPr>
            </w:pPr>
          </w:p>
        </w:tc>
        <w:tc>
          <w:tcPr>
            <w:tcW w:w="2582" w:type="dxa"/>
            <w:vMerge w:val="continue"/>
            <w:vAlign w:val="center"/>
          </w:tcPr>
          <w:p w14:paraId="3101480D">
            <w:pPr>
              <w:wordWrap w:val="0"/>
              <w:spacing w:line="440" w:lineRule="exact"/>
              <w:jc w:val="center"/>
              <w:rPr>
                <w:color w:val="auto"/>
                <w:szCs w:val="21"/>
                <w:highlight w:val="none"/>
              </w:rPr>
            </w:pPr>
          </w:p>
        </w:tc>
      </w:tr>
    </w:tbl>
    <w:p w14:paraId="45AF35FF">
      <w:pPr>
        <w:keepNext w:val="0"/>
        <w:keepLines w:val="0"/>
        <w:pageBreakBefore w:val="0"/>
        <w:widowControl/>
        <w:kinsoku/>
        <w:wordWrap/>
        <w:overflowPunct/>
        <w:topLinePunct w:val="0"/>
        <w:autoSpaceDE/>
        <w:autoSpaceDN/>
        <w:bidi w:val="0"/>
        <w:adjustRightInd/>
        <w:snapToGrid/>
        <w:spacing w:before="0" w:after="0" w:line="240" w:lineRule="auto"/>
        <w:ind w:firstLine="0" w:firstLineChars="0"/>
        <w:jc w:val="left"/>
        <w:textAlignment w:val="auto"/>
        <w:outlineLvl w:val="9"/>
        <w:rPr>
          <w:rFonts w:hint="eastAsia" w:eastAsia="黑体" w:cs="Times New Roman"/>
          <w:b w:val="0"/>
          <w:bCs/>
          <w:color w:val="auto"/>
          <w:kern w:val="44"/>
          <w:sz w:val="28"/>
          <w:szCs w:val="28"/>
          <w:highlight w:val="none"/>
          <w:lang w:val="en-US" w:eastAsia="zh-CN"/>
        </w:rPr>
      </w:pPr>
      <w:r>
        <w:rPr>
          <w:rFonts w:hint="eastAsia" w:eastAsia="黑体" w:cs="Times New Roman"/>
          <w:b w:val="0"/>
          <w:bCs/>
          <w:color w:val="auto"/>
          <w:kern w:val="44"/>
          <w:sz w:val="28"/>
          <w:szCs w:val="28"/>
          <w:highlight w:val="none"/>
          <w:lang w:val="en-US" w:eastAsia="zh-CN"/>
        </w:rPr>
        <w:br w:type="page"/>
      </w:r>
    </w:p>
    <w:p w14:paraId="76AEC1AF">
      <w:pPr>
        <w:keepNext w:val="0"/>
        <w:keepLines w:val="0"/>
        <w:pageBreakBefore w:val="0"/>
        <w:widowControl w:val="0"/>
        <w:kinsoku/>
        <w:wordWrap/>
        <w:overflowPunct/>
        <w:topLinePunct w:val="0"/>
        <w:autoSpaceDE/>
        <w:autoSpaceDN/>
        <w:bidi w:val="0"/>
        <w:adjustRightInd/>
        <w:snapToGrid/>
        <w:spacing w:before="0" w:after="0" w:line="440" w:lineRule="exact"/>
        <w:ind w:firstLine="0" w:firstLineChars="0"/>
        <w:jc w:val="center"/>
        <w:textAlignment w:val="auto"/>
        <w:outlineLvl w:val="1"/>
        <w:rPr>
          <w:rFonts w:hint="default" w:ascii="Times New Roman" w:hAnsi="Times New Roman" w:eastAsia="黑体" w:cs="Times New Roman"/>
          <w:b w:val="0"/>
          <w:bCs/>
          <w:color w:val="auto"/>
          <w:kern w:val="44"/>
          <w:sz w:val="28"/>
          <w:szCs w:val="28"/>
          <w:highlight w:val="none"/>
        </w:rPr>
      </w:pPr>
      <w:bookmarkStart w:id="1929" w:name="_Toc18949"/>
      <w:r>
        <w:rPr>
          <w:rFonts w:hint="eastAsia" w:eastAsia="黑体" w:cs="Times New Roman"/>
          <w:b w:val="0"/>
          <w:bCs/>
          <w:color w:val="auto"/>
          <w:kern w:val="44"/>
          <w:sz w:val="28"/>
          <w:szCs w:val="28"/>
          <w:highlight w:val="none"/>
          <w:lang w:val="en-US" w:eastAsia="zh-CN"/>
        </w:rPr>
        <w:t>八</w:t>
      </w:r>
      <w:r>
        <w:rPr>
          <w:rFonts w:hint="default" w:ascii="Times New Roman" w:hAnsi="Times New Roman" w:eastAsia="黑体" w:cs="Times New Roman"/>
          <w:b w:val="0"/>
          <w:bCs/>
          <w:color w:val="auto"/>
          <w:kern w:val="44"/>
          <w:sz w:val="28"/>
          <w:szCs w:val="28"/>
          <w:highlight w:val="none"/>
        </w:rPr>
        <w:t>、资格审查资料</w:t>
      </w:r>
      <w:bookmarkEnd w:id="1924"/>
      <w:bookmarkEnd w:id="1925"/>
      <w:bookmarkEnd w:id="1929"/>
    </w:p>
    <w:p w14:paraId="1EF1CBC6">
      <w:pPr>
        <w:pageBreakBefore w:val="0"/>
        <w:kinsoku/>
        <w:wordWrap w:val="0"/>
        <w:bidi w:val="0"/>
        <w:spacing w:before="0" w:after="0" w:line="380" w:lineRule="atLeast"/>
        <w:jc w:val="center"/>
        <w:outlineLvl w:val="9"/>
        <w:rPr>
          <w:rFonts w:hint="default" w:ascii="Times New Roman" w:hAnsi="Times New Roman" w:eastAsia="黑体" w:cs="Times New Roman"/>
          <w:b w:val="0"/>
          <w:color w:val="auto"/>
          <w:sz w:val="28"/>
          <w:szCs w:val="28"/>
          <w:highlight w:val="none"/>
        </w:rPr>
      </w:pPr>
    </w:p>
    <w:p w14:paraId="3E87EAA2">
      <w:pPr>
        <w:pStyle w:val="2"/>
        <w:pageBreakBefore w:val="0"/>
        <w:kinsoku/>
        <w:wordWrap w:val="0"/>
        <w:bidi w:val="0"/>
        <w:spacing w:before="0" w:after="0" w:line="380" w:lineRule="atLeast"/>
        <w:jc w:val="center"/>
        <w:outlineLvl w:val="2"/>
        <w:rPr>
          <w:rFonts w:hint="default" w:ascii="Times New Roman" w:hAnsi="Times New Roman" w:eastAsia="黑体" w:cs="Times New Roman"/>
          <w:color w:val="auto"/>
          <w:sz w:val="23"/>
          <w:szCs w:val="23"/>
          <w:highlight w:val="none"/>
        </w:rPr>
      </w:pPr>
      <w:bookmarkStart w:id="1930" w:name="_Toc15892"/>
      <w:bookmarkStart w:id="1931" w:name="_Toc8645"/>
      <w:bookmarkStart w:id="1932" w:name="_Toc10802"/>
      <w:bookmarkStart w:id="1933" w:name="_Toc234833279"/>
      <w:r>
        <w:rPr>
          <w:rFonts w:hint="default" w:ascii="Times New Roman" w:hAnsi="Times New Roman" w:eastAsia="黑体" w:cs="Times New Roman"/>
          <w:b w:val="0"/>
          <w:color w:val="auto"/>
          <w:sz w:val="24"/>
          <w:szCs w:val="24"/>
          <w:highlight w:val="none"/>
        </w:rPr>
        <w:t>（一）投标人基本情况表</w:t>
      </w:r>
      <w:bookmarkEnd w:id="1930"/>
      <w:bookmarkEnd w:id="1931"/>
      <w:bookmarkEnd w:id="1932"/>
      <w:bookmarkEnd w:id="1933"/>
    </w:p>
    <w:tbl>
      <w:tblPr>
        <w:tblStyle w:val="39"/>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7"/>
        <w:gridCol w:w="900"/>
        <w:gridCol w:w="692"/>
        <w:gridCol w:w="917"/>
        <w:gridCol w:w="229"/>
        <w:gridCol w:w="1762"/>
        <w:gridCol w:w="79"/>
        <w:gridCol w:w="1817"/>
        <w:gridCol w:w="625"/>
      </w:tblGrid>
      <w:tr w14:paraId="02657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3AFBFEC0">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投标人名称</w:t>
            </w:r>
          </w:p>
        </w:tc>
        <w:tc>
          <w:tcPr>
            <w:tcW w:w="7021" w:type="dxa"/>
            <w:gridSpan w:val="8"/>
            <w:tcBorders>
              <w:top w:val="single" w:color="auto" w:sz="4" w:space="0"/>
              <w:left w:val="single" w:color="auto" w:sz="4" w:space="0"/>
              <w:bottom w:val="single" w:color="auto" w:sz="4" w:space="0"/>
              <w:right w:val="single" w:color="auto" w:sz="4" w:space="0"/>
            </w:tcBorders>
            <w:noWrap w:val="0"/>
            <w:vAlign w:val="center"/>
          </w:tcPr>
          <w:p w14:paraId="44F6FA2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3168F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5AA7251E">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注册地址</w:t>
            </w:r>
          </w:p>
        </w:tc>
        <w:tc>
          <w:tcPr>
            <w:tcW w:w="2738" w:type="dxa"/>
            <w:gridSpan w:val="4"/>
            <w:tcBorders>
              <w:top w:val="single" w:color="auto" w:sz="4" w:space="0"/>
              <w:left w:val="single" w:color="auto" w:sz="4" w:space="0"/>
              <w:bottom w:val="single" w:color="auto" w:sz="4" w:space="0"/>
              <w:right w:val="single" w:color="auto" w:sz="4" w:space="0"/>
            </w:tcBorders>
            <w:noWrap w:val="0"/>
            <w:vAlign w:val="center"/>
          </w:tcPr>
          <w:p w14:paraId="7F0B88D6">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841" w:type="dxa"/>
            <w:gridSpan w:val="2"/>
            <w:tcBorders>
              <w:top w:val="single" w:color="auto" w:sz="4" w:space="0"/>
              <w:left w:val="single" w:color="auto" w:sz="4" w:space="0"/>
              <w:bottom w:val="single" w:color="auto" w:sz="4" w:space="0"/>
              <w:right w:val="single" w:color="auto" w:sz="4" w:space="0"/>
            </w:tcBorders>
            <w:noWrap w:val="0"/>
            <w:vAlign w:val="center"/>
          </w:tcPr>
          <w:p w14:paraId="5BC365E5">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邮政编码</w:t>
            </w:r>
          </w:p>
        </w:tc>
        <w:tc>
          <w:tcPr>
            <w:tcW w:w="2442" w:type="dxa"/>
            <w:gridSpan w:val="2"/>
            <w:tcBorders>
              <w:top w:val="single" w:color="auto" w:sz="4" w:space="0"/>
              <w:left w:val="single" w:color="auto" w:sz="4" w:space="0"/>
              <w:bottom w:val="single" w:color="auto" w:sz="4" w:space="0"/>
              <w:right w:val="single" w:color="auto" w:sz="4" w:space="0"/>
            </w:tcBorders>
            <w:noWrap w:val="0"/>
            <w:vAlign w:val="center"/>
          </w:tcPr>
          <w:p w14:paraId="397B7120">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0989C3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vMerge w:val="restart"/>
            <w:tcBorders>
              <w:top w:val="single" w:color="auto" w:sz="4" w:space="0"/>
              <w:left w:val="single" w:color="auto" w:sz="4" w:space="0"/>
              <w:bottom w:val="single" w:color="auto" w:sz="4" w:space="0"/>
              <w:right w:val="single" w:color="auto" w:sz="4" w:space="0"/>
            </w:tcBorders>
            <w:noWrap w:val="0"/>
            <w:vAlign w:val="center"/>
          </w:tcPr>
          <w:p w14:paraId="363C54CA">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联系方式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358F5E4">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联系人</w:t>
            </w:r>
          </w:p>
        </w:tc>
        <w:tc>
          <w:tcPr>
            <w:tcW w:w="1838" w:type="dxa"/>
            <w:gridSpan w:val="3"/>
            <w:tcBorders>
              <w:top w:val="single" w:color="auto" w:sz="4" w:space="0"/>
              <w:left w:val="single" w:color="auto" w:sz="4" w:space="0"/>
              <w:bottom w:val="single" w:color="auto" w:sz="4" w:space="0"/>
              <w:right w:val="single" w:color="auto" w:sz="4" w:space="0"/>
            </w:tcBorders>
            <w:noWrap w:val="0"/>
            <w:vAlign w:val="center"/>
          </w:tcPr>
          <w:p w14:paraId="3D61829E">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841" w:type="dxa"/>
            <w:gridSpan w:val="2"/>
            <w:tcBorders>
              <w:top w:val="single" w:color="auto" w:sz="4" w:space="0"/>
              <w:left w:val="single" w:color="auto" w:sz="4" w:space="0"/>
              <w:bottom w:val="single" w:color="auto" w:sz="4" w:space="0"/>
              <w:right w:val="single" w:color="auto" w:sz="4" w:space="0"/>
            </w:tcBorders>
            <w:noWrap w:val="0"/>
            <w:vAlign w:val="center"/>
          </w:tcPr>
          <w:p w14:paraId="317B3093">
            <w:pPr>
              <w:pageBreakBefore w:val="0"/>
              <w:kinsoku/>
              <w:wordWrap w:val="0"/>
              <w:topLinePunct/>
              <w:bidi w:val="0"/>
              <w:spacing w:line="440" w:lineRule="exact"/>
              <w:jc w:val="center"/>
              <w:rPr>
                <w:rFonts w:hint="eastAsia"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rPr>
              <w:t>电 话</w:t>
            </w:r>
            <w:r>
              <w:rPr>
                <w:rFonts w:hint="eastAsia" w:cs="Times New Roman"/>
                <w:color w:val="auto"/>
                <w:szCs w:val="21"/>
                <w:highlight w:val="none"/>
                <w:lang w:eastAsia="zh-CN"/>
              </w:rPr>
              <w:t>（</w:t>
            </w:r>
            <w:r>
              <w:rPr>
                <w:rFonts w:hint="eastAsia" w:cs="Times New Roman"/>
                <w:color w:val="auto"/>
                <w:szCs w:val="21"/>
                <w:highlight w:val="none"/>
                <w:lang w:val="en-US" w:eastAsia="zh-CN"/>
              </w:rPr>
              <w:t>手机号码</w:t>
            </w:r>
            <w:r>
              <w:rPr>
                <w:rFonts w:hint="eastAsia" w:cs="Times New Roman"/>
                <w:color w:val="auto"/>
                <w:szCs w:val="21"/>
                <w:highlight w:val="none"/>
                <w:lang w:eastAsia="zh-CN"/>
              </w:rPr>
              <w:t>）</w:t>
            </w:r>
          </w:p>
        </w:tc>
        <w:tc>
          <w:tcPr>
            <w:tcW w:w="2442" w:type="dxa"/>
            <w:gridSpan w:val="2"/>
            <w:tcBorders>
              <w:top w:val="single" w:color="auto" w:sz="4" w:space="0"/>
              <w:left w:val="single" w:color="auto" w:sz="4" w:space="0"/>
              <w:bottom w:val="single" w:color="auto" w:sz="4" w:space="0"/>
              <w:right w:val="single" w:color="auto" w:sz="4" w:space="0"/>
            </w:tcBorders>
            <w:noWrap w:val="0"/>
            <w:vAlign w:val="center"/>
          </w:tcPr>
          <w:p w14:paraId="748570BF">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6BE8B8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vMerge w:val="continue"/>
            <w:tcBorders>
              <w:top w:val="single" w:color="auto" w:sz="4" w:space="0"/>
              <w:left w:val="single" w:color="auto" w:sz="4" w:space="0"/>
              <w:bottom w:val="single" w:color="auto" w:sz="4" w:space="0"/>
              <w:right w:val="single" w:color="auto" w:sz="4" w:space="0"/>
            </w:tcBorders>
            <w:noWrap w:val="0"/>
            <w:vAlign w:val="center"/>
          </w:tcPr>
          <w:p w14:paraId="66102542">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31E12406">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传  真</w:t>
            </w:r>
          </w:p>
        </w:tc>
        <w:tc>
          <w:tcPr>
            <w:tcW w:w="1838" w:type="dxa"/>
            <w:gridSpan w:val="3"/>
            <w:tcBorders>
              <w:top w:val="single" w:color="auto" w:sz="4" w:space="0"/>
              <w:left w:val="single" w:color="auto" w:sz="4" w:space="0"/>
              <w:bottom w:val="single" w:color="auto" w:sz="4" w:space="0"/>
              <w:right w:val="single" w:color="auto" w:sz="4" w:space="0"/>
            </w:tcBorders>
            <w:noWrap w:val="0"/>
            <w:vAlign w:val="center"/>
          </w:tcPr>
          <w:p w14:paraId="0CC8DE95">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841" w:type="dxa"/>
            <w:gridSpan w:val="2"/>
            <w:tcBorders>
              <w:top w:val="single" w:color="auto" w:sz="4" w:space="0"/>
              <w:left w:val="single" w:color="auto" w:sz="4" w:space="0"/>
              <w:bottom w:val="single" w:color="auto" w:sz="4" w:space="0"/>
              <w:right w:val="single" w:color="auto" w:sz="4" w:space="0"/>
            </w:tcBorders>
            <w:noWrap w:val="0"/>
            <w:vAlign w:val="center"/>
          </w:tcPr>
          <w:p w14:paraId="3B58893B">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电子邮件</w:t>
            </w:r>
          </w:p>
        </w:tc>
        <w:tc>
          <w:tcPr>
            <w:tcW w:w="2442" w:type="dxa"/>
            <w:gridSpan w:val="2"/>
            <w:tcBorders>
              <w:top w:val="single" w:color="auto" w:sz="4" w:space="0"/>
              <w:left w:val="single" w:color="auto" w:sz="4" w:space="0"/>
              <w:bottom w:val="single" w:color="auto" w:sz="4" w:space="0"/>
              <w:right w:val="single" w:color="auto" w:sz="4" w:space="0"/>
            </w:tcBorders>
            <w:noWrap w:val="0"/>
            <w:vAlign w:val="center"/>
          </w:tcPr>
          <w:p w14:paraId="6436139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178FB5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616F89F8">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法定代表人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B1BBBF5">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78AED38D">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146" w:type="dxa"/>
            <w:gridSpan w:val="2"/>
            <w:tcBorders>
              <w:top w:val="single" w:color="auto" w:sz="4" w:space="0"/>
              <w:left w:val="single" w:color="auto" w:sz="4" w:space="0"/>
              <w:bottom w:val="single" w:color="auto" w:sz="4" w:space="0"/>
              <w:right w:val="single" w:color="auto" w:sz="4" w:space="0"/>
            </w:tcBorders>
            <w:noWrap w:val="0"/>
            <w:vAlign w:val="center"/>
          </w:tcPr>
          <w:p w14:paraId="0637E8C0">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841" w:type="dxa"/>
            <w:gridSpan w:val="2"/>
            <w:tcBorders>
              <w:top w:val="single" w:color="auto" w:sz="4" w:space="0"/>
              <w:left w:val="single" w:color="auto" w:sz="4" w:space="0"/>
              <w:bottom w:val="single" w:color="auto" w:sz="4" w:space="0"/>
              <w:right w:val="single" w:color="auto" w:sz="4" w:space="0"/>
            </w:tcBorders>
            <w:noWrap w:val="0"/>
            <w:vAlign w:val="center"/>
          </w:tcPr>
          <w:p w14:paraId="39D02773">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90F87D1">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电话</w:t>
            </w:r>
            <w:r>
              <w:rPr>
                <w:rFonts w:hint="eastAsia" w:cs="Times New Roman"/>
                <w:color w:val="auto"/>
                <w:szCs w:val="21"/>
                <w:highlight w:val="none"/>
                <w:lang w:eastAsia="zh-CN"/>
              </w:rPr>
              <w:t>（</w:t>
            </w:r>
            <w:r>
              <w:rPr>
                <w:rFonts w:hint="eastAsia" w:cs="Times New Roman"/>
                <w:color w:val="auto"/>
                <w:szCs w:val="21"/>
                <w:highlight w:val="none"/>
                <w:lang w:val="en-US" w:eastAsia="zh-CN"/>
              </w:rPr>
              <w:t>手机号码</w:t>
            </w:r>
            <w:r>
              <w:rPr>
                <w:rFonts w:hint="eastAsia" w:cs="Times New Roman"/>
                <w:color w:val="auto"/>
                <w:szCs w:val="21"/>
                <w:highlight w:val="none"/>
                <w:lang w:eastAsia="zh-CN"/>
              </w:rPr>
              <w:t>）</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515FA22A">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781C05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19C8ABE8">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技术负责人</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809C4D0">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692" w:type="dxa"/>
            <w:tcBorders>
              <w:top w:val="single" w:color="auto" w:sz="4" w:space="0"/>
              <w:left w:val="single" w:color="auto" w:sz="4" w:space="0"/>
              <w:bottom w:val="single" w:color="auto" w:sz="4" w:space="0"/>
              <w:right w:val="single" w:color="auto" w:sz="4" w:space="0"/>
            </w:tcBorders>
            <w:noWrap w:val="0"/>
            <w:vAlign w:val="center"/>
          </w:tcPr>
          <w:p w14:paraId="4DED0EE4">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146" w:type="dxa"/>
            <w:gridSpan w:val="2"/>
            <w:tcBorders>
              <w:top w:val="single" w:color="auto" w:sz="4" w:space="0"/>
              <w:left w:val="single" w:color="auto" w:sz="4" w:space="0"/>
              <w:bottom w:val="single" w:color="auto" w:sz="4" w:space="0"/>
              <w:right w:val="single" w:color="auto" w:sz="4" w:space="0"/>
            </w:tcBorders>
            <w:noWrap w:val="0"/>
            <w:vAlign w:val="center"/>
          </w:tcPr>
          <w:p w14:paraId="69A6243E">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841" w:type="dxa"/>
            <w:gridSpan w:val="2"/>
            <w:tcBorders>
              <w:top w:val="single" w:color="auto" w:sz="4" w:space="0"/>
              <w:left w:val="single" w:color="auto" w:sz="4" w:space="0"/>
              <w:bottom w:val="single" w:color="auto" w:sz="4" w:space="0"/>
              <w:right w:val="single" w:color="auto" w:sz="4" w:space="0"/>
            </w:tcBorders>
            <w:noWrap w:val="0"/>
            <w:vAlign w:val="center"/>
          </w:tcPr>
          <w:p w14:paraId="3FDA7122">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817" w:type="dxa"/>
            <w:tcBorders>
              <w:top w:val="single" w:color="auto" w:sz="4" w:space="0"/>
              <w:left w:val="single" w:color="auto" w:sz="4" w:space="0"/>
              <w:bottom w:val="single" w:color="auto" w:sz="4" w:space="0"/>
              <w:right w:val="single" w:color="auto" w:sz="4" w:space="0"/>
            </w:tcBorders>
            <w:noWrap w:val="0"/>
            <w:vAlign w:val="center"/>
          </w:tcPr>
          <w:p w14:paraId="06B2DA61">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电话</w:t>
            </w:r>
            <w:r>
              <w:rPr>
                <w:rFonts w:hint="eastAsia" w:cs="Times New Roman"/>
                <w:color w:val="auto"/>
                <w:szCs w:val="21"/>
                <w:highlight w:val="none"/>
                <w:lang w:eastAsia="zh-CN"/>
              </w:rPr>
              <w:t>（</w:t>
            </w:r>
            <w:r>
              <w:rPr>
                <w:rFonts w:hint="eastAsia" w:cs="Times New Roman"/>
                <w:color w:val="auto"/>
                <w:szCs w:val="21"/>
                <w:highlight w:val="none"/>
                <w:lang w:val="en-US" w:eastAsia="zh-CN"/>
              </w:rPr>
              <w:t>手机号码</w:t>
            </w:r>
            <w:r>
              <w:rPr>
                <w:rFonts w:hint="eastAsia" w:cs="Times New Roman"/>
                <w:color w:val="auto"/>
                <w:szCs w:val="21"/>
                <w:highlight w:val="none"/>
                <w:lang w:eastAsia="zh-CN"/>
              </w:rPr>
              <w:t>）</w:t>
            </w:r>
          </w:p>
        </w:tc>
        <w:tc>
          <w:tcPr>
            <w:tcW w:w="625" w:type="dxa"/>
            <w:tcBorders>
              <w:top w:val="single" w:color="auto" w:sz="4" w:space="0"/>
              <w:left w:val="single" w:color="auto" w:sz="4" w:space="0"/>
              <w:bottom w:val="single" w:color="auto" w:sz="4" w:space="0"/>
              <w:right w:val="single" w:color="auto" w:sz="4" w:space="0"/>
            </w:tcBorders>
            <w:noWrap w:val="0"/>
            <w:vAlign w:val="center"/>
          </w:tcPr>
          <w:p w14:paraId="5073F3FC">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11E76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2637FB20">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营业执照号</w:t>
            </w:r>
          </w:p>
        </w:tc>
        <w:tc>
          <w:tcPr>
            <w:tcW w:w="1592" w:type="dxa"/>
            <w:gridSpan w:val="2"/>
            <w:tcBorders>
              <w:top w:val="single" w:color="auto" w:sz="4" w:space="0"/>
              <w:left w:val="single" w:color="auto" w:sz="4" w:space="0"/>
              <w:bottom w:val="single" w:color="auto" w:sz="4" w:space="0"/>
              <w:right w:val="single" w:color="auto" w:sz="4" w:space="0"/>
            </w:tcBorders>
            <w:noWrap w:val="0"/>
            <w:vAlign w:val="center"/>
          </w:tcPr>
          <w:p w14:paraId="375EA575">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5429" w:type="dxa"/>
            <w:gridSpan w:val="6"/>
            <w:tcBorders>
              <w:top w:val="single" w:color="auto" w:sz="4" w:space="0"/>
              <w:left w:val="single" w:color="auto" w:sz="4" w:space="0"/>
              <w:bottom w:val="single" w:color="auto" w:sz="4" w:space="0"/>
              <w:right w:val="single" w:color="auto" w:sz="4" w:space="0"/>
            </w:tcBorders>
            <w:noWrap w:val="0"/>
            <w:vAlign w:val="center"/>
          </w:tcPr>
          <w:p w14:paraId="3A59DBED">
            <w:pPr>
              <w:pageBreakBefore w:val="0"/>
              <w:kinsoku/>
              <w:wordWrap w:val="0"/>
              <w:topLinePunct/>
              <w:bidi w:val="0"/>
              <w:spacing w:line="440" w:lineRule="exact"/>
              <w:ind w:firstLine="105" w:firstLine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员工总人数：</w:t>
            </w:r>
          </w:p>
        </w:tc>
      </w:tr>
      <w:tr w14:paraId="66389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6A03AB2E">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企业资质等级</w:t>
            </w:r>
          </w:p>
        </w:tc>
        <w:tc>
          <w:tcPr>
            <w:tcW w:w="1592" w:type="dxa"/>
            <w:gridSpan w:val="2"/>
            <w:tcBorders>
              <w:top w:val="single" w:color="auto" w:sz="4" w:space="0"/>
              <w:left w:val="single" w:color="auto" w:sz="4" w:space="0"/>
              <w:bottom w:val="single" w:color="auto" w:sz="4" w:space="0"/>
              <w:right w:val="single" w:color="auto" w:sz="4" w:space="0"/>
            </w:tcBorders>
            <w:noWrap w:val="0"/>
            <w:vAlign w:val="center"/>
          </w:tcPr>
          <w:p w14:paraId="31377E5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917" w:type="dxa"/>
            <w:vMerge w:val="restart"/>
            <w:tcBorders>
              <w:top w:val="single" w:color="auto" w:sz="4" w:space="0"/>
              <w:left w:val="single" w:color="auto" w:sz="4" w:space="0"/>
              <w:bottom w:val="single" w:color="auto" w:sz="4" w:space="0"/>
              <w:right w:val="single" w:color="auto" w:sz="4" w:space="0"/>
            </w:tcBorders>
            <w:noWrap w:val="0"/>
            <w:vAlign w:val="center"/>
          </w:tcPr>
          <w:p w14:paraId="19C57912">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其中</w:t>
            </w: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1F5BD0BF">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项目经理</w:t>
            </w:r>
          </w:p>
        </w:tc>
        <w:tc>
          <w:tcPr>
            <w:tcW w:w="2521" w:type="dxa"/>
            <w:gridSpan w:val="3"/>
            <w:tcBorders>
              <w:top w:val="single" w:color="auto" w:sz="4" w:space="0"/>
              <w:left w:val="single" w:color="auto" w:sz="4" w:space="0"/>
              <w:bottom w:val="single" w:color="auto" w:sz="4" w:space="0"/>
              <w:right w:val="single" w:color="auto" w:sz="4" w:space="0"/>
            </w:tcBorders>
            <w:noWrap w:val="0"/>
            <w:vAlign w:val="center"/>
          </w:tcPr>
          <w:p w14:paraId="55DE1DA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0B1161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0316FD50">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注册资本</w:t>
            </w:r>
          </w:p>
        </w:tc>
        <w:tc>
          <w:tcPr>
            <w:tcW w:w="1592" w:type="dxa"/>
            <w:gridSpan w:val="2"/>
            <w:tcBorders>
              <w:top w:val="single" w:color="auto" w:sz="4" w:space="0"/>
              <w:left w:val="single" w:color="auto" w:sz="4" w:space="0"/>
              <w:bottom w:val="single" w:color="auto" w:sz="4" w:space="0"/>
              <w:right w:val="single" w:color="auto" w:sz="4" w:space="0"/>
            </w:tcBorders>
            <w:noWrap w:val="0"/>
            <w:vAlign w:val="center"/>
          </w:tcPr>
          <w:p w14:paraId="42E3FCD9">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917" w:type="dxa"/>
            <w:vMerge w:val="continue"/>
            <w:tcBorders>
              <w:top w:val="single" w:color="auto" w:sz="4" w:space="0"/>
              <w:left w:val="single" w:color="auto" w:sz="4" w:space="0"/>
              <w:bottom w:val="single" w:color="auto" w:sz="4" w:space="0"/>
              <w:right w:val="single" w:color="auto" w:sz="4" w:space="0"/>
            </w:tcBorders>
            <w:noWrap w:val="0"/>
            <w:vAlign w:val="center"/>
          </w:tcPr>
          <w:p w14:paraId="3F8688E7">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1FB3CB6">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高级职称人员</w:t>
            </w:r>
          </w:p>
        </w:tc>
        <w:tc>
          <w:tcPr>
            <w:tcW w:w="2521" w:type="dxa"/>
            <w:gridSpan w:val="3"/>
            <w:tcBorders>
              <w:top w:val="single" w:color="auto" w:sz="4" w:space="0"/>
              <w:left w:val="single" w:color="auto" w:sz="4" w:space="0"/>
              <w:bottom w:val="single" w:color="auto" w:sz="4" w:space="0"/>
              <w:right w:val="single" w:color="auto" w:sz="4" w:space="0"/>
            </w:tcBorders>
            <w:noWrap w:val="0"/>
            <w:vAlign w:val="center"/>
          </w:tcPr>
          <w:p w14:paraId="5E10EE47">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315A2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52978A75">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成立日期</w:t>
            </w:r>
          </w:p>
        </w:tc>
        <w:tc>
          <w:tcPr>
            <w:tcW w:w="1592" w:type="dxa"/>
            <w:gridSpan w:val="2"/>
            <w:tcBorders>
              <w:top w:val="single" w:color="auto" w:sz="4" w:space="0"/>
              <w:left w:val="single" w:color="auto" w:sz="4" w:space="0"/>
              <w:bottom w:val="single" w:color="auto" w:sz="4" w:space="0"/>
              <w:right w:val="single" w:color="auto" w:sz="4" w:space="0"/>
            </w:tcBorders>
            <w:noWrap w:val="0"/>
            <w:vAlign w:val="center"/>
          </w:tcPr>
          <w:p w14:paraId="6C13F911">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917" w:type="dxa"/>
            <w:vMerge w:val="continue"/>
            <w:tcBorders>
              <w:top w:val="single" w:color="auto" w:sz="4" w:space="0"/>
              <w:left w:val="single" w:color="auto" w:sz="4" w:space="0"/>
              <w:bottom w:val="single" w:color="auto" w:sz="4" w:space="0"/>
              <w:right w:val="single" w:color="auto" w:sz="4" w:space="0"/>
            </w:tcBorders>
            <w:noWrap w:val="0"/>
            <w:vAlign w:val="center"/>
          </w:tcPr>
          <w:p w14:paraId="77587C49">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15035B9F">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中级职称人员</w:t>
            </w:r>
          </w:p>
        </w:tc>
        <w:tc>
          <w:tcPr>
            <w:tcW w:w="2521" w:type="dxa"/>
            <w:gridSpan w:val="3"/>
            <w:tcBorders>
              <w:top w:val="single" w:color="auto" w:sz="4" w:space="0"/>
              <w:left w:val="single" w:color="auto" w:sz="4" w:space="0"/>
              <w:bottom w:val="single" w:color="auto" w:sz="4" w:space="0"/>
              <w:right w:val="single" w:color="auto" w:sz="4" w:space="0"/>
            </w:tcBorders>
            <w:noWrap w:val="0"/>
            <w:vAlign w:val="center"/>
          </w:tcPr>
          <w:p w14:paraId="64560D59">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6FE4DE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6EA9805E">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基本账户开户银行</w:t>
            </w:r>
          </w:p>
        </w:tc>
        <w:tc>
          <w:tcPr>
            <w:tcW w:w="1592" w:type="dxa"/>
            <w:gridSpan w:val="2"/>
            <w:tcBorders>
              <w:top w:val="single" w:color="auto" w:sz="4" w:space="0"/>
              <w:left w:val="single" w:color="auto" w:sz="4" w:space="0"/>
              <w:bottom w:val="single" w:color="auto" w:sz="4" w:space="0"/>
              <w:right w:val="single" w:color="auto" w:sz="4" w:space="0"/>
            </w:tcBorders>
            <w:noWrap w:val="0"/>
            <w:vAlign w:val="center"/>
          </w:tcPr>
          <w:p w14:paraId="36D98EB8">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917" w:type="dxa"/>
            <w:vMerge w:val="continue"/>
            <w:tcBorders>
              <w:top w:val="single" w:color="auto" w:sz="4" w:space="0"/>
              <w:left w:val="single" w:color="auto" w:sz="4" w:space="0"/>
              <w:bottom w:val="single" w:color="auto" w:sz="4" w:space="0"/>
              <w:right w:val="single" w:color="auto" w:sz="4" w:space="0"/>
            </w:tcBorders>
            <w:noWrap w:val="0"/>
            <w:vAlign w:val="center"/>
          </w:tcPr>
          <w:p w14:paraId="34F6E842">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E8F38FB">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初级职称人员</w:t>
            </w:r>
          </w:p>
        </w:tc>
        <w:tc>
          <w:tcPr>
            <w:tcW w:w="2521" w:type="dxa"/>
            <w:gridSpan w:val="3"/>
            <w:tcBorders>
              <w:top w:val="single" w:color="auto" w:sz="4" w:space="0"/>
              <w:left w:val="single" w:color="auto" w:sz="4" w:space="0"/>
              <w:bottom w:val="single" w:color="auto" w:sz="4" w:space="0"/>
              <w:right w:val="single" w:color="auto" w:sz="4" w:space="0"/>
            </w:tcBorders>
            <w:noWrap w:val="0"/>
            <w:vAlign w:val="center"/>
          </w:tcPr>
          <w:p w14:paraId="454C9686">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7F614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1E595137">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基本账户银行账号</w:t>
            </w:r>
          </w:p>
        </w:tc>
        <w:tc>
          <w:tcPr>
            <w:tcW w:w="1592" w:type="dxa"/>
            <w:gridSpan w:val="2"/>
            <w:tcBorders>
              <w:top w:val="single" w:color="auto" w:sz="4" w:space="0"/>
              <w:left w:val="single" w:color="auto" w:sz="4" w:space="0"/>
              <w:bottom w:val="single" w:color="auto" w:sz="4" w:space="0"/>
              <w:right w:val="single" w:color="auto" w:sz="4" w:space="0"/>
            </w:tcBorders>
            <w:noWrap w:val="0"/>
            <w:vAlign w:val="center"/>
          </w:tcPr>
          <w:p w14:paraId="30735415">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917" w:type="dxa"/>
            <w:vMerge w:val="continue"/>
            <w:tcBorders>
              <w:top w:val="single" w:color="auto" w:sz="4" w:space="0"/>
              <w:left w:val="single" w:color="auto" w:sz="4" w:space="0"/>
              <w:bottom w:val="single" w:color="auto" w:sz="4" w:space="0"/>
              <w:right w:val="single" w:color="auto" w:sz="4" w:space="0"/>
            </w:tcBorders>
            <w:noWrap w:val="0"/>
            <w:vAlign w:val="center"/>
          </w:tcPr>
          <w:p w14:paraId="70581F65">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709DF6FD">
            <w:pPr>
              <w:pStyle w:val="28"/>
              <w:pageBreakBefore w:val="0"/>
              <w:kinsoku/>
              <w:wordWrap w:val="0"/>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技工</w:t>
            </w:r>
          </w:p>
        </w:tc>
        <w:tc>
          <w:tcPr>
            <w:tcW w:w="2521" w:type="dxa"/>
            <w:gridSpan w:val="3"/>
            <w:tcBorders>
              <w:top w:val="single" w:color="auto" w:sz="4" w:space="0"/>
              <w:left w:val="single" w:color="auto" w:sz="4" w:space="0"/>
              <w:bottom w:val="single" w:color="auto" w:sz="4" w:space="0"/>
              <w:right w:val="single" w:color="auto" w:sz="4" w:space="0"/>
            </w:tcBorders>
            <w:noWrap w:val="0"/>
            <w:vAlign w:val="center"/>
          </w:tcPr>
          <w:p w14:paraId="2B1B99D7">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53722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right w:val="single" w:color="auto" w:sz="4" w:space="0"/>
            </w:tcBorders>
            <w:noWrap w:val="0"/>
            <w:vAlign w:val="center"/>
          </w:tcPr>
          <w:p w14:paraId="3A939DCF">
            <w:pPr>
              <w:pageBreakBefore w:val="0"/>
              <w:kinsoku/>
              <w:wordWrap w:val="0"/>
              <w:topLinePunct/>
              <w:bidi w:val="0"/>
              <w:spacing w:line="440" w:lineRule="exact"/>
              <w:ind w:firstLine="210" w:firstLineChars="10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经营范围</w:t>
            </w:r>
          </w:p>
        </w:tc>
        <w:tc>
          <w:tcPr>
            <w:tcW w:w="7021" w:type="dxa"/>
            <w:gridSpan w:val="8"/>
            <w:tcBorders>
              <w:top w:val="single" w:color="auto" w:sz="4" w:space="0"/>
              <w:left w:val="single" w:color="auto" w:sz="4" w:space="0"/>
              <w:right w:val="single" w:color="auto" w:sz="4" w:space="0"/>
            </w:tcBorders>
            <w:noWrap w:val="0"/>
            <w:vAlign w:val="center"/>
          </w:tcPr>
          <w:p w14:paraId="23815E30">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p w14:paraId="46A67361">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p w14:paraId="7C0DB353">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p w14:paraId="197A532F">
            <w:pPr>
              <w:pageBreakBefore w:val="0"/>
              <w:kinsoku/>
              <w:wordWrap w:val="0"/>
              <w:topLinePunct/>
              <w:bidi w:val="0"/>
              <w:spacing w:line="440" w:lineRule="exact"/>
              <w:rPr>
                <w:rFonts w:hint="default" w:ascii="Times New Roman" w:hAnsi="Times New Roman" w:cs="Times New Roman"/>
                <w:color w:val="auto"/>
                <w:szCs w:val="21"/>
                <w:highlight w:val="none"/>
              </w:rPr>
            </w:pPr>
          </w:p>
        </w:tc>
      </w:tr>
      <w:tr w14:paraId="7FCD8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78A051F3">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投标人关联企业情况</w:t>
            </w:r>
          </w:p>
        </w:tc>
        <w:tc>
          <w:tcPr>
            <w:tcW w:w="7021" w:type="dxa"/>
            <w:gridSpan w:val="8"/>
            <w:tcBorders>
              <w:top w:val="single" w:color="auto" w:sz="4" w:space="0"/>
              <w:left w:val="single" w:color="auto" w:sz="4" w:space="0"/>
              <w:bottom w:val="single" w:color="auto" w:sz="4" w:space="0"/>
              <w:right w:val="single" w:color="auto" w:sz="4" w:space="0"/>
            </w:tcBorders>
            <w:noWrap w:val="0"/>
            <w:vAlign w:val="center"/>
          </w:tcPr>
          <w:p w14:paraId="2EDCF5AD">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投标人应提供关联企业情况，包括：</w:t>
            </w:r>
          </w:p>
          <w:p w14:paraId="03949F91">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（1）投标人的所有股东名称及相应股权（出资额）比例；如投标人为上市公司，投标人应提供股权占公司股份总数</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%以上的所有股东名称及相应股权比例；</w:t>
            </w:r>
          </w:p>
          <w:p w14:paraId="5F313C4B">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（2）投标人投资（控股）或管理的下属企业名称、持有股权（出资额）比例；</w:t>
            </w:r>
          </w:p>
          <w:p w14:paraId="2CFA4340">
            <w:pPr>
              <w:pageBreakBefore w:val="0"/>
              <w:kinsoku/>
              <w:wordWrap w:val="0"/>
              <w:topLinePunct/>
              <w:bidi w:val="0"/>
              <w:spacing w:line="400" w:lineRule="atLeas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（3）与投标人单位负责人（即法定代表人）为同一人的其他单位名称</w:t>
            </w:r>
          </w:p>
          <w:p w14:paraId="64823836">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r w14:paraId="57DCA1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07" w:type="dxa"/>
            <w:tcBorders>
              <w:top w:val="single" w:color="auto" w:sz="4" w:space="0"/>
              <w:left w:val="single" w:color="auto" w:sz="4" w:space="0"/>
              <w:bottom w:val="single" w:color="auto" w:sz="4" w:space="0"/>
              <w:right w:val="single" w:color="auto" w:sz="4" w:space="0"/>
            </w:tcBorders>
            <w:noWrap w:val="0"/>
            <w:vAlign w:val="center"/>
          </w:tcPr>
          <w:p w14:paraId="3EEBDC21">
            <w:pPr>
              <w:pageBreakBefore w:val="0"/>
              <w:kinsoku/>
              <w:wordWrap w:val="0"/>
              <w:topLinePunct/>
              <w:bidi w:val="0"/>
              <w:spacing w:line="440" w:lineRule="exac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c>
          <w:tcPr>
            <w:tcW w:w="7021" w:type="dxa"/>
            <w:gridSpan w:val="8"/>
            <w:tcBorders>
              <w:top w:val="single" w:color="auto" w:sz="4" w:space="0"/>
              <w:left w:val="single" w:color="auto" w:sz="4" w:space="0"/>
              <w:bottom w:val="single" w:color="auto" w:sz="4" w:space="0"/>
              <w:right w:val="single" w:color="auto" w:sz="4" w:space="0"/>
            </w:tcBorders>
            <w:noWrap w:val="0"/>
            <w:vAlign w:val="center"/>
          </w:tcPr>
          <w:p w14:paraId="4B7E9B46">
            <w:pPr>
              <w:pageBreakBefore w:val="0"/>
              <w:kinsoku/>
              <w:wordWrap w:val="0"/>
              <w:topLinePunct/>
              <w:bidi w:val="0"/>
              <w:spacing w:line="440" w:lineRule="exact"/>
              <w:jc w:val="center"/>
              <w:rPr>
                <w:rFonts w:hint="default" w:ascii="Times New Roman" w:hAnsi="Times New Roman" w:cs="Times New Roman"/>
                <w:color w:val="auto"/>
                <w:szCs w:val="21"/>
                <w:highlight w:val="none"/>
              </w:rPr>
            </w:pPr>
          </w:p>
        </w:tc>
      </w:tr>
    </w:tbl>
    <w:p w14:paraId="37FFBF47">
      <w:pPr>
        <w:pageBreakBefore w:val="0"/>
        <w:widowControl/>
        <w:kinsoku/>
        <w:wordWrap w:val="0"/>
        <w:autoSpaceDE w:val="0"/>
        <w:autoSpaceDN w:val="0"/>
        <w:bidi w:val="0"/>
        <w:spacing w:line="400" w:lineRule="atLeast"/>
        <w:ind w:left="630" w:hanging="630" w:hangingChars="300"/>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第3.5.1项的要求在本表后附相关证明材料。</w:t>
      </w:r>
    </w:p>
    <w:p w14:paraId="1E3444CB">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2.以联合体形式参与投标的，联合体各成员应分别填写。</w:t>
      </w:r>
    </w:p>
    <w:p w14:paraId="0D145250">
      <w:pPr>
        <w:pageBreakBefore w:val="0"/>
        <w:kinsoku/>
        <w:wordWrap w:val="0"/>
        <w:bidi w:val="0"/>
        <w:spacing w:line="440" w:lineRule="exact"/>
        <w:jc w:val="center"/>
        <w:rPr>
          <w:rFonts w:hint="default" w:ascii="Times New Roman" w:hAnsi="Times New Roman" w:cs="Times New Roman"/>
          <w:color w:val="auto"/>
          <w:szCs w:val="21"/>
          <w:highlight w:val="none"/>
        </w:rPr>
      </w:pPr>
    </w:p>
    <w:p w14:paraId="7BC046CA">
      <w:pPr>
        <w:pStyle w:val="2"/>
        <w:pageBreakBefore w:val="0"/>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bookmarkStart w:id="1934" w:name="_Toc234833280"/>
      <w:bookmarkStart w:id="1935" w:name="_Toc18039"/>
      <w:bookmarkStart w:id="1936" w:name="_Toc11366"/>
      <w:bookmarkStart w:id="1937" w:name="_Toc32655"/>
      <w:r>
        <w:rPr>
          <w:rFonts w:hint="default" w:ascii="Times New Roman" w:hAnsi="Times New Roman" w:eastAsia="黑体" w:cs="Times New Roman"/>
          <w:b w:val="0"/>
          <w:color w:val="auto"/>
          <w:sz w:val="24"/>
          <w:szCs w:val="24"/>
          <w:highlight w:val="none"/>
        </w:rPr>
        <w:t>（二）投标人企业组织机构框图</w:t>
      </w:r>
      <w:bookmarkEnd w:id="1934"/>
      <w:bookmarkEnd w:id="1935"/>
      <w:bookmarkEnd w:id="1936"/>
      <w:bookmarkEnd w:id="1937"/>
    </w:p>
    <w:p w14:paraId="65BBC290">
      <w:pPr>
        <w:pageBreakBefore w:val="0"/>
        <w:widowControl/>
        <w:kinsoku/>
        <w:wordWrap w:val="0"/>
        <w:autoSpaceDE w:val="0"/>
        <w:autoSpaceDN w:val="0"/>
        <w:bidi w:val="0"/>
        <w:spacing w:line="400" w:lineRule="atLeast"/>
        <w:ind w:left="180"/>
        <w:jc w:val="center"/>
        <w:textAlignment w:val="bottom"/>
        <w:rPr>
          <w:rFonts w:hint="default" w:ascii="Times New Roman" w:hAnsi="Times New Roman" w:cs="Times New Roman"/>
          <w:color w:val="auto"/>
          <w:sz w:val="20"/>
          <w:szCs w:val="20"/>
          <w:highlight w:val="none"/>
        </w:rPr>
      </w:pPr>
    </w:p>
    <w:p w14:paraId="69A34FF8">
      <w:pPr>
        <w:pageBreakBefore w:val="0"/>
        <w:widowControl/>
        <w:kinsoku/>
        <w:wordWrap w:val="0"/>
        <w:autoSpaceDE w:val="0"/>
        <w:autoSpaceDN w:val="0"/>
        <w:bidi w:val="0"/>
        <w:spacing w:line="400" w:lineRule="atLeast"/>
        <w:ind w:left="180"/>
        <w:textAlignment w:val="bottom"/>
        <w:rPr>
          <w:rFonts w:hint="default" w:ascii="Times New Roman" w:hAnsi="Times New Roman" w:cs="Times New Roman"/>
          <w:color w:val="auto"/>
          <w:sz w:val="20"/>
          <w:szCs w:val="20"/>
          <w:highlight w:val="none"/>
        </w:rPr>
      </w:pPr>
    </w:p>
    <w:tbl>
      <w:tblPr>
        <w:tblStyle w:val="3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891"/>
      </w:tblGrid>
      <w:tr w14:paraId="415D1C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24" w:hRule="atLeast"/>
        </w:trPr>
        <w:tc>
          <w:tcPr>
            <w:tcW w:w="8891" w:type="dxa"/>
            <w:tcBorders>
              <w:bottom w:val="single" w:color="auto" w:sz="6" w:space="0"/>
            </w:tcBorders>
            <w:noWrap w:val="0"/>
            <w:vAlign w:val="top"/>
          </w:tcPr>
          <w:p w14:paraId="2E041C2D">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187A44E8">
            <w:pPr>
              <w:pageBreakBefore w:val="0"/>
              <w:kinsoku/>
              <w:wordWrap w:val="0"/>
              <w:bidi w:val="0"/>
              <w:spacing w:line="52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以框图方式表示。</w:t>
            </w:r>
          </w:p>
          <w:p w14:paraId="352F1E08">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7086CDD7">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3CBEC224">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4999D921">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1EB3CB0C">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34CFBAC4">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79C6D57C">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08D26BD5">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p w14:paraId="6BCA0337">
            <w:pPr>
              <w:pageBreakBefore w:val="0"/>
              <w:kinsoku/>
              <w:wordWrap w:val="0"/>
              <w:bidi w:val="0"/>
              <w:spacing w:line="400" w:lineRule="atLeast"/>
              <w:ind w:right="174" w:rightChars="83" w:firstLine="4"/>
              <w:rPr>
                <w:rFonts w:hint="default" w:ascii="Times New Roman" w:hAnsi="Times New Roman" w:cs="Times New Roman"/>
                <w:color w:val="auto"/>
                <w:szCs w:val="21"/>
                <w:highlight w:val="none"/>
              </w:rPr>
            </w:pPr>
          </w:p>
        </w:tc>
      </w:tr>
      <w:tr w14:paraId="412302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2" w:hRule="atLeast"/>
        </w:trPr>
        <w:tc>
          <w:tcPr>
            <w:tcW w:w="8891" w:type="dxa"/>
            <w:tcBorders>
              <w:bottom w:val="single" w:color="auto" w:sz="6" w:space="0"/>
            </w:tcBorders>
            <w:noWrap w:val="0"/>
            <w:vAlign w:val="top"/>
          </w:tcPr>
          <w:p w14:paraId="023AA4BE">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w:t>
            </w:r>
          </w:p>
          <w:p w14:paraId="69C1B34E">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3B5D579F">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7D2DA184">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p w14:paraId="3B243FDD">
            <w:pPr>
              <w:pageBreakBefore w:val="0"/>
              <w:kinsoku/>
              <w:wordWrap w:val="0"/>
              <w:bidi w:val="0"/>
              <w:spacing w:line="400" w:lineRule="atLeast"/>
              <w:ind w:left="266" w:right="174" w:rightChars="83" w:firstLine="4"/>
              <w:rPr>
                <w:rFonts w:hint="default" w:ascii="Times New Roman" w:hAnsi="Times New Roman" w:cs="Times New Roman"/>
                <w:color w:val="auto"/>
                <w:szCs w:val="21"/>
                <w:highlight w:val="none"/>
              </w:rPr>
            </w:pPr>
          </w:p>
        </w:tc>
      </w:tr>
    </w:tbl>
    <w:p w14:paraId="438C9BB1">
      <w:pPr>
        <w:pageBreakBefore w:val="0"/>
        <w:widowControl/>
        <w:kinsoku/>
        <w:wordWrap w:val="0"/>
        <w:autoSpaceDE w:val="0"/>
        <w:autoSpaceDN w:val="0"/>
        <w:bidi w:val="0"/>
        <w:spacing w:line="400" w:lineRule="atLeast"/>
        <w:ind w:left="180"/>
        <w:textAlignment w:val="bottom"/>
        <w:rPr>
          <w:rFonts w:hint="default" w:ascii="Times New Roman" w:hAnsi="Times New Roman" w:cs="Times New Roman"/>
          <w:color w:val="auto"/>
          <w:sz w:val="20"/>
          <w:szCs w:val="20"/>
          <w:highlight w:val="none"/>
        </w:rPr>
      </w:pPr>
    </w:p>
    <w:p w14:paraId="6B501820">
      <w:pPr>
        <w:pStyle w:val="2"/>
        <w:pageBreakBefore w:val="0"/>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bookmarkStart w:id="1938" w:name="_Toc5424"/>
      <w:bookmarkStart w:id="1939" w:name="_Toc234833282"/>
      <w:bookmarkStart w:id="1940" w:name="_Toc9070"/>
      <w:bookmarkStart w:id="1941" w:name="_Toc10365"/>
      <w:bookmarkStart w:id="1942" w:name="_Toc234833281"/>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三</w:t>
      </w:r>
      <w:r>
        <w:rPr>
          <w:rFonts w:hint="default" w:ascii="Times New Roman" w:hAnsi="Times New Roman" w:eastAsia="黑体" w:cs="Times New Roman"/>
          <w:b w:val="0"/>
          <w:color w:val="auto"/>
          <w:sz w:val="24"/>
          <w:szCs w:val="24"/>
          <w:highlight w:val="none"/>
        </w:rPr>
        <w:t>）近年财务状况</w:t>
      </w:r>
      <w:bookmarkEnd w:id="1938"/>
      <w:bookmarkEnd w:id="1939"/>
      <w:bookmarkEnd w:id="1940"/>
      <w:bookmarkEnd w:id="1941"/>
    </w:p>
    <w:p w14:paraId="073AB8AF">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5D5D663">
      <w:pPr>
        <w:pageBreakBefore w:val="0"/>
        <w:widowControl/>
        <w:kinsoku/>
        <w:wordWrap w:val="0"/>
        <w:autoSpaceDE w:val="0"/>
        <w:autoSpaceDN w:val="0"/>
        <w:bidi w:val="0"/>
        <w:spacing w:line="360" w:lineRule="atLeast"/>
        <w:ind w:left="180"/>
        <w:jc w:val="center"/>
        <w:textAlignment w:val="bottom"/>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财务状况表</w:t>
      </w:r>
    </w:p>
    <w:p w14:paraId="33D208EB">
      <w:pPr>
        <w:pageBreakBefore w:val="0"/>
        <w:kinsoku/>
        <w:wordWrap w:val="0"/>
        <w:bidi w:val="0"/>
        <w:spacing w:line="320" w:lineRule="atLeast"/>
        <w:jc w:val="center"/>
        <w:rPr>
          <w:rFonts w:hint="default" w:ascii="Times New Roman" w:hAnsi="Times New Roman" w:eastAsia="黑体" w:cs="Times New Roman"/>
          <w:b/>
          <w:color w:val="auto"/>
          <w:sz w:val="28"/>
          <w:highlight w:val="none"/>
        </w:rPr>
      </w:pPr>
    </w:p>
    <w:tbl>
      <w:tblPr>
        <w:tblStyle w:val="39"/>
        <w:tblW w:w="0" w:type="auto"/>
        <w:tblInd w:w="-77" w:type="dxa"/>
        <w:tblLayout w:type="fixed"/>
        <w:tblCellMar>
          <w:top w:w="0" w:type="dxa"/>
          <w:left w:w="28" w:type="dxa"/>
          <w:bottom w:w="0" w:type="dxa"/>
          <w:right w:w="28" w:type="dxa"/>
        </w:tblCellMar>
      </w:tblPr>
      <w:tblGrid>
        <w:gridCol w:w="4065"/>
        <w:gridCol w:w="900"/>
        <w:gridCol w:w="1320"/>
        <w:gridCol w:w="1320"/>
        <w:gridCol w:w="1320"/>
      </w:tblGrid>
      <w:tr w14:paraId="58CED476">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73F4DB31">
            <w:pPr>
              <w:pageBreakBefore w:val="0"/>
              <w:widowControl/>
              <w:kinsoku/>
              <w:wordWrap w:val="0"/>
              <w:autoSpaceDE w:val="0"/>
              <w:autoSpaceDN w:val="0"/>
              <w:bidi w:val="0"/>
              <w:spacing w:before="120" w:beforeLines="50" w:after="120" w:afterLines="50" w:line="320" w:lineRule="atLeast"/>
              <w:ind w:left="113"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项目或指标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1C8D46F">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单位</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6E97BBB5">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1320" w:type="dxa"/>
            <w:tcBorders>
              <w:top w:val="single" w:color="auto" w:sz="6" w:space="0"/>
              <w:left w:val="single" w:color="auto" w:sz="6" w:space="0"/>
              <w:bottom w:val="single" w:color="auto" w:sz="6" w:space="0"/>
              <w:right w:val="single" w:color="auto" w:sz="6" w:space="0"/>
            </w:tcBorders>
            <w:noWrap w:val="0"/>
            <w:vAlign w:val="top"/>
          </w:tcPr>
          <w:p w14:paraId="584DE2C6">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c>
          <w:tcPr>
            <w:tcW w:w="1320" w:type="dxa"/>
            <w:tcBorders>
              <w:top w:val="single" w:color="auto" w:sz="6" w:space="0"/>
              <w:left w:val="single" w:color="auto" w:sz="6" w:space="0"/>
              <w:bottom w:val="single" w:color="auto" w:sz="6" w:space="0"/>
              <w:right w:val="single" w:color="auto" w:sz="6" w:space="0"/>
            </w:tcBorders>
            <w:noWrap w:val="0"/>
            <w:vAlign w:val="top"/>
          </w:tcPr>
          <w:p w14:paraId="4FF809BB">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szCs w:val="21"/>
                <w:highlight w:val="none"/>
              </w:rPr>
              <w:t>年</w:t>
            </w:r>
          </w:p>
        </w:tc>
      </w:tr>
      <w:tr w14:paraId="3AD912E6">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1486C121">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 注册资本</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F5726A9">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53DDA01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1E308136">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3D98E4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3B932DF0">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0BC52251">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 净资产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77DAC42">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165D02B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2DA0D6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C7B6B7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75636CA">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0EEF99D7">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 总资产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3336BAE">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2DE7B26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DC4B17F">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842DB6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46B31AF2">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182873D2">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四、 固定资产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0864872F">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3F01B71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15AFA66">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E35F9F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1B7E2F4D">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77ACF32D">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五、 流动资产</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9AE9576">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192F49B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6A15D89">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3AC60FD">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1ED0A611">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6733D5BD">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六、 流动负债</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464A9D1">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3EDF07CE">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F6A34BC">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2B37ADC">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1F46BEC8">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59DE50EB">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七、 负债合计</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1CEEF109">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335D74B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A2538B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52CBFF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F6E8AB1">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29F0929A">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八、 营业收入</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57F289C">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33CF6AF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159C637">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835C39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EB17CD9">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4AC480F9">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九、 净利润</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7EC6326">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776DA2F1">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F2F98F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386DCBE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A14715A">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1AA006DF">
            <w:pPr>
              <w:pageBreakBefore w:val="0"/>
              <w:widowControl/>
              <w:kinsoku/>
              <w:wordWrap w:val="0"/>
              <w:autoSpaceDE w:val="0"/>
              <w:autoSpaceDN w:val="0"/>
              <w:bidi w:val="0"/>
              <w:spacing w:before="120" w:beforeLines="50" w:after="120" w:afterLines="50" w:line="320" w:lineRule="atLeast"/>
              <w:ind w:left="113" w:firstLine="13"/>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十、 现金流量净额</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62C495B">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万元</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5AD778B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DBAFB2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5989931">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1D88BD00">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1BE86D01">
            <w:pPr>
              <w:pageBreakBefore w:val="0"/>
              <w:widowControl/>
              <w:kinsoku/>
              <w:wordWrap w:val="0"/>
              <w:autoSpaceDE w:val="0"/>
              <w:autoSpaceDN w:val="0"/>
              <w:bidi w:val="0"/>
              <w:spacing w:before="120" w:beforeLines="50" w:after="120" w:afterLines="50" w:line="320" w:lineRule="atLeast"/>
              <w:ind w:left="840" w:hanging="714"/>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十一、 主要财务指标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01AE07B">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4" w:space="0"/>
              <w:bottom w:val="single" w:color="auto" w:sz="6" w:space="0"/>
              <w:right w:val="single" w:color="auto" w:sz="6" w:space="0"/>
            </w:tcBorders>
            <w:noWrap w:val="0"/>
            <w:vAlign w:val="top"/>
          </w:tcPr>
          <w:p w14:paraId="0F6B98FE">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8BE37AE">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16FDF659">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D92C649">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0033BAC4">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 净资产收益率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4B26C4ED">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20114566">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0F7A889">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5C3215A9">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5D6C8464">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39C7558A">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 总资产报酬率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61298D30">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60400EFF">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29FA1BC">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433BC282">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EADB80F">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1E159C15">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 主营业务利润率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2F281684">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1795C49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1D597AC4">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C4EDA8E">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2B4AE9FF">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7E3F7538">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 资产负债率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501B489F">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3406E48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784DFBD7">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6141053">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4D3786C0">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634ECC7A">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5. 流动比率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7C93D6FD">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7284475B">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244B1AB8">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0CF86776">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r w14:paraId="6BA6B13A">
        <w:tblPrEx>
          <w:tblCellMar>
            <w:top w:w="0" w:type="dxa"/>
            <w:left w:w="28" w:type="dxa"/>
            <w:bottom w:w="0" w:type="dxa"/>
            <w:right w:w="28" w:type="dxa"/>
          </w:tblCellMar>
        </w:tblPrEx>
        <w:trPr>
          <w:cantSplit/>
          <w:trHeight w:val="454" w:hRule="atLeast"/>
        </w:trPr>
        <w:tc>
          <w:tcPr>
            <w:tcW w:w="4065" w:type="dxa"/>
            <w:tcBorders>
              <w:top w:val="single" w:color="auto" w:sz="6" w:space="0"/>
              <w:left w:val="single" w:color="auto" w:sz="6" w:space="0"/>
              <w:bottom w:val="single" w:color="auto" w:sz="6" w:space="0"/>
              <w:right w:val="single" w:color="auto" w:sz="6" w:space="0"/>
            </w:tcBorders>
            <w:noWrap w:val="0"/>
            <w:vAlign w:val="center"/>
          </w:tcPr>
          <w:p w14:paraId="4CEFFE43">
            <w:pPr>
              <w:pageBreakBefore w:val="0"/>
              <w:widowControl/>
              <w:kinsoku/>
              <w:wordWrap w:val="0"/>
              <w:autoSpaceDE w:val="0"/>
              <w:autoSpaceDN w:val="0"/>
              <w:bidi w:val="0"/>
              <w:spacing w:before="120" w:beforeLines="50" w:after="120" w:afterLines="50" w:line="320" w:lineRule="atLeast"/>
              <w:ind w:left="73" w:leftChars="35" w:firstLine="850" w:firstLineChars="405"/>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6. 速动比率</w:t>
            </w:r>
          </w:p>
        </w:tc>
        <w:tc>
          <w:tcPr>
            <w:tcW w:w="900" w:type="dxa"/>
            <w:tcBorders>
              <w:top w:val="single" w:color="auto" w:sz="6" w:space="0"/>
              <w:left w:val="single" w:color="auto" w:sz="6" w:space="0"/>
              <w:bottom w:val="single" w:color="auto" w:sz="6" w:space="0"/>
              <w:right w:val="single" w:color="auto" w:sz="6" w:space="0"/>
            </w:tcBorders>
            <w:noWrap w:val="0"/>
            <w:vAlign w:val="center"/>
          </w:tcPr>
          <w:p w14:paraId="3D6D3A97">
            <w:pPr>
              <w:pageBreakBefore w:val="0"/>
              <w:widowControl/>
              <w:kinsoku/>
              <w:wordWrap w:val="0"/>
              <w:autoSpaceDE w:val="0"/>
              <w:autoSpaceDN w:val="0"/>
              <w:bidi w:val="0"/>
              <w:spacing w:before="120" w:beforeLines="50" w:after="120" w:afterLines="50" w:line="320" w:lineRule="atLeast"/>
              <w:ind w:firstLine="13"/>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320" w:type="dxa"/>
            <w:tcBorders>
              <w:top w:val="single" w:color="auto" w:sz="6" w:space="0"/>
              <w:left w:val="single" w:color="auto" w:sz="4" w:space="0"/>
              <w:bottom w:val="single" w:color="auto" w:sz="6" w:space="0"/>
              <w:right w:val="single" w:color="auto" w:sz="6" w:space="0"/>
            </w:tcBorders>
            <w:noWrap w:val="0"/>
            <w:vAlign w:val="top"/>
          </w:tcPr>
          <w:p w14:paraId="689DD700">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311A9DA">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c>
          <w:tcPr>
            <w:tcW w:w="1320" w:type="dxa"/>
            <w:tcBorders>
              <w:top w:val="single" w:color="auto" w:sz="6" w:space="0"/>
              <w:left w:val="single" w:color="auto" w:sz="6" w:space="0"/>
              <w:bottom w:val="single" w:color="auto" w:sz="6" w:space="0"/>
              <w:right w:val="single" w:color="auto" w:sz="6" w:space="0"/>
            </w:tcBorders>
            <w:noWrap w:val="0"/>
            <w:vAlign w:val="top"/>
          </w:tcPr>
          <w:p w14:paraId="6E948B5D">
            <w:pPr>
              <w:pageBreakBefore w:val="0"/>
              <w:widowControl/>
              <w:kinsoku/>
              <w:wordWrap w:val="0"/>
              <w:autoSpaceDE w:val="0"/>
              <w:autoSpaceDN w:val="0"/>
              <w:bidi w:val="0"/>
              <w:spacing w:before="120" w:beforeLines="50" w:after="120" w:afterLines="50" w:line="320" w:lineRule="atLeast"/>
              <w:ind w:firstLine="13"/>
              <w:jc w:val="right"/>
              <w:textAlignment w:val="bottom"/>
              <w:rPr>
                <w:rFonts w:hint="default" w:ascii="Times New Roman" w:hAnsi="Times New Roman" w:cs="Times New Roman"/>
                <w:color w:val="auto"/>
                <w:szCs w:val="21"/>
                <w:highlight w:val="none"/>
              </w:rPr>
            </w:pPr>
          </w:p>
        </w:tc>
      </w:tr>
    </w:tbl>
    <w:p w14:paraId="30139C36">
      <w:pPr>
        <w:pageBreakBefore w:val="0"/>
        <w:kinsoku/>
        <w:wordWrap w:val="0"/>
        <w:bidi w:val="0"/>
        <w:spacing w:line="400" w:lineRule="atLeast"/>
        <w:ind w:left="735" w:hanging="735" w:hangingChars="35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第3.5.2项的要求在本表后附相关证明材料。</w:t>
      </w:r>
    </w:p>
    <w:p w14:paraId="544A86A5">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2.本表所列数据必须与本表各附件中的数据相一致。</w:t>
      </w:r>
    </w:p>
    <w:p w14:paraId="3107659F">
      <w:pPr>
        <w:pageBreakBefore w:val="0"/>
        <w:kinsoku/>
        <w:wordWrap w:val="0"/>
        <w:bidi w:val="0"/>
        <w:spacing w:line="400" w:lineRule="atLeast"/>
        <w:ind w:left="399" w:leftChars="190"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3.以联合体形式参与投标的，联合体各成员</w:t>
      </w:r>
      <w:r>
        <w:rPr>
          <w:rFonts w:hint="default" w:ascii="Times New Roman" w:hAnsi="Times New Roman" w:cs="Times New Roman"/>
          <w:color w:val="auto"/>
          <w:szCs w:val="21"/>
          <w:highlight w:val="none"/>
          <w:lang w:val="en-US" w:eastAsia="zh-CN"/>
        </w:rPr>
        <w:t>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lang w:val="en-US" w:eastAsia="zh-CN"/>
        </w:rPr>
        <w:t>前附表附录2要求及第三章</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评标办法</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详细评审要求（如有）</w:t>
      </w:r>
      <w:r>
        <w:rPr>
          <w:rFonts w:hint="default" w:ascii="Times New Roman" w:hAnsi="Times New Roman" w:cs="Times New Roman"/>
          <w:color w:val="auto"/>
          <w:szCs w:val="21"/>
          <w:highlight w:val="none"/>
        </w:rPr>
        <w:t>分别填写。</w:t>
      </w:r>
    </w:p>
    <w:p w14:paraId="5E4F1AAA">
      <w:pPr>
        <w:pageBreakBefore w:val="0"/>
        <w:widowControl/>
        <w:kinsoku/>
        <w:wordWrap w:val="0"/>
        <w:autoSpaceDE w:val="0"/>
        <w:autoSpaceDN w:val="0"/>
        <w:bidi w:val="0"/>
        <w:spacing w:line="360" w:lineRule="atLeast"/>
        <w:ind w:left="180"/>
        <w:jc w:val="center"/>
        <w:textAlignment w:val="bottom"/>
        <w:rPr>
          <w:rFonts w:hint="default" w:ascii="Times New Roman" w:hAnsi="Times New Roman" w:eastAsia="黑体" w:cs="Times New Roman"/>
          <w:color w:val="auto"/>
          <w:sz w:val="24"/>
          <w:highlight w:val="none"/>
        </w:rPr>
      </w:pPr>
      <w:r>
        <w:rPr>
          <w:rFonts w:hint="default" w:ascii="Times New Roman" w:hAnsi="Times New Roman" w:cs="Times New Roman"/>
          <w:color w:val="auto"/>
          <w:highlight w:val="none"/>
        </w:rPr>
        <w:br w:type="page"/>
      </w:r>
      <w:r>
        <w:rPr>
          <w:rFonts w:hint="default" w:ascii="Times New Roman" w:hAnsi="Times New Roman" w:eastAsia="黑体" w:cs="Times New Roman"/>
          <w:color w:val="auto"/>
          <w:sz w:val="24"/>
          <w:highlight w:val="none"/>
        </w:rPr>
        <w:t>银行信贷证明</w:t>
      </w:r>
      <w:r>
        <w:rPr>
          <w:rStyle w:val="47"/>
          <w:rFonts w:hint="default" w:ascii="Times New Roman" w:hAnsi="Times New Roman" w:eastAsia="黑体" w:cs="Times New Roman"/>
          <w:color w:val="auto"/>
          <w:sz w:val="24"/>
          <w:highlight w:val="none"/>
        </w:rPr>
        <w:footnoteReference w:id="48"/>
      </w:r>
    </w:p>
    <w:p w14:paraId="0C99D55F">
      <w:pPr>
        <w:pageBreakBefore w:val="0"/>
        <w:kinsoku/>
        <w:wordWrap w:val="0"/>
        <w:bidi w:val="0"/>
        <w:spacing w:line="360" w:lineRule="atLeast"/>
        <w:jc w:val="center"/>
        <w:rPr>
          <w:rFonts w:hint="default" w:ascii="Times New Roman" w:hAnsi="Times New Roman" w:cs="Times New Roman"/>
          <w:color w:val="auto"/>
          <w:sz w:val="24"/>
          <w:highlight w:val="none"/>
        </w:rPr>
      </w:pPr>
    </w:p>
    <w:p w14:paraId="2E1C08AA">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银行名称：________________________________</w:t>
      </w:r>
    </w:p>
    <w:p w14:paraId="4B508D80">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址：________________________________</w:t>
      </w:r>
    </w:p>
    <w:p w14:paraId="2DAA0BAF">
      <w:pPr>
        <w:pageBreakBefore w:val="0"/>
        <w:kinsoku/>
        <w:wordWrap w:val="0"/>
        <w:autoSpaceDE w:val="0"/>
        <w:autoSpaceDN w:val="0"/>
        <w:bidi w:val="0"/>
        <w:adjustRightInd w:val="0"/>
        <w:spacing w:line="520" w:lineRule="atLeast"/>
        <w:jc w:val="righ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日期：_____________ </w:t>
      </w:r>
    </w:p>
    <w:p w14:paraId="33C4EFA4">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p>
    <w:p w14:paraId="001331A6">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致：</w:t>
      </w:r>
      <w:r>
        <w:rPr>
          <w:rFonts w:hint="default" w:ascii="Times New Roman" w:hAnsi="Times New Roman" w:cs="Times New Roman"/>
          <w:color w:val="auto"/>
          <w:sz w:val="24"/>
          <w:highlight w:val="none"/>
          <w:u w:val="single"/>
        </w:rPr>
        <w:t xml:space="preserve">    （招标人全称）    </w:t>
      </w:r>
    </w:p>
    <w:p w14:paraId="7E00799E">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p>
    <w:p w14:paraId="2D4445FC">
      <w:pPr>
        <w:pageBreakBefore w:val="0"/>
        <w:kinsoku/>
        <w:wordWrap w:val="0"/>
        <w:autoSpaceDE w:val="0"/>
        <w:autoSpaceDN w:val="0"/>
        <w:bidi w:val="0"/>
        <w:adjustRightInd w:val="0"/>
        <w:spacing w:line="400" w:lineRule="atLeast"/>
        <w:ind w:firstLine="5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兹开具最高限额为人民币</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万元的银行信贷，供</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（投标人注册地点）</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（投标人名称）于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日之前，在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（项目名称）需要时使用。我行保证由____________（投标人名称）提供的财务报表中所开列的作为流动资产的各项中无一项包含在上述提到的银行信贷中。</w:t>
      </w:r>
    </w:p>
    <w:p w14:paraId="77A6DF25">
      <w:pPr>
        <w:pageBreakBefore w:val="0"/>
        <w:kinsoku/>
        <w:wordWrap w:val="0"/>
        <w:autoSpaceDE w:val="0"/>
        <w:autoSpaceDN w:val="0"/>
        <w:bidi w:val="0"/>
        <w:adjustRightInd w:val="0"/>
        <w:spacing w:line="520" w:lineRule="atLeast"/>
        <w:ind w:firstLine="52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此项目若未中标，该信贷证明自动失效，无须退回我行。</w:t>
      </w:r>
    </w:p>
    <w:p w14:paraId="7795224C">
      <w:pPr>
        <w:pageBreakBefore w:val="0"/>
        <w:kinsoku/>
        <w:wordWrap w:val="0"/>
        <w:autoSpaceDE w:val="0"/>
        <w:autoSpaceDN w:val="0"/>
        <w:bidi w:val="0"/>
        <w:adjustRightInd w:val="0"/>
        <w:spacing w:line="520" w:lineRule="atLeast"/>
        <w:rPr>
          <w:rFonts w:hint="default" w:ascii="Times New Roman" w:hAnsi="Times New Roman" w:cs="Times New Roman"/>
          <w:color w:val="auto"/>
          <w:sz w:val="24"/>
          <w:highlight w:val="none"/>
        </w:rPr>
      </w:pPr>
    </w:p>
    <w:p w14:paraId="38821C78">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银          行（盖单位章）：</w:t>
      </w:r>
      <w:r>
        <w:rPr>
          <w:rFonts w:hint="default" w:ascii="Times New Roman" w:hAnsi="Times New Roman" w:cs="Times New Roman"/>
          <w:color w:val="auto"/>
          <w:sz w:val="24"/>
          <w:highlight w:val="none"/>
          <w:u w:val="single"/>
        </w:rPr>
        <w:t xml:space="preserve">                 </w:t>
      </w:r>
    </w:p>
    <w:p w14:paraId="01406F2E">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银行主要负责人（签字）：</w:t>
      </w:r>
      <w:r>
        <w:rPr>
          <w:rFonts w:hint="default" w:ascii="Times New Roman" w:hAnsi="Times New Roman" w:cs="Times New Roman"/>
          <w:color w:val="auto"/>
          <w:sz w:val="24"/>
          <w:highlight w:val="none"/>
          <w:u w:val="single"/>
        </w:rPr>
        <w:t xml:space="preserve">                     </w:t>
      </w:r>
    </w:p>
    <w:p w14:paraId="0CA87306">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银行主要负责人姓名、职务：</w:t>
      </w:r>
      <w:r>
        <w:rPr>
          <w:rFonts w:hint="default" w:ascii="Times New Roman" w:hAnsi="Times New Roman" w:cs="Times New Roman"/>
          <w:color w:val="auto"/>
          <w:sz w:val="24"/>
          <w:highlight w:val="none"/>
          <w:u w:val="single"/>
        </w:rPr>
        <w:t xml:space="preserve">     （打印）    </w:t>
      </w:r>
    </w:p>
    <w:p w14:paraId="32CFEDED">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    行    电    话：</w:t>
      </w:r>
      <w:r>
        <w:rPr>
          <w:rFonts w:hint="default" w:ascii="Times New Roman" w:hAnsi="Times New Roman" w:cs="Times New Roman"/>
          <w:color w:val="auto"/>
          <w:sz w:val="24"/>
          <w:highlight w:val="none"/>
          <w:u w:val="single"/>
        </w:rPr>
        <w:t xml:space="preserve">                    </w:t>
      </w:r>
    </w:p>
    <w:p w14:paraId="2D86B4A0">
      <w:pPr>
        <w:pageBreakBefore w:val="0"/>
        <w:kinsoku/>
        <w:wordWrap w:val="0"/>
        <w:autoSpaceDE w:val="0"/>
        <w:autoSpaceDN w:val="0"/>
        <w:bidi w:val="0"/>
        <w:adjustRightInd w:val="0"/>
        <w:spacing w:line="400" w:lineRule="atLeast"/>
        <w:ind w:firstLine="2640" w:firstLineChars="1100"/>
        <w:rPr>
          <w:rFonts w:hint="default" w:ascii="Times New Roman" w:hAnsi="Times New Roman" w:cs="Times New Roman"/>
          <w:color w:val="auto"/>
          <w:sz w:val="24"/>
          <w:highlight w:val="none"/>
          <w:u w:val="single"/>
        </w:rPr>
      </w:pPr>
      <w:r>
        <w:rPr>
          <w:rFonts w:hint="default" w:ascii="Times New Roman" w:hAnsi="Times New Roman" w:cs="Times New Roman"/>
          <w:color w:val="auto"/>
          <w:sz w:val="24"/>
          <w:highlight w:val="none"/>
        </w:rPr>
        <w:t>银    行    传    真：</w:t>
      </w:r>
      <w:r>
        <w:rPr>
          <w:rFonts w:hint="default" w:ascii="Times New Roman" w:hAnsi="Times New Roman" w:cs="Times New Roman"/>
          <w:color w:val="auto"/>
          <w:sz w:val="24"/>
          <w:highlight w:val="none"/>
          <w:u w:val="single"/>
        </w:rPr>
        <w:t xml:space="preserve">                    </w:t>
      </w:r>
    </w:p>
    <w:p w14:paraId="3BDECC80">
      <w:pPr>
        <w:pageBreakBefore w:val="0"/>
        <w:kinsoku/>
        <w:wordWrap w:val="0"/>
        <w:bidi w:val="0"/>
        <w:spacing w:line="320" w:lineRule="atLeast"/>
        <w:jc w:val="center"/>
        <w:rPr>
          <w:rFonts w:hint="default" w:ascii="Times New Roman" w:hAnsi="Times New Roman" w:cs="Times New Roman"/>
          <w:color w:val="auto"/>
          <w:sz w:val="24"/>
          <w:highlight w:val="none"/>
        </w:rPr>
      </w:pPr>
    </w:p>
    <w:p w14:paraId="11EE5127">
      <w:pPr>
        <w:pageBreakBefore w:val="0"/>
        <w:kinsoku/>
        <w:wordWrap w:val="0"/>
        <w:bidi w:val="0"/>
        <w:spacing w:line="320" w:lineRule="atLeast"/>
        <w:jc w:val="center"/>
        <w:rPr>
          <w:rFonts w:hint="default" w:ascii="Times New Roman" w:hAnsi="Times New Roman" w:cs="Times New Roman"/>
          <w:color w:val="auto"/>
          <w:sz w:val="24"/>
          <w:highlight w:val="none"/>
        </w:rPr>
      </w:pPr>
    </w:p>
    <w:p w14:paraId="32C8C2A3">
      <w:pPr>
        <w:pStyle w:val="30"/>
        <w:pageBreakBefore w:val="0"/>
        <w:kinsoku/>
        <w:wordWrap w:val="0"/>
        <w:bidi w:val="0"/>
        <w:spacing w:line="320" w:lineRule="atLeast"/>
        <w:ind w:left="1084" w:leftChars="216" w:hanging="630" w:hangingChars="3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注：允许投标人实际开具的银行信贷证明的格式与《</w:t>
      </w:r>
      <w:r>
        <w:rPr>
          <w:rFonts w:hint="default" w:ascii="Times New Roman" w:hAnsi="Times New Roman" w:cs="Times New Roman"/>
          <w:color w:val="auto"/>
          <w:sz w:val="21"/>
          <w:szCs w:val="21"/>
          <w:highlight w:val="none"/>
          <w:lang w:val="en-US" w:eastAsia="zh-CN"/>
        </w:rPr>
        <w:t>标准文件</w:t>
      </w:r>
      <w:r>
        <w:rPr>
          <w:rFonts w:hint="default" w:ascii="Times New Roman" w:hAnsi="Times New Roman" w:cs="Times New Roman"/>
          <w:color w:val="auto"/>
          <w:sz w:val="21"/>
          <w:szCs w:val="21"/>
          <w:highlight w:val="none"/>
        </w:rPr>
        <w:t>》提供的格式有所不同，但不得更改《</w:t>
      </w:r>
      <w:r>
        <w:rPr>
          <w:rFonts w:hint="default" w:ascii="Times New Roman" w:hAnsi="Times New Roman" w:cs="Times New Roman"/>
          <w:color w:val="auto"/>
          <w:sz w:val="21"/>
          <w:szCs w:val="21"/>
          <w:highlight w:val="none"/>
          <w:lang w:val="en-US" w:eastAsia="zh-CN"/>
        </w:rPr>
        <w:t>标准文件</w:t>
      </w:r>
      <w:r>
        <w:rPr>
          <w:rFonts w:hint="default" w:ascii="Times New Roman" w:hAnsi="Times New Roman" w:cs="Times New Roman"/>
          <w:color w:val="auto"/>
          <w:sz w:val="21"/>
          <w:szCs w:val="21"/>
          <w:highlight w:val="none"/>
        </w:rPr>
        <w:t>》提供的银行信贷证明格式中的实质性内容。</w:t>
      </w:r>
    </w:p>
    <w:p w14:paraId="132A5D08">
      <w:pPr>
        <w:pageBreakBefore w:val="0"/>
        <w:kinsoku/>
        <w:wordWrap w:val="0"/>
        <w:bidi w:val="0"/>
        <w:spacing w:line="320" w:lineRule="atLeast"/>
        <w:ind w:left="1155" w:leftChars="400" w:hanging="315" w:hangingChars="150"/>
        <w:rPr>
          <w:rFonts w:hint="default" w:ascii="Times New Roman" w:hAnsi="Times New Roman" w:cs="Times New Roman"/>
          <w:color w:val="auto"/>
          <w:szCs w:val="21"/>
          <w:highlight w:val="none"/>
        </w:rPr>
      </w:pPr>
    </w:p>
    <w:p w14:paraId="4D1A9DE0">
      <w:pPr>
        <w:pStyle w:val="2"/>
        <w:pageBreakBefore w:val="0"/>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r>
        <w:rPr>
          <w:rFonts w:hint="default" w:ascii="Times New Roman" w:hAnsi="Times New Roman" w:cs="Times New Roman"/>
          <w:color w:val="auto"/>
          <w:sz w:val="24"/>
          <w:highlight w:val="none"/>
        </w:rPr>
        <w:br w:type="page"/>
      </w:r>
      <w:bookmarkStart w:id="1943" w:name="_Toc21134"/>
      <w:bookmarkStart w:id="1944" w:name="_Toc11478"/>
      <w:bookmarkStart w:id="1945" w:name="_Toc234833283"/>
      <w:bookmarkStart w:id="1946" w:name="_Toc26877"/>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四</w:t>
      </w:r>
      <w:r>
        <w:rPr>
          <w:rFonts w:hint="default" w:ascii="Times New Roman" w:hAnsi="Times New Roman" w:eastAsia="黑体" w:cs="Times New Roman"/>
          <w:b w:val="0"/>
          <w:color w:val="auto"/>
          <w:sz w:val="24"/>
          <w:szCs w:val="24"/>
          <w:highlight w:val="none"/>
        </w:rPr>
        <w:t>）近年完成的类似项目情况表</w:t>
      </w:r>
      <w:bookmarkEnd w:id="1943"/>
      <w:bookmarkEnd w:id="1944"/>
      <w:bookmarkEnd w:id="1945"/>
      <w:bookmarkEnd w:id="1946"/>
    </w:p>
    <w:p w14:paraId="4EFE0AA0">
      <w:pPr>
        <w:pageBreakBefore w:val="0"/>
        <w:kinsoku/>
        <w:wordWrap w:val="0"/>
        <w:bidi w:val="0"/>
        <w:spacing w:line="440" w:lineRule="exact"/>
        <w:jc w:val="center"/>
        <w:rPr>
          <w:rFonts w:hint="default" w:ascii="Times New Roman" w:hAnsi="Times New Roman" w:eastAsia="黑体" w:cs="Times New Roman"/>
          <w:color w:val="auto"/>
          <w:sz w:val="23"/>
          <w:szCs w:val="23"/>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6524"/>
      </w:tblGrid>
      <w:tr w14:paraId="49D10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67" w:type="dxa"/>
            <w:noWrap w:val="0"/>
            <w:vAlign w:val="center"/>
          </w:tcPr>
          <w:p w14:paraId="07F61D67">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Cs w:val="21"/>
                <w:highlight w:val="none"/>
              </w:rPr>
              <w:t>序    号</w:t>
            </w:r>
          </w:p>
        </w:tc>
        <w:tc>
          <w:tcPr>
            <w:tcW w:w="6524" w:type="dxa"/>
            <w:noWrap w:val="0"/>
            <w:vAlign w:val="top"/>
          </w:tcPr>
          <w:p w14:paraId="7D054404">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0A21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67" w:type="dxa"/>
            <w:noWrap w:val="0"/>
            <w:vAlign w:val="center"/>
          </w:tcPr>
          <w:p w14:paraId="26D42E34">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项目名称</w:t>
            </w:r>
          </w:p>
        </w:tc>
        <w:tc>
          <w:tcPr>
            <w:tcW w:w="6524" w:type="dxa"/>
            <w:noWrap w:val="0"/>
            <w:vAlign w:val="top"/>
          </w:tcPr>
          <w:p w14:paraId="54B58D88">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4170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367" w:type="dxa"/>
            <w:noWrap w:val="0"/>
            <w:vAlign w:val="center"/>
          </w:tcPr>
          <w:p w14:paraId="355D76D6">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项目所在地</w:t>
            </w:r>
          </w:p>
        </w:tc>
        <w:tc>
          <w:tcPr>
            <w:tcW w:w="6524" w:type="dxa"/>
            <w:noWrap w:val="0"/>
            <w:vAlign w:val="top"/>
          </w:tcPr>
          <w:p w14:paraId="799044C4">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2EA2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367" w:type="dxa"/>
            <w:noWrap w:val="0"/>
            <w:vAlign w:val="center"/>
          </w:tcPr>
          <w:p w14:paraId="2C36FB6F">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发包人名称</w:t>
            </w:r>
          </w:p>
        </w:tc>
        <w:tc>
          <w:tcPr>
            <w:tcW w:w="6524" w:type="dxa"/>
            <w:noWrap w:val="0"/>
            <w:vAlign w:val="top"/>
          </w:tcPr>
          <w:p w14:paraId="12F76665">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433D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367" w:type="dxa"/>
            <w:noWrap w:val="0"/>
            <w:vAlign w:val="center"/>
          </w:tcPr>
          <w:p w14:paraId="745CDABA">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发包人地址</w:t>
            </w:r>
          </w:p>
        </w:tc>
        <w:tc>
          <w:tcPr>
            <w:tcW w:w="6524" w:type="dxa"/>
            <w:noWrap w:val="0"/>
            <w:vAlign w:val="top"/>
          </w:tcPr>
          <w:p w14:paraId="1F3987ED">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352C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67" w:type="dxa"/>
            <w:noWrap w:val="0"/>
            <w:vAlign w:val="center"/>
          </w:tcPr>
          <w:p w14:paraId="02B76342">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发包人电话</w:t>
            </w:r>
          </w:p>
        </w:tc>
        <w:tc>
          <w:tcPr>
            <w:tcW w:w="6524" w:type="dxa"/>
            <w:noWrap w:val="0"/>
            <w:vAlign w:val="top"/>
          </w:tcPr>
          <w:p w14:paraId="021436C1">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7C6A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67" w:type="dxa"/>
            <w:noWrap w:val="0"/>
            <w:vAlign w:val="center"/>
          </w:tcPr>
          <w:p w14:paraId="2EE9AA6C">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合同价格</w:t>
            </w:r>
          </w:p>
        </w:tc>
        <w:tc>
          <w:tcPr>
            <w:tcW w:w="6524" w:type="dxa"/>
            <w:noWrap w:val="0"/>
            <w:vAlign w:val="top"/>
          </w:tcPr>
          <w:p w14:paraId="4047D51F">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064F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67" w:type="dxa"/>
            <w:noWrap w:val="0"/>
            <w:vAlign w:val="center"/>
          </w:tcPr>
          <w:p w14:paraId="03D84655">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开工日期</w:t>
            </w:r>
          </w:p>
        </w:tc>
        <w:tc>
          <w:tcPr>
            <w:tcW w:w="6524" w:type="dxa"/>
            <w:noWrap w:val="0"/>
            <w:vAlign w:val="top"/>
          </w:tcPr>
          <w:p w14:paraId="1AC90539">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0603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367" w:type="dxa"/>
            <w:noWrap w:val="0"/>
            <w:vAlign w:val="center"/>
          </w:tcPr>
          <w:p w14:paraId="5E804E76">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交工日期</w:t>
            </w:r>
          </w:p>
        </w:tc>
        <w:tc>
          <w:tcPr>
            <w:tcW w:w="6524" w:type="dxa"/>
            <w:noWrap w:val="0"/>
            <w:vAlign w:val="top"/>
          </w:tcPr>
          <w:p w14:paraId="215F8DFA">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4ED3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367" w:type="dxa"/>
            <w:noWrap w:val="0"/>
            <w:vAlign w:val="center"/>
          </w:tcPr>
          <w:p w14:paraId="707B3510">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承担的工作</w:t>
            </w:r>
          </w:p>
        </w:tc>
        <w:tc>
          <w:tcPr>
            <w:tcW w:w="6524" w:type="dxa"/>
            <w:noWrap w:val="0"/>
            <w:vAlign w:val="top"/>
          </w:tcPr>
          <w:p w14:paraId="152CF1BE">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7151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367" w:type="dxa"/>
            <w:noWrap w:val="0"/>
            <w:vAlign w:val="center"/>
          </w:tcPr>
          <w:p w14:paraId="2104DE03">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工程质量</w:t>
            </w:r>
          </w:p>
        </w:tc>
        <w:tc>
          <w:tcPr>
            <w:tcW w:w="6524" w:type="dxa"/>
            <w:noWrap w:val="0"/>
            <w:vAlign w:val="top"/>
          </w:tcPr>
          <w:p w14:paraId="3E9772A7">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6150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367" w:type="dxa"/>
            <w:noWrap w:val="0"/>
            <w:vAlign w:val="center"/>
          </w:tcPr>
          <w:p w14:paraId="6BD1E8A1">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项目经理</w:t>
            </w:r>
          </w:p>
        </w:tc>
        <w:tc>
          <w:tcPr>
            <w:tcW w:w="6524" w:type="dxa"/>
            <w:noWrap w:val="0"/>
            <w:vAlign w:val="top"/>
          </w:tcPr>
          <w:p w14:paraId="3D4B8B2C">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1B23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67" w:type="dxa"/>
            <w:noWrap w:val="0"/>
            <w:vAlign w:val="center"/>
          </w:tcPr>
          <w:p w14:paraId="2AFDE1F4">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项目总工</w:t>
            </w:r>
          </w:p>
        </w:tc>
        <w:tc>
          <w:tcPr>
            <w:tcW w:w="6524" w:type="dxa"/>
            <w:noWrap w:val="0"/>
            <w:vAlign w:val="top"/>
          </w:tcPr>
          <w:p w14:paraId="374E6941">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2966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67" w:type="dxa"/>
            <w:noWrap w:val="0"/>
            <w:vAlign w:val="center"/>
          </w:tcPr>
          <w:p w14:paraId="4B3CA3AC">
            <w:pPr>
              <w:pageBreakBefore w:val="0"/>
              <w:kinsoku/>
              <w:wordWrap w:val="0"/>
              <w:topLinePunct/>
              <w:bidi w:val="0"/>
              <w:spacing w:line="440" w:lineRule="exact"/>
              <w:jc w:val="center"/>
              <w:rPr>
                <w:rFonts w:hint="default" w:ascii="Times New Roman" w:hAnsi="Times New Roman" w:eastAsia="宋体" w:cs="Times New Roman"/>
                <w:color w:val="auto"/>
                <w:sz w:val="20"/>
                <w:szCs w:val="20"/>
                <w:highlight w:val="none"/>
                <w:lang w:val="en-US" w:eastAsia="zh-CN"/>
              </w:rPr>
            </w:pPr>
            <w:r>
              <w:rPr>
                <w:rFonts w:hint="default" w:ascii="Times New Roman" w:hAnsi="Times New Roman" w:cs="Times New Roman"/>
                <w:color w:val="auto"/>
                <w:sz w:val="20"/>
                <w:szCs w:val="20"/>
                <w:highlight w:val="none"/>
              </w:rPr>
              <w:t>总监理工程师及</w:t>
            </w:r>
            <w:r>
              <w:rPr>
                <w:rFonts w:hint="eastAsia" w:cs="Times New Roman"/>
                <w:color w:val="auto"/>
                <w:sz w:val="20"/>
                <w:szCs w:val="20"/>
                <w:highlight w:val="none"/>
                <w:lang w:val="en-US" w:eastAsia="zh-CN"/>
              </w:rPr>
              <w:t>手机号</w:t>
            </w:r>
          </w:p>
        </w:tc>
        <w:tc>
          <w:tcPr>
            <w:tcW w:w="6524" w:type="dxa"/>
            <w:noWrap w:val="0"/>
            <w:vAlign w:val="top"/>
          </w:tcPr>
          <w:p w14:paraId="5CCEB541">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2FE5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367" w:type="dxa"/>
            <w:noWrap w:val="0"/>
            <w:vAlign w:val="center"/>
          </w:tcPr>
          <w:p w14:paraId="07EF052F">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项目描述</w:t>
            </w:r>
          </w:p>
        </w:tc>
        <w:tc>
          <w:tcPr>
            <w:tcW w:w="6524" w:type="dxa"/>
            <w:noWrap w:val="0"/>
            <w:vAlign w:val="top"/>
          </w:tcPr>
          <w:p w14:paraId="5A85FCB2">
            <w:pPr>
              <w:pageBreakBefore w:val="0"/>
              <w:kinsoku/>
              <w:wordWrap w:val="0"/>
              <w:topLinePunct/>
              <w:bidi w:val="0"/>
              <w:spacing w:line="440" w:lineRule="exact"/>
              <w:rPr>
                <w:rFonts w:hint="default" w:ascii="Times New Roman" w:hAnsi="Times New Roman" w:cs="Times New Roman"/>
                <w:color w:val="auto"/>
                <w:sz w:val="20"/>
                <w:szCs w:val="20"/>
                <w:highlight w:val="none"/>
              </w:rPr>
            </w:pPr>
          </w:p>
          <w:p w14:paraId="33EF9F40">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r w14:paraId="716D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67" w:type="dxa"/>
            <w:noWrap w:val="0"/>
            <w:vAlign w:val="center"/>
          </w:tcPr>
          <w:p w14:paraId="01AB4BFA">
            <w:pPr>
              <w:pageBreakBefore w:val="0"/>
              <w:kinsoku/>
              <w:wordWrap w:val="0"/>
              <w:topLinePunct/>
              <w:bidi w:val="0"/>
              <w:spacing w:line="440" w:lineRule="exact"/>
              <w:jc w:val="cente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备注</w:t>
            </w:r>
          </w:p>
        </w:tc>
        <w:tc>
          <w:tcPr>
            <w:tcW w:w="6524" w:type="dxa"/>
            <w:noWrap w:val="0"/>
            <w:vAlign w:val="top"/>
          </w:tcPr>
          <w:p w14:paraId="06CBDB3F">
            <w:pPr>
              <w:pageBreakBefore w:val="0"/>
              <w:kinsoku/>
              <w:wordWrap w:val="0"/>
              <w:topLinePunct/>
              <w:bidi w:val="0"/>
              <w:spacing w:line="440" w:lineRule="exact"/>
              <w:rPr>
                <w:rFonts w:hint="default" w:ascii="Times New Roman" w:hAnsi="Times New Roman" w:cs="Times New Roman"/>
                <w:color w:val="auto"/>
                <w:sz w:val="20"/>
                <w:szCs w:val="20"/>
                <w:highlight w:val="none"/>
              </w:rPr>
            </w:pPr>
          </w:p>
        </w:tc>
      </w:tr>
    </w:tbl>
    <w:p w14:paraId="1F87F4D0">
      <w:pPr>
        <w:pageBreakBefore w:val="0"/>
        <w:kinsoku/>
        <w:wordWrap w:val="0"/>
        <w:bidi w:val="0"/>
        <w:spacing w:line="400" w:lineRule="atLeast"/>
        <w:ind w:left="735" w:hanging="735" w:hanging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注：1.每张表格只填写一个项目，并标明序号。</w:t>
      </w:r>
    </w:p>
    <w:p w14:paraId="2FEF3C72">
      <w:pPr>
        <w:pageBreakBefore w:val="0"/>
        <w:kinsoku/>
        <w:wordWrap w:val="0"/>
        <w:bidi w:val="0"/>
        <w:spacing w:line="400" w:lineRule="atLeast"/>
        <w:ind w:left="588" w:leftChars="200" w:hanging="168" w:hangingChars="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第3.5.3项的要求在本表后附相关证明材料。</w:t>
      </w:r>
    </w:p>
    <w:p w14:paraId="7EB1C27A">
      <w:pPr>
        <w:pageBreakBefore w:val="0"/>
        <w:kinsoku/>
        <w:wordWrap w:val="0"/>
        <w:bidi w:val="0"/>
        <w:spacing w:line="400" w:lineRule="atLeast"/>
        <w:ind w:left="588" w:leftChars="200" w:hanging="168" w:hangingChars="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3.如近年来，投标人法人机构发生合法变更或重组或法人名称变更时，应提供相关部门的合法批件或其他相关证明材料来证明其所附业绩的继承性。</w:t>
      </w:r>
    </w:p>
    <w:p w14:paraId="767AB521">
      <w:pPr>
        <w:pageBreakBefore w:val="0"/>
        <w:kinsoku/>
        <w:wordWrap w:val="0"/>
        <w:bidi w:val="0"/>
        <w:spacing w:line="400" w:lineRule="atLeast"/>
        <w:ind w:left="609" w:leftChars="190" w:hanging="210" w:hangingChars="1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4.以联合体形式参与投标的，联合体各成员</w:t>
      </w:r>
      <w:r>
        <w:rPr>
          <w:rFonts w:hint="default" w:ascii="Times New Roman" w:hAnsi="Times New Roman" w:cs="Times New Roman"/>
          <w:color w:val="auto"/>
          <w:szCs w:val="21"/>
          <w:highlight w:val="none"/>
          <w:lang w:val="en-US" w:eastAsia="zh-CN"/>
        </w:rPr>
        <w:t>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lang w:val="en-US" w:eastAsia="zh-CN"/>
        </w:rPr>
        <w:t>前附表附录3要求及第三章</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评标办法</w:t>
      </w:r>
      <w:r>
        <w:rPr>
          <w:rFonts w:hint="eastAsia" w:ascii="宋体" w:hAnsi="宋体" w:eastAsia="宋体" w:cs="宋体"/>
          <w:color w:val="auto"/>
          <w:highlight w:val="none"/>
          <w:lang w:val="en-US" w:eastAsia="zh-CN"/>
        </w:rPr>
        <w:t>”</w:t>
      </w:r>
      <w:r>
        <w:rPr>
          <w:rFonts w:hint="default" w:ascii="Times New Roman" w:hAnsi="Times New Roman" w:cs="Times New Roman"/>
          <w:color w:val="auto"/>
          <w:highlight w:val="none"/>
          <w:lang w:val="en-US" w:eastAsia="zh-CN"/>
        </w:rPr>
        <w:t>详细评审要求（如有）</w:t>
      </w:r>
      <w:r>
        <w:rPr>
          <w:rFonts w:hint="default" w:ascii="Times New Roman" w:hAnsi="Times New Roman" w:cs="Times New Roman"/>
          <w:color w:val="auto"/>
          <w:szCs w:val="21"/>
          <w:highlight w:val="none"/>
        </w:rPr>
        <w:t>分别填写。</w:t>
      </w:r>
    </w:p>
    <w:p w14:paraId="0637D090">
      <w:pPr>
        <w:pageBreakBefore w:val="0"/>
        <w:kinsoku/>
        <w:wordWrap w:val="0"/>
        <w:bidi w:val="0"/>
        <w:spacing w:line="280" w:lineRule="exact"/>
        <w:rPr>
          <w:rFonts w:hint="default" w:ascii="Times New Roman" w:hAnsi="Times New Roman" w:eastAsia="黑体" w:cs="Times New Roman"/>
          <w:color w:val="auto"/>
          <w:sz w:val="23"/>
          <w:szCs w:val="23"/>
          <w:highlight w:val="none"/>
        </w:rPr>
      </w:pPr>
      <w:r>
        <w:rPr>
          <w:rFonts w:hint="default" w:ascii="Times New Roman" w:hAnsi="Times New Roman" w:eastAsia="黑体" w:cs="Times New Roman"/>
          <w:color w:val="auto"/>
          <w:sz w:val="23"/>
          <w:szCs w:val="23"/>
          <w:highlight w:val="none"/>
        </w:rPr>
        <w:br w:type="page"/>
      </w:r>
    </w:p>
    <w:p w14:paraId="25FFCC75">
      <w:pPr>
        <w:pStyle w:val="2"/>
        <w:pageBreakBefore w:val="0"/>
        <w:numPr>
          <w:ilvl w:val="0"/>
          <w:numId w:val="2"/>
        </w:numPr>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bookmarkStart w:id="1947" w:name="_Toc17918"/>
      <w:bookmarkStart w:id="1948" w:name="_Toc2693"/>
      <w:bookmarkStart w:id="1949" w:name="_Toc26533"/>
      <w:bookmarkStart w:id="1950" w:name="_Toc234833285"/>
      <w:r>
        <w:rPr>
          <w:rFonts w:hint="default" w:ascii="Times New Roman" w:hAnsi="Times New Roman" w:eastAsia="黑体" w:cs="Times New Roman"/>
          <w:b w:val="0"/>
          <w:color w:val="auto"/>
          <w:sz w:val="24"/>
          <w:szCs w:val="24"/>
          <w:highlight w:val="none"/>
        </w:rPr>
        <w:t>投标人的信誉情况表</w:t>
      </w:r>
      <w:bookmarkEnd w:id="1947"/>
      <w:bookmarkEnd w:id="1948"/>
      <w:bookmarkEnd w:id="1949"/>
    </w:p>
    <w:p w14:paraId="35EE932B">
      <w:pPr>
        <w:keepNext/>
        <w:keepLines/>
        <w:spacing w:before="80" w:after="64"/>
        <w:ind w:firstLine="566"/>
        <w:jc w:val="center"/>
        <w:rPr>
          <w:rFonts w:hint="default" w:eastAsia="黑体" w:cs="Times New Roman"/>
          <w:bCs/>
          <w:color w:val="auto"/>
          <w:kern w:val="0"/>
          <w:sz w:val="28"/>
          <w:szCs w:val="28"/>
          <w:highlight w:val="none"/>
          <w:lang w:val="en-US" w:eastAsia="zh-CN" w:bidi="zh-CN"/>
        </w:rPr>
      </w:pPr>
      <w:r>
        <w:rPr>
          <w:rFonts w:hint="eastAsia" w:eastAsia="黑体" w:cs="Times New Roman"/>
          <w:bCs/>
          <w:color w:val="auto"/>
          <w:kern w:val="0"/>
          <w:sz w:val="28"/>
          <w:szCs w:val="28"/>
          <w:highlight w:val="none"/>
          <w:lang w:val="en-US" w:eastAsia="zh-CN" w:bidi="zh-CN"/>
        </w:rPr>
        <w:t>5-1</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4BC0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4261" w:type="dxa"/>
            <w:noWrap w:val="0"/>
            <w:vAlign w:val="center"/>
          </w:tcPr>
          <w:p w14:paraId="3DE9AB8D">
            <w:pPr>
              <w:pageBreakBefore w:val="0"/>
              <w:kinsoku/>
              <w:wordWrap w:val="0"/>
              <w:topLinePunct/>
              <w:bidi w:val="0"/>
              <w:spacing w:line="400" w:lineRule="atLeast"/>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项 目</w:t>
            </w:r>
          </w:p>
        </w:tc>
        <w:tc>
          <w:tcPr>
            <w:tcW w:w="4261" w:type="dxa"/>
            <w:noWrap w:val="0"/>
            <w:vAlign w:val="center"/>
          </w:tcPr>
          <w:p w14:paraId="5B53E61B">
            <w:pPr>
              <w:pageBreakBefore w:val="0"/>
              <w:kinsoku/>
              <w:wordWrap w:val="0"/>
              <w:topLinePunct/>
              <w:bidi w:val="0"/>
              <w:spacing w:line="400" w:lineRule="atLeast"/>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投标人情况说明</w:t>
            </w:r>
          </w:p>
        </w:tc>
      </w:tr>
      <w:tr w14:paraId="7DFE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7DBA19F7">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653B4301">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303C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52B4E172">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3D4CA4D8">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5770B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2B22E440">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2688841A">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4FC1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5E3CBDE0">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04086B68">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5B15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177543E7">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5EBD92C1">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2F61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051F34C8">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52C18646">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6330D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4F70C72A">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0AB0FAAE">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r w14:paraId="349A1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261" w:type="dxa"/>
            <w:noWrap w:val="0"/>
            <w:vAlign w:val="top"/>
          </w:tcPr>
          <w:p w14:paraId="18A8376A">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c>
          <w:tcPr>
            <w:tcW w:w="4261" w:type="dxa"/>
            <w:noWrap w:val="0"/>
            <w:vAlign w:val="top"/>
          </w:tcPr>
          <w:p w14:paraId="7A5D2D3D">
            <w:pPr>
              <w:pageBreakBefore w:val="0"/>
              <w:kinsoku/>
              <w:wordWrap w:val="0"/>
              <w:topLinePunct/>
              <w:bidi w:val="0"/>
              <w:spacing w:line="400" w:lineRule="atLeast"/>
              <w:rPr>
                <w:rFonts w:hint="default" w:ascii="Times New Roman" w:hAnsi="Times New Roman" w:cs="Times New Roman"/>
                <w:bCs/>
                <w:color w:val="auto"/>
                <w:sz w:val="20"/>
                <w:szCs w:val="20"/>
                <w:highlight w:val="none"/>
              </w:rPr>
            </w:pPr>
          </w:p>
        </w:tc>
      </w:tr>
    </w:tbl>
    <w:p w14:paraId="27DEDE1A">
      <w:pPr>
        <w:keepNext w:val="0"/>
        <w:keepLines w:val="0"/>
        <w:pageBreakBefore w:val="0"/>
        <w:widowControl w:val="0"/>
        <w:kinsoku/>
        <w:wordWrap w:val="0"/>
        <w:overflowPunct/>
        <w:topLinePunct w:val="0"/>
        <w:autoSpaceDE/>
        <w:autoSpaceDN/>
        <w:bidi w:val="0"/>
        <w:adjustRightInd/>
        <w:snapToGrid/>
        <w:spacing w:line="400" w:lineRule="atLeast"/>
        <w:ind w:left="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注：1.投标人应按照招标文件第二章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前附表附录4和</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正文第1.4.4项规定，逐条说明其信誉情况。</w:t>
      </w:r>
      <w:bookmarkEnd w:id="1950"/>
    </w:p>
    <w:p w14:paraId="400AEA43">
      <w:pPr>
        <w:keepNext w:val="0"/>
        <w:keepLines w:val="0"/>
        <w:pageBreakBefore w:val="0"/>
        <w:widowControl w:val="0"/>
        <w:kinsoku/>
        <w:wordWrap w:val="0"/>
        <w:overflowPunct/>
        <w:topLinePunct w:val="0"/>
        <w:autoSpaceDE/>
        <w:autoSpaceDN/>
        <w:bidi w:val="0"/>
        <w:adjustRightInd/>
        <w:snapToGrid/>
        <w:spacing w:line="400" w:lineRule="atLeast"/>
        <w:ind w:left="0" w:firstLine="420" w:firstLineChars="200"/>
        <w:textAlignment w:val="auto"/>
        <w:rPr>
          <w:rFonts w:hint="default" w:ascii="Times New Roman" w:hAnsi="Times New Roman" w:cs="Times New Roman"/>
          <w:color w:val="auto"/>
          <w:szCs w:val="21"/>
          <w:highlight w:val="none"/>
        </w:rPr>
      </w:pPr>
      <w:bookmarkStart w:id="1951" w:name="_Hlk493477915"/>
      <w:r>
        <w:rPr>
          <w:rFonts w:hint="default" w:ascii="Times New Roman" w:hAnsi="Times New Roman" w:cs="Times New Roman"/>
          <w:color w:val="auto"/>
          <w:szCs w:val="21"/>
          <w:highlight w:val="none"/>
        </w:rPr>
        <w:t>2.</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第3.5.4项的要求在本表后附相关证明材料。</w:t>
      </w:r>
      <w:bookmarkEnd w:id="1951"/>
    </w:p>
    <w:p w14:paraId="57DD511D">
      <w:pPr>
        <w:keepNext w:val="0"/>
        <w:keepLines w:val="0"/>
        <w:pageBreakBefore w:val="0"/>
        <w:widowControl w:val="0"/>
        <w:kinsoku/>
        <w:wordWrap w:val="0"/>
        <w:overflowPunct/>
        <w:topLinePunct w:val="0"/>
        <w:autoSpaceDE/>
        <w:autoSpaceDN/>
        <w:bidi w:val="0"/>
        <w:adjustRightInd/>
        <w:snapToGrid/>
        <w:spacing w:line="400" w:lineRule="atLeast"/>
        <w:ind w:left="0" w:firstLine="420" w:firstLineChars="200"/>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3.以联合体形式参与投标的，联合体各成员应分别填写。</w:t>
      </w:r>
    </w:p>
    <w:p w14:paraId="0FD32F4B">
      <w:pPr>
        <w:pStyle w:val="2"/>
        <w:pageBreakBefore w:val="0"/>
        <w:kinsoku/>
        <w:wordWrap w:val="0"/>
        <w:bidi w:val="0"/>
        <w:spacing w:before="0" w:after="0" w:line="380" w:lineRule="atLeast"/>
        <w:jc w:val="center"/>
        <w:outlineLvl w:val="9"/>
        <w:rPr>
          <w:rFonts w:hint="default" w:ascii="Times New Roman" w:hAnsi="Times New Roman" w:cs="Times New Roman"/>
          <w:b w:val="0"/>
          <w:bCs w:val="0"/>
          <w:color w:val="auto"/>
          <w:kern w:val="2"/>
          <w:sz w:val="21"/>
          <w:szCs w:val="21"/>
          <w:highlight w:val="none"/>
          <w:lang w:val="en-US" w:eastAsia="zh-CN"/>
        </w:rPr>
        <w:sectPr>
          <w:headerReference r:id="rId45" w:type="default"/>
          <w:footerReference r:id="rId46" w:type="default"/>
          <w:footnotePr>
            <w:numFmt w:val="decimalEnclosedCircleChinese"/>
            <w:numRestart w:val="eachPage"/>
          </w:footnotePr>
          <w:type w:val="continuous"/>
          <w:pgSz w:w="11906" w:h="16838"/>
          <w:pgMar w:top="1984" w:right="1800" w:bottom="1440" w:left="1800" w:header="851" w:footer="992" w:gutter="0"/>
          <w:pgNumType w:fmt="decimal"/>
          <w:cols w:space="425" w:num="1"/>
          <w:docGrid w:type="lines" w:linePitch="312" w:charSpace="0"/>
        </w:sectPr>
      </w:pPr>
    </w:p>
    <w:p w14:paraId="6EA928E2">
      <w:pPr>
        <w:keepNext/>
        <w:keepLines/>
        <w:spacing w:before="80" w:after="64"/>
        <w:ind w:firstLine="566"/>
        <w:jc w:val="center"/>
        <w:rPr>
          <w:rFonts w:hint="default" w:ascii="Times New Roman" w:hAnsi="Times New Roman" w:eastAsia="黑体" w:cs="Times New Roman"/>
          <w:bCs/>
          <w:color w:val="auto"/>
          <w:kern w:val="0"/>
          <w:sz w:val="28"/>
          <w:szCs w:val="28"/>
          <w:highlight w:val="none"/>
          <w:lang w:val="en-US" w:bidi="zh-CN"/>
        </w:rPr>
      </w:pPr>
      <w:r>
        <w:rPr>
          <w:rFonts w:hint="eastAsia" w:eastAsia="黑体" w:cs="Times New Roman"/>
          <w:bCs/>
          <w:color w:val="auto"/>
          <w:kern w:val="0"/>
          <w:sz w:val="28"/>
          <w:szCs w:val="28"/>
          <w:highlight w:val="none"/>
          <w:lang w:val="en-US" w:bidi="zh-CN"/>
        </w:rPr>
        <w:t>5-2</w:t>
      </w:r>
    </w:p>
    <w:tbl>
      <w:tblPr>
        <w:tblStyle w:val="3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1"/>
        <w:gridCol w:w="1551"/>
        <w:gridCol w:w="1896"/>
        <w:gridCol w:w="1896"/>
        <w:gridCol w:w="1896"/>
      </w:tblGrid>
      <w:tr w14:paraId="77A6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752" w:type="pct"/>
            <w:noWrap w:val="0"/>
            <w:vAlign w:val="center"/>
          </w:tcPr>
          <w:p w14:paraId="622ECF6E">
            <w:pPr>
              <w:pageBreakBefore w:val="0"/>
              <w:kinsoku/>
              <w:wordWrap w:val="0"/>
              <w:topLinePunct/>
              <w:bidi w:val="0"/>
              <w:spacing w:line="400" w:lineRule="atLeast"/>
              <w:jc w:val="center"/>
              <w:rPr>
                <w:rFonts w:hint="eastAsia" w:ascii="Times New Roman" w:hAnsi="Times New Roman" w:eastAsia="宋体" w:cs="Times New Roman"/>
                <w:bCs/>
                <w:color w:val="auto"/>
                <w:szCs w:val="21"/>
                <w:highlight w:val="none"/>
                <w:lang w:eastAsia="zh-CN"/>
              </w:rPr>
            </w:pPr>
            <w:r>
              <w:rPr>
                <w:rFonts w:hint="eastAsia" w:cs="Times New Roman"/>
                <w:bCs/>
                <w:color w:val="auto"/>
                <w:szCs w:val="21"/>
                <w:highlight w:val="none"/>
                <w:lang w:val="en-US" w:eastAsia="zh-CN"/>
              </w:rPr>
              <w:t>评年度价</w:t>
            </w:r>
          </w:p>
        </w:tc>
        <w:tc>
          <w:tcPr>
            <w:tcW w:w="910" w:type="pct"/>
            <w:noWrap w:val="0"/>
            <w:vAlign w:val="center"/>
          </w:tcPr>
          <w:p w14:paraId="0F803C1D">
            <w:pPr>
              <w:pageBreakBefore w:val="0"/>
              <w:kinsoku/>
              <w:wordWrap w:val="0"/>
              <w:topLinePunct/>
              <w:bidi w:val="0"/>
              <w:spacing w:line="400" w:lineRule="atLeast"/>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评价机构</w:t>
            </w:r>
          </w:p>
        </w:tc>
        <w:tc>
          <w:tcPr>
            <w:tcW w:w="1112" w:type="pct"/>
            <w:noWrap w:val="0"/>
            <w:vAlign w:val="center"/>
          </w:tcPr>
          <w:p w14:paraId="5A8E0F9F">
            <w:pPr>
              <w:pageBreakBefore w:val="0"/>
              <w:kinsoku/>
              <w:wordWrap w:val="0"/>
              <w:topLinePunct/>
              <w:bidi w:val="0"/>
              <w:spacing w:line="400" w:lineRule="atLeast"/>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信用评价等级</w:t>
            </w:r>
          </w:p>
        </w:tc>
        <w:tc>
          <w:tcPr>
            <w:tcW w:w="1112" w:type="pct"/>
            <w:noWrap w:val="0"/>
            <w:vAlign w:val="center"/>
          </w:tcPr>
          <w:p w14:paraId="1AE7FC8D">
            <w:pPr>
              <w:pageBreakBefore w:val="0"/>
              <w:kinsoku/>
              <w:wordWrap w:val="0"/>
              <w:topLinePunct/>
              <w:bidi w:val="0"/>
              <w:spacing w:line="400" w:lineRule="atLeast"/>
              <w:jc w:val="center"/>
              <w:rPr>
                <w:rFonts w:hint="eastAsia"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评价信息公示网站地址</w:t>
            </w:r>
          </w:p>
        </w:tc>
        <w:tc>
          <w:tcPr>
            <w:tcW w:w="1112" w:type="pct"/>
            <w:noWrap w:val="0"/>
            <w:vAlign w:val="center"/>
          </w:tcPr>
          <w:p w14:paraId="33160C4D">
            <w:pPr>
              <w:pageBreakBefore w:val="0"/>
              <w:kinsoku/>
              <w:wordWrap w:val="0"/>
              <w:topLinePunct/>
              <w:bidi w:val="0"/>
              <w:spacing w:line="400" w:lineRule="atLeast"/>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有效期</w:t>
            </w:r>
          </w:p>
        </w:tc>
      </w:tr>
      <w:tr w14:paraId="3A97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1F000C11">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527E1FB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17FF9099">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1EC30AE1">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4EE065D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5C36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3ED1CAB6">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2C74612D">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4569E108">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0F765334">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2B9436B9">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07EF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362A3EB5">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7744212F">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51D9B9D4">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329724BF">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0A493818">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69D9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328C1BB3">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291AA96B">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67D3A53A">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086194BE">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1424BA69">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3D14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6F8E7AB7">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4A169F98">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6997E3B9">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7A08DF65">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6BC1549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3995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7BD2DB5B">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1A29936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0487180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38B3E767">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5D70ED8A">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5017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48DC925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6169F09B">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11AB8FB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22BDDE84">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50614002">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r w14:paraId="39100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52" w:type="pct"/>
            <w:noWrap w:val="0"/>
            <w:vAlign w:val="center"/>
          </w:tcPr>
          <w:p w14:paraId="7A05491D">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910" w:type="pct"/>
            <w:noWrap w:val="0"/>
            <w:vAlign w:val="center"/>
          </w:tcPr>
          <w:p w14:paraId="0FB1158A">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350495DC">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6AB2D304">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c>
          <w:tcPr>
            <w:tcW w:w="1112" w:type="pct"/>
            <w:noWrap w:val="0"/>
            <w:vAlign w:val="center"/>
          </w:tcPr>
          <w:p w14:paraId="1395E245">
            <w:pPr>
              <w:pageBreakBefore w:val="0"/>
              <w:kinsoku/>
              <w:wordWrap w:val="0"/>
              <w:topLinePunct/>
              <w:bidi w:val="0"/>
              <w:spacing w:line="400" w:lineRule="atLeast"/>
              <w:jc w:val="center"/>
              <w:rPr>
                <w:rFonts w:hint="default" w:ascii="Times New Roman" w:hAnsi="Times New Roman" w:cs="Times New Roman"/>
                <w:bCs/>
                <w:color w:val="auto"/>
                <w:sz w:val="20"/>
                <w:szCs w:val="20"/>
                <w:highlight w:val="none"/>
              </w:rPr>
            </w:pPr>
          </w:p>
        </w:tc>
      </w:tr>
    </w:tbl>
    <w:p w14:paraId="693F5ED4">
      <w:pPr>
        <w:keepNext/>
        <w:keepLines/>
        <w:spacing w:before="80" w:after="64"/>
        <w:ind w:firstLine="566"/>
        <w:jc w:val="center"/>
        <w:rPr>
          <w:rFonts w:hint="default" w:ascii="Times New Roman" w:hAnsi="Times New Roman" w:eastAsia="黑体" w:cs="Times New Roman"/>
          <w:bCs/>
          <w:color w:val="auto"/>
          <w:kern w:val="0"/>
          <w:sz w:val="28"/>
          <w:szCs w:val="28"/>
          <w:highlight w:val="none"/>
          <w:lang w:val="zh-CN" w:bidi="zh-CN"/>
        </w:rPr>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1016A64D">
      <w:pPr>
        <w:keepNext/>
        <w:keepLines/>
        <w:spacing w:before="80" w:after="64"/>
        <w:ind w:firstLine="566"/>
        <w:jc w:val="center"/>
        <w:rPr>
          <w:rFonts w:hint="default" w:ascii="Times New Roman" w:hAnsi="Times New Roman" w:eastAsia="黑体" w:cs="Times New Roman"/>
          <w:bCs/>
          <w:color w:val="auto"/>
          <w:kern w:val="0"/>
          <w:sz w:val="28"/>
          <w:szCs w:val="28"/>
          <w:highlight w:val="none"/>
          <w:lang w:val="zh-CN" w:bidi="zh-CN"/>
        </w:rPr>
      </w:pPr>
      <w:r>
        <w:rPr>
          <w:rFonts w:hint="default" w:ascii="Times New Roman" w:hAnsi="Times New Roman" w:eastAsia="黑体" w:cs="Times New Roman"/>
          <w:bCs/>
          <w:color w:val="auto"/>
          <w:kern w:val="0"/>
          <w:sz w:val="28"/>
          <w:szCs w:val="28"/>
          <w:highlight w:val="none"/>
          <w:lang w:val="zh-CN" w:bidi="zh-CN"/>
        </w:rPr>
        <w:t>无行贿犯罪行为承诺函（格式）</w:t>
      </w:r>
    </w:p>
    <w:p w14:paraId="08994C6A">
      <w:pPr>
        <w:spacing w:line="360" w:lineRule="auto"/>
        <w:ind w:firstLine="480" w:firstLineChars="200"/>
        <w:rPr>
          <w:rFonts w:hint="default" w:ascii="Times New Roman" w:hAnsi="Times New Roman" w:cs="Times New Roman"/>
          <w:color w:val="auto"/>
          <w:sz w:val="24"/>
          <w:szCs w:val="22"/>
          <w:highlight w:val="none"/>
        </w:rPr>
      </w:pPr>
    </w:p>
    <w:p w14:paraId="69332321">
      <w:pPr>
        <w:spacing w:line="360" w:lineRule="auto"/>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致：</w:t>
      </w:r>
      <w:r>
        <w:rPr>
          <w:rFonts w:hint="default" w:ascii="Times New Roman" w:hAnsi="Times New Roman" w:cs="Times New Roman"/>
          <w:color w:val="auto"/>
          <w:sz w:val="24"/>
          <w:szCs w:val="22"/>
          <w:highlight w:val="none"/>
          <w:u w:val="single"/>
        </w:rPr>
        <w:t xml:space="preserve">  （招标人全称）  </w:t>
      </w:r>
      <w:r>
        <w:rPr>
          <w:rFonts w:hint="default" w:ascii="Times New Roman" w:hAnsi="Times New Roman" w:cs="Times New Roman"/>
          <w:color w:val="auto"/>
          <w:sz w:val="24"/>
          <w:szCs w:val="22"/>
          <w:highlight w:val="none"/>
        </w:rPr>
        <w:t>：</w:t>
      </w:r>
    </w:p>
    <w:p w14:paraId="06F18A6A">
      <w:pPr>
        <w:spacing w:line="360" w:lineRule="auto"/>
        <w:ind w:firstLine="480" w:firstLineChars="2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我单位承诺：在近三年内（</w:t>
      </w:r>
      <w:r>
        <w:rPr>
          <w:rFonts w:hint="default" w:ascii="Times New Roman" w:hAnsi="Times New Roman" w:cs="Times New Roman"/>
          <w:color w:val="auto"/>
          <w:sz w:val="24"/>
          <w:szCs w:val="22"/>
          <w:highlight w:val="none"/>
          <w:u w:val="single"/>
        </w:rPr>
        <w:t xml:space="preserve">   </w:t>
      </w:r>
      <w:r>
        <w:rPr>
          <w:rFonts w:hint="default" w:ascii="Times New Roman" w:hAnsi="Times New Roman" w:cs="Times New Roman"/>
          <w:color w:val="auto"/>
          <w:sz w:val="24"/>
          <w:szCs w:val="22"/>
          <w:highlight w:val="none"/>
        </w:rPr>
        <w:t>年</w:t>
      </w:r>
      <w:r>
        <w:rPr>
          <w:rFonts w:hint="default" w:ascii="Times New Roman" w:hAnsi="Times New Roman" w:cs="Times New Roman"/>
          <w:color w:val="auto"/>
          <w:sz w:val="24"/>
          <w:szCs w:val="22"/>
          <w:highlight w:val="none"/>
          <w:u w:val="single"/>
        </w:rPr>
        <w:t xml:space="preserve">   </w:t>
      </w:r>
      <w:r>
        <w:rPr>
          <w:rFonts w:hint="default" w:ascii="Times New Roman" w:hAnsi="Times New Roman" w:cs="Times New Roman"/>
          <w:color w:val="auto"/>
          <w:sz w:val="24"/>
          <w:szCs w:val="22"/>
          <w:highlight w:val="none"/>
        </w:rPr>
        <w:t>月</w:t>
      </w:r>
      <w:r>
        <w:rPr>
          <w:rFonts w:hint="default" w:ascii="Times New Roman" w:hAnsi="Times New Roman" w:cs="Times New Roman"/>
          <w:color w:val="auto"/>
          <w:sz w:val="24"/>
          <w:szCs w:val="22"/>
          <w:highlight w:val="none"/>
          <w:u w:val="single"/>
        </w:rPr>
        <w:t xml:space="preserve">   </w:t>
      </w:r>
      <w:r>
        <w:rPr>
          <w:rFonts w:hint="default" w:ascii="Times New Roman" w:hAnsi="Times New Roman" w:cs="Times New Roman"/>
          <w:color w:val="auto"/>
          <w:sz w:val="24"/>
          <w:szCs w:val="22"/>
          <w:highlight w:val="none"/>
        </w:rPr>
        <w:t>日至投标文件递交截止日），</w:t>
      </w:r>
      <w:r>
        <w:rPr>
          <w:rFonts w:hint="default" w:ascii="Times New Roman" w:hAnsi="Times New Roman" w:cs="Times New Roman"/>
          <w:color w:val="auto"/>
          <w:sz w:val="24"/>
          <w:szCs w:val="22"/>
          <w:highlight w:val="none"/>
          <w:u w:val="single"/>
        </w:rPr>
        <w:t xml:space="preserve">  （投标人单位名称及统一社会信用代码）  </w:t>
      </w:r>
      <w:r>
        <w:rPr>
          <w:rFonts w:hint="default" w:ascii="Times New Roman" w:hAnsi="Times New Roman" w:cs="Times New Roman"/>
          <w:color w:val="auto"/>
          <w:sz w:val="24"/>
          <w:szCs w:val="22"/>
          <w:highlight w:val="none"/>
        </w:rPr>
        <w:t>及法定代表人</w:t>
      </w:r>
      <w:r>
        <w:rPr>
          <w:rFonts w:hint="default" w:ascii="Times New Roman" w:hAnsi="Times New Roman" w:cs="Times New Roman"/>
          <w:color w:val="auto"/>
          <w:sz w:val="24"/>
          <w:szCs w:val="22"/>
          <w:highlight w:val="none"/>
          <w:u w:val="single"/>
        </w:rPr>
        <w:t xml:space="preserve">  （法定代表人姓名及身份证号码）  </w:t>
      </w:r>
      <w:r>
        <w:rPr>
          <w:rFonts w:hint="eastAsia" w:cs="Times New Roman"/>
          <w:color w:val="auto"/>
          <w:sz w:val="24"/>
          <w:szCs w:val="22"/>
          <w:highlight w:val="none"/>
          <w:lang w:val="en-US" w:eastAsia="zh-CN"/>
        </w:rPr>
        <w:t>手机号码</w:t>
      </w:r>
      <w:r>
        <w:rPr>
          <w:rFonts w:hint="eastAsia" w:cs="Times New Roman"/>
          <w:color w:val="auto"/>
          <w:sz w:val="24"/>
          <w:szCs w:val="22"/>
          <w:highlight w:val="none"/>
          <w:u w:val="single"/>
          <w:lang w:val="en-US" w:eastAsia="zh-CN"/>
        </w:rPr>
        <w:t xml:space="preserve">           </w:t>
      </w:r>
      <w:r>
        <w:rPr>
          <w:rFonts w:hint="eastAsia" w:cs="Times New Roman"/>
          <w:color w:val="auto"/>
          <w:sz w:val="24"/>
          <w:szCs w:val="22"/>
          <w:highlight w:val="none"/>
          <w:u w:val="none"/>
          <w:lang w:val="en-US" w:eastAsia="zh-CN"/>
        </w:rPr>
        <w:t>，</w:t>
      </w:r>
      <w:r>
        <w:rPr>
          <w:rFonts w:hint="default" w:ascii="Times New Roman" w:hAnsi="Times New Roman" w:cs="Times New Roman"/>
          <w:color w:val="auto"/>
          <w:sz w:val="24"/>
          <w:szCs w:val="22"/>
          <w:highlight w:val="none"/>
        </w:rPr>
        <w:t>拟委任的项目</w:t>
      </w:r>
      <w:r>
        <w:rPr>
          <w:rFonts w:hint="default" w:ascii="Times New Roman" w:hAnsi="Times New Roman" w:cs="Times New Roman"/>
          <w:color w:val="auto"/>
          <w:sz w:val="24"/>
          <w:szCs w:val="22"/>
          <w:highlight w:val="none"/>
          <w:lang w:val="en-US" w:eastAsia="zh-CN"/>
        </w:rPr>
        <w:t>经理</w:t>
      </w:r>
      <w:r>
        <w:rPr>
          <w:rFonts w:hint="default" w:ascii="Times New Roman" w:hAnsi="Times New Roman" w:cs="Times New Roman"/>
          <w:color w:val="auto"/>
          <w:sz w:val="24"/>
          <w:szCs w:val="22"/>
          <w:highlight w:val="none"/>
          <w:u w:val="single"/>
        </w:rPr>
        <w:t xml:space="preserve">   （项目</w:t>
      </w:r>
      <w:r>
        <w:rPr>
          <w:rFonts w:hint="default" w:ascii="Times New Roman" w:hAnsi="Times New Roman" w:cs="Times New Roman"/>
          <w:color w:val="auto"/>
          <w:sz w:val="24"/>
          <w:szCs w:val="22"/>
          <w:highlight w:val="none"/>
          <w:u w:val="single"/>
          <w:lang w:val="en-US" w:eastAsia="zh-CN"/>
        </w:rPr>
        <w:t>经理</w:t>
      </w:r>
      <w:r>
        <w:rPr>
          <w:rFonts w:hint="default" w:ascii="Times New Roman" w:hAnsi="Times New Roman" w:cs="Times New Roman"/>
          <w:color w:val="auto"/>
          <w:sz w:val="24"/>
          <w:szCs w:val="22"/>
          <w:highlight w:val="none"/>
          <w:u w:val="single"/>
        </w:rPr>
        <w:t xml:space="preserve">姓名及身份证号码）   </w:t>
      </w:r>
      <w:r>
        <w:rPr>
          <w:rFonts w:hint="eastAsia" w:cs="Times New Roman"/>
          <w:color w:val="auto"/>
          <w:sz w:val="24"/>
          <w:szCs w:val="22"/>
          <w:highlight w:val="none"/>
          <w:lang w:val="en-US" w:eastAsia="zh-CN"/>
        </w:rPr>
        <w:t>手机号码</w:t>
      </w:r>
      <w:r>
        <w:rPr>
          <w:rFonts w:hint="eastAsia" w:cs="Times New Roman"/>
          <w:color w:val="auto"/>
          <w:sz w:val="24"/>
          <w:szCs w:val="22"/>
          <w:highlight w:val="none"/>
          <w:u w:val="single"/>
          <w:lang w:val="en-US" w:eastAsia="zh-CN"/>
        </w:rPr>
        <w:t xml:space="preserve">           </w:t>
      </w:r>
      <w:r>
        <w:rPr>
          <w:rFonts w:hint="default" w:ascii="Times New Roman" w:hAnsi="Times New Roman" w:cs="Times New Roman"/>
          <w:color w:val="auto"/>
          <w:sz w:val="24"/>
          <w:szCs w:val="22"/>
          <w:highlight w:val="none"/>
        </w:rPr>
        <w:t>均无行贿犯罪行为。</w:t>
      </w:r>
    </w:p>
    <w:p w14:paraId="101B2E3C">
      <w:pPr>
        <w:spacing w:line="360" w:lineRule="auto"/>
        <w:ind w:firstLine="480" w:firstLineChars="2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如经招标人或评标委员会核实我单位出具的该承诺存在弄虚作假，承诺不实的情形，</w:t>
      </w:r>
      <w:r>
        <w:rPr>
          <w:rFonts w:hint="eastAsia" w:cs="Times New Roman"/>
          <w:color w:val="auto"/>
          <w:sz w:val="24"/>
          <w:szCs w:val="22"/>
          <w:highlight w:val="none"/>
          <w:lang w:eastAsia="zh-CN"/>
        </w:rPr>
        <w:t>评标委员会</w:t>
      </w:r>
      <w:r>
        <w:rPr>
          <w:rFonts w:hint="default" w:ascii="Times New Roman" w:hAnsi="Times New Roman" w:cs="Times New Roman"/>
          <w:color w:val="auto"/>
          <w:sz w:val="24"/>
          <w:szCs w:val="22"/>
          <w:highlight w:val="none"/>
        </w:rPr>
        <w:t>有权否决我单位投标资格或招标人取消我单位中标资格，并由招标人上报上级行政主管部门，作为不良记录纳入信用信息管理系统。</w:t>
      </w:r>
    </w:p>
    <w:p w14:paraId="7DA3B4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特此承诺！</w:t>
      </w:r>
    </w:p>
    <w:p w14:paraId="241DA15D">
      <w:pPr>
        <w:spacing w:line="360" w:lineRule="auto"/>
        <w:ind w:firstLine="480" w:firstLineChars="200"/>
        <w:rPr>
          <w:rFonts w:hint="default" w:ascii="Times New Roman" w:hAnsi="Times New Roman" w:cs="Times New Roman"/>
          <w:color w:val="auto"/>
          <w:sz w:val="24"/>
          <w:szCs w:val="22"/>
          <w:highlight w:val="none"/>
        </w:rPr>
      </w:pPr>
    </w:p>
    <w:p w14:paraId="6338E71B">
      <w:pPr>
        <w:spacing w:line="360" w:lineRule="auto"/>
        <w:ind w:firstLine="480" w:firstLineChars="200"/>
        <w:rPr>
          <w:rFonts w:hint="default" w:ascii="Times New Roman" w:hAnsi="Times New Roman" w:cs="Times New Roman"/>
          <w:color w:val="auto"/>
          <w:sz w:val="24"/>
          <w:szCs w:val="22"/>
          <w:highlight w:val="none"/>
        </w:rPr>
      </w:pPr>
    </w:p>
    <w:p w14:paraId="28BC3A32">
      <w:pPr>
        <w:spacing w:line="360" w:lineRule="auto"/>
        <w:ind w:left="2520" w:leftChars="1200" w:firstLine="1920" w:firstLineChars="800"/>
        <w:rPr>
          <w:rFonts w:hint="default" w:ascii="Times New Roman" w:hAnsi="Times New Roman" w:cs="Times New Roman"/>
          <w:color w:val="auto"/>
          <w:sz w:val="24"/>
          <w:szCs w:val="22"/>
          <w:highlight w:val="none"/>
        </w:rPr>
      </w:pPr>
    </w:p>
    <w:p w14:paraId="58291720">
      <w:pPr>
        <w:wordWrap w:val="0"/>
        <w:topLinePunct/>
        <w:spacing w:line="440" w:lineRule="exac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2"/>
          <w:highlight w:val="none"/>
        </w:rPr>
        <w:t xml:space="preserve">                       </w:t>
      </w:r>
      <w:r>
        <w:rPr>
          <w:rFonts w:hint="default" w:ascii="Times New Roman" w:hAnsi="Times New Roman" w:cs="Times New Roman"/>
          <w:color w:val="auto"/>
          <w:sz w:val="24"/>
          <w:szCs w:val="24"/>
          <w:highlight w:val="none"/>
        </w:rPr>
        <w:t xml:space="preserve">   投标人：</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（全称）</w:t>
      </w:r>
      <w:r>
        <w:rPr>
          <w:rFonts w:hint="default" w:ascii="Times New Roman" w:hAnsi="Times New Roman" w:cs="Times New Roman"/>
          <w:color w:val="auto"/>
          <w:sz w:val="24"/>
          <w:szCs w:val="24"/>
          <w:highlight w:val="none"/>
          <w:u w:val="none"/>
        </w:rPr>
        <w:t>（</w:t>
      </w:r>
      <w:r>
        <w:rPr>
          <w:rFonts w:hint="default" w:ascii="Times New Roman" w:hAnsi="Times New Roman" w:cs="Times New Roman"/>
          <w:color w:val="auto"/>
          <w:sz w:val="24"/>
          <w:szCs w:val="24"/>
          <w:highlight w:val="none"/>
          <w:u w:val="none"/>
          <w:lang w:val="en-US" w:eastAsia="zh-CN"/>
        </w:rPr>
        <w:t>盖单位电子印章</w:t>
      </w:r>
      <w:r>
        <w:rPr>
          <w:rFonts w:hint="default" w:ascii="Times New Roman" w:hAnsi="Times New Roman" w:cs="Times New Roman"/>
          <w:color w:val="auto"/>
          <w:sz w:val="24"/>
          <w:szCs w:val="24"/>
          <w:highlight w:val="none"/>
          <w:u w:val="none"/>
        </w:rPr>
        <w:t>）</w:t>
      </w:r>
    </w:p>
    <w:p w14:paraId="1E3AC7D3">
      <w:pPr>
        <w:spacing w:line="360" w:lineRule="auto"/>
        <w:ind w:left="2520" w:leftChars="1200" w:firstLine="1920" w:firstLineChars="800"/>
        <w:rPr>
          <w:rFonts w:hint="default" w:ascii="Times New Roman" w:hAnsi="Times New Roman" w:cs="Times New Roman"/>
          <w:color w:val="auto"/>
          <w:sz w:val="24"/>
          <w:szCs w:val="24"/>
          <w:highlight w:val="none"/>
        </w:rPr>
      </w:pPr>
    </w:p>
    <w:p w14:paraId="53A89B65">
      <w:pPr>
        <w:spacing w:line="360" w:lineRule="auto"/>
        <w:ind w:left="2520" w:leftChars="1200" w:firstLine="1920" w:firstLineChars="8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4"/>
          <w:highlight w:val="none"/>
        </w:rPr>
        <w:t>日期：</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年</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月</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日</w:t>
      </w:r>
    </w:p>
    <w:p w14:paraId="43A26E93">
      <w:pPr>
        <w:pStyle w:val="16"/>
        <w:rPr>
          <w:rFonts w:hint="default" w:ascii="Times New Roman" w:hAnsi="Times New Roman" w:cs="Times New Roman"/>
          <w:color w:val="auto"/>
          <w:highlight w:val="none"/>
        </w:rPr>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238CA688">
      <w:pPr>
        <w:pStyle w:val="2"/>
        <w:pageBreakBefore w:val="0"/>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bookmarkStart w:id="1952" w:name="_Toc14547"/>
      <w:bookmarkStart w:id="1953" w:name="_Toc13882"/>
      <w:bookmarkStart w:id="1954" w:name="_Toc24695"/>
      <w:r>
        <w:rPr>
          <w:rFonts w:hint="default" w:ascii="Times New Roman" w:hAnsi="Times New Roman" w:eastAsia="黑体" w:cs="Times New Roman"/>
          <w:b w:val="0"/>
          <w:color w:val="auto"/>
          <w:sz w:val="24"/>
          <w:szCs w:val="24"/>
          <w:highlight w:val="none"/>
        </w:rPr>
        <w:t>（六）拟委任的项目经理和项目总工资历表</w:t>
      </w:r>
      <w:bookmarkEnd w:id="1942"/>
      <w:bookmarkEnd w:id="1952"/>
      <w:bookmarkEnd w:id="1953"/>
      <w:bookmarkEnd w:id="1954"/>
    </w:p>
    <w:p w14:paraId="6ACD8CD5">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highlight w:val="none"/>
        </w:rPr>
      </w:pP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4"/>
        <w:gridCol w:w="51"/>
        <w:gridCol w:w="1352"/>
        <w:gridCol w:w="103"/>
        <w:gridCol w:w="1060"/>
        <w:gridCol w:w="1381"/>
        <w:gridCol w:w="337"/>
        <w:gridCol w:w="1544"/>
        <w:gridCol w:w="386"/>
        <w:gridCol w:w="1283"/>
      </w:tblGrid>
      <w:tr w14:paraId="6E287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0" w:hRule="atLeast"/>
        </w:trPr>
        <w:tc>
          <w:tcPr>
            <w:tcW w:w="1234" w:type="dxa"/>
            <w:noWrap w:val="0"/>
            <w:vAlign w:val="center"/>
          </w:tcPr>
          <w:p w14:paraId="2219E81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    名</w:t>
            </w:r>
          </w:p>
        </w:tc>
        <w:tc>
          <w:tcPr>
            <w:tcW w:w="1506" w:type="dxa"/>
            <w:gridSpan w:val="3"/>
            <w:noWrap w:val="0"/>
            <w:vAlign w:val="center"/>
          </w:tcPr>
          <w:p w14:paraId="2E3E4AC6">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060" w:type="dxa"/>
            <w:noWrap w:val="0"/>
            <w:vAlign w:val="center"/>
          </w:tcPr>
          <w:p w14:paraId="05EDFEC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    龄</w:t>
            </w:r>
          </w:p>
        </w:tc>
        <w:tc>
          <w:tcPr>
            <w:tcW w:w="1381" w:type="dxa"/>
            <w:noWrap w:val="0"/>
            <w:vAlign w:val="top"/>
          </w:tcPr>
          <w:p w14:paraId="485594A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noWrap w:val="0"/>
            <w:vAlign w:val="top"/>
          </w:tcPr>
          <w:p w14:paraId="5BBD20C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专    业</w:t>
            </w:r>
          </w:p>
        </w:tc>
        <w:tc>
          <w:tcPr>
            <w:tcW w:w="1669" w:type="dxa"/>
            <w:gridSpan w:val="2"/>
            <w:noWrap w:val="0"/>
            <w:vAlign w:val="top"/>
          </w:tcPr>
          <w:p w14:paraId="2BEEDF13">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76BB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34" w:type="dxa"/>
            <w:noWrap w:val="0"/>
            <w:vAlign w:val="center"/>
          </w:tcPr>
          <w:p w14:paraId="6FF81F85">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506" w:type="dxa"/>
            <w:gridSpan w:val="3"/>
            <w:noWrap w:val="0"/>
            <w:vAlign w:val="center"/>
          </w:tcPr>
          <w:p w14:paraId="6C553E8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060" w:type="dxa"/>
            <w:noWrap w:val="0"/>
            <w:vAlign w:val="center"/>
          </w:tcPr>
          <w:p w14:paraId="11E2A55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学    历</w:t>
            </w:r>
          </w:p>
        </w:tc>
        <w:tc>
          <w:tcPr>
            <w:tcW w:w="1381" w:type="dxa"/>
            <w:noWrap w:val="0"/>
            <w:vAlign w:val="top"/>
          </w:tcPr>
          <w:p w14:paraId="76B95EB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noWrap w:val="0"/>
            <w:vAlign w:val="top"/>
          </w:tcPr>
          <w:p w14:paraId="29C1DF2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拟在本标段</w:t>
            </w:r>
          </w:p>
          <w:p w14:paraId="4E7D0AF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工程任职</w:t>
            </w:r>
          </w:p>
        </w:tc>
        <w:tc>
          <w:tcPr>
            <w:tcW w:w="1669" w:type="dxa"/>
            <w:gridSpan w:val="2"/>
            <w:noWrap w:val="0"/>
            <w:vAlign w:val="top"/>
          </w:tcPr>
          <w:p w14:paraId="4A4F996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4C5E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34" w:type="dxa"/>
            <w:noWrap w:val="0"/>
            <w:vAlign w:val="center"/>
          </w:tcPr>
          <w:p w14:paraId="5BD9C0A1">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工作年限</w:t>
            </w:r>
          </w:p>
        </w:tc>
        <w:tc>
          <w:tcPr>
            <w:tcW w:w="3947" w:type="dxa"/>
            <w:gridSpan w:val="5"/>
            <w:noWrap w:val="0"/>
            <w:vAlign w:val="center"/>
          </w:tcPr>
          <w:p w14:paraId="27F19B8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noWrap w:val="0"/>
            <w:vAlign w:val="center"/>
          </w:tcPr>
          <w:p w14:paraId="06C9B1D4">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类似施工经验年限</w:t>
            </w:r>
          </w:p>
        </w:tc>
        <w:tc>
          <w:tcPr>
            <w:tcW w:w="1669" w:type="dxa"/>
            <w:gridSpan w:val="2"/>
            <w:noWrap w:val="0"/>
            <w:vAlign w:val="top"/>
          </w:tcPr>
          <w:p w14:paraId="20ED622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4EBF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3" w:hRule="atLeast"/>
        </w:trPr>
        <w:tc>
          <w:tcPr>
            <w:tcW w:w="1234" w:type="dxa"/>
            <w:noWrap w:val="0"/>
            <w:vAlign w:val="center"/>
          </w:tcPr>
          <w:p w14:paraId="2C13C42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毕业学校</w:t>
            </w:r>
          </w:p>
        </w:tc>
        <w:tc>
          <w:tcPr>
            <w:tcW w:w="7497" w:type="dxa"/>
            <w:gridSpan w:val="9"/>
            <w:noWrap w:val="0"/>
            <w:vAlign w:val="center"/>
          </w:tcPr>
          <w:p w14:paraId="1FE4D1AD">
            <w:pPr>
              <w:pageBreakBefore w:val="0"/>
              <w:widowControl/>
              <w:kinsoku/>
              <w:wordWrap w:val="0"/>
              <w:autoSpaceDE w:val="0"/>
              <w:autoSpaceDN w:val="0"/>
              <w:bidi w:val="0"/>
              <w:spacing w:before="60" w:beforeLines="25" w:after="60" w:afterLines="25" w:line="400" w:lineRule="atLeast"/>
              <w:ind w:left="-187" w:leftChars="-89"/>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______年___月毕业于___________________学校___________专业，学制______年</w:t>
            </w:r>
          </w:p>
        </w:tc>
      </w:tr>
      <w:tr w14:paraId="64FA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8731" w:type="dxa"/>
            <w:gridSpan w:val="10"/>
            <w:noWrap w:val="0"/>
            <w:vAlign w:val="center"/>
          </w:tcPr>
          <w:p w14:paraId="1A588ED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经         历</w:t>
            </w:r>
          </w:p>
        </w:tc>
      </w:tr>
      <w:tr w14:paraId="70F9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70749CC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时  间</w:t>
            </w:r>
          </w:p>
        </w:tc>
        <w:tc>
          <w:tcPr>
            <w:tcW w:w="4233" w:type="dxa"/>
            <w:gridSpan w:val="5"/>
            <w:noWrap w:val="0"/>
            <w:vAlign w:val="center"/>
          </w:tcPr>
          <w:p w14:paraId="42DC4B7A">
            <w:pPr>
              <w:pStyle w:val="75"/>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参加过的类似工程项目名称</w:t>
            </w:r>
          </w:p>
        </w:tc>
        <w:tc>
          <w:tcPr>
            <w:tcW w:w="1930" w:type="dxa"/>
            <w:gridSpan w:val="2"/>
            <w:noWrap w:val="0"/>
            <w:vAlign w:val="center"/>
          </w:tcPr>
          <w:p w14:paraId="2F4F96F9">
            <w:pPr>
              <w:pStyle w:val="75"/>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担任职务</w:t>
            </w:r>
          </w:p>
        </w:tc>
        <w:tc>
          <w:tcPr>
            <w:tcW w:w="1283" w:type="dxa"/>
            <w:noWrap w:val="0"/>
            <w:vAlign w:val="center"/>
          </w:tcPr>
          <w:p w14:paraId="5CD6DBD1">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发包人及联系电话</w:t>
            </w:r>
          </w:p>
        </w:tc>
      </w:tr>
      <w:tr w14:paraId="7114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3A20063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1CD10957">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5EDAFE3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BC28D3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070B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7883D23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735B94E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6F2CFE63">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76CBA86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7E626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5CF7277D">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34E1D62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409AB284">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0647A93A">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195B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681BDE1C">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267152F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0DBC1CB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0231BFE">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2223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74F00E1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13C94DF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66201F3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4937C6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4621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2D0C722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61E18F8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33B95DE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24ABEA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6D4D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74471977">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206D005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38E96D3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E9E8A87">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2AE0C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7FEFE7D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12CF1E1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7569E0F7">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7D8E270B">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018D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580D503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0372DAC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7ECE236F">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E50A1CB">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6618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637" w:type="dxa"/>
            <w:gridSpan w:val="3"/>
            <w:noWrap w:val="0"/>
            <w:vAlign w:val="center"/>
          </w:tcPr>
          <w:p w14:paraId="3467EFA1">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获奖情况</w:t>
            </w:r>
          </w:p>
        </w:tc>
        <w:tc>
          <w:tcPr>
            <w:tcW w:w="6094" w:type="dxa"/>
            <w:gridSpan w:val="7"/>
            <w:noWrap w:val="0"/>
            <w:vAlign w:val="top"/>
          </w:tcPr>
          <w:p w14:paraId="2ECA753E">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7573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noWrap w:val="0"/>
            <w:vAlign w:val="center"/>
          </w:tcPr>
          <w:p w14:paraId="57070683">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说明在岗情况</w:t>
            </w:r>
          </w:p>
        </w:tc>
        <w:tc>
          <w:tcPr>
            <w:tcW w:w="6094" w:type="dxa"/>
            <w:gridSpan w:val="7"/>
            <w:noWrap w:val="0"/>
            <w:vAlign w:val="top"/>
          </w:tcPr>
          <w:p w14:paraId="65176835">
            <w:pPr>
              <w:pStyle w:val="15"/>
              <w:pageBreakBefore w:val="0"/>
              <w:kinsoku/>
              <w:wordWrap w:val="0"/>
              <w:topLinePunct/>
              <w:bidi w:val="0"/>
              <w:spacing w:line="360" w:lineRule="atLeas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□目前未在其他项目上任职，现从事工作为：</w:t>
            </w:r>
            <w:r>
              <w:rPr>
                <w:rFonts w:hint="default" w:ascii="Times New Roman" w:hAnsi="Times New Roman" w:cs="Times New Roman"/>
                <w:color w:val="auto"/>
                <w:sz w:val="21"/>
                <w:szCs w:val="21"/>
                <w:highlight w:val="none"/>
                <w:u w:val="single"/>
              </w:rPr>
              <w:t xml:space="preserve">              </w:t>
            </w:r>
            <w:r>
              <w:rPr>
                <w:rFonts w:hint="default" w:ascii="Times New Roman" w:hAnsi="Times New Roman" w:cs="Times New Roman"/>
                <w:color w:val="auto"/>
                <w:sz w:val="21"/>
                <w:szCs w:val="21"/>
                <w:highlight w:val="none"/>
              </w:rPr>
              <w:t>。</w:t>
            </w:r>
          </w:p>
          <w:p w14:paraId="40122DDD">
            <w:pPr>
              <w:pageBreakBefore w:val="0"/>
              <w:widowControl/>
              <w:kinsoku/>
              <w:wordWrap w:val="0"/>
              <w:autoSpaceDE w:val="0"/>
              <w:autoSpaceDN w:val="0"/>
              <w:bidi w:val="0"/>
              <w:spacing w:line="40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□目前虽</w:t>
            </w:r>
            <w:r>
              <w:rPr>
                <w:rFonts w:hint="default" w:ascii="Times New Roman" w:hAnsi="Times New Roman" w:cs="Times New Roman"/>
                <w:color w:val="auto"/>
                <w:highlight w:val="none"/>
              </w:rPr>
              <w:t>在其他项目</w:t>
            </w:r>
            <w:r>
              <w:rPr>
                <w:rFonts w:hint="default" w:ascii="Times New Roman" w:hAnsi="Times New Roman" w:cs="Times New Roman"/>
                <w:color w:val="auto"/>
                <w:szCs w:val="21"/>
                <w:highlight w:val="none"/>
              </w:rPr>
              <w:t>上</w:t>
            </w:r>
            <w:r>
              <w:rPr>
                <w:rFonts w:hint="default" w:ascii="Times New Roman" w:hAnsi="Times New Roman" w:cs="Times New Roman"/>
                <w:color w:val="auto"/>
                <w:highlight w:val="none"/>
              </w:rPr>
              <w:t>任职，但本项目中标后能够从该项目撤离，目前任职项目：</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，担任职位：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highlight w:val="none"/>
              </w:rPr>
              <w:t>。</w:t>
            </w:r>
          </w:p>
        </w:tc>
      </w:tr>
      <w:tr w14:paraId="3165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noWrap w:val="0"/>
            <w:vAlign w:val="center"/>
          </w:tcPr>
          <w:p w14:paraId="18EF2704">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     注</w:t>
            </w:r>
          </w:p>
        </w:tc>
        <w:tc>
          <w:tcPr>
            <w:tcW w:w="6094" w:type="dxa"/>
            <w:gridSpan w:val="7"/>
            <w:noWrap w:val="0"/>
            <w:vAlign w:val="top"/>
          </w:tcPr>
          <w:p w14:paraId="50AC839A">
            <w:pPr>
              <w:pageBreakBefore w:val="0"/>
              <w:widowControl/>
              <w:kinsoku/>
              <w:wordWrap w:val="0"/>
              <w:autoSpaceDE w:val="0"/>
              <w:autoSpaceDN w:val="0"/>
              <w:bidi w:val="0"/>
              <w:spacing w:line="400" w:lineRule="atLeast"/>
              <w:textAlignment w:val="bottom"/>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联系电话（手机号）：</w:t>
            </w:r>
          </w:p>
        </w:tc>
      </w:tr>
    </w:tbl>
    <w:p w14:paraId="749D73C9">
      <w:pPr>
        <w:pStyle w:val="17"/>
        <w:pageBreakBefore w:val="0"/>
        <w:kinsoku/>
        <w:wordWrap w:val="0"/>
        <w:bidi w:val="0"/>
        <w:spacing w:after="0" w:line="400" w:lineRule="atLeast"/>
        <w:ind w:left="699" w:leftChars="0" w:hanging="699" w:hangingChars="333"/>
        <w:rPr>
          <w:rFonts w:hint="default" w:ascii="Times New Roman" w:hAnsi="Times New Roman" w:cs="Times New Roman"/>
          <w:color w:val="auto"/>
          <w:highlight w:val="none"/>
        </w:rPr>
      </w:pPr>
      <w:r>
        <w:rPr>
          <w:rFonts w:hint="default" w:ascii="Times New Roman" w:hAnsi="Times New Roman" w:cs="Times New Roman"/>
          <w:color w:val="auto"/>
          <w:highlight w:val="none"/>
        </w:rPr>
        <w:t>注：1.本表应填写项目经理和项目总工相关情况。</w:t>
      </w:r>
    </w:p>
    <w:p w14:paraId="3A6D54A2">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2.投标人应根据招标文件第二章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第3.5.5项的要求在本表后附相关证明材料。</w:t>
      </w:r>
    </w:p>
    <w:p w14:paraId="48402527">
      <w:pPr>
        <w:pageBreakBefore w:val="0"/>
        <w:kinsoku/>
        <w:wordWrap/>
        <w:bidi w:val="0"/>
        <w:spacing w:line="240" w:lineRule="auto"/>
        <w:ind w:firstLine="0" w:firstLineChars="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br w:type="page"/>
      </w:r>
    </w:p>
    <w:p w14:paraId="4AFCF07A">
      <w:pPr>
        <w:pageBreakBefore w:val="0"/>
        <w:kinsoku/>
        <w:wordWrap w:val="0"/>
        <w:overflowPunct/>
        <w:topLinePunct/>
        <w:bidi w:val="0"/>
        <w:spacing w:line="400" w:lineRule="atLeast"/>
        <w:jc w:val="center"/>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主要人员撤离承诺函（如有）</w:t>
      </w:r>
    </w:p>
    <w:p w14:paraId="6E9B8D38">
      <w:pPr>
        <w:pageBreakBefore w:val="0"/>
        <w:kinsoku/>
        <w:wordWrap w:val="0"/>
        <w:overflowPunct/>
        <w:bidi w:val="0"/>
        <w:ind w:firstLine="232"/>
        <w:jc w:val="center"/>
        <w:rPr>
          <w:rFonts w:hint="default" w:ascii="Times New Roman" w:hAnsi="Times New Roman" w:cs="Times New Roman"/>
          <w:color w:val="auto"/>
          <w:sz w:val="28"/>
          <w:szCs w:val="36"/>
          <w:highlight w:val="none"/>
        </w:rPr>
      </w:pPr>
    </w:p>
    <w:p w14:paraId="6902D4A4">
      <w:pPr>
        <w:pageBreakBefore w:val="0"/>
        <w:kinsoku/>
        <w:wordWrap w:val="0"/>
        <w:overflowPunct/>
        <w:bidi w:val="0"/>
        <w:spacing w:line="400" w:lineRule="exac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p>
    <w:p w14:paraId="1EF63BBE">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我方参加了</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标段（以下简称</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本项目</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）投标，我方在此承诺：</w:t>
      </w:r>
    </w:p>
    <w:p w14:paraId="489C8C06">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鉴于我方拟投入的</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项目经理</w:t>
      </w:r>
      <w:r>
        <w:rPr>
          <w:rFonts w:hint="default" w:ascii="Times New Roman" w:hAnsi="Times New Roman" w:cs="Times New Roman"/>
          <w:color w:val="auto"/>
          <w:sz w:val="24"/>
          <w:highlight w:val="none"/>
        </w:rPr>
        <w:t>和/或</w:t>
      </w:r>
      <w:r>
        <w:rPr>
          <w:rFonts w:hint="eastAsia" w:cs="Times New Roman"/>
          <w:color w:val="auto"/>
          <w:sz w:val="24"/>
          <w:highlight w:val="none"/>
          <w:lang w:val="en-US" w:eastAsia="zh-CN"/>
        </w:rPr>
        <w:t>项目总工</w:t>
      </w:r>
      <w:r>
        <w:rPr>
          <w:rFonts w:hint="default" w:ascii="Times New Roman" w:hAnsi="Times New Roman" w:cs="Times New Roman"/>
          <w:color w:val="auto"/>
          <w:sz w:val="24"/>
          <w:highlight w:val="none"/>
        </w:rPr>
        <w:t>姓名）目前仍在</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（项目名称）上任职，若我方中标，立即将</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w:t>
      </w:r>
      <w:r>
        <w:rPr>
          <w:rFonts w:hint="eastAsia" w:cs="Times New Roman"/>
          <w:color w:val="auto"/>
          <w:sz w:val="24"/>
          <w:highlight w:val="none"/>
          <w:lang w:val="en-US" w:eastAsia="zh-CN"/>
        </w:rPr>
        <w:t>项目经理</w:t>
      </w:r>
      <w:r>
        <w:rPr>
          <w:rFonts w:hint="default" w:ascii="Times New Roman" w:hAnsi="Times New Roman" w:cs="Times New Roman"/>
          <w:color w:val="auto"/>
          <w:sz w:val="24"/>
          <w:highlight w:val="none"/>
        </w:rPr>
        <w:t>和/或</w:t>
      </w:r>
      <w:r>
        <w:rPr>
          <w:rFonts w:hint="eastAsia" w:cs="Times New Roman"/>
          <w:color w:val="auto"/>
          <w:sz w:val="24"/>
          <w:highlight w:val="none"/>
          <w:lang w:val="en-US" w:eastAsia="zh-CN"/>
        </w:rPr>
        <w:t>项目总工</w:t>
      </w:r>
      <w:r>
        <w:rPr>
          <w:rFonts w:hint="default" w:ascii="Times New Roman" w:hAnsi="Times New Roman" w:cs="Times New Roman"/>
          <w:color w:val="auto"/>
          <w:sz w:val="24"/>
          <w:highlight w:val="none"/>
        </w:rPr>
        <w:t>）从上述项目撤离，投入本项目。</w:t>
      </w:r>
    </w:p>
    <w:p w14:paraId="7D453969">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如我方违背了上述承诺，招标人有权取消我方的中标资格，并由招标人将我方的违约行为上报省级交通运输主管部门，作为不良记录纳入</w:t>
      </w:r>
      <w:r>
        <w:rPr>
          <w:rFonts w:hint="eastAsia" w:cs="Times New Roman"/>
          <w:color w:val="auto"/>
          <w:sz w:val="24"/>
          <w:highlight w:val="none"/>
          <w:lang w:eastAsia="zh-CN"/>
        </w:rPr>
        <w:t>全国公路建设市场监督管理系统</w:t>
      </w:r>
      <w:r>
        <w:rPr>
          <w:rFonts w:hint="default" w:ascii="Times New Roman" w:hAnsi="Times New Roman" w:cs="Times New Roman"/>
          <w:color w:val="auto"/>
          <w:sz w:val="24"/>
          <w:highlight w:val="none"/>
        </w:rPr>
        <w:t>。</w:t>
      </w:r>
    </w:p>
    <w:p w14:paraId="262D4EF8">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p>
    <w:p w14:paraId="3C0C0621">
      <w:pPr>
        <w:pageBreakBefore w:val="0"/>
        <w:kinsoku/>
        <w:wordWrap w:val="0"/>
        <w:overflowPunct/>
        <w:bidi w:val="0"/>
        <w:spacing w:line="400" w:lineRule="exact"/>
        <w:ind w:firstLine="480" w:firstLineChars="200"/>
        <w:rPr>
          <w:rFonts w:hint="default" w:ascii="Times New Roman" w:hAnsi="Times New Roman" w:cs="Times New Roman"/>
          <w:color w:val="auto"/>
          <w:sz w:val="24"/>
          <w:highlight w:val="none"/>
        </w:rPr>
      </w:pPr>
    </w:p>
    <w:p w14:paraId="76CE23DE">
      <w:pPr>
        <w:pageBreakBefore w:val="0"/>
        <w:kinsoku/>
        <w:wordWrap w:val="0"/>
        <w:overflowPunct/>
        <w:bidi w:val="0"/>
        <w:spacing w:line="400" w:lineRule="exact"/>
        <w:ind w:firstLine="2880" w:firstLineChars="1200"/>
        <w:rPr>
          <w:rFonts w:hint="default" w:ascii="Times New Roman" w:hAnsi="Times New Roman" w:cs="Times New Roman"/>
          <w:color w:val="auto"/>
          <w:sz w:val="24"/>
          <w:highlight w:val="none"/>
        </w:rPr>
      </w:pPr>
      <w:r>
        <w:rPr>
          <w:rFonts w:hint="default" w:ascii="Times New Roman" w:hAnsi="Times New Roman" w:cs="Times New Roman"/>
          <w:color w:val="auto"/>
          <w:sz w:val="24"/>
          <w:szCs w:val="24"/>
          <w:highlight w:val="none"/>
        </w:rPr>
        <w:t>投标人：</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（全称）</w:t>
      </w:r>
      <w:r>
        <w:rPr>
          <w:rFonts w:hint="default" w:ascii="Times New Roman" w:hAnsi="Times New Roman" w:cs="Times New Roman"/>
          <w:color w:val="auto"/>
          <w:sz w:val="24"/>
          <w:szCs w:val="24"/>
          <w:highlight w:val="none"/>
          <w:u w:val="none"/>
        </w:rPr>
        <w:t>（</w:t>
      </w:r>
      <w:r>
        <w:rPr>
          <w:rFonts w:hint="default" w:ascii="Times New Roman" w:hAnsi="Times New Roman" w:cs="Times New Roman"/>
          <w:color w:val="auto"/>
          <w:sz w:val="24"/>
          <w:szCs w:val="24"/>
          <w:highlight w:val="none"/>
          <w:u w:val="none"/>
          <w:lang w:val="en-US" w:eastAsia="zh-CN"/>
        </w:rPr>
        <w:t>盖单位电子印章</w:t>
      </w:r>
      <w:r>
        <w:rPr>
          <w:rFonts w:hint="default" w:ascii="Times New Roman" w:hAnsi="Times New Roman" w:cs="Times New Roman"/>
          <w:color w:val="auto"/>
          <w:sz w:val="24"/>
          <w:szCs w:val="24"/>
          <w:highlight w:val="none"/>
          <w:u w:val="none"/>
        </w:rPr>
        <w:t>）</w:t>
      </w:r>
    </w:p>
    <w:p w14:paraId="1BE8E3FB">
      <w:pPr>
        <w:pageBreakBefore w:val="0"/>
        <w:kinsoku/>
        <w:wordWrap w:val="0"/>
        <w:overflowPunct/>
        <w:bidi w:val="0"/>
        <w:spacing w:line="400" w:lineRule="exact"/>
        <w:ind w:firstLine="720" w:firstLineChars="3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5457F539">
      <w:pPr>
        <w:pageBreakBefore w:val="0"/>
        <w:kinsoku/>
        <w:wordWrap w:val="0"/>
        <w:overflowPunct/>
        <w:bidi w:val="0"/>
        <w:spacing w:line="400" w:lineRule="exact"/>
        <w:ind w:firstLine="3120" w:firstLineChars="1300"/>
        <w:rPr>
          <w:rFonts w:hint="default" w:ascii="Times New Roman" w:hAnsi="Times New Roman" w:cs="Times New Roman"/>
          <w:color w:val="auto"/>
          <w:sz w:val="24"/>
          <w:highlight w:val="none"/>
        </w:rPr>
      </w:pPr>
    </w:p>
    <w:p w14:paraId="0AB40542">
      <w:pPr>
        <w:pageBreakBefore w:val="0"/>
        <w:kinsoku/>
        <w:wordWrap w:val="0"/>
        <w:overflowPunct/>
        <w:bidi w:val="0"/>
        <w:spacing w:line="400" w:lineRule="exact"/>
        <w:ind w:firstLine="3840" w:firstLineChars="16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p>
    <w:p w14:paraId="42B3EEEB">
      <w:pPr>
        <w:pageBreakBefore w:val="0"/>
        <w:kinsoku/>
        <w:wordWrap w:val="0"/>
        <w:overflowPunct/>
        <w:bidi w:val="0"/>
        <w:spacing w:line="400" w:lineRule="exact"/>
        <w:ind w:firstLine="3840" w:firstLineChars="1600"/>
        <w:rPr>
          <w:rFonts w:hint="default" w:ascii="Times New Roman" w:hAnsi="Times New Roman" w:cs="Times New Roman"/>
          <w:color w:val="auto"/>
          <w:sz w:val="24"/>
          <w:highlight w:val="none"/>
        </w:rPr>
      </w:pPr>
    </w:p>
    <w:p w14:paraId="792154AC">
      <w:pPr>
        <w:pageBreakBefore w:val="0"/>
        <w:kinsoku/>
        <w:wordWrap w:val="0"/>
        <w:overflowPunct/>
        <w:bidi w:val="0"/>
        <w:spacing w:line="360" w:lineRule="exact"/>
        <w:ind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注：1、如项目经理和/或项目总工目前仍在其他项目上任职，投标人应提供项目经理和/或项目总工能够从该项目撤离的承诺函。</w:t>
      </w:r>
    </w:p>
    <w:p w14:paraId="16EE8616">
      <w:pPr>
        <w:pageBreakBefore w:val="0"/>
        <w:kinsoku/>
        <w:wordWrap w:val="0"/>
        <w:overflowPunct/>
        <w:bidi w:val="0"/>
        <w:spacing w:line="360" w:lineRule="exact"/>
        <w:ind w:firstLine="840" w:firstLineChars="4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2、投标人所提供的承诺函格式和内容须与招标文件提供的格式和内容一致，不得更改招标文件提供的承诺函格式和内容，否则其投标将被否决。</w:t>
      </w:r>
    </w:p>
    <w:p w14:paraId="57AC571B">
      <w:pPr>
        <w:pageBreakBefore w:val="0"/>
        <w:kinsoku/>
        <w:wordWrap w:val="0"/>
        <w:bidi w:val="0"/>
        <w:spacing w:line="400" w:lineRule="atLeast"/>
        <w:ind w:firstLine="420" w:firstLineChars="200"/>
        <w:rPr>
          <w:rFonts w:hint="default" w:ascii="Times New Roman" w:hAnsi="Times New Roman" w:cs="Times New Roman"/>
          <w:color w:val="auto"/>
          <w:szCs w:val="21"/>
          <w:highlight w:val="none"/>
        </w:rPr>
      </w:pPr>
    </w:p>
    <w:p w14:paraId="2EB0AA4A">
      <w:pPr>
        <w:pStyle w:val="2"/>
        <w:pageBreakBefore w:val="0"/>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bookmarkStart w:id="1955" w:name="_Toc26510"/>
      <w:bookmarkStart w:id="1956" w:name="_Toc15670"/>
      <w:bookmarkStart w:id="1957" w:name="_Toc30763"/>
      <w:bookmarkStart w:id="1958" w:name="_Toc234833286"/>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七</w:t>
      </w:r>
      <w:r>
        <w:rPr>
          <w:rFonts w:hint="default" w:ascii="Times New Roman" w:hAnsi="Times New Roman" w:eastAsia="黑体" w:cs="Times New Roman"/>
          <w:b w:val="0"/>
          <w:color w:val="auto"/>
          <w:sz w:val="24"/>
          <w:szCs w:val="24"/>
          <w:highlight w:val="none"/>
        </w:rPr>
        <w:t>）拟委任的其他管理和技术人员汇总表</w:t>
      </w:r>
      <w:r>
        <w:rPr>
          <w:rFonts w:hint="default" w:ascii="Times New Roman" w:hAnsi="Times New Roman" w:eastAsia="黑体" w:cs="Times New Roman"/>
          <w:b w:val="0"/>
          <w:color w:val="auto"/>
          <w:sz w:val="24"/>
          <w:szCs w:val="24"/>
          <w:highlight w:val="none"/>
          <w:vertAlign w:val="superscript"/>
        </w:rPr>
        <w:footnoteReference w:id="49"/>
      </w:r>
      <w:bookmarkEnd w:id="1955"/>
      <w:bookmarkEnd w:id="1956"/>
      <w:bookmarkEnd w:id="1957"/>
      <w:bookmarkEnd w:id="1958"/>
    </w:p>
    <w:p w14:paraId="314FD68B">
      <w:pPr>
        <w:pageBreakBefore w:val="0"/>
        <w:kinsoku/>
        <w:wordWrap w:val="0"/>
        <w:bidi w:val="0"/>
        <w:spacing w:line="400" w:lineRule="atLeast"/>
        <w:rPr>
          <w:rFonts w:hint="default" w:ascii="Times New Roman" w:hAnsi="Times New Roman" w:cs="Times New Roman"/>
          <w:color w:val="auto"/>
          <w:sz w:val="24"/>
          <w:highlight w:val="none"/>
        </w:rPr>
      </w:pPr>
    </w:p>
    <w:tbl>
      <w:tblPr>
        <w:tblStyle w:val="39"/>
        <w:tblW w:w="8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926"/>
        <w:gridCol w:w="2682"/>
        <w:gridCol w:w="1101"/>
        <w:gridCol w:w="1307"/>
        <w:gridCol w:w="1942"/>
      </w:tblGrid>
      <w:tr w14:paraId="0605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933" w:type="dxa"/>
            <w:noWrap w:val="0"/>
            <w:vAlign w:val="center"/>
          </w:tcPr>
          <w:p w14:paraId="7A354B4E">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姓名</w:t>
            </w:r>
          </w:p>
        </w:tc>
        <w:tc>
          <w:tcPr>
            <w:tcW w:w="926" w:type="dxa"/>
            <w:noWrap w:val="0"/>
            <w:vAlign w:val="center"/>
          </w:tcPr>
          <w:p w14:paraId="305F4B0B">
            <w:pPr>
              <w:pStyle w:val="75"/>
              <w:pageBreakBefore w:val="0"/>
              <w:kinsoku/>
              <w:wordWrap w:val="0"/>
              <w:autoSpaceDE/>
              <w:autoSpaceDN/>
              <w:bidi w:val="0"/>
              <w:adjustRightInd/>
              <w:snapToGrid/>
              <w:spacing w:line="400" w:lineRule="atLeast"/>
              <w:textAlignment w:val="auto"/>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年龄</w:t>
            </w:r>
          </w:p>
        </w:tc>
        <w:tc>
          <w:tcPr>
            <w:tcW w:w="2682" w:type="dxa"/>
            <w:noWrap w:val="0"/>
            <w:vAlign w:val="center"/>
          </w:tcPr>
          <w:p w14:paraId="06A3D536">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拟在本标段工程任职</w:t>
            </w:r>
          </w:p>
        </w:tc>
        <w:tc>
          <w:tcPr>
            <w:tcW w:w="1101" w:type="dxa"/>
            <w:noWrap w:val="0"/>
            <w:vAlign w:val="center"/>
          </w:tcPr>
          <w:p w14:paraId="5F2054E2">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307" w:type="dxa"/>
            <w:noWrap w:val="0"/>
            <w:vAlign w:val="center"/>
          </w:tcPr>
          <w:p w14:paraId="7AF6D90C">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工作年限</w:t>
            </w:r>
          </w:p>
        </w:tc>
        <w:tc>
          <w:tcPr>
            <w:tcW w:w="1942" w:type="dxa"/>
            <w:noWrap w:val="0"/>
            <w:vAlign w:val="center"/>
          </w:tcPr>
          <w:p w14:paraId="06E50F3C">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类似施工经验年限</w:t>
            </w:r>
          </w:p>
        </w:tc>
      </w:tr>
      <w:tr w14:paraId="2006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933" w:type="dxa"/>
            <w:noWrap w:val="0"/>
            <w:vAlign w:val="center"/>
          </w:tcPr>
          <w:p w14:paraId="1D825EAC">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706C35AF">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77641428">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742494D7">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1D6927AC">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3559EB91">
            <w:pPr>
              <w:pageBreakBefore w:val="0"/>
              <w:kinsoku/>
              <w:wordWrap w:val="0"/>
              <w:bidi w:val="0"/>
              <w:spacing w:line="400" w:lineRule="atLeast"/>
              <w:jc w:val="center"/>
              <w:rPr>
                <w:rFonts w:hint="default" w:ascii="Times New Roman" w:hAnsi="Times New Roman" w:cs="Times New Roman"/>
                <w:color w:val="auto"/>
                <w:highlight w:val="none"/>
              </w:rPr>
            </w:pPr>
          </w:p>
        </w:tc>
      </w:tr>
      <w:tr w14:paraId="6D49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933" w:type="dxa"/>
            <w:noWrap w:val="0"/>
            <w:vAlign w:val="center"/>
          </w:tcPr>
          <w:p w14:paraId="51013C93">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39079A72">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32F49A40">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7125C43D">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716EACA6">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78C0079E">
            <w:pPr>
              <w:pageBreakBefore w:val="0"/>
              <w:kinsoku/>
              <w:wordWrap w:val="0"/>
              <w:bidi w:val="0"/>
              <w:spacing w:line="400" w:lineRule="atLeast"/>
              <w:jc w:val="center"/>
              <w:rPr>
                <w:rFonts w:hint="default" w:ascii="Times New Roman" w:hAnsi="Times New Roman" w:cs="Times New Roman"/>
                <w:color w:val="auto"/>
                <w:highlight w:val="none"/>
              </w:rPr>
            </w:pPr>
          </w:p>
        </w:tc>
      </w:tr>
      <w:tr w14:paraId="51D54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933" w:type="dxa"/>
            <w:noWrap w:val="0"/>
            <w:vAlign w:val="center"/>
          </w:tcPr>
          <w:p w14:paraId="22920187">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0F71BEEB">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3D763BBA">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3BF4AF2E">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035F5D31">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2F0C05F9">
            <w:pPr>
              <w:pageBreakBefore w:val="0"/>
              <w:kinsoku/>
              <w:wordWrap w:val="0"/>
              <w:bidi w:val="0"/>
              <w:spacing w:line="400" w:lineRule="atLeast"/>
              <w:jc w:val="center"/>
              <w:rPr>
                <w:rFonts w:hint="default" w:ascii="Times New Roman" w:hAnsi="Times New Roman" w:cs="Times New Roman"/>
                <w:color w:val="auto"/>
                <w:highlight w:val="none"/>
              </w:rPr>
            </w:pPr>
          </w:p>
        </w:tc>
      </w:tr>
      <w:tr w14:paraId="01665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933" w:type="dxa"/>
            <w:noWrap w:val="0"/>
            <w:vAlign w:val="center"/>
          </w:tcPr>
          <w:p w14:paraId="6F99F367">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759F4B22">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3AEB1F99">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7B6F2BC2">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31FC8409">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19E17BF9">
            <w:pPr>
              <w:pageBreakBefore w:val="0"/>
              <w:kinsoku/>
              <w:wordWrap w:val="0"/>
              <w:bidi w:val="0"/>
              <w:spacing w:line="400" w:lineRule="atLeast"/>
              <w:jc w:val="center"/>
              <w:rPr>
                <w:rFonts w:hint="default" w:ascii="Times New Roman" w:hAnsi="Times New Roman" w:cs="Times New Roman"/>
                <w:color w:val="auto"/>
                <w:highlight w:val="none"/>
              </w:rPr>
            </w:pPr>
          </w:p>
        </w:tc>
      </w:tr>
      <w:tr w14:paraId="00D4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933" w:type="dxa"/>
            <w:noWrap w:val="0"/>
            <w:vAlign w:val="center"/>
          </w:tcPr>
          <w:p w14:paraId="6ABED706">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317F4B3D">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42308944">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17766A29">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51CEA126">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7F5E2E85">
            <w:pPr>
              <w:pageBreakBefore w:val="0"/>
              <w:kinsoku/>
              <w:wordWrap w:val="0"/>
              <w:bidi w:val="0"/>
              <w:spacing w:line="400" w:lineRule="atLeast"/>
              <w:jc w:val="center"/>
              <w:rPr>
                <w:rFonts w:hint="default" w:ascii="Times New Roman" w:hAnsi="Times New Roman" w:cs="Times New Roman"/>
                <w:color w:val="auto"/>
                <w:highlight w:val="none"/>
              </w:rPr>
            </w:pPr>
          </w:p>
        </w:tc>
      </w:tr>
      <w:tr w14:paraId="3A91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18CA572B">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10BA6ABB">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7D75D9B5">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4CF07AD6">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4AAA6015">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157D021C">
            <w:pPr>
              <w:pageBreakBefore w:val="0"/>
              <w:kinsoku/>
              <w:wordWrap w:val="0"/>
              <w:bidi w:val="0"/>
              <w:spacing w:line="400" w:lineRule="atLeast"/>
              <w:jc w:val="center"/>
              <w:rPr>
                <w:rFonts w:hint="default" w:ascii="Times New Roman" w:hAnsi="Times New Roman" w:cs="Times New Roman"/>
                <w:color w:val="auto"/>
                <w:highlight w:val="none"/>
              </w:rPr>
            </w:pPr>
          </w:p>
        </w:tc>
      </w:tr>
      <w:tr w14:paraId="717C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53AA52EB">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612F2F34">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59C11B35">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12A8ADC8">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5D5322B1">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5F033A7E">
            <w:pPr>
              <w:pageBreakBefore w:val="0"/>
              <w:kinsoku/>
              <w:wordWrap w:val="0"/>
              <w:bidi w:val="0"/>
              <w:spacing w:line="400" w:lineRule="atLeast"/>
              <w:jc w:val="center"/>
              <w:rPr>
                <w:rFonts w:hint="default" w:ascii="Times New Roman" w:hAnsi="Times New Roman" w:cs="Times New Roman"/>
                <w:color w:val="auto"/>
                <w:highlight w:val="none"/>
              </w:rPr>
            </w:pPr>
          </w:p>
        </w:tc>
      </w:tr>
      <w:tr w14:paraId="1350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18E3D5EC">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4C52162D">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40A5432F">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1B023FBD">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2DD86D51">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737AB8AA">
            <w:pPr>
              <w:pageBreakBefore w:val="0"/>
              <w:kinsoku/>
              <w:wordWrap w:val="0"/>
              <w:bidi w:val="0"/>
              <w:spacing w:line="400" w:lineRule="atLeast"/>
              <w:jc w:val="center"/>
              <w:rPr>
                <w:rFonts w:hint="default" w:ascii="Times New Roman" w:hAnsi="Times New Roman" w:cs="Times New Roman"/>
                <w:color w:val="auto"/>
                <w:highlight w:val="none"/>
              </w:rPr>
            </w:pPr>
          </w:p>
        </w:tc>
      </w:tr>
      <w:tr w14:paraId="3B04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2A436489">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29643888">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23EFAB37">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572F0071">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206B9FA7">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187A3A8A">
            <w:pPr>
              <w:pageBreakBefore w:val="0"/>
              <w:kinsoku/>
              <w:wordWrap w:val="0"/>
              <w:bidi w:val="0"/>
              <w:spacing w:line="400" w:lineRule="atLeast"/>
              <w:jc w:val="center"/>
              <w:rPr>
                <w:rFonts w:hint="default" w:ascii="Times New Roman" w:hAnsi="Times New Roman" w:cs="Times New Roman"/>
                <w:color w:val="auto"/>
                <w:highlight w:val="none"/>
              </w:rPr>
            </w:pPr>
          </w:p>
        </w:tc>
      </w:tr>
      <w:tr w14:paraId="3EBF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933" w:type="dxa"/>
            <w:noWrap w:val="0"/>
            <w:vAlign w:val="center"/>
          </w:tcPr>
          <w:p w14:paraId="369CABA5">
            <w:pPr>
              <w:pageBreakBefore w:val="0"/>
              <w:kinsoku/>
              <w:wordWrap w:val="0"/>
              <w:bidi w:val="0"/>
              <w:spacing w:line="400" w:lineRule="atLeast"/>
              <w:jc w:val="center"/>
              <w:rPr>
                <w:rFonts w:hint="default" w:ascii="Times New Roman" w:hAnsi="Times New Roman" w:cs="Times New Roman"/>
                <w:color w:val="auto"/>
                <w:highlight w:val="none"/>
              </w:rPr>
            </w:pPr>
          </w:p>
        </w:tc>
        <w:tc>
          <w:tcPr>
            <w:tcW w:w="926" w:type="dxa"/>
            <w:noWrap w:val="0"/>
            <w:vAlign w:val="center"/>
          </w:tcPr>
          <w:p w14:paraId="4239E648">
            <w:pPr>
              <w:pageBreakBefore w:val="0"/>
              <w:kinsoku/>
              <w:wordWrap w:val="0"/>
              <w:bidi w:val="0"/>
              <w:spacing w:line="400" w:lineRule="atLeast"/>
              <w:jc w:val="center"/>
              <w:rPr>
                <w:rFonts w:hint="default" w:ascii="Times New Roman" w:hAnsi="Times New Roman" w:cs="Times New Roman"/>
                <w:color w:val="auto"/>
                <w:highlight w:val="none"/>
              </w:rPr>
            </w:pPr>
          </w:p>
        </w:tc>
        <w:tc>
          <w:tcPr>
            <w:tcW w:w="2682" w:type="dxa"/>
            <w:noWrap w:val="0"/>
            <w:vAlign w:val="center"/>
          </w:tcPr>
          <w:p w14:paraId="646A9497">
            <w:pPr>
              <w:pageBreakBefore w:val="0"/>
              <w:kinsoku/>
              <w:wordWrap w:val="0"/>
              <w:bidi w:val="0"/>
              <w:spacing w:line="400" w:lineRule="atLeast"/>
              <w:jc w:val="center"/>
              <w:rPr>
                <w:rFonts w:hint="default" w:ascii="Times New Roman" w:hAnsi="Times New Roman" w:cs="Times New Roman"/>
                <w:color w:val="auto"/>
                <w:highlight w:val="none"/>
              </w:rPr>
            </w:pPr>
          </w:p>
        </w:tc>
        <w:tc>
          <w:tcPr>
            <w:tcW w:w="1101" w:type="dxa"/>
            <w:noWrap w:val="0"/>
            <w:vAlign w:val="center"/>
          </w:tcPr>
          <w:p w14:paraId="67B50980">
            <w:pPr>
              <w:pageBreakBefore w:val="0"/>
              <w:kinsoku/>
              <w:wordWrap w:val="0"/>
              <w:bidi w:val="0"/>
              <w:spacing w:line="400" w:lineRule="atLeast"/>
              <w:jc w:val="center"/>
              <w:rPr>
                <w:rFonts w:hint="default" w:ascii="Times New Roman" w:hAnsi="Times New Roman" w:cs="Times New Roman"/>
                <w:color w:val="auto"/>
                <w:highlight w:val="none"/>
              </w:rPr>
            </w:pPr>
          </w:p>
        </w:tc>
        <w:tc>
          <w:tcPr>
            <w:tcW w:w="1307" w:type="dxa"/>
            <w:noWrap w:val="0"/>
            <w:vAlign w:val="center"/>
          </w:tcPr>
          <w:p w14:paraId="3AB3C101">
            <w:pPr>
              <w:pageBreakBefore w:val="0"/>
              <w:kinsoku/>
              <w:wordWrap w:val="0"/>
              <w:bidi w:val="0"/>
              <w:spacing w:line="400" w:lineRule="atLeast"/>
              <w:jc w:val="center"/>
              <w:rPr>
                <w:rFonts w:hint="default" w:ascii="Times New Roman" w:hAnsi="Times New Roman" w:cs="Times New Roman"/>
                <w:color w:val="auto"/>
                <w:highlight w:val="none"/>
              </w:rPr>
            </w:pPr>
          </w:p>
        </w:tc>
        <w:tc>
          <w:tcPr>
            <w:tcW w:w="1942" w:type="dxa"/>
            <w:noWrap w:val="0"/>
            <w:vAlign w:val="center"/>
          </w:tcPr>
          <w:p w14:paraId="35CB450F">
            <w:pPr>
              <w:pageBreakBefore w:val="0"/>
              <w:kinsoku/>
              <w:wordWrap w:val="0"/>
              <w:bidi w:val="0"/>
              <w:spacing w:line="400" w:lineRule="atLeast"/>
              <w:jc w:val="center"/>
              <w:rPr>
                <w:rFonts w:hint="default" w:ascii="Times New Roman" w:hAnsi="Times New Roman" w:cs="Times New Roman"/>
                <w:color w:val="auto"/>
                <w:highlight w:val="none"/>
              </w:rPr>
            </w:pPr>
          </w:p>
        </w:tc>
      </w:tr>
    </w:tbl>
    <w:p w14:paraId="2B420E68">
      <w:pPr>
        <w:pStyle w:val="17"/>
        <w:pageBreakBefore w:val="0"/>
        <w:kinsoku/>
        <w:wordWrap w:val="0"/>
        <w:bidi w:val="0"/>
        <w:spacing w:after="0" w:line="400" w:lineRule="atLeast"/>
        <w:ind w:left="735" w:leftChars="0" w:hanging="735" w:hangingChars="350"/>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注：本表填报的人员应满足招标文件第二章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前附表附录6的要求。</w:t>
      </w:r>
    </w:p>
    <w:p w14:paraId="2BC5013C">
      <w:pPr>
        <w:pageBreakBefore w:val="0"/>
        <w:kinsoku/>
        <w:wordWrap w:val="0"/>
        <w:bidi w:val="0"/>
        <w:spacing w:line="400" w:lineRule="atLeast"/>
        <w:jc w:val="center"/>
        <w:rPr>
          <w:rFonts w:hint="default" w:ascii="Times New Roman" w:hAnsi="Times New Roman" w:eastAsia="黑体" w:cs="Times New Roman"/>
          <w:color w:val="auto"/>
          <w:sz w:val="28"/>
          <w:highlight w:val="none"/>
        </w:rPr>
      </w:pPr>
      <w:r>
        <w:rPr>
          <w:rFonts w:hint="default" w:ascii="Times New Roman" w:hAnsi="Times New Roman" w:eastAsia="黑体" w:cs="Times New Roman"/>
          <w:color w:val="auto"/>
          <w:sz w:val="28"/>
          <w:highlight w:val="none"/>
        </w:rPr>
        <w:br w:type="page"/>
      </w:r>
    </w:p>
    <w:p w14:paraId="6F1FCDE1">
      <w:pPr>
        <w:pStyle w:val="2"/>
        <w:pageBreakBefore w:val="0"/>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bookmarkStart w:id="1959" w:name="_Toc31833"/>
      <w:bookmarkStart w:id="1960" w:name="_Toc4744"/>
      <w:bookmarkStart w:id="1961" w:name="_Toc26724"/>
      <w:bookmarkStart w:id="1962" w:name="_Toc234833287"/>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八</w:t>
      </w:r>
      <w:r>
        <w:rPr>
          <w:rFonts w:hint="default" w:ascii="Times New Roman" w:hAnsi="Times New Roman" w:eastAsia="黑体" w:cs="Times New Roman"/>
          <w:b w:val="0"/>
          <w:color w:val="auto"/>
          <w:sz w:val="24"/>
          <w:szCs w:val="24"/>
          <w:highlight w:val="none"/>
        </w:rPr>
        <w:t>）拟委任的其他管理和技术人员资历表</w:t>
      </w:r>
      <w:r>
        <w:rPr>
          <w:rFonts w:hint="default" w:ascii="Times New Roman" w:hAnsi="Times New Roman" w:eastAsia="黑体" w:cs="Times New Roman"/>
          <w:b w:val="0"/>
          <w:color w:val="auto"/>
          <w:sz w:val="24"/>
          <w:szCs w:val="24"/>
          <w:highlight w:val="none"/>
          <w:vertAlign w:val="superscript"/>
        </w:rPr>
        <w:footnoteReference w:id="50"/>
      </w:r>
      <w:bookmarkEnd w:id="1959"/>
      <w:bookmarkEnd w:id="1960"/>
      <w:bookmarkEnd w:id="1961"/>
      <w:bookmarkEnd w:id="1962"/>
    </w:p>
    <w:p w14:paraId="235F0A43">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highlight w:val="none"/>
        </w:rPr>
      </w:pPr>
    </w:p>
    <w:tbl>
      <w:tblPr>
        <w:tblStyle w:val="39"/>
        <w:tblW w:w="87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34"/>
        <w:gridCol w:w="51"/>
        <w:gridCol w:w="1352"/>
        <w:gridCol w:w="103"/>
        <w:gridCol w:w="1060"/>
        <w:gridCol w:w="1381"/>
        <w:gridCol w:w="337"/>
        <w:gridCol w:w="1544"/>
        <w:gridCol w:w="386"/>
        <w:gridCol w:w="1283"/>
      </w:tblGrid>
      <w:tr w14:paraId="61A1B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0" w:hRule="atLeast"/>
        </w:trPr>
        <w:tc>
          <w:tcPr>
            <w:tcW w:w="1234" w:type="dxa"/>
            <w:tcBorders>
              <w:top w:val="single" w:color="auto" w:sz="4" w:space="0"/>
              <w:left w:val="single" w:color="auto" w:sz="4" w:space="0"/>
              <w:bottom w:val="single" w:color="auto" w:sz="4" w:space="0"/>
              <w:right w:val="single" w:color="auto" w:sz="4" w:space="0"/>
            </w:tcBorders>
            <w:noWrap w:val="0"/>
            <w:vAlign w:val="center"/>
          </w:tcPr>
          <w:p w14:paraId="4BBDCF0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姓    名</w:t>
            </w:r>
          </w:p>
        </w:tc>
        <w:tc>
          <w:tcPr>
            <w:tcW w:w="1506" w:type="dxa"/>
            <w:gridSpan w:val="3"/>
            <w:tcBorders>
              <w:top w:val="single" w:color="auto" w:sz="4" w:space="0"/>
              <w:left w:val="single" w:color="auto" w:sz="4" w:space="0"/>
              <w:bottom w:val="single" w:color="auto" w:sz="4" w:space="0"/>
              <w:right w:val="single" w:color="auto" w:sz="4" w:space="0"/>
            </w:tcBorders>
            <w:noWrap w:val="0"/>
            <w:vAlign w:val="center"/>
          </w:tcPr>
          <w:p w14:paraId="51214AA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4A2900D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    龄</w:t>
            </w:r>
          </w:p>
        </w:tc>
        <w:tc>
          <w:tcPr>
            <w:tcW w:w="1381" w:type="dxa"/>
            <w:tcBorders>
              <w:top w:val="single" w:color="auto" w:sz="4" w:space="0"/>
              <w:left w:val="single" w:color="auto" w:sz="4" w:space="0"/>
              <w:bottom w:val="single" w:color="auto" w:sz="4" w:space="0"/>
              <w:right w:val="single" w:color="auto" w:sz="4" w:space="0"/>
            </w:tcBorders>
            <w:noWrap w:val="0"/>
            <w:vAlign w:val="top"/>
          </w:tcPr>
          <w:p w14:paraId="656A754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tcBorders>
              <w:top w:val="single" w:color="auto" w:sz="4" w:space="0"/>
              <w:left w:val="single" w:color="auto" w:sz="4" w:space="0"/>
              <w:bottom w:val="single" w:color="auto" w:sz="4" w:space="0"/>
              <w:right w:val="single" w:color="auto" w:sz="4" w:space="0"/>
            </w:tcBorders>
            <w:noWrap w:val="0"/>
            <w:vAlign w:val="top"/>
          </w:tcPr>
          <w:p w14:paraId="5C5BB984">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专    业</w:t>
            </w:r>
          </w:p>
        </w:tc>
        <w:tc>
          <w:tcPr>
            <w:tcW w:w="1669" w:type="dxa"/>
            <w:gridSpan w:val="2"/>
            <w:tcBorders>
              <w:top w:val="single" w:color="auto" w:sz="4" w:space="0"/>
              <w:left w:val="single" w:color="auto" w:sz="4" w:space="0"/>
              <w:bottom w:val="single" w:color="auto" w:sz="4" w:space="0"/>
              <w:right w:val="single" w:color="auto" w:sz="4" w:space="0"/>
            </w:tcBorders>
            <w:noWrap w:val="0"/>
            <w:vAlign w:val="top"/>
          </w:tcPr>
          <w:p w14:paraId="08989CCB">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0121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60" w:hRule="atLeast"/>
        </w:trPr>
        <w:tc>
          <w:tcPr>
            <w:tcW w:w="1234" w:type="dxa"/>
            <w:tcBorders>
              <w:top w:val="single" w:color="auto" w:sz="4" w:space="0"/>
              <w:left w:val="single" w:color="auto" w:sz="4" w:space="0"/>
              <w:bottom w:val="single" w:color="auto" w:sz="4" w:space="0"/>
              <w:right w:val="single" w:color="auto" w:sz="4" w:space="0"/>
            </w:tcBorders>
            <w:noWrap w:val="0"/>
            <w:vAlign w:val="center"/>
          </w:tcPr>
          <w:p w14:paraId="4712FDF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技术职称</w:t>
            </w:r>
          </w:p>
        </w:tc>
        <w:tc>
          <w:tcPr>
            <w:tcW w:w="1506" w:type="dxa"/>
            <w:gridSpan w:val="3"/>
            <w:tcBorders>
              <w:top w:val="single" w:color="auto" w:sz="4" w:space="0"/>
              <w:left w:val="single" w:color="auto" w:sz="4" w:space="0"/>
              <w:bottom w:val="single" w:color="auto" w:sz="4" w:space="0"/>
              <w:right w:val="single" w:color="auto" w:sz="4" w:space="0"/>
            </w:tcBorders>
            <w:noWrap w:val="0"/>
            <w:vAlign w:val="center"/>
          </w:tcPr>
          <w:p w14:paraId="73016C4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46E9AA86">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学    历</w:t>
            </w:r>
          </w:p>
        </w:tc>
        <w:tc>
          <w:tcPr>
            <w:tcW w:w="1381" w:type="dxa"/>
            <w:tcBorders>
              <w:top w:val="single" w:color="auto" w:sz="4" w:space="0"/>
              <w:left w:val="single" w:color="auto" w:sz="4" w:space="0"/>
              <w:bottom w:val="single" w:color="auto" w:sz="4" w:space="0"/>
              <w:right w:val="single" w:color="auto" w:sz="4" w:space="0"/>
            </w:tcBorders>
            <w:noWrap w:val="0"/>
            <w:vAlign w:val="top"/>
          </w:tcPr>
          <w:p w14:paraId="119C061B">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tcBorders>
              <w:top w:val="single" w:color="auto" w:sz="4" w:space="0"/>
              <w:left w:val="single" w:color="auto" w:sz="4" w:space="0"/>
              <w:bottom w:val="single" w:color="auto" w:sz="4" w:space="0"/>
              <w:right w:val="single" w:color="auto" w:sz="4" w:space="0"/>
            </w:tcBorders>
            <w:noWrap w:val="0"/>
            <w:vAlign w:val="top"/>
          </w:tcPr>
          <w:p w14:paraId="125BFF0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拟在本标段</w:t>
            </w:r>
          </w:p>
          <w:p w14:paraId="329628A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工程任职</w:t>
            </w:r>
          </w:p>
        </w:tc>
        <w:tc>
          <w:tcPr>
            <w:tcW w:w="1669" w:type="dxa"/>
            <w:gridSpan w:val="2"/>
            <w:tcBorders>
              <w:top w:val="single" w:color="auto" w:sz="4" w:space="0"/>
              <w:left w:val="single" w:color="auto" w:sz="4" w:space="0"/>
              <w:bottom w:val="single" w:color="auto" w:sz="4" w:space="0"/>
              <w:right w:val="single" w:color="auto" w:sz="4" w:space="0"/>
            </w:tcBorders>
            <w:noWrap w:val="0"/>
            <w:vAlign w:val="top"/>
          </w:tcPr>
          <w:p w14:paraId="132C23C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60473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34" w:type="dxa"/>
            <w:noWrap w:val="0"/>
            <w:vAlign w:val="center"/>
          </w:tcPr>
          <w:p w14:paraId="3C8EBDE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工作年限</w:t>
            </w:r>
          </w:p>
        </w:tc>
        <w:tc>
          <w:tcPr>
            <w:tcW w:w="3947" w:type="dxa"/>
            <w:gridSpan w:val="5"/>
            <w:noWrap w:val="0"/>
            <w:vAlign w:val="center"/>
          </w:tcPr>
          <w:p w14:paraId="0F2BBE4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881" w:type="dxa"/>
            <w:gridSpan w:val="2"/>
            <w:noWrap w:val="0"/>
            <w:vAlign w:val="center"/>
          </w:tcPr>
          <w:p w14:paraId="72160C4E">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类似施工经验年限</w:t>
            </w:r>
          </w:p>
        </w:tc>
        <w:tc>
          <w:tcPr>
            <w:tcW w:w="1669" w:type="dxa"/>
            <w:gridSpan w:val="2"/>
            <w:noWrap w:val="0"/>
            <w:vAlign w:val="top"/>
          </w:tcPr>
          <w:p w14:paraId="6324F1A3">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139A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503" w:hRule="atLeast"/>
        </w:trPr>
        <w:tc>
          <w:tcPr>
            <w:tcW w:w="1234" w:type="dxa"/>
            <w:noWrap w:val="0"/>
            <w:vAlign w:val="center"/>
          </w:tcPr>
          <w:p w14:paraId="1867CE7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毕业学校</w:t>
            </w:r>
          </w:p>
        </w:tc>
        <w:tc>
          <w:tcPr>
            <w:tcW w:w="7497" w:type="dxa"/>
            <w:gridSpan w:val="9"/>
            <w:noWrap w:val="0"/>
            <w:vAlign w:val="center"/>
          </w:tcPr>
          <w:p w14:paraId="2507B66E">
            <w:pPr>
              <w:pageBreakBefore w:val="0"/>
              <w:widowControl/>
              <w:kinsoku/>
              <w:wordWrap w:val="0"/>
              <w:autoSpaceDE w:val="0"/>
              <w:autoSpaceDN w:val="0"/>
              <w:bidi w:val="0"/>
              <w:spacing w:before="60" w:beforeLines="25" w:after="60" w:afterLines="25" w:line="400" w:lineRule="atLeast"/>
              <w:ind w:left="-187" w:leftChars="-89"/>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______年___月毕业于___________________学校___________专业，学制______年</w:t>
            </w:r>
          </w:p>
        </w:tc>
      </w:tr>
      <w:tr w14:paraId="55F8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8731" w:type="dxa"/>
            <w:gridSpan w:val="10"/>
            <w:noWrap w:val="0"/>
            <w:vAlign w:val="center"/>
          </w:tcPr>
          <w:p w14:paraId="58F502A6">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经         历</w:t>
            </w:r>
          </w:p>
        </w:tc>
      </w:tr>
      <w:tr w14:paraId="537C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685DA2D4">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highlight w:val="none"/>
              </w:rPr>
              <w:t>时  间</w:t>
            </w:r>
          </w:p>
        </w:tc>
        <w:tc>
          <w:tcPr>
            <w:tcW w:w="4233" w:type="dxa"/>
            <w:gridSpan w:val="5"/>
            <w:noWrap w:val="0"/>
            <w:vAlign w:val="center"/>
          </w:tcPr>
          <w:p w14:paraId="57E7CFAD">
            <w:pPr>
              <w:pStyle w:val="75"/>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参加过的类似工程项目名称</w:t>
            </w:r>
          </w:p>
        </w:tc>
        <w:tc>
          <w:tcPr>
            <w:tcW w:w="1930" w:type="dxa"/>
            <w:gridSpan w:val="2"/>
            <w:noWrap w:val="0"/>
            <w:vAlign w:val="center"/>
          </w:tcPr>
          <w:p w14:paraId="0E4ECEA6">
            <w:pPr>
              <w:pStyle w:val="75"/>
              <w:pageBreakBefore w:val="0"/>
              <w:widowControl/>
              <w:kinsoku/>
              <w:wordWrap w:val="0"/>
              <w:bidi w:val="0"/>
              <w:adjustRightInd/>
              <w:snapToGrid/>
              <w:spacing w:before="60" w:beforeLines="25" w:after="60" w:afterLines="25" w:line="400" w:lineRule="atLeast"/>
              <w:textAlignment w:val="bottom"/>
              <w:rPr>
                <w:rFonts w:hint="default" w:ascii="Times New Roman" w:hAnsi="Times New Roman" w:cs="Times New Roman"/>
                <w:color w:val="auto"/>
                <w:spacing w:val="0"/>
                <w:kern w:val="2"/>
                <w:szCs w:val="21"/>
                <w:highlight w:val="none"/>
              </w:rPr>
            </w:pPr>
            <w:r>
              <w:rPr>
                <w:rFonts w:hint="default" w:ascii="Times New Roman" w:hAnsi="Times New Roman" w:cs="Times New Roman"/>
                <w:color w:val="auto"/>
                <w:spacing w:val="0"/>
                <w:kern w:val="2"/>
                <w:szCs w:val="21"/>
                <w:highlight w:val="none"/>
              </w:rPr>
              <w:t>担任职务</w:t>
            </w:r>
          </w:p>
        </w:tc>
        <w:tc>
          <w:tcPr>
            <w:tcW w:w="1283" w:type="dxa"/>
            <w:noWrap w:val="0"/>
            <w:vAlign w:val="center"/>
          </w:tcPr>
          <w:p w14:paraId="590DE92F">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发包人及联系电话</w:t>
            </w:r>
          </w:p>
        </w:tc>
      </w:tr>
      <w:tr w14:paraId="54C7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15BB237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633759C3">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216D767F">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6BE7DB54">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7A7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41B98A00">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4DA9764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615292D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2CECBAD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5A8E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3EC92818">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274B7D1D">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24576E4C">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7A51C4A2">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032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Pr>
        <w:tc>
          <w:tcPr>
            <w:tcW w:w="1285" w:type="dxa"/>
            <w:gridSpan w:val="2"/>
            <w:noWrap w:val="0"/>
            <w:vAlign w:val="center"/>
          </w:tcPr>
          <w:p w14:paraId="00FEC0C2">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4233" w:type="dxa"/>
            <w:gridSpan w:val="5"/>
            <w:noWrap w:val="0"/>
            <w:vAlign w:val="center"/>
          </w:tcPr>
          <w:p w14:paraId="5484A4BA">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p>
        </w:tc>
        <w:tc>
          <w:tcPr>
            <w:tcW w:w="1930" w:type="dxa"/>
            <w:gridSpan w:val="2"/>
            <w:noWrap w:val="0"/>
            <w:vAlign w:val="top"/>
          </w:tcPr>
          <w:p w14:paraId="44AC14B8">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c>
          <w:tcPr>
            <w:tcW w:w="1283" w:type="dxa"/>
            <w:noWrap w:val="0"/>
            <w:vAlign w:val="top"/>
          </w:tcPr>
          <w:p w14:paraId="6A64FD2A">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3C45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637" w:type="dxa"/>
            <w:gridSpan w:val="3"/>
            <w:noWrap w:val="0"/>
            <w:vAlign w:val="center"/>
          </w:tcPr>
          <w:p w14:paraId="222CE499">
            <w:pPr>
              <w:pageBreakBefore w:val="0"/>
              <w:widowControl/>
              <w:kinsoku/>
              <w:wordWrap w:val="0"/>
              <w:autoSpaceDE w:val="0"/>
              <w:autoSpaceDN w:val="0"/>
              <w:bidi w:val="0"/>
              <w:spacing w:before="60" w:beforeLines="25" w:after="60" w:afterLines="25"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获奖情况</w:t>
            </w:r>
          </w:p>
        </w:tc>
        <w:tc>
          <w:tcPr>
            <w:tcW w:w="6094" w:type="dxa"/>
            <w:gridSpan w:val="7"/>
            <w:noWrap w:val="0"/>
            <w:vAlign w:val="top"/>
          </w:tcPr>
          <w:p w14:paraId="37D8A449">
            <w:pPr>
              <w:pageBreakBefore w:val="0"/>
              <w:widowControl/>
              <w:kinsoku/>
              <w:wordWrap w:val="0"/>
              <w:autoSpaceDE w:val="0"/>
              <w:autoSpaceDN w:val="0"/>
              <w:bidi w:val="0"/>
              <w:spacing w:before="60" w:beforeLines="25" w:after="60" w:afterLines="25" w:line="400" w:lineRule="atLeast"/>
              <w:textAlignment w:val="bottom"/>
              <w:rPr>
                <w:rFonts w:hint="default" w:ascii="Times New Roman" w:hAnsi="Times New Roman" w:cs="Times New Roman"/>
                <w:color w:val="auto"/>
                <w:szCs w:val="21"/>
                <w:highlight w:val="none"/>
              </w:rPr>
            </w:pPr>
          </w:p>
        </w:tc>
      </w:tr>
      <w:tr w14:paraId="1571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noWrap w:val="0"/>
            <w:vAlign w:val="center"/>
          </w:tcPr>
          <w:p w14:paraId="6EBF123B">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说明在岗情况</w:t>
            </w:r>
          </w:p>
        </w:tc>
        <w:tc>
          <w:tcPr>
            <w:tcW w:w="6094" w:type="dxa"/>
            <w:gridSpan w:val="7"/>
            <w:noWrap w:val="0"/>
            <w:vAlign w:val="top"/>
          </w:tcPr>
          <w:p w14:paraId="5BF5A9AF">
            <w:pPr>
              <w:pStyle w:val="15"/>
              <w:pageBreakBefore w:val="0"/>
              <w:kinsoku/>
              <w:wordWrap w:val="0"/>
              <w:topLinePunct/>
              <w:bidi w:val="0"/>
              <w:spacing w:line="360" w:lineRule="atLeas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□目前未在其他项目上任职，现从事工作为：</w:t>
            </w:r>
            <w:r>
              <w:rPr>
                <w:rFonts w:hint="default" w:ascii="Times New Roman" w:hAnsi="Times New Roman" w:cs="Times New Roman"/>
                <w:color w:val="auto"/>
                <w:sz w:val="21"/>
                <w:szCs w:val="21"/>
                <w:highlight w:val="none"/>
                <w:u w:val="single"/>
              </w:rPr>
              <w:t xml:space="preserve">              </w:t>
            </w:r>
            <w:r>
              <w:rPr>
                <w:rFonts w:hint="default" w:ascii="Times New Roman" w:hAnsi="Times New Roman" w:cs="Times New Roman"/>
                <w:color w:val="auto"/>
                <w:sz w:val="21"/>
                <w:szCs w:val="21"/>
                <w:highlight w:val="none"/>
              </w:rPr>
              <w:t>。</w:t>
            </w:r>
          </w:p>
          <w:p w14:paraId="6B752206">
            <w:pPr>
              <w:pageBreakBefore w:val="0"/>
              <w:widowControl/>
              <w:kinsoku/>
              <w:wordWrap w:val="0"/>
              <w:autoSpaceDE w:val="0"/>
              <w:autoSpaceDN w:val="0"/>
              <w:bidi w:val="0"/>
              <w:spacing w:line="400" w:lineRule="atLeast"/>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□目前虽</w:t>
            </w:r>
            <w:r>
              <w:rPr>
                <w:rFonts w:hint="default" w:ascii="Times New Roman" w:hAnsi="Times New Roman" w:cs="Times New Roman"/>
                <w:color w:val="auto"/>
                <w:highlight w:val="none"/>
              </w:rPr>
              <w:t>在其他项目</w:t>
            </w:r>
            <w:r>
              <w:rPr>
                <w:rFonts w:hint="default" w:ascii="Times New Roman" w:hAnsi="Times New Roman" w:cs="Times New Roman"/>
                <w:color w:val="auto"/>
                <w:szCs w:val="21"/>
                <w:highlight w:val="none"/>
              </w:rPr>
              <w:t>上</w:t>
            </w:r>
            <w:r>
              <w:rPr>
                <w:rFonts w:hint="default" w:ascii="Times New Roman" w:hAnsi="Times New Roman" w:cs="Times New Roman"/>
                <w:color w:val="auto"/>
                <w:highlight w:val="none"/>
              </w:rPr>
              <w:t>任职，但本项目中标后能够从该项目撤离，目前任职项目：</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，担任职位：</w:t>
            </w:r>
            <w:r>
              <w:rPr>
                <w:rFonts w:hint="default" w:ascii="Times New Roman" w:hAnsi="Times New Roman" w:cs="Times New Roman"/>
                <w:color w:val="auto"/>
                <w:szCs w:val="21"/>
                <w:highlight w:val="none"/>
                <w:u w:val="single"/>
              </w:rPr>
              <w:t xml:space="preserve">           </w:t>
            </w:r>
            <w:r>
              <w:rPr>
                <w:rFonts w:hint="default" w:ascii="Times New Roman" w:hAnsi="Times New Roman" w:cs="Times New Roman"/>
                <w:color w:val="auto"/>
                <w:highlight w:val="none"/>
              </w:rPr>
              <w:t>。</w:t>
            </w:r>
          </w:p>
        </w:tc>
      </w:tr>
      <w:tr w14:paraId="1DE3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637" w:type="dxa"/>
            <w:gridSpan w:val="3"/>
            <w:noWrap w:val="0"/>
            <w:vAlign w:val="center"/>
          </w:tcPr>
          <w:p w14:paraId="24E5B985">
            <w:pPr>
              <w:pageBreakBefore w:val="0"/>
              <w:widowControl/>
              <w:kinsoku/>
              <w:wordWrap w:val="0"/>
              <w:autoSpaceDE w:val="0"/>
              <w:autoSpaceDN w:val="0"/>
              <w:bidi w:val="0"/>
              <w:spacing w:line="400" w:lineRule="atLeast"/>
              <w:jc w:val="center"/>
              <w:textAlignment w:val="bottom"/>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     注</w:t>
            </w:r>
          </w:p>
        </w:tc>
        <w:tc>
          <w:tcPr>
            <w:tcW w:w="6094" w:type="dxa"/>
            <w:gridSpan w:val="7"/>
            <w:noWrap w:val="0"/>
            <w:vAlign w:val="top"/>
          </w:tcPr>
          <w:p w14:paraId="7F21ECA5">
            <w:pPr>
              <w:pageBreakBefore w:val="0"/>
              <w:widowControl/>
              <w:kinsoku/>
              <w:wordWrap w:val="0"/>
              <w:autoSpaceDE w:val="0"/>
              <w:autoSpaceDN w:val="0"/>
              <w:bidi w:val="0"/>
              <w:spacing w:line="400" w:lineRule="atLeast"/>
              <w:textAlignment w:val="bottom"/>
              <w:rPr>
                <w:rFonts w:hint="default" w:ascii="Times New Roman" w:hAnsi="Times New Roman" w:cs="Times New Roman"/>
                <w:color w:val="auto"/>
                <w:szCs w:val="21"/>
                <w:highlight w:val="none"/>
              </w:rPr>
            </w:pPr>
          </w:p>
        </w:tc>
      </w:tr>
    </w:tbl>
    <w:p w14:paraId="143E7ADF">
      <w:pPr>
        <w:pStyle w:val="17"/>
        <w:pageBreakBefore w:val="0"/>
        <w:kinsoku/>
        <w:wordWrap w:val="0"/>
        <w:bidi w:val="0"/>
        <w:spacing w:after="0" w:line="400" w:lineRule="atLeast"/>
        <w:ind w:left="588" w:leftChars="0" w:right="-61" w:rightChars="-29" w:hanging="588" w:hangingChars="28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注：1.本表人员应与表（七）中所列人员相一致。</w:t>
      </w:r>
    </w:p>
    <w:p w14:paraId="5AAD8432">
      <w:pPr>
        <w:pStyle w:val="17"/>
        <w:pageBreakBefore w:val="0"/>
        <w:kinsoku/>
        <w:wordWrap w:val="0"/>
        <w:bidi w:val="0"/>
        <w:spacing w:after="0" w:line="400" w:lineRule="atLeast"/>
        <w:rPr>
          <w:rFonts w:hint="default" w:ascii="Times New Roman" w:hAnsi="Times New Roman" w:cs="Times New Roman"/>
          <w:bCs/>
          <w:color w:val="auto"/>
          <w:kern w:val="0"/>
          <w:szCs w:val="21"/>
          <w:highlight w:val="none"/>
        </w:rPr>
      </w:pPr>
      <w:r>
        <w:rPr>
          <w:rFonts w:hint="default" w:ascii="Times New Roman" w:hAnsi="Times New Roman" w:cs="Times New Roman"/>
          <w:bCs/>
          <w:color w:val="auto"/>
          <w:kern w:val="0"/>
          <w:szCs w:val="21"/>
          <w:highlight w:val="none"/>
        </w:rPr>
        <w:t>2.</w:t>
      </w:r>
      <w:r>
        <w:rPr>
          <w:rFonts w:hint="default" w:ascii="Times New Roman" w:hAnsi="Times New Roman" w:cs="Times New Roman"/>
          <w:color w:val="auto"/>
          <w:highlight w:val="none"/>
        </w:rPr>
        <w:t>投标人应根据招标文件第二章</w:t>
      </w:r>
      <w:r>
        <w:rPr>
          <w:rFonts w:hint="eastAsia" w:ascii="宋体" w:hAnsi="宋体" w:eastAsia="宋体" w:cs="宋体"/>
          <w:color w:val="auto"/>
          <w:highlight w:val="none"/>
        </w:rPr>
        <w:t>“</w:t>
      </w:r>
      <w:r>
        <w:rPr>
          <w:rFonts w:hint="default" w:ascii="Times New Roman" w:hAnsi="Times New Roman" w:cs="Times New Roman"/>
          <w:color w:val="auto"/>
          <w:highlight w:val="none"/>
        </w:rPr>
        <w:t>投标人须知</w:t>
      </w:r>
      <w:r>
        <w:rPr>
          <w:rFonts w:hint="eastAsia" w:ascii="宋体" w:hAnsi="宋体" w:eastAsia="宋体" w:cs="宋体"/>
          <w:color w:val="auto"/>
          <w:highlight w:val="none"/>
        </w:rPr>
        <w:t>”</w:t>
      </w:r>
      <w:r>
        <w:rPr>
          <w:rFonts w:hint="default" w:ascii="Times New Roman" w:hAnsi="Times New Roman" w:cs="Times New Roman"/>
          <w:color w:val="auto"/>
          <w:highlight w:val="none"/>
        </w:rPr>
        <w:t>第3.5.6项的要求在本表后附相关证明材料。</w:t>
      </w:r>
    </w:p>
    <w:p w14:paraId="68555862">
      <w:pPr>
        <w:pStyle w:val="2"/>
        <w:pageBreakBefore w:val="0"/>
        <w:kinsoku/>
        <w:wordWrap w:val="0"/>
        <w:bidi w:val="0"/>
        <w:spacing w:before="0" w:after="0" w:line="400" w:lineRule="atLeast"/>
        <w:jc w:val="center"/>
        <w:outlineLvl w:val="2"/>
        <w:rPr>
          <w:rFonts w:hint="default" w:ascii="Times New Roman" w:hAnsi="Times New Roman" w:eastAsia="黑体" w:cs="Times New Roman"/>
          <w:b w:val="0"/>
          <w:color w:val="auto"/>
          <w:sz w:val="24"/>
          <w:szCs w:val="24"/>
          <w:highlight w:val="none"/>
        </w:rPr>
      </w:pPr>
      <w:r>
        <w:rPr>
          <w:rFonts w:hint="default" w:ascii="Times New Roman" w:hAnsi="Times New Roman" w:eastAsia="黑体" w:cs="Times New Roman"/>
          <w:color w:val="auto"/>
          <w:sz w:val="24"/>
          <w:highlight w:val="none"/>
        </w:rPr>
        <w:br w:type="page"/>
      </w:r>
      <w:bookmarkStart w:id="1963" w:name="_Toc21686"/>
      <w:bookmarkStart w:id="1964" w:name="_Toc5789"/>
      <w:bookmarkStart w:id="1965" w:name="_Toc26111"/>
      <w:bookmarkStart w:id="1966" w:name="_Toc234833288"/>
      <w:r>
        <w:rPr>
          <w:rFonts w:hint="default" w:ascii="Times New Roman" w:hAnsi="Times New Roman" w:eastAsia="黑体" w:cs="Times New Roman"/>
          <w:b w:val="0"/>
          <w:color w:val="auto"/>
          <w:sz w:val="24"/>
          <w:szCs w:val="24"/>
          <w:highlight w:val="none"/>
        </w:rPr>
        <w:t>（</w:t>
      </w:r>
      <w:r>
        <w:rPr>
          <w:rFonts w:hint="default" w:ascii="Times New Roman" w:hAnsi="Times New Roman" w:eastAsia="黑体" w:cs="Times New Roman"/>
          <w:b w:val="0"/>
          <w:color w:val="auto"/>
          <w:sz w:val="24"/>
          <w:szCs w:val="24"/>
          <w:highlight w:val="none"/>
          <w:lang w:eastAsia="zh-CN"/>
        </w:rPr>
        <w:t>九</w:t>
      </w:r>
      <w:r>
        <w:rPr>
          <w:rFonts w:hint="default" w:ascii="Times New Roman" w:hAnsi="Times New Roman" w:eastAsia="黑体" w:cs="Times New Roman"/>
          <w:b w:val="0"/>
          <w:color w:val="auto"/>
          <w:sz w:val="24"/>
          <w:szCs w:val="24"/>
          <w:highlight w:val="none"/>
        </w:rPr>
        <w:t>） 拟投入本标段的主要施工机械表</w:t>
      </w:r>
      <w:r>
        <w:rPr>
          <w:rFonts w:hint="default" w:ascii="Times New Roman" w:hAnsi="Times New Roman" w:eastAsia="黑体" w:cs="Times New Roman"/>
          <w:b w:val="0"/>
          <w:color w:val="auto"/>
          <w:sz w:val="24"/>
          <w:szCs w:val="24"/>
          <w:highlight w:val="none"/>
          <w:vertAlign w:val="superscript"/>
        </w:rPr>
        <w:footnoteReference w:id="51"/>
      </w:r>
      <w:bookmarkEnd w:id="1963"/>
      <w:bookmarkEnd w:id="1964"/>
      <w:bookmarkEnd w:id="1965"/>
      <w:bookmarkEnd w:id="1966"/>
    </w:p>
    <w:p w14:paraId="1621942B">
      <w:pPr>
        <w:pageBreakBefore w:val="0"/>
        <w:widowControl/>
        <w:kinsoku/>
        <w:wordWrap w:val="0"/>
        <w:autoSpaceDE w:val="0"/>
        <w:autoSpaceDN w:val="0"/>
        <w:bidi w:val="0"/>
        <w:spacing w:line="400" w:lineRule="atLeast"/>
        <w:ind w:left="180"/>
        <w:textAlignment w:val="bottom"/>
        <w:rPr>
          <w:rFonts w:hint="default" w:ascii="Times New Roman" w:hAnsi="Times New Roman" w:eastAsia="黑体" w:cs="Times New Roman"/>
          <w:color w:val="auto"/>
          <w:sz w:val="23"/>
          <w:szCs w:val="23"/>
          <w:highlight w:val="none"/>
        </w:rPr>
      </w:pPr>
    </w:p>
    <w:tbl>
      <w:tblPr>
        <w:tblStyle w:val="3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085"/>
        <w:gridCol w:w="758"/>
        <w:gridCol w:w="670"/>
        <w:gridCol w:w="659"/>
        <w:gridCol w:w="941"/>
        <w:gridCol w:w="646"/>
        <w:gridCol w:w="430"/>
        <w:gridCol w:w="559"/>
        <w:gridCol w:w="559"/>
        <w:gridCol w:w="561"/>
        <w:gridCol w:w="948"/>
      </w:tblGrid>
      <w:tr w14:paraId="05F6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14" w:type="dxa"/>
            <w:vMerge w:val="restart"/>
            <w:noWrap w:val="0"/>
            <w:vAlign w:val="center"/>
          </w:tcPr>
          <w:p w14:paraId="26092BFA">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085" w:type="dxa"/>
            <w:vMerge w:val="restart"/>
            <w:noWrap w:val="0"/>
            <w:vAlign w:val="center"/>
          </w:tcPr>
          <w:p w14:paraId="758D8C5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设备名称</w:t>
            </w:r>
          </w:p>
        </w:tc>
        <w:tc>
          <w:tcPr>
            <w:tcW w:w="758" w:type="dxa"/>
            <w:vMerge w:val="restart"/>
            <w:noWrap w:val="0"/>
            <w:vAlign w:val="center"/>
          </w:tcPr>
          <w:p w14:paraId="6546BE60">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型号</w:t>
            </w:r>
          </w:p>
          <w:p w14:paraId="699CCF2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规格</w:t>
            </w:r>
          </w:p>
        </w:tc>
        <w:tc>
          <w:tcPr>
            <w:tcW w:w="670" w:type="dxa"/>
            <w:vMerge w:val="restart"/>
            <w:noWrap w:val="0"/>
            <w:vAlign w:val="center"/>
          </w:tcPr>
          <w:p w14:paraId="380F2208">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国别</w:t>
            </w:r>
          </w:p>
          <w:p w14:paraId="6A10437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产地</w:t>
            </w:r>
          </w:p>
        </w:tc>
        <w:tc>
          <w:tcPr>
            <w:tcW w:w="659" w:type="dxa"/>
            <w:vMerge w:val="restart"/>
            <w:noWrap w:val="0"/>
            <w:vAlign w:val="center"/>
          </w:tcPr>
          <w:p w14:paraId="1F441D25">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制造</w:t>
            </w:r>
          </w:p>
          <w:p w14:paraId="3E820FE4">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年份</w:t>
            </w:r>
          </w:p>
        </w:tc>
        <w:tc>
          <w:tcPr>
            <w:tcW w:w="941" w:type="dxa"/>
            <w:vMerge w:val="restart"/>
            <w:noWrap w:val="0"/>
            <w:vAlign w:val="center"/>
          </w:tcPr>
          <w:p w14:paraId="00F17965">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额定功率（kW）</w:t>
            </w:r>
          </w:p>
        </w:tc>
        <w:tc>
          <w:tcPr>
            <w:tcW w:w="646" w:type="dxa"/>
            <w:vMerge w:val="restart"/>
            <w:noWrap w:val="0"/>
            <w:vAlign w:val="center"/>
          </w:tcPr>
          <w:p w14:paraId="3836FFF5">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生产</w:t>
            </w:r>
          </w:p>
          <w:p w14:paraId="0DD1C5AF">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能力</w:t>
            </w:r>
          </w:p>
        </w:tc>
        <w:tc>
          <w:tcPr>
            <w:tcW w:w="2109" w:type="dxa"/>
            <w:gridSpan w:val="4"/>
            <w:noWrap w:val="0"/>
            <w:vAlign w:val="center"/>
          </w:tcPr>
          <w:p w14:paraId="6F29D60C">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数量（台）</w:t>
            </w:r>
          </w:p>
        </w:tc>
        <w:tc>
          <w:tcPr>
            <w:tcW w:w="948" w:type="dxa"/>
            <w:vMerge w:val="restart"/>
            <w:noWrap w:val="0"/>
            <w:vAlign w:val="center"/>
          </w:tcPr>
          <w:p w14:paraId="19604B95">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预计进场时间</w:t>
            </w:r>
          </w:p>
        </w:tc>
      </w:tr>
      <w:tr w14:paraId="60C8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vMerge w:val="continue"/>
            <w:noWrap w:val="0"/>
            <w:vAlign w:val="center"/>
          </w:tcPr>
          <w:p w14:paraId="141402D7">
            <w:pPr>
              <w:pageBreakBefore w:val="0"/>
              <w:kinsoku/>
              <w:wordWrap w:val="0"/>
              <w:bidi w:val="0"/>
              <w:spacing w:line="400" w:lineRule="atLeast"/>
              <w:rPr>
                <w:rFonts w:hint="default" w:ascii="Times New Roman" w:hAnsi="Times New Roman" w:cs="Times New Roman"/>
                <w:color w:val="auto"/>
                <w:szCs w:val="21"/>
                <w:highlight w:val="none"/>
              </w:rPr>
            </w:pPr>
          </w:p>
        </w:tc>
        <w:tc>
          <w:tcPr>
            <w:tcW w:w="1085" w:type="dxa"/>
            <w:vMerge w:val="continue"/>
            <w:noWrap w:val="0"/>
            <w:vAlign w:val="center"/>
          </w:tcPr>
          <w:p w14:paraId="71F9ADB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vMerge w:val="continue"/>
            <w:noWrap w:val="0"/>
            <w:vAlign w:val="center"/>
          </w:tcPr>
          <w:p w14:paraId="28E6EE8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vMerge w:val="continue"/>
            <w:noWrap w:val="0"/>
            <w:vAlign w:val="center"/>
          </w:tcPr>
          <w:p w14:paraId="5A4824D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vMerge w:val="continue"/>
            <w:noWrap w:val="0"/>
            <w:vAlign w:val="center"/>
          </w:tcPr>
          <w:p w14:paraId="7DC0520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vMerge w:val="continue"/>
            <w:noWrap w:val="0"/>
            <w:vAlign w:val="center"/>
          </w:tcPr>
          <w:p w14:paraId="0236913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vMerge w:val="continue"/>
            <w:noWrap w:val="0"/>
            <w:vAlign w:val="center"/>
          </w:tcPr>
          <w:p w14:paraId="6EC73BE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vMerge w:val="restart"/>
            <w:noWrap w:val="0"/>
            <w:vAlign w:val="center"/>
          </w:tcPr>
          <w:p w14:paraId="3B198F3B">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小计</w:t>
            </w:r>
          </w:p>
        </w:tc>
        <w:tc>
          <w:tcPr>
            <w:tcW w:w="1679" w:type="dxa"/>
            <w:gridSpan w:val="3"/>
            <w:noWrap w:val="0"/>
            <w:vAlign w:val="center"/>
          </w:tcPr>
          <w:p w14:paraId="0899D0D7">
            <w:pPr>
              <w:pageBreakBefore w:val="0"/>
              <w:kinsoku/>
              <w:wordWrap w:val="0"/>
              <w:bidi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其 中</w:t>
            </w:r>
          </w:p>
        </w:tc>
        <w:tc>
          <w:tcPr>
            <w:tcW w:w="948" w:type="dxa"/>
            <w:vMerge w:val="continue"/>
            <w:noWrap w:val="0"/>
            <w:vAlign w:val="center"/>
          </w:tcPr>
          <w:p w14:paraId="78707179">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C1D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4" w:type="dxa"/>
            <w:vMerge w:val="continue"/>
            <w:noWrap w:val="0"/>
            <w:vAlign w:val="center"/>
          </w:tcPr>
          <w:p w14:paraId="3514DB5F">
            <w:pPr>
              <w:pageBreakBefore w:val="0"/>
              <w:kinsoku/>
              <w:wordWrap w:val="0"/>
              <w:bidi w:val="0"/>
              <w:spacing w:line="400" w:lineRule="atLeast"/>
              <w:rPr>
                <w:rFonts w:hint="default" w:ascii="Times New Roman" w:hAnsi="Times New Roman" w:cs="Times New Roman"/>
                <w:color w:val="auto"/>
                <w:szCs w:val="21"/>
                <w:highlight w:val="none"/>
              </w:rPr>
            </w:pPr>
          </w:p>
        </w:tc>
        <w:tc>
          <w:tcPr>
            <w:tcW w:w="1085" w:type="dxa"/>
            <w:vMerge w:val="continue"/>
            <w:noWrap w:val="0"/>
            <w:vAlign w:val="center"/>
          </w:tcPr>
          <w:p w14:paraId="399AA61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vMerge w:val="continue"/>
            <w:noWrap w:val="0"/>
            <w:vAlign w:val="center"/>
          </w:tcPr>
          <w:p w14:paraId="0A49CC3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vMerge w:val="continue"/>
            <w:noWrap w:val="0"/>
            <w:vAlign w:val="center"/>
          </w:tcPr>
          <w:p w14:paraId="619B913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vMerge w:val="continue"/>
            <w:noWrap w:val="0"/>
            <w:vAlign w:val="center"/>
          </w:tcPr>
          <w:p w14:paraId="6B0BA39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vMerge w:val="continue"/>
            <w:noWrap w:val="0"/>
            <w:vAlign w:val="center"/>
          </w:tcPr>
          <w:p w14:paraId="3B50398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vMerge w:val="continue"/>
            <w:noWrap w:val="0"/>
            <w:vAlign w:val="center"/>
          </w:tcPr>
          <w:p w14:paraId="51F08DE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vMerge w:val="continue"/>
            <w:noWrap w:val="0"/>
            <w:vAlign w:val="center"/>
          </w:tcPr>
          <w:p w14:paraId="5D3BAAA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center"/>
          </w:tcPr>
          <w:p w14:paraId="5693A0E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自有</w:t>
            </w:r>
          </w:p>
        </w:tc>
        <w:tc>
          <w:tcPr>
            <w:tcW w:w="559" w:type="dxa"/>
            <w:noWrap w:val="0"/>
            <w:vAlign w:val="center"/>
          </w:tcPr>
          <w:p w14:paraId="25B9344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新购</w:t>
            </w:r>
          </w:p>
        </w:tc>
        <w:tc>
          <w:tcPr>
            <w:tcW w:w="561" w:type="dxa"/>
            <w:noWrap w:val="0"/>
            <w:vAlign w:val="center"/>
          </w:tcPr>
          <w:p w14:paraId="70ED201D">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租赁</w:t>
            </w:r>
          </w:p>
        </w:tc>
        <w:tc>
          <w:tcPr>
            <w:tcW w:w="948" w:type="dxa"/>
            <w:vMerge w:val="continue"/>
            <w:noWrap w:val="0"/>
            <w:vAlign w:val="center"/>
          </w:tcPr>
          <w:p w14:paraId="5EF4245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A44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14:paraId="57D1A30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center"/>
          </w:tcPr>
          <w:p w14:paraId="791CB73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center"/>
          </w:tcPr>
          <w:p w14:paraId="31A3DA8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center"/>
          </w:tcPr>
          <w:p w14:paraId="3F5A3A8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center"/>
          </w:tcPr>
          <w:p w14:paraId="7DCC318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center"/>
          </w:tcPr>
          <w:p w14:paraId="4F1725C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center"/>
          </w:tcPr>
          <w:p w14:paraId="55A87DA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center"/>
          </w:tcPr>
          <w:p w14:paraId="2C27187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center"/>
          </w:tcPr>
          <w:p w14:paraId="7CBE5DE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center"/>
          </w:tcPr>
          <w:p w14:paraId="3049B7E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center"/>
          </w:tcPr>
          <w:p w14:paraId="684A194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center"/>
          </w:tcPr>
          <w:p w14:paraId="581EB0A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8CE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14:paraId="1FDC420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center"/>
          </w:tcPr>
          <w:p w14:paraId="3C4E498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center"/>
          </w:tcPr>
          <w:p w14:paraId="6EEBB7C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center"/>
          </w:tcPr>
          <w:p w14:paraId="24F67DB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center"/>
          </w:tcPr>
          <w:p w14:paraId="3806185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center"/>
          </w:tcPr>
          <w:p w14:paraId="6F234C6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center"/>
          </w:tcPr>
          <w:p w14:paraId="6CA6121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center"/>
          </w:tcPr>
          <w:p w14:paraId="3B72254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center"/>
          </w:tcPr>
          <w:p w14:paraId="1FF199B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center"/>
          </w:tcPr>
          <w:p w14:paraId="28D5821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center"/>
          </w:tcPr>
          <w:p w14:paraId="00F38ED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center"/>
          </w:tcPr>
          <w:p w14:paraId="719AA00B">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056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CCA52B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2DD7248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1F1E533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10DCEB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D5CE15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364845F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3858922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9CCD36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356CB08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5714BFB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5A005DB">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2958CEE">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392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1340224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174580E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6B20226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6204C1A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01895BA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480B8EC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49EFC03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00A071A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EA5BE5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95FE48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177DD8F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2F4EDBF0">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8F2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0FB47AD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09FE54D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7E9138E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5539173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662087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EEF429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5C91AC4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6F25FB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5D50A8C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66CC9D5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791EEF79">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45E7BE1D">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7D4B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72DA79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1EC040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7ADCE24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3ECE9D0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22D4CCA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0A068DA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432C324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4BEEAB6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326EFF3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2660781B">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38F7D9D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0537B69F">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08D6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55D059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37F1425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2B2E97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5BE0442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3413327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62D0CC2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484BAAC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7B75710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630C1E5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A6A196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4796F63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1B652D9A">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762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0B6B3D0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58B7563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868415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AECBA9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1D1DB49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38973A3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25A0FFE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42C3084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547833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637E63D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512E706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0BCE9FED">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21F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79D6A7E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05AF4A9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702681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38F0730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3F7890B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459574E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2DFFEE5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93679C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66AC11DB">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24DD76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1CADB6F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0DFE9CF">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25A5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70DBD4F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788B679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5DCB63A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1CC9701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4C46136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585348E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010A98D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153A4B9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4D6C46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A7D9D3B">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1980BAC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1832B5C">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9E7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6F7B8E0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01C1BE2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B37CA8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399C83E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0BA1A2A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793EF78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0E4EAD7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5668E44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32107E5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929978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33D2ACA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434A61D7">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3676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7321897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3D13F6C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54A2B8F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3AD38E8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475A2BA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6E7EA32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0CD4E58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361068A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53476C7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21A472F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5E7165F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08C94221">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856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6EEC0BA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07C7EC4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E92B6B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1F033FC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389005B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28C014A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31AE871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40E927F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6CDABE6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2967D340">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4357FC5F">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0C8F76DB">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59B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6B0F8B3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749D2E0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76F887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52EADF3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197347B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5B35AE2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031852D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342D578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F52794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98D5EA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2191395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346BA7FE">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453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53F357E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67B4F64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56645A1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1566DD8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45866C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424D966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6E37D53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047CC89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78EC484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4AE0E79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DD4AAF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1FC8D7A">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DB0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196608E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7964B4B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4002B90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7763666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345328D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4CF641F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72CD2A0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361487E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76977A6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1E59E22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5D016CEB">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4DF8149">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2D77D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3F6A2D8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34E0D75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095DD95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0E3BBB0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43D890F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0204B7A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3A64944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0A19B28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5D977A9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F7768B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7C857366">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1448A993">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019E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16FE215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33C5578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377AC2C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20D61E5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2A490C0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738AB61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391E61D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1238FAFE">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3B3CBE19">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16AD73C9">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3AC571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2301784D">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630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003165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3A40ECB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65A03441">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44E7DCF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8BF320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786FD3E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5CB1B5F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3E5F0BA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1194ED65">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730AC57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7C00232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3D218EC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7E96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63186E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2141C5B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3E92AB2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4F036A4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1DCEFA0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77769B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2E0BE26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3036736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0937F547">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3FA37ED">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6B389DF4">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AF744D4">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E5A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05B2312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C308BB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74A23AD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34B6911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2EC55E3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191D92C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259B0AE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45750EC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6001ADF3">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30D63D1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036C990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0FBDED94">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317E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105E2E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F01DB89">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3080237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31C7405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548ECC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7CBC5AC5">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7D5D70D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4D2757A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02EA685D">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2F8D1A48">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3166A241">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79383638">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11F94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7BC25672">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74B5CB8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7458CDD">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70EB8E8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143268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24D6B1B7">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604BC54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77C4B71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4C8F045A">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0CA8259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23867DD9">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3820C8FB">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494A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4BEB0810">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4E7C1ACC">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0437187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610B5EFB">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5323103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0D32C2E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7A391DF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4A6CCEF4">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2444BD1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1AFB662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68A31AD2">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43CD67DF">
            <w:pPr>
              <w:pageBreakBefore w:val="0"/>
              <w:kinsoku/>
              <w:wordWrap w:val="0"/>
              <w:bidi w:val="0"/>
              <w:spacing w:line="400" w:lineRule="atLeast"/>
              <w:jc w:val="center"/>
              <w:rPr>
                <w:rFonts w:hint="default" w:ascii="Times New Roman" w:hAnsi="Times New Roman" w:cs="Times New Roman"/>
                <w:color w:val="auto"/>
                <w:szCs w:val="21"/>
                <w:highlight w:val="none"/>
              </w:rPr>
            </w:pPr>
          </w:p>
        </w:tc>
      </w:tr>
      <w:tr w14:paraId="54F4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top"/>
          </w:tcPr>
          <w:p w14:paraId="21413A3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1085" w:type="dxa"/>
            <w:noWrap w:val="0"/>
            <w:vAlign w:val="top"/>
          </w:tcPr>
          <w:p w14:paraId="0C168313">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758" w:type="dxa"/>
            <w:noWrap w:val="0"/>
            <w:vAlign w:val="top"/>
          </w:tcPr>
          <w:p w14:paraId="2957BDE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70" w:type="dxa"/>
            <w:noWrap w:val="0"/>
            <w:vAlign w:val="top"/>
          </w:tcPr>
          <w:p w14:paraId="758795EA">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59" w:type="dxa"/>
            <w:noWrap w:val="0"/>
            <w:vAlign w:val="top"/>
          </w:tcPr>
          <w:p w14:paraId="6346A2B6">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941" w:type="dxa"/>
            <w:noWrap w:val="0"/>
            <w:vAlign w:val="top"/>
          </w:tcPr>
          <w:p w14:paraId="3C2D8C5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646" w:type="dxa"/>
            <w:noWrap w:val="0"/>
            <w:vAlign w:val="top"/>
          </w:tcPr>
          <w:p w14:paraId="786B30AF">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430" w:type="dxa"/>
            <w:noWrap w:val="0"/>
            <w:vAlign w:val="top"/>
          </w:tcPr>
          <w:p w14:paraId="3ACB8908">
            <w:pPr>
              <w:pageBreakBefore w:val="0"/>
              <w:kinsoku/>
              <w:wordWrap w:val="0"/>
              <w:bidi w:val="0"/>
              <w:spacing w:line="400" w:lineRule="atLeast"/>
              <w:jc w:val="center"/>
              <w:rPr>
                <w:rFonts w:hint="default" w:ascii="Times New Roman" w:hAnsi="Times New Roman" w:cs="Times New Roman"/>
                <w:color w:val="auto"/>
                <w:szCs w:val="21"/>
                <w:highlight w:val="none"/>
              </w:rPr>
            </w:pPr>
          </w:p>
        </w:tc>
        <w:tc>
          <w:tcPr>
            <w:tcW w:w="559" w:type="dxa"/>
            <w:noWrap w:val="0"/>
            <w:vAlign w:val="top"/>
          </w:tcPr>
          <w:p w14:paraId="6FDDC54C">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59" w:type="dxa"/>
            <w:noWrap w:val="0"/>
            <w:vAlign w:val="top"/>
          </w:tcPr>
          <w:p w14:paraId="563977FE">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561" w:type="dxa"/>
            <w:noWrap w:val="0"/>
            <w:vAlign w:val="top"/>
          </w:tcPr>
          <w:p w14:paraId="7897C069">
            <w:pPr>
              <w:pageBreakBefore w:val="0"/>
              <w:kinsoku/>
              <w:wordWrap w:val="0"/>
              <w:bidi w:val="0"/>
              <w:spacing w:line="400" w:lineRule="atLeast"/>
              <w:ind w:left="-105" w:leftChars="-50" w:right="-105" w:rightChars="-50"/>
              <w:jc w:val="center"/>
              <w:rPr>
                <w:rFonts w:hint="default" w:ascii="Times New Roman" w:hAnsi="Times New Roman" w:cs="Times New Roman"/>
                <w:color w:val="auto"/>
                <w:szCs w:val="21"/>
                <w:highlight w:val="none"/>
              </w:rPr>
            </w:pPr>
          </w:p>
        </w:tc>
        <w:tc>
          <w:tcPr>
            <w:tcW w:w="948" w:type="dxa"/>
            <w:noWrap w:val="0"/>
            <w:vAlign w:val="top"/>
          </w:tcPr>
          <w:p w14:paraId="5510625C">
            <w:pPr>
              <w:pageBreakBefore w:val="0"/>
              <w:kinsoku/>
              <w:wordWrap w:val="0"/>
              <w:bidi w:val="0"/>
              <w:spacing w:line="400" w:lineRule="atLeast"/>
              <w:jc w:val="center"/>
              <w:rPr>
                <w:rFonts w:hint="default" w:ascii="Times New Roman" w:hAnsi="Times New Roman" w:cs="Times New Roman"/>
                <w:color w:val="auto"/>
                <w:szCs w:val="21"/>
                <w:highlight w:val="none"/>
              </w:rPr>
            </w:pPr>
          </w:p>
        </w:tc>
      </w:tr>
    </w:tbl>
    <w:p w14:paraId="00F20EF2">
      <w:pPr>
        <w:pStyle w:val="17"/>
        <w:pageBreakBefore w:val="0"/>
        <w:kinsoku/>
        <w:wordWrap w:val="0"/>
        <w:bidi w:val="0"/>
        <w:spacing w:after="0" w:line="400" w:lineRule="atLeast"/>
        <w:ind w:left="735" w:leftChars="0" w:hanging="735" w:hangingChars="350"/>
        <w:rPr>
          <w:rFonts w:hint="default" w:ascii="Times New Roman" w:hAnsi="Times New Roman" w:cs="Times New Roman"/>
          <w:bCs/>
          <w:color w:val="auto"/>
          <w:kern w:val="0"/>
          <w:szCs w:val="21"/>
          <w:highlight w:val="none"/>
        </w:rPr>
      </w:pPr>
      <w:r>
        <w:rPr>
          <w:rFonts w:hint="default" w:ascii="Times New Roman" w:hAnsi="Times New Roman" w:cs="Times New Roman"/>
          <w:color w:val="auto"/>
          <w:szCs w:val="21"/>
          <w:highlight w:val="none"/>
        </w:rPr>
        <w:t>注：本表填报的设备应满足招标文件第二章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前附表附录7的要求。</w:t>
      </w:r>
    </w:p>
    <w:p w14:paraId="585C6980">
      <w:pPr>
        <w:pageBreakBefore w:val="0"/>
        <w:kinsoku/>
        <w:wordWrap w:val="0"/>
        <w:topLinePunct/>
        <w:bidi w:val="0"/>
        <w:spacing w:line="400" w:lineRule="atLeast"/>
        <w:rPr>
          <w:rFonts w:hint="default" w:ascii="Times New Roman" w:hAnsi="Times New Roman" w:cs="Times New Roman"/>
          <w:color w:val="auto"/>
          <w:sz w:val="23"/>
          <w:szCs w:val="23"/>
          <w:highlight w:val="none"/>
        </w:rPr>
      </w:pPr>
    </w:p>
    <w:p w14:paraId="7F1E24C3">
      <w:pPr>
        <w:pStyle w:val="2"/>
        <w:pageBreakBefore w:val="0"/>
        <w:kinsoku/>
        <w:wordWrap w:val="0"/>
        <w:bidi w:val="0"/>
        <w:spacing w:before="0" w:after="0" w:line="380" w:lineRule="atLeast"/>
        <w:jc w:val="center"/>
        <w:outlineLvl w:val="2"/>
        <w:rPr>
          <w:rFonts w:hint="default" w:ascii="Times New Roman" w:hAnsi="Times New Roman" w:eastAsia="黑体" w:cs="Times New Roman"/>
          <w:b w:val="0"/>
          <w:color w:val="auto"/>
          <w:sz w:val="24"/>
          <w:szCs w:val="24"/>
          <w:highlight w:val="none"/>
        </w:rPr>
      </w:pPr>
      <w:bookmarkStart w:id="1967" w:name="_Toc27702"/>
      <w:bookmarkStart w:id="1968" w:name="_Toc32334"/>
      <w:bookmarkStart w:id="1969" w:name="_Toc19215"/>
      <w:bookmarkStart w:id="1970" w:name="_Toc234833289"/>
      <w:r>
        <w:rPr>
          <w:rFonts w:hint="default" w:ascii="Times New Roman" w:hAnsi="Times New Roman" w:eastAsia="黑体" w:cs="Times New Roman"/>
          <w:b w:val="0"/>
          <w:color w:val="auto"/>
          <w:sz w:val="24"/>
          <w:szCs w:val="24"/>
          <w:highlight w:val="none"/>
        </w:rPr>
        <w:t>（十） 拟配备本标段的主要材料试验、测量、质检仪器设备表</w:t>
      </w:r>
      <w:r>
        <w:rPr>
          <w:rFonts w:hint="default" w:ascii="Times New Roman" w:hAnsi="Times New Roman" w:eastAsia="黑体" w:cs="Times New Roman"/>
          <w:b w:val="0"/>
          <w:color w:val="auto"/>
          <w:sz w:val="24"/>
          <w:szCs w:val="24"/>
          <w:highlight w:val="none"/>
          <w:vertAlign w:val="superscript"/>
        </w:rPr>
        <w:footnoteReference w:id="52"/>
      </w:r>
      <w:bookmarkEnd w:id="1967"/>
      <w:bookmarkEnd w:id="1968"/>
      <w:bookmarkEnd w:id="1969"/>
      <w:bookmarkEnd w:id="1970"/>
    </w:p>
    <w:p w14:paraId="1CFE5D59">
      <w:pPr>
        <w:pageBreakBefore w:val="0"/>
        <w:kinsoku/>
        <w:wordWrap w:val="0"/>
        <w:bidi w:val="0"/>
        <w:spacing w:line="400" w:lineRule="atLeast"/>
        <w:rPr>
          <w:rFonts w:hint="default" w:ascii="Times New Roman" w:hAnsi="Times New Roman" w:cs="Times New Roman"/>
          <w:color w:val="auto"/>
          <w:sz w:val="20"/>
          <w:szCs w:val="20"/>
          <w:highlight w:val="none"/>
        </w:rPr>
      </w:pPr>
    </w:p>
    <w:tbl>
      <w:tblPr>
        <w:tblStyle w:val="39"/>
        <w:tblW w:w="87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1617"/>
        <w:gridCol w:w="1030"/>
        <w:gridCol w:w="1016"/>
        <w:gridCol w:w="1026"/>
        <w:gridCol w:w="1026"/>
        <w:gridCol w:w="1693"/>
        <w:gridCol w:w="697"/>
      </w:tblGrid>
      <w:tr w14:paraId="53CA0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center"/>
          </w:tcPr>
          <w:p w14:paraId="22AF2577">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617" w:type="dxa"/>
            <w:noWrap w:val="0"/>
            <w:vAlign w:val="center"/>
          </w:tcPr>
          <w:p w14:paraId="005B220A">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仪器设备名称</w:t>
            </w:r>
          </w:p>
        </w:tc>
        <w:tc>
          <w:tcPr>
            <w:tcW w:w="1030" w:type="dxa"/>
            <w:noWrap w:val="0"/>
            <w:vAlign w:val="center"/>
          </w:tcPr>
          <w:p w14:paraId="38F93D41">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型号规格</w:t>
            </w:r>
          </w:p>
        </w:tc>
        <w:tc>
          <w:tcPr>
            <w:tcW w:w="1016" w:type="dxa"/>
            <w:noWrap w:val="0"/>
            <w:vAlign w:val="center"/>
          </w:tcPr>
          <w:p w14:paraId="37FF576E">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数量</w:t>
            </w:r>
          </w:p>
        </w:tc>
        <w:tc>
          <w:tcPr>
            <w:tcW w:w="1026" w:type="dxa"/>
            <w:noWrap w:val="0"/>
            <w:vAlign w:val="center"/>
          </w:tcPr>
          <w:p w14:paraId="571488CD">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国别产地</w:t>
            </w:r>
          </w:p>
        </w:tc>
        <w:tc>
          <w:tcPr>
            <w:tcW w:w="1026" w:type="dxa"/>
            <w:noWrap w:val="0"/>
            <w:vAlign w:val="center"/>
          </w:tcPr>
          <w:p w14:paraId="1B3E4126">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制造年份</w:t>
            </w:r>
          </w:p>
        </w:tc>
        <w:tc>
          <w:tcPr>
            <w:tcW w:w="1693" w:type="dxa"/>
            <w:noWrap w:val="0"/>
            <w:vAlign w:val="center"/>
          </w:tcPr>
          <w:p w14:paraId="5814E9BE">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用途</w:t>
            </w:r>
          </w:p>
        </w:tc>
        <w:tc>
          <w:tcPr>
            <w:tcW w:w="697" w:type="dxa"/>
            <w:noWrap w:val="0"/>
            <w:vAlign w:val="center"/>
          </w:tcPr>
          <w:p w14:paraId="409A0EC8">
            <w:pPr>
              <w:pageBreakBefore w:val="0"/>
              <w:kinsoku/>
              <w:wordWrap w:val="0"/>
              <w:bidi w:val="0"/>
              <w:spacing w:before="120" w:beforeLines="50" w:after="120" w:afterLines="50" w:line="400" w:lineRule="atLeast"/>
              <w:ind w:left="-105" w:leftChars="-50" w:right="-105" w:rightChars="-5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4926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center"/>
          </w:tcPr>
          <w:p w14:paraId="74933B6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center"/>
          </w:tcPr>
          <w:p w14:paraId="16F449B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center"/>
          </w:tcPr>
          <w:p w14:paraId="66BE386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center"/>
          </w:tcPr>
          <w:p w14:paraId="758C3B7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6F9EFB9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7876632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center"/>
          </w:tcPr>
          <w:p w14:paraId="574CDBB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center"/>
          </w:tcPr>
          <w:p w14:paraId="2BA4F32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34C5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center"/>
          </w:tcPr>
          <w:p w14:paraId="29CE988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center"/>
          </w:tcPr>
          <w:p w14:paraId="7609C2A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center"/>
          </w:tcPr>
          <w:p w14:paraId="66069D8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center"/>
          </w:tcPr>
          <w:p w14:paraId="08B8A4B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46AC41E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center"/>
          </w:tcPr>
          <w:p w14:paraId="0701B149">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center"/>
          </w:tcPr>
          <w:p w14:paraId="682EC39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center"/>
          </w:tcPr>
          <w:p w14:paraId="71B6B7B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4522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64D8FE0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5D6C03B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72766F5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2D7606C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A99946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293ADC1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52305E1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6B40D9A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50A3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08B0D26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2DA25449">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395667A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2B473C0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45AB950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182877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3C3C986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1270922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1CB9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264EE1A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0CE9B83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01EE2CA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7908331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226E6D6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65C974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54C3AF5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61113E7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40096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6A3FB29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6AE2C0E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534452C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2D50338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0BD8AED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61B4ED4C">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365B513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7799C57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4E126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14E5252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44BD3A2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43BD788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7282831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214A66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5A516E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57BA078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195345D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54CD2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2CC053E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226D35A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2104C35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5A13E58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5C6965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0C5CE30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25CF081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1E1CD37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30121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7FCB365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67351EB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56EBA46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265AEA56">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77C49D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9DD992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5AB0D89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573BE9C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4191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25B357F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006EC48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4289FBD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1F37CDD1">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2E4F8F1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D443EF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0F3F4BD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0D93792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5816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207DE49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7BB0E258">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47498CE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581E516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77187A4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8ACB859">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43A9EA0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749A98CB">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3ECC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44C20A7A">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1114DE6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6D92953C">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718DEA1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BC99E22">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339591E9">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639D8387">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2F830A6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r w14:paraId="1A781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5" w:type="dxa"/>
            <w:noWrap w:val="0"/>
            <w:vAlign w:val="top"/>
          </w:tcPr>
          <w:p w14:paraId="2DBAC255">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17" w:type="dxa"/>
            <w:noWrap w:val="0"/>
            <w:vAlign w:val="top"/>
          </w:tcPr>
          <w:p w14:paraId="759D373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30" w:type="dxa"/>
            <w:noWrap w:val="0"/>
            <w:vAlign w:val="top"/>
          </w:tcPr>
          <w:p w14:paraId="4929AE20">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16" w:type="dxa"/>
            <w:noWrap w:val="0"/>
            <w:vAlign w:val="top"/>
          </w:tcPr>
          <w:p w14:paraId="708476E4">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54CB423D">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026" w:type="dxa"/>
            <w:noWrap w:val="0"/>
            <w:vAlign w:val="top"/>
          </w:tcPr>
          <w:p w14:paraId="174F0EBF">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1693" w:type="dxa"/>
            <w:noWrap w:val="0"/>
            <w:vAlign w:val="top"/>
          </w:tcPr>
          <w:p w14:paraId="750A25C3">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c>
          <w:tcPr>
            <w:tcW w:w="697" w:type="dxa"/>
            <w:noWrap w:val="0"/>
            <w:vAlign w:val="top"/>
          </w:tcPr>
          <w:p w14:paraId="6B9D283E">
            <w:pPr>
              <w:pageBreakBefore w:val="0"/>
              <w:kinsoku/>
              <w:wordWrap w:val="0"/>
              <w:bidi w:val="0"/>
              <w:spacing w:before="120" w:beforeLines="50" w:after="120" w:afterLines="50" w:line="400" w:lineRule="atLeast"/>
              <w:jc w:val="center"/>
              <w:rPr>
                <w:rFonts w:hint="default" w:ascii="Times New Roman" w:hAnsi="Times New Roman" w:cs="Times New Roman"/>
                <w:color w:val="auto"/>
                <w:szCs w:val="21"/>
                <w:highlight w:val="none"/>
              </w:rPr>
            </w:pPr>
          </w:p>
        </w:tc>
      </w:tr>
    </w:tbl>
    <w:p w14:paraId="2E8AA4E9">
      <w:pPr>
        <w:pStyle w:val="17"/>
        <w:pageBreakBefore w:val="0"/>
        <w:kinsoku/>
        <w:wordWrap w:val="0"/>
        <w:bidi w:val="0"/>
        <w:spacing w:after="0" w:line="400" w:lineRule="atLeast"/>
        <w:ind w:left="735" w:leftChars="0" w:hanging="735" w:hangingChars="35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注：本表填报的设备应满足招标文件第二章</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投标人须知</w:t>
      </w:r>
      <w:r>
        <w:rPr>
          <w:rFonts w:hint="eastAsia" w:ascii="宋体" w:hAnsi="宋体" w:eastAsia="宋体" w:cs="宋体"/>
          <w:color w:val="auto"/>
          <w:szCs w:val="21"/>
          <w:highlight w:val="none"/>
        </w:rPr>
        <w:t>”</w:t>
      </w:r>
      <w:r>
        <w:rPr>
          <w:rFonts w:hint="default" w:ascii="Times New Roman" w:hAnsi="Times New Roman" w:cs="Times New Roman"/>
          <w:color w:val="auto"/>
          <w:szCs w:val="21"/>
          <w:highlight w:val="none"/>
        </w:rPr>
        <w:t>前附表附录7的要求。</w:t>
      </w:r>
    </w:p>
    <w:p w14:paraId="5CD1C260">
      <w:pPr>
        <w:keepNext/>
        <w:keepLines w:val="0"/>
        <w:pageBreakBefore w:val="0"/>
        <w:widowControl w:val="0"/>
        <w:kinsoku/>
        <w:wordWrap/>
        <w:overflowPunct/>
        <w:topLinePunct/>
        <w:autoSpaceDE/>
        <w:autoSpaceDN/>
        <w:bidi w:val="0"/>
        <w:adjustRightInd w:val="0"/>
        <w:snapToGrid/>
        <w:spacing w:line="440" w:lineRule="exact"/>
        <w:jc w:val="center"/>
        <w:textAlignment w:val="baseline"/>
        <w:outlineLvl w:val="1"/>
        <w:rPr>
          <w:rFonts w:hint="default" w:ascii="Times New Roman" w:hAnsi="Times New Roman" w:eastAsia="黑体" w:cs="Times New Roman"/>
          <w:color w:val="auto"/>
          <w:kern w:val="0"/>
          <w:sz w:val="28"/>
          <w:szCs w:val="20"/>
          <w:highlight w:val="none"/>
        </w:rPr>
      </w:pPr>
      <w:r>
        <w:rPr>
          <w:rFonts w:hint="default" w:ascii="Times New Roman" w:hAnsi="Times New Roman" w:cs="Times New Roman"/>
          <w:color w:val="auto"/>
          <w:sz w:val="24"/>
          <w:highlight w:val="none"/>
        </w:rPr>
        <w:br w:type="page"/>
      </w:r>
      <w:bookmarkStart w:id="1971" w:name="_Toc15816"/>
      <w:bookmarkStart w:id="1972" w:name="_Toc5710"/>
      <w:bookmarkStart w:id="1973" w:name="_Toc8012"/>
      <w:bookmarkStart w:id="1974" w:name="_Toc13139"/>
      <w:bookmarkStart w:id="1975" w:name="_Toc234833291"/>
      <w:r>
        <w:rPr>
          <w:rFonts w:hint="eastAsia" w:eastAsia="黑体" w:cs="Times New Roman"/>
          <w:color w:val="auto"/>
          <w:sz w:val="28"/>
          <w:szCs w:val="28"/>
          <w:highlight w:val="none"/>
          <w:lang w:val="en-US" w:eastAsia="zh-CN"/>
        </w:rPr>
        <w:t>九</w:t>
      </w:r>
      <w:r>
        <w:rPr>
          <w:rFonts w:hint="default" w:ascii="Times New Roman" w:hAnsi="Times New Roman" w:eastAsia="黑体" w:cs="Times New Roman"/>
          <w:b w:val="0"/>
          <w:color w:val="auto"/>
          <w:sz w:val="28"/>
          <w:szCs w:val="28"/>
          <w:highlight w:val="none"/>
        </w:rPr>
        <w:t>、</w:t>
      </w:r>
      <w:r>
        <w:rPr>
          <w:rFonts w:hint="default" w:ascii="Times New Roman" w:hAnsi="Times New Roman" w:eastAsia="黑体" w:cs="Times New Roman"/>
          <w:color w:val="auto"/>
          <w:kern w:val="0"/>
          <w:sz w:val="28"/>
          <w:szCs w:val="20"/>
          <w:highlight w:val="none"/>
        </w:rPr>
        <w:t>投标人告知承诺函</w:t>
      </w:r>
      <w:bookmarkEnd w:id="1971"/>
      <w:bookmarkEnd w:id="1972"/>
      <w:bookmarkEnd w:id="1973"/>
      <w:bookmarkEnd w:id="1974"/>
      <w:r>
        <w:rPr>
          <w:rFonts w:hint="default" w:ascii="Times New Roman" w:hAnsi="Times New Roman" w:eastAsia="宋体" w:cs="Times New Roman"/>
          <w:color w:val="auto"/>
          <w:kern w:val="0"/>
          <w:sz w:val="24"/>
          <w:highlight w:val="none"/>
          <w:u w:val="single"/>
          <w:vertAlign w:val="superscript"/>
          <w:lang w:val="zh-CN" w:bidi="zh-CN"/>
        </w:rPr>
        <w:footnoteReference w:id="53"/>
      </w:r>
    </w:p>
    <w:p w14:paraId="247E0F49">
      <w:pPr>
        <w:spacing w:line="380" w:lineRule="exact"/>
        <w:rPr>
          <w:rFonts w:hint="default" w:ascii="Times New Roman" w:hAnsi="Times New Roman" w:cs="Times New Roman"/>
          <w:color w:val="auto"/>
          <w:sz w:val="24"/>
          <w:highlight w:val="none"/>
          <w:u w:val="single"/>
        </w:rPr>
      </w:pPr>
    </w:p>
    <w:p w14:paraId="5042BF46">
      <w:pPr>
        <w:wordWrap w:val="0"/>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single"/>
          <w:lang w:val="en-US" w:eastAsia="zh-CN"/>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（监管部门名称）：</w:t>
      </w:r>
    </w:p>
    <w:p w14:paraId="528BCCDC">
      <w:pPr>
        <w:wordWrap w:val="0"/>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我单位参与</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u w:val="none"/>
        </w:rPr>
        <w:t>（标段名称）</w:t>
      </w:r>
      <w:r>
        <w:rPr>
          <w:rFonts w:hint="eastAsia" w:cs="Times New Roman"/>
          <w:color w:val="auto"/>
          <w:sz w:val="24"/>
          <w:highlight w:val="none"/>
          <w:u w:val="none"/>
          <w:lang w:val="en-US" w:eastAsia="zh-CN"/>
        </w:rPr>
        <w:t>施工</w:t>
      </w:r>
      <w:r>
        <w:rPr>
          <w:rFonts w:hint="default" w:ascii="Times New Roman" w:hAnsi="Times New Roman" w:cs="Times New Roman"/>
          <w:color w:val="auto"/>
          <w:sz w:val="24"/>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1E6AF23B">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一、我单位和我本人遵循公开、公平、公正、诚实守信的原则，依法依规参与本项目投标。</w:t>
      </w:r>
    </w:p>
    <w:p w14:paraId="3EF9DB42">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二、我单位具有参与本次投标的资质和能力，公司运营状况良好，不存在挂靠投标、不受让、租借、出租、出借资格或资质证书，无处罚期内的不良行为。</w:t>
      </w:r>
    </w:p>
    <w:p w14:paraId="489DBC48">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三、我单位在本项目投标过程中从招标公告列明的渠道获取招标文件，没有通过其他不正当渠道获取招标文件。</w:t>
      </w:r>
    </w:p>
    <w:p w14:paraId="158ACB1F">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四、我单位承诺投标文件由本单位员工独立编制，严格遵守保密义务。所提供的一切投标相关材料都是真实、有效、合法的。</w:t>
      </w:r>
    </w:p>
    <w:p w14:paraId="377DAC8B">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五、我单位不与其他投标人相互串通投标报价，不恶意压低或抬高投标报价，不排挤其他投标人的公平竞争，不损害招标人或其他投标人的合法权益。</w:t>
      </w:r>
    </w:p>
    <w:p w14:paraId="1B2F70BA">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六、我单位不与招标人或招标代理机构串通投标，损害国家利益、社会公共利益或者他人的合法权益。</w:t>
      </w:r>
    </w:p>
    <w:p w14:paraId="6AAA5E7E">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七、我单位不向招标人或者评标委员会成员行贿以牟取中标，不在开标后进行虚假恶意投诉。</w:t>
      </w:r>
    </w:p>
    <w:p w14:paraId="4F9CE41E">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八、我单位和我个人清楚并知晓《中华人民共和国刑法》第二百二十三条</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投标人相互串通投标报价，损害招标人或者其他投标人利益，情节严重的，处三年以下有期徒刑或者拘役，并处或者单处罚金。投标人与招标人串通投标，损害国家、集体、公民的合法利益的，依照前款的规定处罚</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的规定。</w:t>
      </w:r>
    </w:p>
    <w:p w14:paraId="77A2A080">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九、我单位如在本项目招标投标活动评标工作中存在串通投标、弄虚作假等行为的，本单位及本人自愿承担法律责任，接受相应刑事、纪律和行政处罚以及失信惩戒。</w:t>
      </w:r>
    </w:p>
    <w:p w14:paraId="73EF53E3">
      <w:pPr>
        <w:spacing w:line="38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十、本承诺函由我单位盖章及法定代表人（授权委托人）本人</w:t>
      </w:r>
      <w:r>
        <w:rPr>
          <w:rFonts w:hint="eastAsia" w:cs="Times New Roman"/>
          <w:color w:val="auto"/>
          <w:sz w:val="24"/>
          <w:highlight w:val="none"/>
          <w:lang w:val="en-US" w:eastAsia="zh-CN"/>
        </w:rPr>
        <w:t>电子</w:t>
      </w:r>
      <w:r>
        <w:rPr>
          <w:rFonts w:hint="default" w:ascii="Times New Roman" w:hAnsi="Times New Roman" w:cs="Times New Roman"/>
          <w:color w:val="auto"/>
          <w:sz w:val="24"/>
          <w:highlight w:val="none"/>
        </w:rPr>
        <w:t>确认。</w:t>
      </w:r>
    </w:p>
    <w:p w14:paraId="5D45B077">
      <w:pPr>
        <w:spacing w:line="380" w:lineRule="exact"/>
        <w:ind w:firstLine="480" w:firstLineChars="200"/>
        <w:rPr>
          <w:rFonts w:hint="default" w:ascii="Times New Roman" w:hAnsi="Times New Roman" w:cs="Times New Roman"/>
          <w:color w:val="auto"/>
          <w:sz w:val="24"/>
          <w:highlight w:val="none"/>
        </w:rPr>
      </w:pPr>
    </w:p>
    <w:p w14:paraId="7FDD65BF">
      <w:pPr>
        <w:widowControl/>
        <w:spacing w:line="380" w:lineRule="exact"/>
        <w:jc w:val="right"/>
        <w:rPr>
          <w:rFonts w:hint="default" w:ascii="Times New Roman" w:hAnsi="Times New Roman" w:cs="Times New Roman"/>
          <w:color w:val="auto"/>
          <w:kern w:val="0"/>
          <w:sz w:val="24"/>
          <w:highlight w:val="none"/>
          <w:u w:val="single"/>
          <w:lang w:val="zh-CN" w:bidi="zh-CN"/>
        </w:rPr>
      </w:pPr>
      <w:r>
        <w:rPr>
          <w:rFonts w:hint="default" w:ascii="Times New Roman" w:hAnsi="Times New Roman" w:cs="Times New Roman"/>
          <w:color w:val="auto"/>
          <w:kern w:val="0"/>
          <w:sz w:val="24"/>
          <w:highlight w:val="none"/>
          <w:lang w:val="zh-CN" w:bidi="zh-CN"/>
        </w:rPr>
        <w:t>投标人：</w:t>
      </w:r>
      <w:r>
        <w:rPr>
          <w:rFonts w:hint="default" w:ascii="Times New Roman" w:hAnsi="Times New Roman" w:cs="Times New Roman"/>
          <w:color w:val="auto"/>
          <w:kern w:val="0"/>
          <w:sz w:val="24"/>
          <w:highlight w:val="none"/>
          <w:u w:val="single"/>
          <w:lang w:val="zh-CN" w:bidi="zh-CN"/>
        </w:rPr>
        <w:t>投标人全称（加盖单位</w:t>
      </w:r>
      <w:r>
        <w:rPr>
          <w:rFonts w:hint="default" w:ascii="Times New Roman" w:hAnsi="Times New Roman" w:cs="Times New Roman"/>
          <w:color w:val="auto"/>
          <w:kern w:val="0"/>
          <w:sz w:val="24"/>
          <w:highlight w:val="none"/>
          <w:u w:val="single"/>
          <w:lang w:val="en-US" w:bidi="zh-CN"/>
        </w:rPr>
        <w:t>电子印</w:t>
      </w:r>
      <w:r>
        <w:rPr>
          <w:rFonts w:hint="default" w:ascii="Times New Roman" w:hAnsi="Times New Roman" w:cs="Times New Roman"/>
          <w:color w:val="auto"/>
          <w:kern w:val="0"/>
          <w:sz w:val="24"/>
          <w:highlight w:val="none"/>
          <w:u w:val="single"/>
          <w:lang w:val="zh-CN" w:bidi="zh-CN"/>
        </w:rPr>
        <w:t>章）</w:t>
      </w:r>
    </w:p>
    <w:p w14:paraId="717382CE">
      <w:pPr>
        <w:keepNext w:val="0"/>
        <w:keepLines w:val="0"/>
        <w:pageBreakBefore w:val="0"/>
        <w:widowControl/>
        <w:kinsoku/>
        <w:wordWrap w:val="0"/>
        <w:overflowPunct/>
        <w:topLinePunct w:val="0"/>
        <w:autoSpaceDE/>
        <w:autoSpaceDN/>
        <w:bidi w:val="0"/>
        <w:adjustRightInd/>
        <w:snapToGrid/>
        <w:spacing w:line="380" w:lineRule="exact"/>
        <w:jc w:val="right"/>
        <w:textAlignment w:val="auto"/>
        <w:outlineLvl w:val="9"/>
        <w:rPr>
          <w:rFonts w:hint="default" w:ascii="Times New Roman" w:hAnsi="Times New Roman" w:cs="Times New Roman"/>
          <w:color w:val="auto"/>
          <w:kern w:val="0"/>
          <w:sz w:val="24"/>
          <w:highlight w:val="none"/>
          <w:lang w:val="zh-CN" w:bidi="zh-CN"/>
        </w:rPr>
      </w:pPr>
      <w:r>
        <w:rPr>
          <w:rFonts w:hint="default" w:ascii="Times New Roman" w:hAnsi="Times New Roman" w:cs="Times New Roman"/>
          <w:color w:val="auto"/>
          <w:kern w:val="0"/>
          <w:sz w:val="24"/>
          <w:highlight w:val="none"/>
          <w:lang w:val="zh-CN" w:bidi="zh-CN"/>
        </w:rPr>
        <w:t>法定代表人（或授权委托人）：</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r>
        <w:rPr>
          <w:rFonts w:hint="default" w:ascii="Times New Roman" w:hAnsi="Times New Roman" w:cs="Times New Roman"/>
          <w:color w:val="auto"/>
          <w:kern w:val="0"/>
          <w:sz w:val="24"/>
          <w:highlight w:val="none"/>
          <w:lang w:val="zh-CN" w:bidi="zh-CN"/>
        </w:rPr>
        <w:t>）</w:t>
      </w:r>
    </w:p>
    <w:p w14:paraId="2A8479B1">
      <w:pPr>
        <w:widowControl/>
        <w:wordWrap w:val="0"/>
        <w:spacing w:line="380" w:lineRule="exact"/>
        <w:jc w:val="right"/>
        <w:rPr>
          <w:rFonts w:hint="default" w:ascii="Times New Roman" w:hAnsi="Times New Roman" w:eastAsia="黑体" w:cs="Times New Roman"/>
          <w:b w:val="0"/>
          <w:color w:val="auto"/>
          <w:sz w:val="28"/>
          <w:szCs w:val="28"/>
          <w:highlight w:val="none"/>
        </w:rPr>
      </w:pPr>
      <w:r>
        <w:rPr>
          <w:rFonts w:hint="default" w:ascii="Times New Roman" w:hAnsi="Times New Roman" w:cs="Times New Roman"/>
          <w:color w:val="auto"/>
          <w:kern w:val="0"/>
          <w:sz w:val="24"/>
          <w:highlight w:val="none"/>
          <w:lang w:val="zh-CN" w:bidi="zh-CN"/>
        </w:rPr>
        <w:t>承诺日期：</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年</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月</w:t>
      </w:r>
      <w:r>
        <w:rPr>
          <w:rFonts w:hint="default" w:ascii="Times New Roman" w:hAnsi="Times New Roman" w:cs="Times New Roman"/>
          <w:color w:val="auto"/>
          <w:kern w:val="0"/>
          <w:sz w:val="24"/>
          <w:highlight w:val="none"/>
          <w:u w:val="single"/>
          <w:lang w:val="zh-CN" w:bidi="zh-CN"/>
        </w:rPr>
        <w:t xml:space="preserve">    </w:t>
      </w:r>
      <w:r>
        <w:rPr>
          <w:rFonts w:hint="default" w:ascii="Times New Roman" w:hAnsi="Times New Roman" w:cs="Times New Roman"/>
          <w:color w:val="auto"/>
          <w:kern w:val="0"/>
          <w:sz w:val="24"/>
          <w:highlight w:val="none"/>
          <w:lang w:val="zh-CN" w:bidi="zh-CN"/>
        </w:rPr>
        <w:t>日</w:t>
      </w:r>
    </w:p>
    <w:p w14:paraId="2CB15B56">
      <w:pPr>
        <w:pStyle w:val="2"/>
        <w:pageBreakBefore w:val="0"/>
        <w:kinsoku/>
        <w:wordWrap w:val="0"/>
        <w:overflowPunct/>
        <w:bidi w:val="0"/>
        <w:spacing w:before="0" w:after="0" w:line="380" w:lineRule="atLeast"/>
        <w:jc w:val="center"/>
        <w:outlineLvl w:val="9"/>
        <w:rPr>
          <w:rFonts w:hint="default" w:ascii="Times New Roman" w:hAnsi="Times New Roman" w:cs="Times New Roman"/>
          <w:b w:val="0"/>
          <w:color w:val="auto"/>
          <w:sz w:val="28"/>
          <w:szCs w:val="28"/>
          <w:highlight w:val="none"/>
          <w:lang w:val="en-US" w:eastAsia="zh-CN"/>
        </w:rPr>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6641EBCB">
      <w:pPr>
        <w:pStyle w:val="2"/>
        <w:pageBreakBefore w:val="0"/>
        <w:kinsoku/>
        <w:wordWrap w:val="0"/>
        <w:bidi w:val="0"/>
        <w:spacing w:before="0" w:after="0" w:line="380" w:lineRule="atLeast"/>
        <w:jc w:val="center"/>
        <w:outlineLvl w:val="1"/>
        <w:rPr>
          <w:rFonts w:hint="default" w:ascii="Times New Roman" w:hAnsi="Times New Roman" w:eastAsia="黑体" w:cs="Times New Roman"/>
          <w:b w:val="0"/>
          <w:color w:val="auto"/>
          <w:sz w:val="28"/>
          <w:szCs w:val="28"/>
          <w:highlight w:val="none"/>
          <w:lang w:eastAsia="zh-CN"/>
        </w:rPr>
      </w:pPr>
      <w:bookmarkStart w:id="1976" w:name="_Toc3120"/>
      <w:bookmarkStart w:id="1977" w:name="_Toc29420"/>
      <w:bookmarkStart w:id="1978" w:name="_Toc18802"/>
      <w:r>
        <w:rPr>
          <w:rFonts w:hint="eastAsia" w:cs="Times New Roman"/>
          <w:color w:val="auto"/>
          <w:sz w:val="28"/>
          <w:szCs w:val="28"/>
          <w:highlight w:val="none"/>
          <w:lang w:val="en-US" w:eastAsia="zh-CN"/>
        </w:rPr>
        <w:t>十</w:t>
      </w:r>
      <w:r>
        <w:rPr>
          <w:rFonts w:hint="default" w:ascii="Times New Roman" w:hAnsi="Times New Roman" w:eastAsia="黑体" w:cs="Times New Roman"/>
          <w:b w:val="0"/>
          <w:color w:val="auto"/>
          <w:sz w:val="28"/>
          <w:szCs w:val="28"/>
          <w:highlight w:val="none"/>
        </w:rPr>
        <w:t>、其他</w:t>
      </w:r>
      <w:bookmarkEnd w:id="1975"/>
      <w:r>
        <w:rPr>
          <w:rFonts w:hint="default" w:ascii="Times New Roman" w:hAnsi="Times New Roman" w:eastAsia="黑体" w:cs="Times New Roman"/>
          <w:b w:val="0"/>
          <w:color w:val="auto"/>
          <w:sz w:val="28"/>
          <w:szCs w:val="28"/>
          <w:highlight w:val="none"/>
          <w:lang w:eastAsia="zh-CN"/>
        </w:rPr>
        <w:t>资料</w:t>
      </w:r>
      <w:bookmarkEnd w:id="1976"/>
      <w:bookmarkEnd w:id="1977"/>
      <w:bookmarkEnd w:id="1978"/>
    </w:p>
    <w:p w14:paraId="6727E08F">
      <w:pPr>
        <w:rPr>
          <w:rFonts w:hint="default" w:ascii="Times New Roman" w:hAnsi="Times New Roman" w:eastAsia="黑体" w:cs="Times New Roman"/>
          <w:b w:val="0"/>
          <w:color w:val="auto"/>
          <w:sz w:val="28"/>
          <w:szCs w:val="28"/>
          <w:highlight w:val="none"/>
          <w:lang w:eastAsia="zh-CN"/>
        </w:rPr>
      </w:pPr>
      <w:r>
        <w:rPr>
          <w:rFonts w:hint="default" w:ascii="Times New Roman" w:hAnsi="Times New Roman" w:eastAsia="黑体" w:cs="Times New Roman"/>
          <w:b w:val="0"/>
          <w:color w:val="auto"/>
          <w:sz w:val="28"/>
          <w:szCs w:val="28"/>
          <w:highlight w:val="none"/>
          <w:lang w:eastAsia="zh-CN"/>
        </w:rPr>
        <w:br w:type="page"/>
      </w:r>
    </w:p>
    <w:p w14:paraId="5E3D3488">
      <w:pPr>
        <w:keepNext/>
        <w:keepLines/>
        <w:spacing w:before="80" w:after="64"/>
        <w:ind w:firstLine="566"/>
        <w:jc w:val="center"/>
        <w:rPr>
          <w:rFonts w:eastAsia="黑体"/>
          <w:bCs/>
          <w:kern w:val="0"/>
          <w:sz w:val="28"/>
          <w:szCs w:val="28"/>
          <w:lang w:val="zh-CN" w:bidi="zh-CN"/>
        </w:rPr>
      </w:pPr>
      <w:r>
        <w:rPr>
          <w:rFonts w:hint="eastAsia" w:eastAsia="黑体"/>
          <w:bCs/>
          <w:kern w:val="0"/>
          <w:sz w:val="28"/>
          <w:szCs w:val="28"/>
          <w:lang w:val="zh-CN" w:bidi="zh-CN"/>
        </w:rPr>
        <w:t>（</w:t>
      </w:r>
      <w:r>
        <w:rPr>
          <w:rFonts w:hint="eastAsia" w:eastAsia="黑体"/>
          <w:bCs/>
          <w:kern w:val="0"/>
          <w:sz w:val="28"/>
          <w:szCs w:val="28"/>
          <w:lang w:val="en-US" w:bidi="zh-CN"/>
        </w:rPr>
        <w:t>一</w:t>
      </w:r>
      <w:r>
        <w:rPr>
          <w:rFonts w:hint="eastAsia" w:eastAsia="黑体"/>
          <w:bCs/>
          <w:kern w:val="0"/>
          <w:sz w:val="28"/>
          <w:szCs w:val="28"/>
          <w:lang w:val="zh-CN" w:bidi="zh-CN"/>
        </w:rPr>
        <w:t>）</w:t>
      </w:r>
      <w:r>
        <w:rPr>
          <w:rFonts w:eastAsia="黑体"/>
          <w:bCs/>
          <w:kern w:val="0"/>
          <w:sz w:val="28"/>
          <w:szCs w:val="28"/>
          <w:lang w:val="zh-CN" w:bidi="zh-CN"/>
        </w:rPr>
        <w:t>无行贿犯罪行为承诺函（格式）</w:t>
      </w:r>
    </w:p>
    <w:p w14:paraId="5E6D2405">
      <w:pPr>
        <w:spacing w:line="360" w:lineRule="auto"/>
        <w:ind w:firstLine="480" w:firstLineChars="200"/>
        <w:rPr>
          <w:sz w:val="24"/>
          <w:szCs w:val="22"/>
        </w:rPr>
      </w:pPr>
    </w:p>
    <w:p w14:paraId="1C904BC1">
      <w:pPr>
        <w:spacing w:line="360" w:lineRule="auto"/>
        <w:rPr>
          <w:sz w:val="24"/>
          <w:szCs w:val="22"/>
        </w:rPr>
      </w:pPr>
      <w:r>
        <w:rPr>
          <w:sz w:val="24"/>
          <w:szCs w:val="22"/>
        </w:rPr>
        <w:t>致：</w:t>
      </w:r>
      <w:r>
        <w:rPr>
          <w:sz w:val="24"/>
          <w:szCs w:val="22"/>
          <w:u w:val="single"/>
        </w:rPr>
        <w:t xml:space="preserve">  （招标人全称）  </w:t>
      </w:r>
      <w:r>
        <w:rPr>
          <w:sz w:val="24"/>
          <w:szCs w:val="22"/>
        </w:rPr>
        <w:t>：</w:t>
      </w:r>
    </w:p>
    <w:p w14:paraId="0E390E9F">
      <w:pPr>
        <w:spacing w:line="360" w:lineRule="auto"/>
        <w:ind w:firstLine="480" w:firstLineChars="200"/>
        <w:rPr>
          <w:sz w:val="24"/>
          <w:szCs w:val="22"/>
        </w:rPr>
      </w:pPr>
      <w:r>
        <w:rPr>
          <w:sz w:val="24"/>
          <w:szCs w:val="22"/>
        </w:rPr>
        <w:t>我单位承诺：在近三年内（</w:t>
      </w:r>
      <w:r>
        <w:rPr>
          <w:sz w:val="24"/>
          <w:szCs w:val="22"/>
          <w:u w:val="single"/>
        </w:rPr>
        <w:t xml:space="preserve"> </w:t>
      </w:r>
      <w:r>
        <w:rPr>
          <w:rFonts w:hint="eastAsia"/>
          <w:sz w:val="24"/>
          <w:szCs w:val="22"/>
          <w:u w:val="single"/>
          <w:lang w:val="en-US" w:eastAsia="zh-CN"/>
        </w:rPr>
        <w:t>2023</w:t>
      </w:r>
      <w:r>
        <w:rPr>
          <w:sz w:val="24"/>
          <w:szCs w:val="22"/>
          <w:u w:val="single"/>
        </w:rPr>
        <w:t xml:space="preserve"> </w:t>
      </w:r>
      <w:r>
        <w:rPr>
          <w:sz w:val="24"/>
          <w:szCs w:val="22"/>
        </w:rPr>
        <w:t>年</w:t>
      </w:r>
      <w:r>
        <w:rPr>
          <w:sz w:val="24"/>
          <w:szCs w:val="22"/>
          <w:u w:val="single"/>
        </w:rPr>
        <w:t xml:space="preserve">  </w:t>
      </w:r>
      <w:r>
        <w:rPr>
          <w:rFonts w:hint="eastAsia"/>
          <w:sz w:val="24"/>
          <w:szCs w:val="22"/>
          <w:u w:val="single"/>
          <w:lang w:val="en-US" w:eastAsia="zh-CN"/>
        </w:rPr>
        <w:t>1</w:t>
      </w:r>
      <w:r>
        <w:rPr>
          <w:sz w:val="24"/>
          <w:szCs w:val="22"/>
          <w:u w:val="single"/>
        </w:rPr>
        <w:t xml:space="preserve"> </w:t>
      </w:r>
      <w:r>
        <w:rPr>
          <w:sz w:val="24"/>
          <w:szCs w:val="22"/>
        </w:rPr>
        <w:t>月</w:t>
      </w:r>
      <w:r>
        <w:rPr>
          <w:sz w:val="24"/>
          <w:szCs w:val="22"/>
          <w:u w:val="single"/>
        </w:rPr>
        <w:t xml:space="preserve">  </w:t>
      </w:r>
      <w:r>
        <w:rPr>
          <w:rFonts w:hint="eastAsia"/>
          <w:sz w:val="24"/>
          <w:szCs w:val="22"/>
          <w:u w:val="single"/>
          <w:lang w:val="en-US" w:eastAsia="zh-CN"/>
        </w:rPr>
        <w:t>1</w:t>
      </w:r>
      <w:r>
        <w:rPr>
          <w:sz w:val="24"/>
          <w:szCs w:val="22"/>
          <w:u w:val="single"/>
        </w:rPr>
        <w:t xml:space="preserve"> </w:t>
      </w:r>
      <w:r>
        <w:rPr>
          <w:sz w:val="24"/>
          <w:szCs w:val="22"/>
        </w:rPr>
        <w:t>日至投标文件递交截止日），</w:t>
      </w:r>
      <w:r>
        <w:rPr>
          <w:sz w:val="24"/>
          <w:szCs w:val="22"/>
          <w:u w:val="single"/>
        </w:rPr>
        <w:t xml:space="preserve">  （投标人单位名称及统一社会信用代码）  </w:t>
      </w:r>
      <w:r>
        <w:rPr>
          <w:sz w:val="24"/>
          <w:szCs w:val="22"/>
        </w:rPr>
        <w:t>及法定代表人</w:t>
      </w:r>
      <w:r>
        <w:rPr>
          <w:sz w:val="24"/>
          <w:szCs w:val="22"/>
          <w:u w:val="single"/>
        </w:rPr>
        <w:t xml:space="preserve">  （法定代表人姓名及身份证号码）  </w:t>
      </w:r>
      <w:r>
        <w:rPr>
          <w:sz w:val="24"/>
          <w:szCs w:val="22"/>
        </w:rPr>
        <w:t>、拟委任的项目经理</w:t>
      </w:r>
      <w:r>
        <w:rPr>
          <w:sz w:val="24"/>
          <w:szCs w:val="22"/>
          <w:u w:val="single"/>
        </w:rPr>
        <w:t xml:space="preserve">   （项目经理姓名及身份证号码）   </w:t>
      </w:r>
      <w:r>
        <w:rPr>
          <w:sz w:val="24"/>
          <w:szCs w:val="22"/>
        </w:rPr>
        <w:t>均无行贿犯罪行为。</w:t>
      </w:r>
    </w:p>
    <w:p w14:paraId="13F160C7">
      <w:pPr>
        <w:spacing w:line="360" w:lineRule="auto"/>
        <w:ind w:firstLine="480" w:firstLineChars="200"/>
        <w:rPr>
          <w:sz w:val="24"/>
          <w:szCs w:val="22"/>
        </w:rPr>
      </w:pPr>
      <w:r>
        <w:rPr>
          <w:sz w:val="24"/>
          <w:szCs w:val="22"/>
        </w:rPr>
        <w:t>如经招标人或评标委员会核实我单位出具的该承诺存在弄虚作假，承诺不实的情形，评标小组有权否决我单位投标资格或招标人取消我单位中标资格，并由招标人上报上级行政主管部门，作为不良记录纳入信用信息管理系统。</w:t>
      </w:r>
    </w:p>
    <w:p w14:paraId="7C326312">
      <w:pPr>
        <w:spacing w:line="360" w:lineRule="auto"/>
        <w:ind w:firstLine="480" w:firstLineChars="200"/>
        <w:rPr>
          <w:sz w:val="24"/>
          <w:szCs w:val="22"/>
        </w:rPr>
      </w:pPr>
      <w:r>
        <w:rPr>
          <w:sz w:val="24"/>
          <w:szCs w:val="22"/>
        </w:rPr>
        <w:t>特此承诺！</w:t>
      </w:r>
    </w:p>
    <w:p w14:paraId="78CC6A79">
      <w:pPr>
        <w:spacing w:line="360" w:lineRule="auto"/>
        <w:ind w:firstLine="480" w:firstLineChars="200"/>
        <w:rPr>
          <w:sz w:val="24"/>
          <w:szCs w:val="22"/>
        </w:rPr>
      </w:pPr>
    </w:p>
    <w:p w14:paraId="2474B8D6">
      <w:pPr>
        <w:spacing w:line="360" w:lineRule="auto"/>
        <w:ind w:firstLine="480" w:firstLineChars="200"/>
        <w:rPr>
          <w:sz w:val="24"/>
          <w:szCs w:val="22"/>
        </w:rPr>
      </w:pPr>
    </w:p>
    <w:p w14:paraId="339C1805">
      <w:pPr>
        <w:spacing w:line="360" w:lineRule="auto"/>
        <w:ind w:left="2520" w:leftChars="1200" w:firstLine="1920" w:firstLineChars="800"/>
        <w:rPr>
          <w:sz w:val="24"/>
          <w:szCs w:val="22"/>
        </w:rPr>
      </w:pPr>
    </w:p>
    <w:p w14:paraId="27F10484">
      <w:pPr>
        <w:wordWrap w:val="0"/>
        <w:topLinePunct/>
        <w:spacing w:line="440" w:lineRule="exact"/>
        <w:rPr>
          <w:sz w:val="24"/>
        </w:rPr>
      </w:pPr>
      <w:r>
        <w:rPr>
          <w:sz w:val="24"/>
          <w:szCs w:val="22"/>
        </w:rPr>
        <w:t xml:space="preserve">                       </w:t>
      </w:r>
      <w:r>
        <w:rPr>
          <w:sz w:val="24"/>
        </w:rPr>
        <w:t xml:space="preserve">   投标人：</w:t>
      </w:r>
      <w:r>
        <w:rPr>
          <w:sz w:val="24"/>
          <w:u w:val="single"/>
        </w:rPr>
        <w:t xml:space="preserve">              </w:t>
      </w:r>
      <w:r>
        <w:rPr>
          <w:sz w:val="24"/>
        </w:rPr>
        <w:t>（全称）（盖单位电子印章）</w:t>
      </w:r>
    </w:p>
    <w:p w14:paraId="34C7546D">
      <w:pPr>
        <w:spacing w:line="360" w:lineRule="auto"/>
        <w:ind w:left="2520" w:leftChars="1200" w:firstLine="1920" w:firstLineChars="800"/>
        <w:rPr>
          <w:sz w:val="24"/>
        </w:rPr>
      </w:pPr>
    </w:p>
    <w:p w14:paraId="3ED02849">
      <w:pPr>
        <w:spacing w:line="360" w:lineRule="auto"/>
        <w:ind w:left="2520" w:leftChars="1200" w:firstLine="1920" w:firstLineChars="8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A24ADEF">
      <w:pPr>
        <w:rPr>
          <w:sz w:val="24"/>
        </w:rPr>
      </w:pPr>
      <w:r>
        <w:rPr>
          <w:sz w:val="24"/>
        </w:rPr>
        <w:br w:type="page"/>
      </w:r>
    </w:p>
    <w:p w14:paraId="7A1C9CF6">
      <w:pPr>
        <w:keepNext/>
        <w:keepLines/>
        <w:spacing w:before="80" w:after="64"/>
        <w:ind w:firstLine="566"/>
        <w:jc w:val="center"/>
        <w:rPr>
          <w:rFonts w:eastAsia="黑体"/>
          <w:bCs/>
          <w:kern w:val="0"/>
          <w:sz w:val="28"/>
          <w:szCs w:val="28"/>
          <w:lang w:val="zh-CN" w:bidi="zh-CN"/>
        </w:rPr>
      </w:pPr>
      <w:r>
        <w:rPr>
          <w:rFonts w:hint="eastAsia" w:eastAsia="黑体"/>
          <w:bCs/>
          <w:kern w:val="0"/>
          <w:sz w:val="28"/>
          <w:szCs w:val="28"/>
          <w:lang w:bidi="zh-CN"/>
        </w:rPr>
        <w:t>（</w:t>
      </w:r>
      <w:r>
        <w:rPr>
          <w:rFonts w:hint="eastAsia" w:eastAsia="黑体"/>
          <w:bCs/>
          <w:kern w:val="0"/>
          <w:sz w:val="28"/>
          <w:szCs w:val="28"/>
          <w:lang w:val="en-US" w:bidi="zh-CN"/>
        </w:rPr>
        <w:t>二</w:t>
      </w:r>
      <w:r>
        <w:rPr>
          <w:rFonts w:hint="eastAsia" w:eastAsia="黑体"/>
          <w:bCs/>
          <w:kern w:val="0"/>
          <w:sz w:val="28"/>
          <w:szCs w:val="28"/>
          <w:lang w:bidi="zh-CN"/>
        </w:rPr>
        <w:t>）财产未被接管或冻结承诺函</w:t>
      </w:r>
      <w:r>
        <w:rPr>
          <w:rFonts w:eastAsia="黑体"/>
          <w:bCs/>
          <w:kern w:val="0"/>
          <w:sz w:val="28"/>
          <w:szCs w:val="28"/>
          <w:lang w:val="zh-CN" w:bidi="zh-CN"/>
        </w:rPr>
        <w:t>（格式）</w:t>
      </w:r>
    </w:p>
    <w:p w14:paraId="677EDC9F">
      <w:pPr>
        <w:spacing w:line="360" w:lineRule="auto"/>
        <w:ind w:firstLine="480" w:firstLineChars="200"/>
        <w:rPr>
          <w:sz w:val="24"/>
          <w:szCs w:val="22"/>
        </w:rPr>
      </w:pPr>
    </w:p>
    <w:p w14:paraId="4631736F">
      <w:pPr>
        <w:spacing w:line="360" w:lineRule="auto"/>
        <w:rPr>
          <w:sz w:val="24"/>
          <w:szCs w:val="22"/>
        </w:rPr>
      </w:pPr>
      <w:r>
        <w:rPr>
          <w:sz w:val="24"/>
          <w:szCs w:val="22"/>
        </w:rPr>
        <w:t>致：</w:t>
      </w:r>
      <w:r>
        <w:rPr>
          <w:sz w:val="24"/>
          <w:szCs w:val="22"/>
          <w:u w:val="single"/>
        </w:rPr>
        <w:t xml:space="preserve">  （招标人全称）  </w:t>
      </w:r>
      <w:r>
        <w:rPr>
          <w:sz w:val="24"/>
          <w:szCs w:val="22"/>
        </w:rPr>
        <w:t>：</w:t>
      </w:r>
    </w:p>
    <w:p w14:paraId="592AA429">
      <w:pPr>
        <w:spacing w:line="360" w:lineRule="auto"/>
        <w:ind w:firstLine="480" w:firstLineChars="200"/>
        <w:rPr>
          <w:sz w:val="24"/>
          <w:szCs w:val="22"/>
        </w:rPr>
      </w:pPr>
      <w:r>
        <w:rPr>
          <w:sz w:val="24"/>
          <w:szCs w:val="22"/>
        </w:rPr>
        <w:t>我</w:t>
      </w:r>
      <w:r>
        <w:rPr>
          <w:sz w:val="24"/>
          <w:szCs w:val="22"/>
          <w:u w:val="single"/>
        </w:rPr>
        <w:t>（</w:t>
      </w:r>
      <w:r>
        <w:rPr>
          <w:rFonts w:hint="eastAsia"/>
          <w:sz w:val="24"/>
          <w:szCs w:val="22"/>
          <w:u w:val="single"/>
        </w:rPr>
        <w:t>投标人名称</w:t>
      </w:r>
      <w:r>
        <w:rPr>
          <w:sz w:val="24"/>
          <w:szCs w:val="22"/>
          <w:u w:val="single"/>
        </w:rPr>
        <w:t>）</w:t>
      </w:r>
      <w:r>
        <w:rPr>
          <w:rFonts w:hint="eastAsia"/>
          <w:sz w:val="24"/>
          <w:szCs w:val="22"/>
          <w:u w:val="single"/>
        </w:rPr>
        <w:t xml:space="preserve">   </w:t>
      </w:r>
      <w:r>
        <w:rPr>
          <w:sz w:val="24"/>
          <w:szCs w:val="22"/>
          <w:u w:val="single"/>
        </w:rPr>
        <w:t xml:space="preserve"> </w:t>
      </w:r>
      <w:r>
        <w:rPr>
          <w:rFonts w:hint="eastAsia"/>
          <w:sz w:val="24"/>
          <w:szCs w:val="22"/>
          <w:u w:val="single"/>
        </w:rPr>
        <w:t>，</w:t>
      </w:r>
      <w:r>
        <w:rPr>
          <w:rFonts w:hint="eastAsia"/>
          <w:sz w:val="24"/>
          <w:szCs w:val="22"/>
        </w:rPr>
        <w:t>现参与</w:t>
      </w:r>
      <w:r>
        <w:rPr>
          <w:rFonts w:hint="eastAsia"/>
          <w:sz w:val="24"/>
          <w:szCs w:val="22"/>
          <w:u w:val="single"/>
        </w:rPr>
        <w:t xml:space="preserve">    （项目名称）     </w:t>
      </w:r>
      <w:r>
        <w:rPr>
          <w:rFonts w:hint="eastAsia"/>
          <w:sz w:val="24"/>
          <w:szCs w:val="22"/>
        </w:rPr>
        <w:t>投标，至开标截止日前在此承诺本公司财产未被接管或冻结，如有隐瞒，愿接受招标人和有关部门的任何处罚。</w:t>
      </w:r>
    </w:p>
    <w:p w14:paraId="684F7AA2">
      <w:pPr>
        <w:spacing w:line="360" w:lineRule="auto"/>
        <w:ind w:firstLine="480" w:firstLineChars="200"/>
        <w:rPr>
          <w:sz w:val="24"/>
          <w:szCs w:val="22"/>
        </w:rPr>
      </w:pPr>
    </w:p>
    <w:p w14:paraId="28E5660D">
      <w:pPr>
        <w:spacing w:line="360" w:lineRule="auto"/>
        <w:ind w:firstLine="480" w:firstLineChars="200"/>
        <w:rPr>
          <w:sz w:val="24"/>
          <w:szCs w:val="22"/>
        </w:rPr>
      </w:pPr>
      <w:r>
        <w:rPr>
          <w:sz w:val="24"/>
          <w:szCs w:val="22"/>
        </w:rPr>
        <w:t>特此承诺！</w:t>
      </w:r>
    </w:p>
    <w:p w14:paraId="16A9B0DE">
      <w:pPr>
        <w:spacing w:line="360" w:lineRule="auto"/>
        <w:ind w:firstLine="480" w:firstLineChars="200"/>
        <w:rPr>
          <w:sz w:val="24"/>
          <w:szCs w:val="22"/>
        </w:rPr>
      </w:pPr>
    </w:p>
    <w:p w14:paraId="2A4B2E82">
      <w:pPr>
        <w:spacing w:line="360" w:lineRule="auto"/>
        <w:ind w:firstLine="480" w:firstLineChars="200"/>
        <w:rPr>
          <w:sz w:val="24"/>
          <w:szCs w:val="22"/>
        </w:rPr>
      </w:pPr>
    </w:p>
    <w:p w14:paraId="77D8B10E">
      <w:pPr>
        <w:spacing w:line="360" w:lineRule="auto"/>
        <w:ind w:left="2520" w:leftChars="1200" w:firstLine="1920" w:firstLineChars="800"/>
        <w:rPr>
          <w:sz w:val="24"/>
          <w:szCs w:val="22"/>
        </w:rPr>
      </w:pPr>
    </w:p>
    <w:p w14:paraId="56463DE3">
      <w:pPr>
        <w:wordWrap w:val="0"/>
        <w:topLinePunct/>
        <w:spacing w:line="440" w:lineRule="exact"/>
        <w:rPr>
          <w:sz w:val="24"/>
        </w:rPr>
      </w:pPr>
      <w:r>
        <w:rPr>
          <w:sz w:val="24"/>
          <w:szCs w:val="22"/>
        </w:rPr>
        <w:t xml:space="preserve">                       </w:t>
      </w:r>
      <w:r>
        <w:rPr>
          <w:sz w:val="24"/>
        </w:rPr>
        <w:t xml:space="preserve">   投标人：</w:t>
      </w:r>
      <w:r>
        <w:rPr>
          <w:sz w:val="24"/>
          <w:u w:val="single"/>
        </w:rPr>
        <w:t xml:space="preserve">              </w:t>
      </w:r>
      <w:r>
        <w:rPr>
          <w:sz w:val="24"/>
        </w:rPr>
        <w:t>（全称）（盖单位章）</w:t>
      </w:r>
    </w:p>
    <w:p w14:paraId="401D39B3">
      <w:pPr>
        <w:pStyle w:val="27"/>
      </w:pPr>
      <w:r>
        <w:rPr>
          <w:rFonts w:hint="eastAsia"/>
        </w:rPr>
        <w:t xml:space="preserve">        </w:t>
      </w:r>
    </w:p>
    <w:p w14:paraId="37CF8103">
      <w:pPr>
        <w:pStyle w:val="27"/>
      </w:pPr>
      <w:r>
        <w:rPr>
          <w:rFonts w:hint="eastAsia"/>
        </w:rPr>
        <w:t xml:space="preserve">                    </w:t>
      </w:r>
      <w:r>
        <w:rPr>
          <w:rFonts w:hint="eastAsia"/>
          <w:b w:val="0"/>
          <w:bCs/>
        </w:rPr>
        <w:t xml:space="preserve">      法定代表人或其委托代理人</w:t>
      </w:r>
      <w:r>
        <w:rPr>
          <w:b w:val="0"/>
          <w:bCs/>
        </w:rPr>
        <w:t>：</w:t>
      </w:r>
      <w:r>
        <w:rPr>
          <w:b w:val="0"/>
          <w:bCs/>
          <w:u w:val="single"/>
        </w:rPr>
        <w:t xml:space="preserve">        </w:t>
      </w:r>
      <w:r>
        <w:rPr>
          <w:b w:val="0"/>
          <w:bCs/>
        </w:rPr>
        <w:t>（</w:t>
      </w:r>
      <w:r>
        <w:rPr>
          <w:rFonts w:hint="eastAsia"/>
          <w:b w:val="0"/>
          <w:bCs/>
        </w:rPr>
        <w:t>签字或盖章</w:t>
      </w:r>
      <w:r>
        <w:rPr>
          <w:b w:val="0"/>
          <w:bCs/>
        </w:rPr>
        <w:t>）</w:t>
      </w:r>
    </w:p>
    <w:p w14:paraId="62220EA3">
      <w:pPr>
        <w:spacing w:line="360" w:lineRule="auto"/>
        <w:ind w:left="2520" w:leftChars="1200" w:firstLine="1920" w:firstLineChars="800"/>
        <w:rPr>
          <w:sz w:val="24"/>
        </w:rPr>
      </w:pPr>
    </w:p>
    <w:p w14:paraId="5D17A749">
      <w:pPr>
        <w:spacing w:line="360" w:lineRule="auto"/>
        <w:ind w:left="2520" w:leftChars="1200" w:firstLine="1920" w:firstLineChars="800"/>
        <w:rPr>
          <w:sz w:val="24"/>
          <w:szCs w:val="22"/>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21DA65E">
      <w:pPr>
        <w:pStyle w:val="16"/>
        <w:rPr>
          <w:rFonts w:hint="eastAsia"/>
        </w:rPr>
      </w:pPr>
    </w:p>
    <w:p w14:paraId="4D6B4521">
      <w:pPr>
        <w:pStyle w:val="16"/>
        <w:rPr>
          <w:highlight w:val="none"/>
        </w:rPr>
      </w:pPr>
      <w:r>
        <w:rPr>
          <w:rFonts w:hint="eastAsia"/>
          <w:highlight w:val="none"/>
        </w:rPr>
        <w:t>注：承诺书后应附“招标公告发布后的银行基本账户任意一笔支出流水信息”的截图，如果银行账户被冻结，将否决投标。</w:t>
      </w:r>
    </w:p>
    <w:p w14:paraId="25B477FA">
      <w:pPr>
        <w:pStyle w:val="16"/>
        <w:sectPr>
          <w:footerReference r:id="rId47" w:type="default"/>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pPr>
    </w:p>
    <w:p w14:paraId="3390BC36">
      <w:pPr>
        <w:pStyle w:val="2"/>
        <w:wordWrap w:val="0"/>
        <w:spacing w:before="0" w:after="0" w:line="380" w:lineRule="atLeast"/>
        <w:jc w:val="center"/>
        <w:rPr>
          <w:sz w:val="28"/>
          <w:szCs w:val="28"/>
        </w:rPr>
      </w:pPr>
      <w:r>
        <w:rPr>
          <w:rFonts w:hint="eastAsia"/>
          <w:sz w:val="28"/>
          <w:szCs w:val="28"/>
        </w:rPr>
        <w:t>（三）不拖欠农民工工资承诺书</w:t>
      </w:r>
    </w:p>
    <w:p w14:paraId="3A2E1F48">
      <w:pPr>
        <w:rPr>
          <w:rFonts w:asciiTheme="majorEastAsia" w:hAnsiTheme="majorEastAsia" w:eastAsiaTheme="majorEastAsia"/>
          <w:szCs w:val="21"/>
        </w:rPr>
      </w:pPr>
    </w:p>
    <w:p w14:paraId="272D985A">
      <w:pPr>
        <w:spacing w:line="360" w:lineRule="auto"/>
        <w:rPr>
          <w:rFonts w:asciiTheme="majorEastAsia" w:hAnsiTheme="majorEastAsia" w:eastAsiaTheme="majorEastAsia"/>
          <w:sz w:val="24"/>
        </w:rPr>
      </w:pPr>
      <w:r>
        <w:rPr>
          <w:sz w:val="24"/>
          <w:szCs w:val="22"/>
          <w:u w:val="single"/>
        </w:rPr>
        <w:t>（招标人全称）</w:t>
      </w:r>
      <w:r>
        <w:rPr>
          <w:rFonts w:hint="eastAsia" w:asciiTheme="majorEastAsia" w:hAnsiTheme="majorEastAsia" w:eastAsiaTheme="majorEastAsia"/>
          <w:sz w:val="24"/>
        </w:rPr>
        <w:t>：</w:t>
      </w:r>
    </w:p>
    <w:p w14:paraId="368F9839">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我公司若有幸中标</w:t>
      </w:r>
      <w:r>
        <w:rPr>
          <w:rFonts w:hint="eastAsia" w:asciiTheme="majorEastAsia" w:hAnsiTheme="majorEastAsia" w:eastAsiaTheme="majorEastAsia"/>
          <w:sz w:val="24"/>
          <w:u w:val="single"/>
        </w:rPr>
        <w:t xml:space="preserve">        （项目名称）      </w:t>
      </w:r>
      <w:r>
        <w:rPr>
          <w:rFonts w:hint="eastAsia" w:asciiTheme="majorEastAsia" w:hAnsiTheme="majorEastAsia" w:eastAsiaTheme="majorEastAsia"/>
          <w:sz w:val="24"/>
        </w:rPr>
        <w:t>项目，按照国务院《保障农民工工资支付条例》（国务院令第724号）以及国家、省、市关于解决企业拖欠农民工工资问题的相关文件要求，为切实做好农民工工资“治欠保支”工作，我公司（项目经理部）将积极落实“三制一金”制度，及时签订劳动合同，建立相关管理台账，规范管理农民工考勤和工资支付工作，按时足额支付农民工工资，并加强分包队伍管理。特作出以下承诺：</w:t>
      </w:r>
    </w:p>
    <w:p w14:paraId="1C019418">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一、保证不拖欠我公司（项目经理部）直接雇佣的农民工工资，保证项目分包队伍不拖欠农民工工资。</w:t>
      </w:r>
    </w:p>
    <w:p w14:paraId="09C9A928">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若我公司（项目经理部）或项目分包队伍发生拖欠农民工工资问题，我公司同意贵单位从本项目履约担保银行提取或在工程结算价款、质量保证金中扣除相应资金用于支付所拖欠的农民工工资，同时无条件接受相关部门的处罚。</w:t>
      </w:r>
    </w:p>
    <w:p w14:paraId="61970258">
      <w:pPr>
        <w:spacing w:before="240" w:beforeLines="100" w:line="360" w:lineRule="auto"/>
        <w:ind w:firstLine="3840" w:firstLineChars="1600"/>
        <w:rPr>
          <w:rFonts w:asciiTheme="majorEastAsia" w:hAnsiTheme="majorEastAsia" w:eastAsiaTheme="majorEastAsia"/>
          <w:sz w:val="24"/>
        </w:rPr>
      </w:pPr>
    </w:p>
    <w:p w14:paraId="74645BCC">
      <w:pPr>
        <w:widowControl/>
        <w:spacing w:line="360" w:lineRule="auto"/>
        <w:ind w:left="340" w:leftChars="162" w:firstLine="4080" w:firstLineChars="1700"/>
        <w:textAlignment w:val="bottom"/>
        <w:rPr>
          <w:rFonts w:asciiTheme="majorEastAsia" w:hAnsiTheme="majorEastAsia" w:eastAsiaTheme="majorEastAsia"/>
          <w:sz w:val="24"/>
        </w:rPr>
      </w:pPr>
      <w:r>
        <w:rPr>
          <w:rFonts w:hint="eastAsia" w:asciiTheme="majorEastAsia" w:hAnsiTheme="majorEastAsia" w:eastAsiaTheme="majorEastAsia"/>
          <w:sz w:val="24"/>
        </w:rPr>
        <w:t>承诺单位：</w:t>
      </w:r>
      <w:r>
        <w:rPr>
          <w:rFonts w:asciiTheme="majorEastAsia" w:hAnsiTheme="majorEastAsia" w:eastAsiaTheme="majorEastAsia"/>
          <w:sz w:val="24"/>
        </w:rPr>
        <w:t xml:space="preserve"> _______(</w:t>
      </w:r>
      <w:r>
        <w:rPr>
          <w:rFonts w:hint="eastAsia" w:asciiTheme="majorEastAsia" w:hAnsiTheme="majorEastAsia" w:eastAsiaTheme="majorEastAsia"/>
          <w:sz w:val="24"/>
        </w:rPr>
        <w:t>全称</w:t>
      </w:r>
      <w:r>
        <w:rPr>
          <w:rFonts w:asciiTheme="majorEastAsia" w:hAnsiTheme="majorEastAsia" w:eastAsiaTheme="majorEastAsia"/>
          <w:sz w:val="24"/>
        </w:rPr>
        <w:t>)(</w:t>
      </w:r>
      <w:r>
        <w:rPr>
          <w:rFonts w:hint="eastAsia" w:asciiTheme="majorEastAsia" w:hAnsiTheme="majorEastAsia" w:eastAsiaTheme="majorEastAsia"/>
          <w:sz w:val="24"/>
        </w:rPr>
        <w:t>盖单位章</w:t>
      </w:r>
      <w:r>
        <w:rPr>
          <w:rFonts w:asciiTheme="majorEastAsia" w:hAnsiTheme="majorEastAsia" w:eastAsiaTheme="majorEastAsia"/>
          <w:sz w:val="24"/>
        </w:rPr>
        <w:t>)</w:t>
      </w:r>
    </w:p>
    <w:p w14:paraId="6DE49C97">
      <w:pPr>
        <w:widowControl/>
        <w:spacing w:line="360" w:lineRule="auto"/>
        <w:ind w:left="340" w:leftChars="162"/>
        <w:jc w:val="right"/>
        <w:textAlignment w:val="bottom"/>
        <w:rPr>
          <w:rFonts w:asciiTheme="majorEastAsia" w:hAnsiTheme="majorEastAsia" w:eastAsiaTheme="majorEastAsia"/>
          <w:sz w:val="24"/>
        </w:rPr>
      </w:pPr>
    </w:p>
    <w:p w14:paraId="4EC11BED">
      <w:pPr>
        <w:widowControl/>
        <w:spacing w:line="360" w:lineRule="auto"/>
        <w:ind w:left="340" w:leftChars="162"/>
        <w:jc w:val="right"/>
        <w:textAlignment w:val="bottom"/>
        <w:rPr>
          <w:rFonts w:asciiTheme="majorEastAsia" w:hAnsiTheme="majorEastAsia" w:eastAsiaTheme="majorEastAsia"/>
          <w:sz w:val="24"/>
          <w:u w:val="single"/>
        </w:rPr>
      </w:pPr>
      <w:r>
        <w:rPr>
          <w:rFonts w:hint="eastAsia" w:asciiTheme="majorEastAsia" w:hAnsiTheme="majorEastAsia" w:eastAsiaTheme="majorEastAsia"/>
          <w:sz w:val="24"/>
        </w:rPr>
        <w:t>法定代表人或其委托代理人：</w:t>
      </w:r>
      <w:r>
        <w:rPr>
          <w:rFonts w:asciiTheme="majorEastAsia" w:hAnsiTheme="majorEastAsia" w:eastAsiaTheme="majorEastAsia"/>
          <w:sz w:val="24"/>
        </w:rPr>
        <w:t xml:space="preserve"> ____________(</w:t>
      </w:r>
      <w:r>
        <w:rPr>
          <w:rFonts w:hint="eastAsia" w:asciiTheme="majorEastAsia" w:hAnsiTheme="majorEastAsia" w:eastAsiaTheme="majorEastAsia"/>
          <w:sz w:val="24"/>
        </w:rPr>
        <w:t>签字</w:t>
      </w:r>
      <w:r>
        <w:rPr>
          <w:rFonts w:asciiTheme="majorEastAsia" w:hAnsiTheme="majorEastAsia" w:eastAsiaTheme="majorEastAsia"/>
          <w:sz w:val="24"/>
        </w:rPr>
        <w:t>)</w:t>
      </w:r>
    </w:p>
    <w:p w14:paraId="125B4740">
      <w:pPr>
        <w:widowControl/>
        <w:spacing w:line="360" w:lineRule="auto"/>
        <w:ind w:left="340"/>
        <w:textAlignment w:val="bottom"/>
        <w:rPr>
          <w:rFonts w:asciiTheme="majorEastAsia" w:hAnsiTheme="majorEastAsia" w:eastAsiaTheme="majorEastAsia"/>
          <w:sz w:val="24"/>
        </w:rPr>
      </w:pPr>
    </w:p>
    <w:p w14:paraId="0AC5D51D">
      <w:pPr>
        <w:widowControl/>
        <w:spacing w:line="360" w:lineRule="auto"/>
        <w:ind w:left="340"/>
        <w:textAlignment w:val="bottom"/>
        <w:rPr>
          <w:rFonts w:asciiTheme="majorEastAsia" w:hAnsiTheme="majorEastAsia" w:eastAsiaTheme="majorEastAsia"/>
          <w:sz w:val="24"/>
        </w:rPr>
      </w:pPr>
    </w:p>
    <w:p w14:paraId="3EB8411B">
      <w:pPr>
        <w:pStyle w:val="17"/>
        <w:wordWrap w:val="0"/>
        <w:spacing w:after="0" w:line="400" w:lineRule="atLeast"/>
        <w:ind w:left="0" w:leftChars="0"/>
        <w:jc w:val="center"/>
        <w:rPr>
          <w:rFonts w:hint="eastAsia" w:asciiTheme="majorEastAsia" w:hAnsiTheme="majorEastAsia" w:eastAsiaTheme="majorEastAsia"/>
          <w:sz w:val="24"/>
        </w:rPr>
      </w:pPr>
      <w:r>
        <w:rPr>
          <w:rFonts w:hint="eastAsia" w:asciiTheme="majorEastAsia" w:hAnsiTheme="majorEastAsia" w:eastAsiaTheme="majorEastAsia"/>
          <w:sz w:val="24"/>
        </w:rPr>
        <w:t xml:space="preserve">                          </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rPr>
        <w:t>年</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rPr>
        <w:t>月</w:t>
      </w:r>
      <w:r>
        <w:rPr>
          <w:rFonts w:hint="eastAsia" w:asciiTheme="majorEastAsia" w:hAnsiTheme="majorEastAsia" w:eastAsiaTheme="majorEastAsia"/>
          <w:sz w:val="24"/>
          <w:u w:val="single"/>
        </w:rPr>
        <w:t xml:space="preserve">   </w:t>
      </w:r>
      <w:r>
        <w:rPr>
          <w:rFonts w:hint="eastAsia" w:asciiTheme="majorEastAsia" w:hAnsiTheme="majorEastAsia" w:eastAsiaTheme="majorEastAsia"/>
          <w:sz w:val="24"/>
        </w:rPr>
        <w:t>日</w:t>
      </w:r>
    </w:p>
    <w:p w14:paraId="2E8B3CEC">
      <w:pPr>
        <w:rPr>
          <w:rFonts w:hint="eastAsia" w:asciiTheme="majorEastAsia" w:hAnsiTheme="majorEastAsia" w:eastAsiaTheme="majorEastAsia"/>
          <w:sz w:val="24"/>
        </w:rPr>
      </w:pPr>
      <w:r>
        <w:rPr>
          <w:rFonts w:hint="eastAsia" w:asciiTheme="majorEastAsia" w:hAnsiTheme="majorEastAsia" w:eastAsiaTheme="majorEastAsia"/>
          <w:sz w:val="24"/>
        </w:rPr>
        <w:br w:type="page"/>
      </w:r>
    </w:p>
    <w:p w14:paraId="19C01EB8">
      <w:pPr>
        <w:wordWrap w:val="0"/>
        <w:spacing w:line="440" w:lineRule="exact"/>
        <w:rPr>
          <w:rFonts w:eastAsia="黑体"/>
          <w:sz w:val="20"/>
          <w:szCs w:val="20"/>
        </w:rPr>
      </w:pPr>
    </w:p>
    <w:p w14:paraId="6FF0D8B9">
      <w:pPr>
        <w:spacing w:before="56"/>
        <w:ind w:right="178"/>
        <w:jc w:val="center"/>
        <w:rPr>
          <w:rFonts w:asciiTheme="minorEastAsia" w:hAnsiTheme="minorEastAsia" w:eastAsiaTheme="minorEastAsia"/>
          <w:b/>
          <w:bCs/>
          <w:sz w:val="28"/>
        </w:rPr>
      </w:pPr>
      <w:r>
        <w:rPr>
          <w:rFonts w:hint="eastAsia" w:asciiTheme="minorEastAsia" w:hAnsiTheme="minorEastAsia" w:eastAsiaTheme="minorEastAsia"/>
          <w:b/>
          <w:bCs/>
          <w:sz w:val="28"/>
        </w:rPr>
        <w:t>（四）项目数据采集表</w:t>
      </w:r>
      <w:bookmarkStart w:id="1979" w:name="OLE_LINK30"/>
    </w:p>
    <w:p w14:paraId="118A7A5A"/>
    <w:tbl>
      <w:tblPr>
        <w:tblStyle w:val="39"/>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980"/>
        <w:gridCol w:w="885"/>
        <w:gridCol w:w="980"/>
        <w:gridCol w:w="980"/>
        <w:gridCol w:w="903"/>
        <w:gridCol w:w="955"/>
        <w:gridCol w:w="913"/>
        <w:gridCol w:w="791"/>
        <w:gridCol w:w="723"/>
        <w:gridCol w:w="690"/>
      </w:tblGrid>
      <w:tr w14:paraId="2DFD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694" w:type="dxa"/>
            <w:shd w:val="clear" w:color="auto" w:fill="FFFFFF"/>
            <w:noWrap/>
            <w:vAlign w:val="center"/>
          </w:tcPr>
          <w:p w14:paraId="0A84B09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投标单位名称</w:t>
            </w:r>
          </w:p>
        </w:tc>
        <w:tc>
          <w:tcPr>
            <w:tcW w:w="980" w:type="dxa"/>
            <w:shd w:val="clear" w:color="auto" w:fill="FFFFFF"/>
            <w:noWrap/>
            <w:vAlign w:val="center"/>
          </w:tcPr>
          <w:p w14:paraId="23BEFC8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投标单位统一社会信用代码</w:t>
            </w:r>
          </w:p>
        </w:tc>
        <w:tc>
          <w:tcPr>
            <w:tcW w:w="885" w:type="dxa"/>
            <w:shd w:val="clear" w:color="auto" w:fill="FFFFFF"/>
            <w:noWrap/>
            <w:vAlign w:val="center"/>
          </w:tcPr>
          <w:p w14:paraId="437D2D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投标单位法人代表姓名</w:t>
            </w:r>
          </w:p>
        </w:tc>
        <w:tc>
          <w:tcPr>
            <w:tcW w:w="980" w:type="dxa"/>
            <w:shd w:val="clear" w:color="auto" w:fill="FFFFFF"/>
            <w:noWrap/>
            <w:vAlign w:val="center"/>
          </w:tcPr>
          <w:p w14:paraId="2DE17C2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投标单位法人代表身份证号</w:t>
            </w:r>
          </w:p>
        </w:tc>
        <w:tc>
          <w:tcPr>
            <w:tcW w:w="980" w:type="dxa"/>
            <w:shd w:val="clear" w:color="auto" w:fill="FFFFFF"/>
            <w:noWrap/>
            <w:vAlign w:val="center"/>
          </w:tcPr>
          <w:p w14:paraId="413B9A54">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投标单位法人代表手机号码</w:t>
            </w:r>
          </w:p>
        </w:tc>
        <w:tc>
          <w:tcPr>
            <w:tcW w:w="903" w:type="dxa"/>
            <w:shd w:val="clear" w:color="auto" w:fill="FFFFFF"/>
            <w:noWrap/>
            <w:vAlign w:val="center"/>
          </w:tcPr>
          <w:p w14:paraId="70A9D6F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投标单位联系人姓名</w:t>
            </w:r>
          </w:p>
        </w:tc>
        <w:tc>
          <w:tcPr>
            <w:tcW w:w="955" w:type="dxa"/>
            <w:shd w:val="clear" w:color="auto" w:fill="FFFFFF"/>
            <w:noWrap/>
            <w:vAlign w:val="center"/>
          </w:tcPr>
          <w:p w14:paraId="59C1F6A3">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投标单位联系人身份证号</w:t>
            </w:r>
          </w:p>
        </w:tc>
        <w:tc>
          <w:tcPr>
            <w:tcW w:w="913" w:type="dxa"/>
            <w:shd w:val="clear" w:color="auto" w:fill="FFFFFF"/>
            <w:noWrap/>
            <w:vAlign w:val="center"/>
          </w:tcPr>
          <w:p w14:paraId="4EF4927F">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投标单位联系人手机号码</w:t>
            </w:r>
          </w:p>
        </w:tc>
        <w:tc>
          <w:tcPr>
            <w:tcW w:w="791" w:type="dxa"/>
            <w:shd w:val="clear" w:color="auto" w:fill="FFFFFF"/>
            <w:noWrap/>
            <w:vAlign w:val="center"/>
          </w:tcPr>
          <w:p w14:paraId="6557DC0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项目经理姓名</w:t>
            </w:r>
          </w:p>
        </w:tc>
        <w:tc>
          <w:tcPr>
            <w:tcW w:w="723" w:type="dxa"/>
            <w:shd w:val="clear" w:color="auto" w:fill="FFFFFF"/>
            <w:noWrap/>
            <w:vAlign w:val="center"/>
          </w:tcPr>
          <w:p w14:paraId="1F4ACCED">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项目经理身份证号</w:t>
            </w:r>
          </w:p>
        </w:tc>
        <w:tc>
          <w:tcPr>
            <w:tcW w:w="690" w:type="dxa"/>
            <w:shd w:val="clear" w:color="auto" w:fill="FFFFFF"/>
            <w:noWrap/>
            <w:vAlign w:val="center"/>
          </w:tcPr>
          <w:p w14:paraId="271B8165">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项目经理手机号码</w:t>
            </w:r>
          </w:p>
        </w:tc>
      </w:tr>
      <w:tr w14:paraId="63E5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694" w:type="dxa"/>
            <w:shd w:val="clear" w:color="auto" w:fill="FFFFFF"/>
            <w:noWrap/>
            <w:vAlign w:val="center"/>
          </w:tcPr>
          <w:p w14:paraId="5063AB82">
            <w:pPr>
              <w:widowControl/>
              <w:jc w:val="left"/>
              <w:textAlignment w:val="center"/>
              <w:rPr>
                <w:rFonts w:ascii="宋体" w:hAnsi="宋体" w:cs="宋体"/>
                <w:color w:val="000000"/>
                <w:kern w:val="0"/>
                <w:sz w:val="22"/>
                <w:szCs w:val="22"/>
                <w:lang w:bidi="ar"/>
              </w:rPr>
            </w:pPr>
          </w:p>
        </w:tc>
        <w:tc>
          <w:tcPr>
            <w:tcW w:w="980" w:type="dxa"/>
            <w:shd w:val="clear" w:color="auto" w:fill="FFFFFF"/>
            <w:noWrap/>
            <w:vAlign w:val="center"/>
          </w:tcPr>
          <w:p w14:paraId="2A4D9C8A">
            <w:pPr>
              <w:widowControl/>
              <w:jc w:val="left"/>
              <w:textAlignment w:val="center"/>
              <w:rPr>
                <w:rFonts w:ascii="宋体" w:hAnsi="宋体" w:cs="宋体"/>
                <w:color w:val="000000"/>
                <w:kern w:val="0"/>
                <w:sz w:val="22"/>
                <w:szCs w:val="22"/>
                <w:lang w:bidi="ar"/>
              </w:rPr>
            </w:pPr>
          </w:p>
        </w:tc>
        <w:tc>
          <w:tcPr>
            <w:tcW w:w="885" w:type="dxa"/>
            <w:shd w:val="clear" w:color="auto" w:fill="FFFFFF"/>
            <w:noWrap/>
            <w:vAlign w:val="center"/>
          </w:tcPr>
          <w:p w14:paraId="3FF3BFE9">
            <w:pPr>
              <w:widowControl/>
              <w:jc w:val="left"/>
              <w:textAlignment w:val="center"/>
              <w:rPr>
                <w:rFonts w:ascii="宋体" w:hAnsi="宋体" w:cs="宋体"/>
                <w:color w:val="000000"/>
                <w:kern w:val="0"/>
                <w:sz w:val="22"/>
                <w:szCs w:val="22"/>
                <w:lang w:bidi="ar"/>
              </w:rPr>
            </w:pPr>
          </w:p>
        </w:tc>
        <w:tc>
          <w:tcPr>
            <w:tcW w:w="980" w:type="dxa"/>
            <w:shd w:val="clear" w:color="auto" w:fill="FFFFFF"/>
            <w:noWrap/>
            <w:vAlign w:val="center"/>
          </w:tcPr>
          <w:p w14:paraId="4A7810DF">
            <w:pPr>
              <w:widowControl/>
              <w:jc w:val="left"/>
              <w:textAlignment w:val="center"/>
              <w:rPr>
                <w:rFonts w:ascii="宋体" w:hAnsi="宋体" w:cs="宋体"/>
                <w:color w:val="000000"/>
                <w:kern w:val="0"/>
                <w:sz w:val="22"/>
                <w:szCs w:val="22"/>
                <w:lang w:bidi="ar"/>
              </w:rPr>
            </w:pPr>
          </w:p>
        </w:tc>
        <w:tc>
          <w:tcPr>
            <w:tcW w:w="980" w:type="dxa"/>
            <w:shd w:val="clear" w:color="auto" w:fill="FFFFFF"/>
            <w:noWrap/>
            <w:vAlign w:val="center"/>
          </w:tcPr>
          <w:p w14:paraId="4D2C5F98">
            <w:pPr>
              <w:widowControl/>
              <w:jc w:val="left"/>
              <w:textAlignment w:val="center"/>
              <w:rPr>
                <w:rFonts w:ascii="宋体" w:hAnsi="宋体" w:cs="宋体"/>
                <w:color w:val="000000"/>
                <w:kern w:val="0"/>
                <w:sz w:val="22"/>
                <w:szCs w:val="22"/>
                <w:lang w:bidi="ar"/>
              </w:rPr>
            </w:pPr>
          </w:p>
        </w:tc>
        <w:tc>
          <w:tcPr>
            <w:tcW w:w="903" w:type="dxa"/>
            <w:shd w:val="clear" w:color="auto" w:fill="FFFFFF"/>
            <w:noWrap/>
            <w:vAlign w:val="center"/>
          </w:tcPr>
          <w:p w14:paraId="46CA5E32">
            <w:pPr>
              <w:widowControl/>
              <w:jc w:val="left"/>
              <w:textAlignment w:val="center"/>
              <w:rPr>
                <w:rFonts w:ascii="宋体" w:hAnsi="宋体" w:cs="宋体"/>
                <w:color w:val="000000"/>
                <w:kern w:val="0"/>
                <w:sz w:val="22"/>
                <w:szCs w:val="22"/>
                <w:lang w:bidi="ar"/>
              </w:rPr>
            </w:pPr>
          </w:p>
        </w:tc>
        <w:tc>
          <w:tcPr>
            <w:tcW w:w="955" w:type="dxa"/>
            <w:shd w:val="clear" w:color="auto" w:fill="FFFFFF"/>
            <w:noWrap/>
            <w:vAlign w:val="center"/>
          </w:tcPr>
          <w:p w14:paraId="4ED7EE59">
            <w:pPr>
              <w:widowControl/>
              <w:jc w:val="left"/>
              <w:textAlignment w:val="center"/>
              <w:rPr>
                <w:rFonts w:ascii="宋体" w:hAnsi="宋体" w:cs="宋体"/>
                <w:color w:val="000000"/>
                <w:kern w:val="0"/>
                <w:sz w:val="22"/>
                <w:szCs w:val="22"/>
                <w:lang w:bidi="ar"/>
              </w:rPr>
            </w:pPr>
          </w:p>
        </w:tc>
        <w:tc>
          <w:tcPr>
            <w:tcW w:w="913" w:type="dxa"/>
            <w:shd w:val="clear" w:color="auto" w:fill="FFFFFF"/>
            <w:noWrap/>
            <w:vAlign w:val="center"/>
          </w:tcPr>
          <w:p w14:paraId="09183C45">
            <w:pPr>
              <w:widowControl/>
              <w:jc w:val="left"/>
              <w:textAlignment w:val="center"/>
              <w:rPr>
                <w:rFonts w:ascii="宋体" w:hAnsi="宋体" w:cs="宋体"/>
                <w:color w:val="000000"/>
                <w:kern w:val="0"/>
                <w:sz w:val="22"/>
                <w:szCs w:val="22"/>
                <w:lang w:bidi="ar"/>
              </w:rPr>
            </w:pPr>
          </w:p>
        </w:tc>
        <w:tc>
          <w:tcPr>
            <w:tcW w:w="791" w:type="dxa"/>
            <w:shd w:val="clear" w:color="auto" w:fill="FFFFFF"/>
            <w:noWrap/>
            <w:vAlign w:val="center"/>
          </w:tcPr>
          <w:p w14:paraId="349CE6E7">
            <w:pPr>
              <w:widowControl/>
              <w:jc w:val="left"/>
              <w:textAlignment w:val="center"/>
              <w:rPr>
                <w:rFonts w:ascii="宋体" w:hAnsi="宋体" w:cs="宋体"/>
                <w:color w:val="000000"/>
                <w:kern w:val="0"/>
                <w:sz w:val="22"/>
                <w:szCs w:val="22"/>
                <w:lang w:bidi="ar"/>
              </w:rPr>
            </w:pPr>
          </w:p>
        </w:tc>
        <w:tc>
          <w:tcPr>
            <w:tcW w:w="723" w:type="dxa"/>
            <w:shd w:val="clear" w:color="auto" w:fill="FFFFFF"/>
            <w:noWrap/>
            <w:vAlign w:val="center"/>
          </w:tcPr>
          <w:p w14:paraId="74BC5373">
            <w:pPr>
              <w:widowControl/>
              <w:jc w:val="left"/>
              <w:textAlignment w:val="center"/>
              <w:rPr>
                <w:rFonts w:ascii="宋体" w:hAnsi="宋体" w:cs="宋体"/>
                <w:color w:val="000000"/>
                <w:kern w:val="0"/>
                <w:sz w:val="22"/>
                <w:szCs w:val="22"/>
                <w:lang w:bidi="ar"/>
              </w:rPr>
            </w:pPr>
          </w:p>
        </w:tc>
        <w:tc>
          <w:tcPr>
            <w:tcW w:w="690" w:type="dxa"/>
            <w:shd w:val="clear" w:color="auto" w:fill="FFFFFF"/>
            <w:noWrap/>
            <w:vAlign w:val="center"/>
          </w:tcPr>
          <w:p w14:paraId="0F473A45">
            <w:pPr>
              <w:widowControl/>
              <w:jc w:val="left"/>
              <w:textAlignment w:val="center"/>
              <w:rPr>
                <w:rFonts w:ascii="宋体" w:hAnsi="宋体" w:cs="宋体"/>
                <w:color w:val="000000"/>
                <w:kern w:val="0"/>
                <w:sz w:val="22"/>
                <w:szCs w:val="22"/>
                <w:lang w:bidi="ar"/>
              </w:rPr>
            </w:pPr>
          </w:p>
        </w:tc>
      </w:tr>
      <w:bookmarkEnd w:id="1979"/>
    </w:tbl>
    <w:p w14:paraId="58AC0FF1"/>
    <w:p w14:paraId="07C83578">
      <w:pPr>
        <w:spacing w:before="56"/>
        <w:ind w:right="178"/>
        <w:jc w:val="center"/>
        <w:rPr>
          <w:rFonts w:asciiTheme="minorEastAsia" w:hAnsiTheme="minorEastAsia" w:eastAsiaTheme="minorEastAsia"/>
          <w:szCs w:val="21"/>
        </w:rPr>
      </w:pPr>
      <w:r>
        <w:rPr>
          <w:rFonts w:asciiTheme="minorEastAsia" w:hAnsiTheme="minorEastAsia" w:eastAsiaTheme="minorEastAsia"/>
          <w:szCs w:val="21"/>
        </w:rPr>
        <w:t>注：以联合体形式参与投标的，联合体各成员应分别填写。</w:t>
      </w:r>
    </w:p>
    <w:p w14:paraId="43D13DFE">
      <w:pPr>
        <w:spacing w:before="56"/>
        <w:ind w:right="178"/>
        <w:jc w:val="center"/>
        <w:rPr>
          <w:rFonts w:asciiTheme="minorEastAsia" w:hAnsiTheme="minorEastAsia" w:eastAsiaTheme="minorEastAsia"/>
          <w:b/>
          <w:bCs/>
          <w:sz w:val="28"/>
        </w:rPr>
      </w:pPr>
    </w:p>
    <w:p w14:paraId="1031C1B0">
      <w:pPr>
        <w:spacing w:before="56"/>
        <w:ind w:right="178"/>
        <w:jc w:val="center"/>
        <w:rPr>
          <w:rFonts w:asciiTheme="minorEastAsia" w:hAnsiTheme="minorEastAsia" w:eastAsiaTheme="minorEastAsia"/>
          <w:b/>
          <w:bCs/>
          <w:sz w:val="28"/>
        </w:rPr>
      </w:pPr>
      <w:r>
        <w:rPr>
          <w:rFonts w:hint="eastAsia" w:asciiTheme="minorEastAsia" w:hAnsiTheme="minorEastAsia" w:eastAsiaTheme="minorEastAsia"/>
          <w:b/>
          <w:bCs/>
          <w:sz w:val="28"/>
        </w:rPr>
        <w:t>（五）中标公示汇总表</w:t>
      </w:r>
    </w:p>
    <w:p w14:paraId="6850F7C1">
      <w:pPr>
        <w:jc w:val="center"/>
        <w:rPr>
          <w:rFonts w:asciiTheme="minorEastAsia" w:hAnsiTheme="minorEastAsia" w:eastAsiaTheme="minorEastAsia"/>
          <w:sz w:val="24"/>
        </w:rPr>
      </w:pPr>
    </w:p>
    <w:p w14:paraId="46220E01">
      <w:pPr>
        <w:jc w:val="center"/>
        <w:rPr>
          <w:rFonts w:asciiTheme="minorEastAsia" w:hAnsiTheme="minorEastAsia" w:eastAsiaTheme="minorEastAsia"/>
          <w:sz w:val="24"/>
        </w:rPr>
      </w:pPr>
      <w:r>
        <w:rPr>
          <w:rFonts w:hint="eastAsia" w:asciiTheme="minorEastAsia" w:hAnsiTheme="minorEastAsia" w:eastAsiaTheme="minorEastAsia"/>
          <w:sz w:val="24"/>
        </w:rPr>
        <w:t>主要人员信息公示汇总表</w:t>
      </w:r>
    </w:p>
    <w:p w14:paraId="03404CEF">
      <w:pPr>
        <w:rPr>
          <w:rFonts w:asciiTheme="minorEastAsia" w:hAnsiTheme="minorEastAsia" w:eastAsiaTheme="minorEastAsia"/>
        </w:rPr>
      </w:pPr>
    </w:p>
    <w:tbl>
      <w:tblPr>
        <w:tblStyle w:val="39"/>
        <w:tblpPr w:leftFromText="180" w:rightFromText="180" w:vertAnchor="text" w:tblpY="1"/>
        <w:tblOverlap w:val="never"/>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1359"/>
        <w:gridCol w:w="1003"/>
        <w:gridCol w:w="1508"/>
        <w:gridCol w:w="1010"/>
        <w:gridCol w:w="1006"/>
        <w:gridCol w:w="1003"/>
        <w:gridCol w:w="998"/>
      </w:tblGrid>
      <w:tr w14:paraId="02C7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trPr>
        <w:tc>
          <w:tcPr>
            <w:tcW w:w="684" w:type="dxa"/>
            <w:vMerge w:val="restart"/>
            <w:vAlign w:val="center"/>
          </w:tcPr>
          <w:p w14:paraId="45C51251">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序号</w:t>
            </w:r>
          </w:p>
        </w:tc>
        <w:tc>
          <w:tcPr>
            <w:tcW w:w="1359" w:type="dxa"/>
            <w:vMerge w:val="restart"/>
            <w:vAlign w:val="center"/>
          </w:tcPr>
          <w:p w14:paraId="52C19349">
            <w:pPr>
              <w:pStyle w:val="95"/>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拟任职务</w:t>
            </w:r>
          </w:p>
        </w:tc>
        <w:tc>
          <w:tcPr>
            <w:tcW w:w="1003" w:type="dxa"/>
            <w:vMerge w:val="restart"/>
            <w:vAlign w:val="center"/>
          </w:tcPr>
          <w:p w14:paraId="58791D1C">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姓名</w:t>
            </w:r>
          </w:p>
        </w:tc>
        <w:tc>
          <w:tcPr>
            <w:tcW w:w="1508" w:type="dxa"/>
            <w:vMerge w:val="restart"/>
            <w:vAlign w:val="center"/>
          </w:tcPr>
          <w:p w14:paraId="048ACCF8">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证书类型</w:t>
            </w:r>
          </w:p>
        </w:tc>
        <w:tc>
          <w:tcPr>
            <w:tcW w:w="1010" w:type="dxa"/>
            <w:vMerge w:val="restart"/>
            <w:vAlign w:val="center"/>
          </w:tcPr>
          <w:p w14:paraId="0DFB1AA4">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证书编号</w:t>
            </w:r>
          </w:p>
        </w:tc>
        <w:tc>
          <w:tcPr>
            <w:tcW w:w="3007" w:type="dxa"/>
            <w:gridSpan w:val="3"/>
            <w:vAlign w:val="center"/>
          </w:tcPr>
          <w:p w14:paraId="3DE0BFFE">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个人业绩信息</w:t>
            </w:r>
          </w:p>
        </w:tc>
      </w:tr>
      <w:tr w14:paraId="3EA5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continue"/>
            <w:vAlign w:val="center"/>
          </w:tcPr>
          <w:p w14:paraId="51F6FA29">
            <w:pPr>
              <w:pStyle w:val="95"/>
              <w:adjustRightInd w:val="0"/>
              <w:snapToGrid w:val="0"/>
              <w:jc w:val="center"/>
              <w:rPr>
                <w:rFonts w:asciiTheme="minorEastAsia" w:hAnsiTheme="minorEastAsia" w:eastAsiaTheme="minorEastAsia"/>
                <w:szCs w:val="21"/>
              </w:rPr>
            </w:pPr>
          </w:p>
        </w:tc>
        <w:tc>
          <w:tcPr>
            <w:tcW w:w="1359" w:type="dxa"/>
            <w:vMerge w:val="continue"/>
            <w:vAlign w:val="center"/>
          </w:tcPr>
          <w:p w14:paraId="7B03DAD6">
            <w:pPr>
              <w:pStyle w:val="95"/>
              <w:adjustRightInd w:val="0"/>
              <w:snapToGrid w:val="0"/>
              <w:jc w:val="center"/>
              <w:rPr>
                <w:rFonts w:asciiTheme="minorEastAsia" w:hAnsiTheme="minorEastAsia" w:eastAsiaTheme="minorEastAsia"/>
                <w:szCs w:val="21"/>
              </w:rPr>
            </w:pPr>
          </w:p>
        </w:tc>
        <w:tc>
          <w:tcPr>
            <w:tcW w:w="1003" w:type="dxa"/>
            <w:vMerge w:val="continue"/>
            <w:vAlign w:val="center"/>
          </w:tcPr>
          <w:p w14:paraId="77590CFB">
            <w:pPr>
              <w:pStyle w:val="95"/>
              <w:adjustRightInd w:val="0"/>
              <w:snapToGrid w:val="0"/>
              <w:jc w:val="center"/>
              <w:rPr>
                <w:rFonts w:asciiTheme="minorEastAsia" w:hAnsiTheme="minorEastAsia" w:eastAsiaTheme="minorEastAsia"/>
                <w:szCs w:val="21"/>
              </w:rPr>
            </w:pPr>
          </w:p>
        </w:tc>
        <w:tc>
          <w:tcPr>
            <w:tcW w:w="1508" w:type="dxa"/>
            <w:vMerge w:val="continue"/>
            <w:vAlign w:val="center"/>
          </w:tcPr>
          <w:p w14:paraId="505EAFE2">
            <w:pPr>
              <w:pStyle w:val="95"/>
              <w:adjustRightInd w:val="0"/>
              <w:snapToGrid w:val="0"/>
              <w:jc w:val="center"/>
              <w:rPr>
                <w:rFonts w:asciiTheme="minorEastAsia" w:hAnsiTheme="minorEastAsia" w:eastAsiaTheme="minorEastAsia"/>
                <w:szCs w:val="21"/>
              </w:rPr>
            </w:pPr>
          </w:p>
        </w:tc>
        <w:tc>
          <w:tcPr>
            <w:tcW w:w="1010" w:type="dxa"/>
            <w:vMerge w:val="continue"/>
            <w:vAlign w:val="center"/>
          </w:tcPr>
          <w:p w14:paraId="62BADA18">
            <w:pPr>
              <w:pStyle w:val="95"/>
              <w:adjustRightInd w:val="0"/>
              <w:snapToGrid w:val="0"/>
              <w:jc w:val="center"/>
              <w:rPr>
                <w:rFonts w:asciiTheme="minorEastAsia" w:hAnsiTheme="minorEastAsia" w:eastAsiaTheme="minorEastAsia"/>
                <w:szCs w:val="21"/>
              </w:rPr>
            </w:pPr>
          </w:p>
        </w:tc>
        <w:tc>
          <w:tcPr>
            <w:tcW w:w="1006" w:type="dxa"/>
            <w:vAlign w:val="center"/>
          </w:tcPr>
          <w:p w14:paraId="7414F34B">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编号</w:t>
            </w:r>
          </w:p>
        </w:tc>
        <w:tc>
          <w:tcPr>
            <w:tcW w:w="1003" w:type="dxa"/>
            <w:vAlign w:val="center"/>
          </w:tcPr>
          <w:p w14:paraId="021DB1F8">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项目合同名称</w:t>
            </w:r>
          </w:p>
        </w:tc>
        <w:tc>
          <w:tcPr>
            <w:tcW w:w="998" w:type="dxa"/>
            <w:vAlign w:val="center"/>
          </w:tcPr>
          <w:p w14:paraId="1BDD44C3">
            <w:pPr>
              <w:pStyle w:val="95"/>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完工年月</w:t>
            </w:r>
          </w:p>
        </w:tc>
      </w:tr>
      <w:tr w14:paraId="42DC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restart"/>
            <w:vAlign w:val="center"/>
          </w:tcPr>
          <w:p w14:paraId="358F30E2">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359" w:type="dxa"/>
            <w:vMerge w:val="restart"/>
            <w:vAlign w:val="center"/>
          </w:tcPr>
          <w:p w14:paraId="67FB9A10">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项目经理</w:t>
            </w:r>
          </w:p>
        </w:tc>
        <w:tc>
          <w:tcPr>
            <w:tcW w:w="1003" w:type="dxa"/>
            <w:vMerge w:val="restart"/>
            <w:vAlign w:val="center"/>
          </w:tcPr>
          <w:p w14:paraId="081F2500">
            <w:pPr>
              <w:adjustRightInd w:val="0"/>
              <w:snapToGrid w:val="0"/>
              <w:jc w:val="center"/>
              <w:rPr>
                <w:rFonts w:asciiTheme="minorEastAsia" w:hAnsiTheme="minorEastAsia" w:eastAsiaTheme="minorEastAsia"/>
                <w:szCs w:val="21"/>
              </w:rPr>
            </w:pPr>
          </w:p>
        </w:tc>
        <w:tc>
          <w:tcPr>
            <w:tcW w:w="1508" w:type="dxa"/>
            <w:vMerge w:val="restart"/>
            <w:vAlign w:val="center"/>
          </w:tcPr>
          <w:p w14:paraId="10B52CB4">
            <w:pPr>
              <w:adjustRightInd w:val="0"/>
              <w:snapToGrid w:val="0"/>
              <w:jc w:val="center"/>
              <w:rPr>
                <w:rFonts w:asciiTheme="minorEastAsia" w:hAnsiTheme="minorEastAsia" w:eastAsiaTheme="minorEastAsia"/>
                <w:szCs w:val="21"/>
              </w:rPr>
            </w:pPr>
          </w:p>
        </w:tc>
        <w:tc>
          <w:tcPr>
            <w:tcW w:w="1010" w:type="dxa"/>
            <w:vMerge w:val="restart"/>
            <w:vAlign w:val="center"/>
          </w:tcPr>
          <w:p w14:paraId="690BD73D">
            <w:pPr>
              <w:adjustRightInd w:val="0"/>
              <w:snapToGrid w:val="0"/>
              <w:jc w:val="center"/>
              <w:rPr>
                <w:rFonts w:asciiTheme="minorEastAsia" w:hAnsiTheme="minorEastAsia" w:eastAsiaTheme="minorEastAsia"/>
                <w:szCs w:val="21"/>
              </w:rPr>
            </w:pPr>
          </w:p>
        </w:tc>
        <w:tc>
          <w:tcPr>
            <w:tcW w:w="1006" w:type="dxa"/>
            <w:vAlign w:val="center"/>
          </w:tcPr>
          <w:p w14:paraId="401B4E93">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003" w:type="dxa"/>
            <w:vAlign w:val="center"/>
          </w:tcPr>
          <w:p w14:paraId="3A5B3FD6">
            <w:pPr>
              <w:adjustRightInd w:val="0"/>
              <w:snapToGrid w:val="0"/>
              <w:jc w:val="center"/>
              <w:rPr>
                <w:rFonts w:asciiTheme="minorEastAsia" w:hAnsiTheme="minorEastAsia" w:eastAsiaTheme="minorEastAsia"/>
                <w:szCs w:val="21"/>
              </w:rPr>
            </w:pPr>
          </w:p>
        </w:tc>
        <w:tc>
          <w:tcPr>
            <w:tcW w:w="998" w:type="dxa"/>
            <w:vAlign w:val="center"/>
          </w:tcPr>
          <w:p w14:paraId="2F772EED">
            <w:pPr>
              <w:adjustRightInd w:val="0"/>
              <w:snapToGrid w:val="0"/>
              <w:jc w:val="center"/>
              <w:rPr>
                <w:rFonts w:asciiTheme="minorEastAsia" w:hAnsiTheme="minorEastAsia" w:eastAsiaTheme="minorEastAsia"/>
                <w:szCs w:val="21"/>
              </w:rPr>
            </w:pPr>
          </w:p>
        </w:tc>
      </w:tr>
      <w:tr w14:paraId="2489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continue"/>
            <w:vAlign w:val="center"/>
          </w:tcPr>
          <w:p w14:paraId="137CD5E7">
            <w:pPr>
              <w:adjustRightInd w:val="0"/>
              <w:snapToGrid w:val="0"/>
              <w:jc w:val="center"/>
              <w:rPr>
                <w:rFonts w:asciiTheme="minorEastAsia" w:hAnsiTheme="minorEastAsia" w:eastAsiaTheme="minorEastAsia"/>
                <w:szCs w:val="21"/>
              </w:rPr>
            </w:pPr>
          </w:p>
        </w:tc>
        <w:tc>
          <w:tcPr>
            <w:tcW w:w="1359" w:type="dxa"/>
            <w:vMerge w:val="continue"/>
            <w:vAlign w:val="center"/>
          </w:tcPr>
          <w:p w14:paraId="6F3D1F40">
            <w:pPr>
              <w:adjustRightInd w:val="0"/>
              <w:snapToGrid w:val="0"/>
              <w:jc w:val="center"/>
              <w:rPr>
                <w:rFonts w:asciiTheme="minorEastAsia" w:hAnsiTheme="minorEastAsia" w:eastAsiaTheme="minorEastAsia"/>
                <w:szCs w:val="21"/>
              </w:rPr>
            </w:pPr>
          </w:p>
        </w:tc>
        <w:tc>
          <w:tcPr>
            <w:tcW w:w="1003" w:type="dxa"/>
            <w:vMerge w:val="continue"/>
            <w:vAlign w:val="center"/>
          </w:tcPr>
          <w:p w14:paraId="7799073D">
            <w:pPr>
              <w:adjustRightInd w:val="0"/>
              <w:snapToGrid w:val="0"/>
              <w:jc w:val="center"/>
              <w:rPr>
                <w:rFonts w:asciiTheme="minorEastAsia" w:hAnsiTheme="minorEastAsia" w:eastAsiaTheme="minorEastAsia"/>
                <w:szCs w:val="21"/>
              </w:rPr>
            </w:pPr>
          </w:p>
        </w:tc>
        <w:tc>
          <w:tcPr>
            <w:tcW w:w="1508" w:type="dxa"/>
            <w:vMerge w:val="continue"/>
            <w:vAlign w:val="center"/>
          </w:tcPr>
          <w:p w14:paraId="5B8A918F">
            <w:pPr>
              <w:adjustRightInd w:val="0"/>
              <w:snapToGrid w:val="0"/>
              <w:jc w:val="center"/>
              <w:rPr>
                <w:rFonts w:asciiTheme="minorEastAsia" w:hAnsiTheme="minorEastAsia" w:eastAsiaTheme="minorEastAsia"/>
                <w:szCs w:val="21"/>
              </w:rPr>
            </w:pPr>
          </w:p>
        </w:tc>
        <w:tc>
          <w:tcPr>
            <w:tcW w:w="1010" w:type="dxa"/>
            <w:vMerge w:val="continue"/>
            <w:vAlign w:val="center"/>
          </w:tcPr>
          <w:p w14:paraId="0C941941">
            <w:pPr>
              <w:adjustRightInd w:val="0"/>
              <w:snapToGrid w:val="0"/>
              <w:jc w:val="center"/>
              <w:rPr>
                <w:rFonts w:asciiTheme="minorEastAsia" w:hAnsiTheme="minorEastAsia" w:eastAsiaTheme="minorEastAsia"/>
                <w:szCs w:val="21"/>
              </w:rPr>
            </w:pPr>
          </w:p>
        </w:tc>
        <w:tc>
          <w:tcPr>
            <w:tcW w:w="1006" w:type="dxa"/>
            <w:vAlign w:val="center"/>
          </w:tcPr>
          <w:p w14:paraId="345C57EC">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1003" w:type="dxa"/>
            <w:vAlign w:val="center"/>
          </w:tcPr>
          <w:p w14:paraId="4DC8335A">
            <w:pPr>
              <w:adjustRightInd w:val="0"/>
              <w:snapToGrid w:val="0"/>
              <w:jc w:val="center"/>
              <w:rPr>
                <w:rFonts w:asciiTheme="minorEastAsia" w:hAnsiTheme="minorEastAsia" w:eastAsiaTheme="minorEastAsia"/>
                <w:szCs w:val="21"/>
              </w:rPr>
            </w:pPr>
          </w:p>
        </w:tc>
        <w:tc>
          <w:tcPr>
            <w:tcW w:w="998" w:type="dxa"/>
            <w:vAlign w:val="center"/>
          </w:tcPr>
          <w:p w14:paraId="1E8A5582">
            <w:pPr>
              <w:adjustRightInd w:val="0"/>
              <w:snapToGrid w:val="0"/>
              <w:jc w:val="center"/>
              <w:rPr>
                <w:rFonts w:asciiTheme="minorEastAsia" w:hAnsiTheme="minorEastAsia" w:eastAsiaTheme="minorEastAsia"/>
                <w:szCs w:val="21"/>
              </w:rPr>
            </w:pPr>
          </w:p>
        </w:tc>
      </w:tr>
      <w:tr w14:paraId="69B5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continue"/>
            <w:vAlign w:val="center"/>
          </w:tcPr>
          <w:p w14:paraId="4CF7BEBC">
            <w:pPr>
              <w:adjustRightInd w:val="0"/>
              <w:snapToGrid w:val="0"/>
              <w:jc w:val="center"/>
              <w:rPr>
                <w:rFonts w:asciiTheme="minorEastAsia" w:hAnsiTheme="minorEastAsia" w:eastAsiaTheme="minorEastAsia"/>
                <w:szCs w:val="21"/>
              </w:rPr>
            </w:pPr>
          </w:p>
        </w:tc>
        <w:tc>
          <w:tcPr>
            <w:tcW w:w="1359" w:type="dxa"/>
            <w:vMerge w:val="continue"/>
            <w:vAlign w:val="center"/>
          </w:tcPr>
          <w:p w14:paraId="757D8821">
            <w:pPr>
              <w:adjustRightInd w:val="0"/>
              <w:snapToGrid w:val="0"/>
              <w:jc w:val="center"/>
              <w:rPr>
                <w:rFonts w:asciiTheme="minorEastAsia" w:hAnsiTheme="minorEastAsia" w:eastAsiaTheme="minorEastAsia"/>
                <w:szCs w:val="21"/>
              </w:rPr>
            </w:pPr>
          </w:p>
        </w:tc>
        <w:tc>
          <w:tcPr>
            <w:tcW w:w="1003" w:type="dxa"/>
            <w:vMerge w:val="continue"/>
            <w:vAlign w:val="center"/>
          </w:tcPr>
          <w:p w14:paraId="5ECEB543">
            <w:pPr>
              <w:adjustRightInd w:val="0"/>
              <w:snapToGrid w:val="0"/>
              <w:jc w:val="center"/>
              <w:rPr>
                <w:rFonts w:asciiTheme="minorEastAsia" w:hAnsiTheme="minorEastAsia" w:eastAsiaTheme="minorEastAsia"/>
                <w:szCs w:val="21"/>
              </w:rPr>
            </w:pPr>
          </w:p>
        </w:tc>
        <w:tc>
          <w:tcPr>
            <w:tcW w:w="1508" w:type="dxa"/>
            <w:vMerge w:val="continue"/>
            <w:vAlign w:val="center"/>
          </w:tcPr>
          <w:p w14:paraId="380C8F0B">
            <w:pPr>
              <w:adjustRightInd w:val="0"/>
              <w:snapToGrid w:val="0"/>
              <w:jc w:val="center"/>
              <w:rPr>
                <w:rFonts w:asciiTheme="minorEastAsia" w:hAnsiTheme="minorEastAsia" w:eastAsiaTheme="minorEastAsia"/>
                <w:szCs w:val="21"/>
              </w:rPr>
            </w:pPr>
          </w:p>
        </w:tc>
        <w:tc>
          <w:tcPr>
            <w:tcW w:w="1010" w:type="dxa"/>
            <w:vMerge w:val="continue"/>
            <w:vAlign w:val="center"/>
          </w:tcPr>
          <w:p w14:paraId="5BC6B3DE">
            <w:pPr>
              <w:adjustRightInd w:val="0"/>
              <w:snapToGrid w:val="0"/>
              <w:jc w:val="center"/>
              <w:rPr>
                <w:rFonts w:asciiTheme="minorEastAsia" w:hAnsiTheme="minorEastAsia" w:eastAsiaTheme="minorEastAsia"/>
                <w:szCs w:val="21"/>
              </w:rPr>
            </w:pPr>
          </w:p>
        </w:tc>
        <w:tc>
          <w:tcPr>
            <w:tcW w:w="1006" w:type="dxa"/>
            <w:vAlign w:val="center"/>
          </w:tcPr>
          <w:p w14:paraId="3698ECED">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1003" w:type="dxa"/>
            <w:vAlign w:val="center"/>
          </w:tcPr>
          <w:p w14:paraId="615597E5">
            <w:pPr>
              <w:adjustRightInd w:val="0"/>
              <w:snapToGrid w:val="0"/>
              <w:jc w:val="center"/>
              <w:rPr>
                <w:rFonts w:asciiTheme="minorEastAsia" w:hAnsiTheme="minorEastAsia" w:eastAsiaTheme="minorEastAsia"/>
                <w:szCs w:val="21"/>
              </w:rPr>
            </w:pPr>
          </w:p>
        </w:tc>
        <w:tc>
          <w:tcPr>
            <w:tcW w:w="998" w:type="dxa"/>
            <w:vAlign w:val="center"/>
          </w:tcPr>
          <w:p w14:paraId="421BC437">
            <w:pPr>
              <w:adjustRightInd w:val="0"/>
              <w:snapToGrid w:val="0"/>
              <w:jc w:val="center"/>
              <w:rPr>
                <w:rFonts w:asciiTheme="minorEastAsia" w:hAnsiTheme="minorEastAsia" w:eastAsiaTheme="minorEastAsia"/>
                <w:szCs w:val="21"/>
              </w:rPr>
            </w:pPr>
          </w:p>
        </w:tc>
      </w:tr>
      <w:tr w14:paraId="52FF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continue"/>
            <w:vAlign w:val="center"/>
          </w:tcPr>
          <w:p w14:paraId="052799C7">
            <w:pPr>
              <w:adjustRightInd w:val="0"/>
              <w:snapToGrid w:val="0"/>
              <w:jc w:val="center"/>
              <w:rPr>
                <w:rFonts w:asciiTheme="minorEastAsia" w:hAnsiTheme="minorEastAsia" w:eastAsiaTheme="minorEastAsia"/>
                <w:szCs w:val="21"/>
              </w:rPr>
            </w:pPr>
          </w:p>
        </w:tc>
        <w:tc>
          <w:tcPr>
            <w:tcW w:w="1359" w:type="dxa"/>
            <w:vMerge w:val="continue"/>
            <w:vAlign w:val="center"/>
          </w:tcPr>
          <w:p w14:paraId="4164BEE6">
            <w:pPr>
              <w:adjustRightInd w:val="0"/>
              <w:snapToGrid w:val="0"/>
              <w:jc w:val="center"/>
              <w:rPr>
                <w:rFonts w:asciiTheme="minorEastAsia" w:hAnsiTheme="minorEastAsia" w:eastAsiaTheme="minorEastAsia"/>
                <w:szCs w:val="21"/>
              </w:rPr>
            </w:pPr>
          </w:p>
        </w:tc>
        <w:tc>
          <w:tcPr>
            <w:tcW w:w="1003" w:type="dxa"/>
            <w:vMerge w:val="continue"/>
            <w:vAlign w:val="center"/>
          </w:tcPr>
          <w:p w14:paraId="088739EB">
            <w:pPr>
              <w:adjustRightInd w:val="0"/>
              <w:snapToGrid w:val="0"/>
              <w:jc w:val="center"/>
              <w:rPr>
                <w:rFonts w:asciiTheme="minorEastAsia" w:hAnsiTheme="minorEastAsia" w:eastAsiaTheme="minorEastAsia"/>
                <w:szCs w:val="21"/>
              </w:rPr>
            </w:pPr>
          </w:p>
        </w:tc>
        <w:tc>
          <w:tcPr>
            <w:tcW w:w="1508" w:type="dxa"/>
            <w:vMerge w:val="continue"/>
            <w:vAlign w:val="center"/>
          </w:tcPr>
          <w:p w14:paraId="6CEF63F2">
            <w:pPr>
              <w:adjustRightInd w:val="0"/>
              <w:snapToGrid w:val="0"/>
              <w:jc w:val="center"/>
              <w:rPr>
                <w:rFonts w:asciiTheme="minorEastAsia" w:hAnsiTheme="minorEastAsia" w:eastAsiaTheme="minorEastAsia"/>
                <w:szCs w:val="21"/>
              </w:rPr>
            </w:pPr>
          </w:p>
        </w:tc>
        <w:tc>
          <w:tcPr>
            <w:tcW w:w="1010" w:type="dxa"/>
            <w:vMerge w:val="continue"/>
            <w:vAlign w:val="center"/>
          </w:tcPr>
          <w:p w14:paraId="53425399">
            <w:pPr>
              <w:adjustRightInd w:val="0"/>
              <w:snapToGrid w:val="0"/>
              <w:jc w:val="center"/>
              <w:rPr>
                <w:rFonts w:asciiTheme="minorEastAsia" w:hAnsiTheme="minorEastAsia" w:eastAsiaTheme="minorEastAsia"/>
                <w:szCs w:val="21"/>
              </w:rPr>
            </w:pPr>
          </w:p>
        </w:tc>
        <w:tc>
          <w:tcPr>
            <w:tcW w:w="1006" w:type="dxa"/>
            <w:vAlign w:val="center"/>
          </w:tcPr>
          <w:p w14:paraId="055E2AC2">
            <w:pPr>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w:t>
            </w:r>
          </w:p>
        </w:tc>
        <w:tc>
          <w:tcPr>
            <w:tcW w:w="1003" w:type="dxa"/>
            <w:vAlign w:val="center"/>
          </w:tcPr>
          <w:p w14:paraId="6EA703BC">
            <w:pPr>
              <w:adjustRightInd w:val="0"/>
              <w:snapToGrid w:val="0"/>
              <w:jc w:val="center"/>
              <w:rPr>
                <w:rFonts w:asciiTheme="minorEastAsia" w:hAnsiTheme="minorEastAsia" w:eastAsiaTheme="minorEastAsia"/>
                <w:szCs w:val="21"/>
              </w:rPr>
            </w:pPr>
          </w:p>
        </w:tc>
        <w:tc>
          <w:tcPr>
            <w:tcW w:w="998" w:type="dxa"/>
            <w:vAlign w:val="center"/>
          </w:tcPr>
          <w:p w14:paraId="0F2CF31C">
            <w:pPr>
              <w:adjustRightInd w:val="0"/>
              <w:snapToGrid w:val="0"/>
              <w:jc w:val="center"/>
              <w:rPr>
                <w:rFonts w:asciiTheme="minorEastAsia" w:hAnsiTheme="minorEastAsia" w:eastAsiaTheme="minorEastAsia"/>
                <w:szCs w:val="21"/>
              </w:rPr>
            </w:pPr>
          </w:p>
        </w:tc>
      </w:tr>
      <w:tr w14:paraId="65185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restart"/>
            <w:vAlign w:val="center"/>
          </w:tcPr>
          <w:p w14:paraId="7D6DD9F1">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1359" w:type="dxa"/>
            <w:vMerge w:val="restart"/>
            <w:vAlign w:val="center"/>
          </w:tcPr>
          <w:p w14:paraId="451CC3DA">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项目总工</w:t>
            </w:r>
          </w:p>
        </w:tc>
        <w:tc>
          <w:tcPr>
            <w:tcW w:w="1003" w:type="dxa"/>
            <w:vMerge w:val="restart"/>
            <w:vAlign w:val="center"/>
          </w:tcPr>
          <w:p w14:paraId="0CBCA210">
            <w:pPr>
              <w:adjustRightInd w:val="0"/>
              <w:snapToGrid w:val="0"/>
              <w:jc w:val="center"/>
              <w:rPr>
                <w:rFonts w:asciiTheme="minorEastAsia" w:hAnsiTheme="minorEastAsia" w:eastAsiaTheme="minorEastAsia"/>
                <w:szCs w:val="21"/>
              </w:rPr>
            </w:pPr>
          </w:p>
        </w:tc>
        <w:tc>
          <w:tcPr>
            <w:tcW w:w="1508" w:type="dxa"/>
            <w:vMerge w:val="restart"/>
            <w:vAlign w:val="center"/>
          </w:tcPr>
          <w:p w14:paraId="2EA04700">
            <w:pPr>
              <w:adjustRightInd w:val="0"/>
              <w:snapToGrid w:val="0"/>
              <w:jc w:val="center"/>
              <w:rPr>
                <w:rFonts w:asciiTheme="minorEastAsia" w:hAnsiTheme="minorEastAsia" w:eastAsiaTheme="minorEastAsia"/>
                <w:szCs w:val="21"/>
              </w:rPr>
            </w:pPr>
          </w:p>
        </w:tc>
        <w:tc>
          <w:tcPr>
            <w:tcW w:w="1010" w:type="dxa"/>
            <w:vMerge w:val="restart"/>
            <w:vAlign w:val="center"/>
          </w:tcPr>
          <w:p w14:paraId="4E93FE55">
            <w:pPr>
              <w:adjustRightInd w:val="0"/>
              <w:snapToGrid w:val="0"/>
              <w:jc w:val="center"/>
              <w:rPr>
                <w:rFonts w:asciiTheme="minorEastAsia" w:hAnsiTheme="minorEastAsia" w:eastAsiaTheme="minorEastAsia"/>
                <w:szCs w:val="21"/>
              </w:rPr>
            </w:pPr>
          </w:p>
        </w:tc>
        <w:tc>
          <w:tcPr>
            <w:tcW w:w="1006" w:type="dxa"/>
            <w:vAlign w:val="center"/>
          </w:tcPr>
          <w:p w14:paraId="5550C666">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1003" w:type="dxa"/>
            <w:vAlign w:val="center"/>
          </w:tcPr>
          <w:p w14:paraId="606B459A">
            <w:pPr>
              <w:adjustRightInd w:val="0"/>
              <w:snapToGrid w:val="0"/>
              <w:jc w:val="center"/>
              <w:rPr>
                <w:rFonts w:asciiTheme="minorEastAsia" w:hAnsiTheme="minorEastAsia" w:eastAsiaTheme="minorEastAsia"/>
                <w:szCs w:val="21"/>
              </w:rPr>
            </w:pPr>
          </w:p>
        </w:tc>
        <w:tc>
          <w:tcPr>
            <w:tcW w:w="998" w:type="dxa"/>
            <w:vAlign w:val="center"/>
          </w:tcPr>
          <w:p w14:paraId="7A0E1C0C">
            <w:pPr>
              <w:adjustRightInd w:val="0"/>
              <w:snapToGrid w:val="0"/>
              <w:jc w:val="center"/>
              <w:rPr>
                <w:rFonts w:asciiTheme="minorEastAsia" w:hAnsiTheme="minorEastAsia" w:eastAsiaTheme="minorEastAsia"/>
                <w:szCs w:val="21"/>
              </w:rPr>
            </w:pPr>
          </w:p>
        </w:tc>
      </w:tr>
      <w:tr w14:paraId="463B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continue"/>
            <w:vAlign w:val="center"/>
          </w:tcPr>
          <w:p w14:paraId="68C196F8">
            <w:pPr>
              <w:adjustRightInd w:val="0"/>
              <w:snapToGrid w:val="0"/>
              <w:jc w:val="center"/>
              <w:rPr>
                <w:rFonts w:asciiTheme="minorEastAsia" w:hAnsiTheme="minorEastAsia" w:eastAsiaTheme="minorEastAsia"/>
                <w:szCs w:val="21"/>
              </w:rPr>
            </w:pPr>
          </w:p>
        </w:tc>
        <w:tc>
          <w:tcPr>
            <w:tcW w:w="1359" w:type="dxa"/>
            <w:vMerge w:val="continue"/>
            <w:vAlign w:val="center"/>
          </w:tcPr>
          <w:p w14:paraId="2BCBC117">
            <w:pPr>
              <w:adjustRightInd w:val="0"/>
              <w:snapToGrid w:val="0"/>
              <w:jc w:val="center"/>
              <w:rPr>
                <w:rFonts w:asciiTheme="minorEastAsia" w:hAnsiTheme="minorEastAsia" w:eastAsiaTheme="minorEastAsia"/>
                <w:szCs w:val="21"/>
              </w:rPr>
            </w:pPr>
          </w:p>
        </w:tc>
        <w:tc>
          <w:tcPr>
            <w:tcW w:w="1003" w:type="dxa"/>
            <w:vMerge w:val="continue"/>
            <w:vAlign w:val="center"/>
          </w:tcPr>
          <w:p w14:paraId="7A9E902F">
            <w:pPr>
              <w:adjustRightInd w:val="0"/>
              <w:snapToGrid w:val="0"/>
              <w:jc w:val="center"/>
              <w:rPr>
                <w:rFonts w:asciiTheme="minorEastAsia" w:hAnsiTheme="minorEastAsia" w:eastAsiaTheme="minorEastAsia"/>
                <w:szCs w:val="21"/>
              </w:rPr>
            </w:pPr>
          </w:p>
        </w:tc>
        <w:tc>
          <w:tcPr>
            <w:tcW w:w="1508" w:type="dxa"/>
            <w:vMerge w:val="continue"/>
            <w:vAlign w:val="center"/>
          </w:tcPr>
          <w:p w14:paraId="5913C94B">
            <w:pPr>
              <w:adjustRightInd w:val="0"/>
              <w:snapToGrid w:val="0"/>
              <w:jc w:val="center"/>
              <w:rPr>
                <w:rFonts w:asciiTheme="minorEastAsia" w:hAnsiTheme="minorEastAsia" w:eastAsiaTheme="minorEastAsia"/>
                <w:szCs w:val="21"/>
              </w:rPr>
            </w:pPr>
          </w:p>
        </w:tc>
        <w:tc>
          <w:tcPr>
            <w:tcW w:w="1010" w:type="dxa"/>
            <w:vMerge w:val="continue"/>
            <w:vAlign w:val="center"/>
          </w:tcPr>
          <w:p w14:paraId="20BD13AC">
            <w:pPr>
              <w:adjustRightInd w:val="0"/>
              <w:snapToGrid w:val="0"/>
              <w:jc w:val="center"/>
              <w:rPr>
                <w:rFonts w:asciiTheme="minorEastAsia" w:hAnsiTheme="minorEastAsia" w:eastAsiaTheme="minorEastAsia"/>
                <w:szCs w:val="21"/>
              </w:rPr>
            </w:pPr>
          </w:p>
        </w:tc>
        <w:tc>
          <w:tcPr>
            <w:tcW w:w="1006" w:type="dxa"/>
            <w:vAlign w:val="center"/>
          </w:tcPr>
          <w:p w14:paraId="3FFD4BD5">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1003" w:type="dxa"/>
            <w:vAlign w:val="center"/>
          </w:tcPr>
          <w:p w14:paraId="0CF8FEC9">
            <w:pPr>
              <w:adjustRightInd w:val="0"/>
              <w:snapToGrid w:val="0"/>
              <w:jc w:val="center"/>
              <w:rPr>
                <w:rFonts w:asciiTheme="minorEastAsia" w:hAnsiTheme="minorEastAsia" w:eastAsiaTheme="minorEastAsia"/>
                <w:szCs w:val="21"/>
              </w:rPr>
            </w:pPr>
          </w:p>
        </w:tc>
        <w:tc>
          <w:tcPr>
            <w:tcW w:w="998" w:type="dxa"/>
            <w:vAlign w:val="center"/>
          </w:tcPr>
          <w:p w14:paraId="425553F1">
            <w:pPr>
              <w:adjustRightInd w:val="0"/>
              <w:snapToGrid w:val="0"/>
              <w:jc w:val="center"/>
              <w:rPr>
                <w:rFonts w:asciiTheme="minorEastAsia" w:hAnsiTheme="minorEastAsia" w:eastAsiaTheme="minorEastAsia"/>
                <w:szCs w:val="21"/>
              </w:rPr>
            </w:pPr>
          </w:p>
        </w:tc>
      </w:tr>
      <w:tr w14:paraId="6E71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continue"/>
            <w:vAlign w:val="center"/>
          </w:tcPr>
          <w:p w14:paraId="0835743C">
            <w:pPr>
              <w:adjustRightInd w:val="0"/>
              <w:snapToGrid w:val="0"/>
              <w:jc w:val="center"/>
              <w:rPr>
                <w:rFonts w:asciiTheme="minorEastAsia" w:hAnsiTheme="minorEastAsia" w:eastAsiaTheme="minorEastAsia"/>
                <w:szCs w:val="21"/>
              </w:rPr>
            </w:pPr>
          </w:p>
        </w:tc>
        <w:tc>
          <w:tcPr>
            <w:tcW w:w="1359" w:type="dxa"/>
            <w:vMerge w:val="continue"/>
            <w:vAlign w:val="center"/>
          </w:tcPr>
          <w:p w14:paraId="65A88C53">
            <w:pPr>
              <w:adjustRightInd w:val="0"/>
              <w:snapToGrid w:val="0"/>
              <w:jc w:val="center"/>
              <w:rPr>
                <w:rFonts w:asciiTheme="minorEastAsia" w:hAnsiTheme="minorEastAsia" w:eastAsiaTheme="minorEastAsia"/>
                <w:szCs w:val="21"/>
              </w:rPr>
            </w:pPr>
          </w:p>
        </w:tc>
        <w:tc>
          <w:tcPr>
            <w:tcW w:w="1003" w:type="dxa"/>
            <w:vMerge w:val="continue"/>
            <w:vAlign w:val="center"/>
          </w:tcPr>
          <w:p w14:paraId="079FC1B4">
            <w:pPr>
              <w:adjustRightInd w:val="0"/>
              <w:snapToGrid w:val="0"/>
              <w:jc w:val="center"/>
              <w:rPr>
                <w:rFonts w:asciiTheme="minorEastAsia" w:hAnsiTheme="minorEastAsia" w:eastAsiaTheme="minorEastAsia"/>
                <w:szCs w:val="21"/>
              </w:rPr>
            </w:pPr>
          </w:p>
        </w:tc>
        <w:tc>
          <w:tcPr>
            <w:tcW w:w="1508" w:type="dxa"/>
            <w:vMerge w:val="continue"/>
            <w:vAlign w:val="center"/>
          </w:tcPr>
          <w:p w14:paraId="3A70F13C">
            <w:pPr>
              <w:adjustRightInd w:val="0"/>
              <w:snapToGrid w:val="0"/>
              <w:jc w:val="center"/>
              <w:rPr>
                <w:rFonts w:asciiTheme="minorEastAsia" w:hAnsiTheme="minorEastAsia" w:eastAsiaTheme="minorEastAsia"/>
                <w:szCs w:val="21"/>
              </w:rPr>
            </w:pPr>
          </w:p>
        </w:tc>
        <w:tc>
          <w:tcPr>
            <w:tcW w:w="1010" w:type="dxa"/>
            <w:vMerge w:val="continue"/>
            <w:vAlign w:val="center"/>
          </w:tcPr>
          <w:p w14:paraId="356D7222">
            <w:pPr>
              <w:adjustRightInd w:val="0"/>
              <w:snapToGrid w:val="0"/>
              <w:jc w:val="center"/>
              <w:rPr>
                <w:rFonts w:asciiTheme="minorEastAsia" w:hAnsiTheme="minorEastAsia" w:eastAsiaTheme="minorEastAsia"/>
                <w:szCs w:val="21"/>
              </w:rPr>
            </w:pPr>
          </w:p>
        </w:tc>
        <w:tc>
          <w:tcPr>
            <w:tcW w:w="1006" w:type="dxa"/>
            <w:vAlign w:val="center"/>
          </w:tcPr>
          <w:p w14:paraId="1A13A6FB">
            <w:pPr>
              <w:adjustRightInd w:val="0"/>
              <w:snapToGrid w:val="0"/>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1003" w:type="dxa"/>
            <w:vAlign w:val="center"/>
          </w:tcPr>
          <w:p w14:paraId="65DA9BBC">
            <w:pPr>
              <w:adjustRightInd w:val="0"/>
              <w:snapToGrid w:val="0"/>
              <w:jc w:val="center"/>
              <w:rPr>
                <w:rFonts w:asciiTheme="minorEastAsia" w:hAnsiTheme="minorEastAsia" w:eastAsiaTheme="minorEastAsia"/>
                <w:szCs w:val="21"/>
              </w:rPr>
            </w:pPr>
          </w:p>
        </w:tc>
        <w:tc>
          <w:tcPr>
            <w:tcW w:w="998" w:type="dxa"/>
            <w:vAlign w:val="center"/>
          </w:tcPr>
          <w:p w14:paraId="717AD05C">
            <w:pPr>
              <w:adjustRightInd w:val="0"/>
              <w:snapToGrid w:val="0"/>
              <w:jc w:val="center"/>
              <w:rPr>
                <w:rFonts w:asciiTheme="minorEastAsia" w:hAnsiTheme="minorEastAsia" w:eastAsiaTheme="minorEastAsia"/>
                <w:szCs w:val="21"/>
              </w:rPr>
            </w:pPr>
          </w:p>
        </w:tc>
      </w:tr>
      <w:tr w14:paraId="7EAD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rPr>
        <w:tc>
          <w:tcPr>
            <w:tcW w:w="684" w:type="dxa"/>
            <w:vMerge w:val="continue"/>
            <w:vAlign w:val="center"/>
          </w:tcPr>
          <w:p w14:paraId="6F691F50">
            <w:pPr>
              <w:adjustRightInd w:val="0"/>
              <w:snapToGrid w:val="0"/>
              <w:jc w:val="center"/>
              <w:rPr>
                <w:rFonts w:asciiTheme="minorEastAsia" w:hAnsiTheme="minorEastAsia" w:eastAsiaTheme="minorEastAsia"/>
                <w:szCs w:val="21"/>
              </w:rPr>
            </w:pPr>
          </w:p>
        </w:tc>
        <w:tc>
          <w:tcPr>
            <w:tcW w:w="1359" w:type="dxa"/>
            <w:vMerge w:val="continue"/>
            <w:vAlign w:val="center"/>
          </w:tcPr>
          <w:p w14:paraId="5CDA33BD">
            <w:pPr>
              <w:adjustRightInd w:val="0"/>
              <w:snapToGrid w:val="0"/>
              <w:jc w:val="center"/>
              <w:rPr>
                <w:rFonts w:asciiTheme="minorEastAsia" w:hAnsiTheme="minorEastAsia" w:eastAsiaTheme="minorEastAsia"/>
                <w:szCs w:val="21"/>
              </w:rPr>
            </w:pPr>
          </w:p>
        </w:tc>
        <w:tc>
          <w:tcPr>
            <w:tcW w:w="1003" w:type="dxa"/>
            <w:vMerge w:val="continue"/>
            <w:vAlign w:val="center"/>
          </w:tcPr>
          <w:p w14:paraId="0FD40195">
            <w:pPr>
              <w:adjustRightInd w:val="0"/>
              <w:snapToGrid w:val="0"/>
              <w:jc w:val="center"/>
              <w:rPr>
                <w:rFonts w:asciiTheme="minorEastAsia" w:hAnsiTheme="minorEastAsia" w:eastAsiaTheme="minorEastAsia"/>
                <w:szCs w:val="21"/>
              </w:rPr>
            </w:pPr>
          </w:p>
        </w:tc>
        <w:tc>
          <w:tcPr>
            <w:tcW w:w="1508" w:type="dxa"/>
            <w:vMerge w:val="continue"/>
            <w:vAlign w:val="center"/>
          </w:tcPr>
          <w:p w14:paraId="18A8B73E">
            <w:pPr>
              <w:adjustRightInd w:val="0"/>
              <w:snapToGrid w:val="0"/>
              <w:jc w:val="center"/>
              <w:rPr>
                <w:rFonts w:asciiTheme="minorEastAsia" w:hAnsiTheme="minorEastAsia" w:eastAsiaTheme="minorEastAsia"/>
                <w:szCs w:val="21"/>
              </w:rPr>
            </w:pPr>
          </w:p>
        </w:tc>
        <w:tc>
          <w:tcPr>
            <w:tcW w:w="1010" w:type="dxa"/>
            <w:vMerge w:val="continue"/>
            <w:vAlign w:val="center"/>
          </w:tcPr>
          <w:p w14:paraId="6BE3EC00">
            <w:pPr>
              <w:adjustRightInd w:val="0"/>
              <w:snapToGrid w:val="0"/>
              <w:jc w:val="center"/>
              <w:rPr>
                <w:rFonts w:asciiTheme="minorEastAsia" w:hAnsiTheme="minorEastAsia" w:eastAsiaTheme="minorEastAsia"/>
                <w:szCs w:val="21"/>
              </w:rPr>
            </w:pPr>
          </w:p>
        </w:tc>
        <w:tc>
          <w:tcPr>
            <w:tcW w:w="1006" w:type="dxa"/>
            <w:vAlign w:val="center"/>
          </w:tcPr>
          <w:p w14:paraId="0B40B5BE">
            <w:pPr>
              <w:adjustRightInd w:val="0"/>
              <w:snapToGrid w:val="0"/>
              <w:jc w:val="center"/>
              <w:rPr>
                <w:rFonts w:asciiTheme="minorEastAsia" w:hAnsiTheme="minorEastAsia" w:eastAsiaTheme="minorEastAsia"/>
                <w:szCs w:val="21"/>
              </w:rPr>
            </w:pPr>
            <w:r>
              <w:rPr>
                <w:rFonts w:asciiTheme="minorEastAsia" w:hAnsiTheme="minorEastAsia" w:eastAsiaTheme="minorEastAsia"/>
                <w:szCs w:val="21"/>
              </w:rPr>
              <w:t>……</w:t>
            </w:r>
          </w:p>
        </w:tc>
        <w:tc>
          <w:tcPr>
            <w:tcW w:w="1003" w:type="dxa"/>
            <w:vAlign w:val="center"/>
          </w:tcPr>
          <w:p w14:paraId="1127FAF7">
            <w:pPr>
              <w:adjustRightInd w:val="0"/>
              <w:snapToGrid w:val="0"/>
              <w:jc w:val="center"/>
              <w:rPr>
                <w:rFonts w:asciiTheme="minorEastAsia" w:hAnsiTheme="minorEastAsia" w:eastAsiaTheme="minorEastAsia"/>
                <w:szCs w:val="21"/>
              </w:rPr>
            </w:pPr>
          </w:p>
        </w:tc>
        <w:tc>
          <w:tcPr>
            <w:tcW w:w="998" w:type="dxa"/>
            <w:vAlign w:val="center"/>
          </w:tcPr>
          <w:p w14:paraId="6B56E589">
            <w:pPr>
              <w:adjustRightInd w:val="0"/>
              <w:snapToGrid w:val="0"/>
              <w:jc w:val="center"/>
              <w:rPr>
                <w:rFonts w:asciiTheme="minorEastAsia" w:hAnsiTheme="minorEastAsia" w:eastAsiaTheme="minorEastAsia"/>
                <w:szCs w:val="21"/>
              </w:rPr>
            </w:pPr>
          </w:p>
        </w:tc>
      </w:tr>
    </w:tbl>
    <w:p w14:paraId="362255DC">
      <w:pPr>
        <w:rPr>
          <w:rFonts w:asciiTheme="minorEastAsia" w:hAnsiTheme="minorEastAsia" w:eastAsiaTheme="minorEastAsia"/>
        </w:rPr>
      </w:pPr>
    </w:p>
    <w:p w14:paraId="7123E4F9">
      <w:pPr>
        <w:jc w:val="center"/>
        <w:rPr>
          <w:rFonts w:asciiTheme="minorEastAsia" w:hAnsiTheme="minorEastAsia" w:eastAsiaTheme="minorEastAsia"/>
          <w:sz w:val="24"/>
        </w:rPr>
      </w:pPr>
      <w:r>
        <w:rPr>
          <w:rFonts w:hint="eastAsia" w:asciiTheme="minorEastAsia" w:hAnsiTheme="minorEastAsia" w:eastAsiaTheme="minorEastAsia"/>
          <w:sz w:val="24"/>
        </w:rPr>
        <w:t>企业业绩信息公示汇总表</w:t>
      </w:r>
    </w:p>
    <w:tbl>
      <w:tblPr>
        <w:tblStyle w:val="39"/>
        <w:tblpPr w:leftFromText="180" w:rightFromText="180" w:vertAnchor="text" w:tblpY="1"/>
        <w:tblOverlap w:val="never"/>
        <w:tblW w:w="8571" w:type="dxa"/>
        <w:tblInd w:w="0" w:type="dxa"/>
        <w:tblLayout w:type="fixed"/>
        <w:tblCellMar>
          <w:top w:w="0" w:type="dxa"/>
          <w:left w:w="0" w:type="dxa"/>
          <w:bottom w:w="0" w:type="dxa"/>
          <w:right w:w="0" w:type="dxa"/>
        </w:tblCellMar>
      </w:tblPr>
      <w:tblGrid>
        <w:gridCol w:w="721"/>
        <w:gridCol w:w="2138"/>
        <w:gridCol w:w="2563"/>
        <w:gridCol w:w="1575"/>
        <w:gridCol w:w="1574"/>
      </w:tblGrid>
      <w:tr w14:paraId="085AD452">
        <w:tblPrEx>
          <w:tblCellMar>
            <w:top w:w="0" w:type="dxa"/>
            <w:left w:w="0" w:type="dxa"/>
            <w:bottom w:w="0" w:type="dxa"/>
            <w:right w:w="0" w:type="dxa"/>
          </w:tblCellMar>
        </w:tblPrEx>
        <w:trPr>
          <w:trHeight w:val="454" w:hRule="exact"/>
        </w:trPr>
        <w:tc>
          <w:tcPr>
            <w:tcW w:w="721" w:type="dxa"/>
            <w:tcBorders>
              <w:top w:val="single" w:color="000000" w:sz="4" w:space="0"/>
              <w:left w:val="single" w:color="000000" w:sz="4" w:space="0"/>
              <w:bottom w:val="single" w:color="000000" w:sz="4" w:space="0"/>
              <w:right w:val="single" w:color="000000" w:sz="4" w:space="0"/>
            </w:tcBorders>
            <w:vAlign w:val="center"/>
          </w:tcPr>
          <w:p w14:paraId="51A18CE6">
            <w:pPr>
              <w:pStyle w:val="95"/>
              <w:jc w:val="center"/>
              <w:rPr>
                <w:rFonts w:asciiTheme="minorEastAsia" w:hAnsiTheme="minorEastAsia" w:eastAsiaTheme="minorEastAsia"/>
                <w:szCs w:val="21"/>
              </w:rPr>
            </w:pPr>
            <w:r>
              <w:rPr>
                <w:rFonts w:asciiTheme="minorEastAsia" w:hAnsiTheme="minorEastAsia" w:eastAsiaTheme="minorEastAsia"/>
                <w:szCs w:val="21"/>
              </w:rPr>
              <w:t>序号</w:t>
            </w:r>
          </w:p>
        </w:tc>
        <w:tc>
          <w:tcPr>
            <w:tcW w:w="2138" w:type="dxa"/>
            <w:tcBorders>
              <w:top w:val="single" w:color="000000" w:sz="4" w:space="0"/>
              <w:left w:val="single" w:color="000000" w:sz="4" w:space="0"/>
              <w:bottom w:val="single" w:color="000000" w:sz="4" w:space="0"/>
              <w:right w:val="single" w:color="000000" w:sz="4" w:space="0"/>
            </w:tcBorders>
            <w:vAlign w:val="center"/>
          </w:tcPr>
          <w:p w14:paraId="44CBC6A0">
            <w:pPr>
              <w:pStyle w:val="95"/>
              <w:jc w:val="center"/>
              <w:rPr>
                <w:rFonts w:asciiTheme="minorEastAsia" w:hAnsiTheme="minorEastAsia" w:eastAsiaTheme="minorEastAsia"/>
                <w:szCs w:val="21"/>
              </w:rPr>
            </w:pPr>
            <w:r>
              <w:rPr>
                <w:rFonts w:asciiTheme="minorEastAsia" w:hAnsiTheme="minorEastAsia" w:eastAsiaTheme="minorEastAsia"/>
                <w:szCs w:val="21"/>
              </w:rPr>
              <w:t>项目合同名称</w:t>
            </w:r>
          </w:p>
        </w:tc>
        <w:tc>
          <w:tcPr>
            <w:tcW w:w="2563" w:type="dxa"/>
            <w:tcBorders>
              <w:top w:val="single" w:color="000000" w:sz="4" w:space="0"/>
              <w:left w:val="single" w:color="000000" w:sz="4" w:space="0"/>
              <w:bottom w:val="single" w:color="000000" w:sz="4" w:space="0"/>
              <w:right w:val="single" w:color="000000" w:sz="4" w:space="0"/>
            </w:tcBorders>
            <w:vAlign w:val="center"/>
          </w:tcPr>
          <w:p w14:paraId="5E952D50">
            <w:pPr>
              <w:pStyle w:val="95"/>
              <w:jc w:val="center"/>
              <w:rPr>
                <w:rFonts w:asciiTheme="minorEastAsia" w:hAnsiTheme="minorEastAsia" w:eastAsiaTheme="minorEastAsia"/>
                <w:szCs w:val="21"/>
              </w:rPr>
            </w:pPr>
            <w:r>
              <w:rPr>
                <w:rFonts w:hint="eastAsia" w:asciiTheme="minorEastAsia" w:hAnsiTheme="minorEastAsia" w:eastAsiaTheme="minorEastAsia"/>
                <w:szCs w:val="21"/>
              </w:rPr>
              <w:t>委托人</w:t>
            </w:r>
          </w:p>
        </w:tc>
        <w:tc>
          <w:tcPr>
            <w:tcW w:w="1575" w:type="dxa"/>
            <w:tcBorders>
              <w:top w:val="single" w:color="000000" w:sz="4" w:space="0"/>
              <w:left w:val="single" w:color="000000" w:sz="4" w:space="0"/>
              <w:bottom w:val="single" w:color="000000" w:sz="4" w:space="0"/>
              <w:right w:val="single" w:color="000000" w:sz="4" w:space="0"/>
            </w:tcBorders>
            <w:vAlign w:val="center"/>
          </w:tcPr>
          <w:p w14:paraId="369C5AB3">
            <w:pPr>
              <w:pStyle w:val="95"/>
              <w:jc w:val="center"/>
              <w:rPr>
                <w:rFonts w:asciiTheme="minorEastAsia" w:hAnsiTheme="minorEastAsia" w:eastAsiaTheme="minorEastAsia"/>
                <w:szCs w:val="21"/>
              </w:rPr>
            </w:pPr>
            <w:r>
              <w:rPr>
                <w:rFonts w:asciiTheme="minorEastAsia" w:hAnsiTheme="minorEastAsia" w:eastAsiaTheme="minorEastAsia"/>
                <w:szCs w:val="21"/>
              </w:rPr>
              <w:t>建设地点</w:t>
            </w:r>
          </w:p>
        </w:tc>
        <w:tc>
          <w:tcPr>
            <w:tcW w:w="1574" w:type="dxa"/>
            <w:tcBorders>
              <w:top w:val="single" w:color="000000" w:sz="4" w:space="0"/>
              <w:left w:val="single" w:color="000000" w:sz="4" w:space="0"/>
              <w:bottom w:val="single" w:color="000000" w:sz="4" w:space="0"/>
              <w:right w:val="single" w:color="000000" w:sz="4" w:space="0"/>
            </w:tcBorders>
            <w:vAlign w:val="center"/>
          </w:tcPr>
          <w:p w14:paraId="563191B5">
            <w:pPr>
              <w:pStyle w:val="95"/>
              <w:jc w:val="center"/>
              <w:rPr>
                <w:rFonts w:asciiTheme="minorEastAsia" w:hAnsiTheme="minorEastAsia" w:eastAsiaTheme="minorEastAsia"/>
                <w:szCs w:val="21"/>
              </w:rPr>
            </w:pPr>
            <w:r>
              <w:rPr>
                <w:rFonts w:asciiTheme="minorEastAsia" w:hAnsiTheme="minorEastAsia" w:eastAsiaTheme="minorEastAsia"/>
                <w:szCs w:val="21"/>
              </w:rPr>
              <w:t>交工年月</w:t>
            </w:r>
          </w:p>
        </w:tc>
      </w:tr>
      <w:tr w14:paraId="4A53DB59">
        <w:tblPrEx>
          <w:tblCellMar>
            <w:top w:w="0" w:type="dxa"/>
            <w:left w:w="0" w:type="dxa"/>
            <w:bottom w:w="0" w:type="dxa"/>
            <w:right w:w="0" w:type="dxa"/>
          </w:tblCellMar>
        </w:tblPrEx>
        <w:trPr>
          <w:trHeight w:val="454" w:hRule="exact"/>
        </w:trPr>
        <w:tc>
          <w:tcPr>
            <w:tcW w:w="721" w:type="dxa"/>
            <w:tcBorders>
              <w:top w:val="single" w:color="000000" w:sz="4" w:space="0"/>
              <w:left w:val="single" w:color="000000" w:sz="4" w:space="0"/>
              <w:bottom w:val="single" w:color="000000" w:sz="4" w:space="0"/>
              <w:right w:val="single" w:color="000000" w:sz="4" w:space="0"/>
            </w:tcBorders>
            <w:vAlign w:val="center"/>
          </w:tcPr>
          <w:p w14:paraId="10179C57">
            <w:pPr>
              <w:jc w:val="center"/>
              <w:rPr>
                <w:rFonts w:asciiTheme="minorEastAsia" w:hAnsiTheme="minorEastAsia" w:eastAsiaTheme="minorEastAsia"/>
                <w:szCs w:val="21"/>
              </w:rPr>
            </w:pPr>
            <w:r>
              <w:rPr>
                <w:rFonts w:hint="eastAsia" w:asciiTheme="minorEastAsia" w:hAnsiTheme="minorEastAsia" w:eastAsiaTheme="minorEastAsia"/>
                <w:szCs w:val="21"/>
              </w:rPr>
              <w:t>1</w:t>
            </w:r>
          </w:p>
        </w:tc>
        <w:tc>
          <w:tcPr>
            <w:tcW w:w="2138" w:type="dxa"/>
            <w:tcBorders>
              <w:top w:val="single" w:color="000000" w:sz="4" w:space="0"/>
              <w:left w:val="single" w:color="000000" w:sz="4" w:space="0"/>
              <w:bottom w:val="single" w:color="000000" w:sz="4" w:space="0"/>
              <w:right w:val="single" w:color="000000" w:sz="4" w:space="0"/>
            </w:tcBorders>
            <w:vAlign w:val="center"/>
          </w:tcPr>
          <w:p w14:paraId="7A239DA4">
            <w:pPr>
              <w:jc w:val="center"/>
              <w:rPr>
                <w:rFonts w:asciiTheme="minorEastAsia" w:hAnsiTheme="minorEastAsia" w:eastAsiaTheme="minorEastAsia"/>
                <w:szCs w:val="21"/>
              </w:rPr>
            </w:pPr>
          </w:p>
        </w:tc>
        <w:tc>
          <w:tcPr>
            <w:tcW w:w="2563" w:type="dxa"/>
            <w:tcBorders>
              <w:top w:val="single" w:color="000000" w:sz="4" w:space="0"/>
              <w:left w:val="single" w:color="000000" w:sz="4" w:space="0"/>
              <w:bottom w:val="single" w:color="000000" w:sz="4" w:space="0"/>
              <w:right w:val="single" w:color="000000" w:sz="4" w:space="0"/>
            </w:tcBorders>
            <w:vAlign w:val="center"/>
          </w:tcPr>
          <w:p w14:paraId="398BD933">
            <w:pPr>
              <w:jc w:val="center"/>
              <w:rPr>
                <w:rFonts w:asciiTheme="minorEastAsia" w:hAnsiTheme="minorEastAsia" w:eastAsiaTheme="minorEastAsia"/>
                <w:szCs w:val="21"/>
              </w:rPr>
            </w:pPr>
          </w:p>
        </w:tc>
        <w:tc>
          <w:tcPr>
            <w:tcW w:w="1575" w:type="dxa"/>
            <w:tcBorders>
              <w:top w:val="single" w:color="000000" w:sz="4" w:space="0"/>
              <w:left w:val="single" w:color="000000" w:sz="4" w:space="0"/>
              <w:bottom w:val="single" w:color="000000" w:sz="4" w:space="0"/>
              <w:right w:val="single" w:color="000000" w:sz="4" w:space="0"/>
            </w:tcBorders>
            <w:vAlign w:val="center"/>
          </w:tcPr>
          <w:p w14:paraId="687EC3DD">
            <w:pPr>
              <w:jc w:val="center"/>
              <w:rPr>
                <w:rFonts w:asciiTheme="minorEastAsia" w:hAnsiTheme="minorEastAsia" w:eastAsiaTheme="minorEastAsia"/>
                <w:szCs w:val="21"/>
              </w:rPr>
            </w:pPr>
          </w:p>
        </w:tc>
        <w:tc>
          <w:tcPr>
            <w:tcW w:w="1574" w:type="dxa"/>
            <w:tcBorders>
              <w:top w:val="single" w:color="000000" w:sz="4" w:space="0"/>
              <w:left w:val="single" w:color="000000" w:sz="4" w:space="0"/>
              <w:bottom w:val="single" w:color="000000" w:sz="4" w:space="0"/>
              <w:right w:val="single" w:color="000000" w:sz="4" w:space="0"/>
            </w:tcBorders>
          </w:tcPr>
          <w:p w14:paraId="24472D14">
            <w:pPr>
              <w:jc w:val="center"/>
              <w:rPr>
                <w:rFonts w:asciiTheme="minorEastAsia" w:hAnsiTheme="minorEastAsia" w:eastAsiaTheme="minorEastAsia"/>
                <w:szCs w:val="21"/>
              </w:rPr>
            </w:pPr>
          </w:p>
        </w:tc>
      </w:tr>
      <w:tr w14:paraId="4555F1A6">
        <w:tblPrEx>
          <w:tblCellMar>
            <w:top w:w="0" w:type="dxa"/>
            <w:left w:w="0" w:type="dxa"/>
            <w:bottom w:w="0" w:type="dxa"/>
            <w:right w:w="0" w:type="dxa"/>
          </w:tblCellMar>
        </w:tblPrEx>
        <w:trPr>
          <w:trHeight w:val="454" w:hRule="exact"/>
        </w:trPr>
        <w:tc>
          <w:tcPr>
            <w:tcW w:w="721" w:type="dxa"/>
            <w:tcBorders>
              <w:top w:val="single" w:color="000000" w:sz="4" w:space="0"/>
              <w:left w:val="single" w:color="000000" w:sz="4" w:space="0"/>
              <w:bottom w:val="single" w:color="000000" w:sz="4" w:space="0"/>
              <w:right w:val="single" w:color="000000" w:sz="4" w:space="0"/>
            </w:tcBorders>
            <w:vAlign w:val="center"/>
          </w:tcPr>
          <w:p w14:paraId="0DA7DC90">
            <w:pPr>
              <w:jc w:val="center"/>
              <w:rPr>
                <w:rFonts w:asciiTheme="minorEastAsia" w:hAnsiTheme="minorEastAsia" w:eastAsiaTheme="minorEastAsia"/>
                <w:szCs w:val="21"/>
              </w:rPr>
            </w:pPr>
            <w:r>
              <w:rPr>
                <w:rFonts w:hint="eastAsia" w:asciiTheme="minorEastAsia" w:hAnsiTheme="minorEastAsia" w:eastAsiaTheme="minorEastAsia"/>
                <w:szCs w:val="21"/>
              </w:rPr>
              <w:t>2</w:t>
            </w:r>
          </w:p>
        </w:tc>
        <w:tc>
          <w:tcPr>
            <w:tcW w:w="2138" w:type="dxa"/>
            <w:tcBorders>
              <w:top w:val="single" w:color="000000" w:sz="4" w:space="0"/>
              <w:left w:val="single" w:color="000000" w:sz="4" w:space="0"/>
              <w:bottom w:val="single" w:color="000000" w:sz="4" w:space="0"/>
              <w:right w:val="single" w:color="000000" w:sz="4" w:space="0"/>
            </w:tcBorders>
            <w:vAlign w:val="center"/>
          </w:tcPr>
          <w:p w14:paraId="5FB69714">
            <w:pPr>
              <w:jc w:val="center"/>
              <w:rPr>
                <w:rFonts w:asciiTheme="minorEastAsia" w:hAnsiTheme="minorEastAsia" w:eastAsiaTheme="minorEastAsia"/>
                <w:szCs w:val="21"/>
              </w:rPr>
            </w:pPr>
          </w:p>
        </w:tc>
        <w:tc>
          <w:tcPr>
            <w:tcW w:w="2563" w:type="dxa"/>
            <w:tcBorders>
              <w:top w:val="single" w:color="000000" w:sz="4" w:space="0"/>
              <w:left w:val="single" w:color="000000" w:sz="4" w:space="0"/>
              <w:bottom w:val="single" w:color="000000" w:sz="4" w:space="0"/>
              <w:right w:val="single" w:color="000000" w:sz="4" w:space="0"/>
            </w:tcBorders>
            <w:vAlign w:val="center"/>
          </w:tcPr>
          <w:p w14:paraId="5CD6095A">
            <w:pPr>
              <w:jc w:val="center"/>
              <w:rPr>
                <w:rFonts w:asciiTheme="minorEastAsia" w:hAnsiTheme="minorEastAsia" w:eastAsiaTheme="minorEastAsia"/>
                <w:szCs w:val="21"/>
              </w:rPr>
            </w:pPr>
          </w:p>
        </w:tc>
        <w:tc>
          <w:tcPr>
            <w:tcW w:w="1575" w:type="dxa"/>
            <w:tcBorders>
              <w:top w:val="single" w:color="000000" w:sz="4" w:space="0"/>
              <w:left w:val="single" w:color="000000" w:sz="4" w:space="0"/>
              <w:bottom w:val="single" w:color="000000" w:sz="4" w:space="0"/>
              <w:right w:val="single" w:color="000000" w:sz="4" w:space="0"/>
            </w:tcBorders>
            <w:vAlign w:val="center"/>
          </w:tcPr>
          <w:p w14:paraId="64A0023C">
            <w:pPr>
              <w:jc w:val="center"/>
              <w:rPr>
                <w:rFonts w:asciiTheme="minorEastAsia" w:hAnsiTheme="minorEastAsia" w:eastAsiaTheme="minorEastAsia"/>
                <w:szCs w:val="21"/>
              </w:rPr>
            </w:pPr>
          </w:p>
        </w:tc>
        <w:tc>
          <w:tcPr>
            <w:tcW w:w="1574" w:type="dxa"/>
            <w:tcBorders>
              <w:top w:val="single" w:color="000000" w:sz="4" w:space="0"/>
              <w:left w:val="single" w:color="000000" w:sz="4" w:space="0"/>
              <w:bottom w:val="single" w:color="000000" w:sz="4" w:space="0"/>
              <w:right w:val="single" w:color="000000" w:sz="4" w:space="0"/>
            </w:tcBorders>
          </w:tcPr>
          <w:p w14:paraId="4176D8E3">
            <w:pPr>
              <w:jc w:val="center"/>
              <w:rPr>
                <w:rFonts w:asciiTheme="minorEastAsia" w:hAnsiTheme="minorEastAsia" w:eastAsiaTheme="minorEastAsia"/>
                <w:szCs w:val="21"/>
              </w:rPr>
            </w:pPr>
          </w:p>
        </w:tc>
      </w:tr>
      <w:tr w14:paraId="3E1706DB">
        <w:tblPrEx>
          <w:tblCellMar>
            <w:top w:w="0" w:type="dxa"/>
            <w:left w:w="0" w:type="dxa"/>
            <w:bottom w:w="0" w:type="dxa"/>
            <w:right w:w="0" w:type="dxa"/>
          </w:tblCellMar>
        </w:tblPrEx>
        <w:trPr>
          <w:trHeight w:val="454" w:hRule="exact"/>
        </w:trPr>
        <w:tc>
          <w:tcPr>
            <w:tcW w:w="721" w:type="dxa"/>
            <w:tcBorders>
              <w:top w:val="single" w:color="000000" w:sz="4" w:space="0"/>
              <w:left w:val="single" w:color="000000" w:sz="4" w:space="0"/>
              <w:bottom w:val="single" w:color="000000" w:sz="4" w:space="0"/>
              <w:right w:val="single" w:color="000000" w:sz="4" w:space="0"/>
            </w:tcBorders>
            <w:vAlign w:val="center"/>
          </w:tcPr>
          <w:p w14:paraId="78A9799F">
            <w:pPr>
              <w:jc w:val="center"/>
              <w:rPr>
                <w:rFonts w:asciiTheme="minorEastAsia" w:hAnsiTheme="minorEastAsia" w:eastAsiaTheme="minorEastAsia"/>
                <w:szCs w:val="21"/>
              </w:rPr>
            </w:pPr>
            <w:r>
              <w:rPr>
                <w:rFonts w:hint="eastAsia" w:asciiTheme="minorEastAsia" w:hAnsiTheme="minorEastAsia" w:eastAsiaTheme="minorEastAsia"/>
                <w:szCs w:val="21"/>
              </w:rPr>
              <w:t>3</w:t>
            </w:r>
          </w:p>
        </w:tc>
        <w:tc>
          <w:tcPr>
            <w:tcW w:w="2138" w:type="dxa"/>
            <w:tcBorders>
              <w:top w:val="single" w:color="000000" w:sz="4" w:space="0"/>
              <w:left w:val="single" w:color="000000" w:sz="4" w:space="0"/>
              <w:bottom w:val="single" w:color="000000" w:sz="4" w:space="0"/>
              <w:right w:val="single" w:color="000000" w:sz="4" w:space="0"/>
            </w:tcBorders>
            <w:vAlign w:val="center"/>
          </w:tcPr>
          <w:p w14:paraId="596D48E9">
            <w:pPr>
              <w:jc w:val="center"/>
              <w:rPr>
                <w:rFonts w:asciiTheme="minorEastAsia" w:hAnsiTheme="minorEastAsia" w:eastAsiaTheme="minorEastAsia"/>
                <w:szCs w:val="21"/>
              </w:rPr>
            </w:pPr>
          </w:p>
        </w:tc>
        <w:tc>
          <w:tcPr>
            <w:tcW w:w="2563" w:type="dxa"/>
            <w:tcBorders>
              <w:top w:val="single" w:color="000000" w:sz="4" w:space="0"/>
              <w:left w:val="single" w:color="000000" w:sz="4" w:space="0"/>
              <w:bottom w:val="single" w:color="000000" w:sz="4" w:space="0"/>
              <w:right w:val="single" w:color="000000" w:sz="4" w:space="0"/>
            </w:tcBorders>
            <w:vAlign w:val="center"/>
          </w:tcPr>
          <w:p w14:paraId="16A7156F">
            <w:pPr>
              <w:jc w:val="center"/>
              <w:rPr>
                <w:rFonts w:asciiTheme="minorEastAsia" w:hAnsiTheme="minorEastAsia" w:eastAsiaTheme="minorEastAsia"/>
                <w:szCs w:val="21"/>
              </w:rPr>
            </w:pPr>
          </w:p>
        </w:tc>
        <w:tc>
          <w:tcPr>
            <w:tcW w:w="1575" w:type="dxa"/>
            <w:tcBorders>
              <w:top w:val="single" w:color="000000" w:sz="4" w:space="0"/>
              <w:left w:val="single" w:color="000000" w:sz="4" w:space="0"/>
              <w:bottom w:val="single" w:color="000000" w:sz="4" w:space="0"/>
              <w:right w:val="single" w:color="000000" w:sz="4" w:space="0"/>
            </w:tcBorders>
            <w:vAlign w:val="center"/>
          </w:tcPr>
          <w:p w14:paraId="2A1FFFA6">
            <w:pPr>
              <w:jc w:val="center"/>
              <w:rPr>
                <w:rFonts w:asciiTheme="minorEastAsia" w:hAnsiTheme="minorEastAsia" w:eastAsiaTheme="minorEastAsia"/>
                <w:szCs w:val="21"/>
              </w:rPr>
            </w:pPr>
          </w:p>
        </w:tc>
        <w:tc>
          <w:tcPr>
            <w:tcW w:w="1574" w:type="dxa"/>
            <w:tcBorders>
              <w:top w:val="single" w:color="000000" w:sz="4" w:space="0"/>
              <w:left w:val="single" w:color="000000" w:sz="4" w:space="0"/>
              <w:bottom w:val="single" w:color="000000" w:sz="4" w:space="0"/>
              <w:right w:val="single" w:color="000000" w:sz="4" w:space="0"/>
            </w:tcBorders>
          </w:tcPr>
          <w:p w14:paraId="7B6144D7">
            <w:pPr>
              <w:jc w:val="center"/>
              <w:rPr>
                <w:rFonts w:asciiTheme="minorEastAsia" w:hAnsiTheme="minorEastAsia" w:eastAsiaTheme="minorEastAsia"/>
                <w:szCs w:val="21"/>
              </w:rPr>
            </w:pPr>
          </w:p>
        </w:tc>
      </w:tr>
      <w:tr w14:paraId="37A41BD4">
        <w:tblPrEx>
          <w:tblCellMar>
            <w:top w:w="0" w:type="dxa"/>
            <w:left w:w="0" w:type="dxa"/>
            <w:bottom w:w="0" w:type="dxa"/>
            <w:right w:w="0" w:type="dxa"/>
          </w:tblCellMar>
        </w:tblPrEx>
        <w:trPr>
          <w:trHeight w:val="454" w:hRule="exact"/>
        </w:trPr>
        <w:tc>
          <w:tcPr>
            <w:tcW w:w="721" w:type="dxa"/>
            <w:tcBorders>
              <w:top w:val="single" w:color="000000" w:sz="4" w:space="0"/>
              <w:left w:val="single" w:color="000000" w:sz="4" w:space="0"/>
              <w:bottom w:val="single" w:color="000000" w:sz="4" w:space="0"/>
              <w:right w:val="single" w:color="000000" w:sz="4" w:space="0"/>
            </w:tcBorders>
            <w:vAlign w:val="center"/>
          </w:tcPr>
          <w:p w14:paraId="5D811CEF">
            <w:pPr>
              <w:jc w:val="center"/>
              <w:rPr>
                <w:rFonts w:asciiTheme="minorEastAsia" w:hAnsiTheme="minorEastAsia" w:eastAsiaTheme="minorEastAsia"/>
                <w:szCs w:val="21"/>
              </w:rPr>
            </w:pPr>
            <w:r>
              <w:rPr>
                <w:rFonts w:asciiTheme="minorEastAsia" w:hAnsiTheme="minorEastAsia" w:eastAsiaTheme="minorEastAsia"/>
                <w:szCs w:val="21"/>
              </w:rPr>
              <w:t>……</w:t>
            </w:r>
          </w:p>
        </w:tc>
        <w:tc>
          <w:tcPr>
            <w:tcW w:w="2138" w:type="dxa"/>
            <w:tcBorders>
              <w:top w:val="single" w:color="000000" w:sz="4" w:space="0"/>
              <w:left w:val="single" w:color="000000" w:sz="4" w:space="0"/>
              <w:bottom w:val="single" w:color="000000" w:sz="4" w:space="0"/>
              <w:right w:val="single" w:color="000000" w:sz="4" w:space="0"/>
            </w:tcBorders>
            <w:vAlign w:val="center"/>
          </w:tcPr>
          <w:p w14:paraId="139CBEFA">
            <w:pPr>
              <w:jc w:val="center"/>
              <w:rPr>
                <w:rFonts w:asciiTheme="minorEastAsia" w:hAnsiTheme="minorEastAsia" w:eastAsiaTheme="minorEastAsia"/>
                <w:szCs w:val="21"/>
              </w:rPr>
            </w:pPr>
          </w:p>
        </w:tc>
        <w:tc>
          <w:tcPr>
            <w:tcW w:w="2563" w:type="dxa"/>
            <w:tcBorders>
              <w:top w:val="single" w:color="000000" w:sz="4" w:space="0"/>
              <w:left w:val="single" w:color="000000" w:sz="4" w:space="0"/>
              <w:bottom w:val="single" w:color="000000" w:sz="4" w:space="0"/>
              <w:right w:val="single" w:color="000000" w:sz="4" w:space="0"/>
            </w:tcBorders>
            <w:vAlign w:val="center"/>
          </w:tcPr>
          <w:p w14:paraId="4A693EBE">
            <w:pPr>
              <w:jc w:val="center"/>
              <w:rPr>
                <w:rFonts w:asciiTheme="minorEastAsia" w:hAnsiTheme="minorEastAsia" w:eastAsiaTheme="minorEastAsia"/>
                <w:szCs w:val="21"/>
              </w:rPr>
            </w:pPr>
          </w:p>
        </w:tc>
        <w:tc>
          <w:tcPr>
            <w:tcW w:w="1575" w:type="dxa"/>
            <w:tcBorders>
              <w:top w:val="single" w:color="000000" w:sz="4" w:space="0"/>
              <w:left w:val="single" w:color="000000" w:sz="4" w:space="0"/>
              <w:bottom w:val="single" w:color="000000" w:sz="4" w:space="0"/>
              <w:right w:val="single" w:color="000000" w:sz="4" w:space="0"/>
            </w:tcBorders>
            <w:vAlign w:val="center"/>
          </w:tcPr>
          <w:p w14:paraId="39FFFEC0">
            <w:pPr>
              <w:jc w:val="center"/>
              <w:rPr>
                <w:rFonts w:asciiTheme="minorEastAsia" w:hAnsiTheme="minorEastAsia" w:eastAsiaTheme="minorEastAsia"/>
                <w:szCs w:val="21"/>
              </w:rPr>
            </w:pPr>
          </w:p>
        </w:tc>
        <w:tc>
          <w:tcPr>
            <w:tcW w:w="1574" w:type="dxa"/>
            <w:tcBorders>
              <w:top w:val="single" w:color="000000" w:sz="4" w:space="0"/>
              <w:left w:val="single" w:color="000000" w:sz="4" w:space="0"/>
              <w:bottom w:val="single" w:color="000000" w:sz="4" w:space="0"/>
              <w:right w:val="single" w:color="000000" w:sz="4" w:space="0"/>
            </w:tcBorders>
          </w:tcPr>
          <w:p w14:paraId="52A9312A">
            <w:pPr>
              <w:jc w:val="center"/>
              <w:rPr>
                <w:rFonts w:asciiTheme="minorEastAsia" w:hAnsiTheme="minorEastAsia" w:eastAsiaTheme="minorEastAsia"/>
                <w:szCs w:val="21"/>
              </w:rPr>
            </w:pPr>
          </w:p>
        </w:tc>
      </w:tr>
    </w:tbl>
    <w:p w14:paraId="6FEBC2B0">
      <w:pPr>
        <w:rPr>
          <w:rFonts w:asciiTheme="minorEastAsia" w:hAnsiTheme="minorEastAsia" w:eastAsiaTheme="minorEastAsia"/>
        </w:rPr>
      </w:pPr>
    </w:p>
    <w:p w14:paraId="4BC3B0E1">
      <w:pPr>
        <w:rPr>
          <w:rFonts w:asciiTheme="minorEastAsia" w:hAnsiTheme="minorEastAsia" w:eastAsiaTheme="minorEastAsia"/>
        </w:rPr>
      </w:pPr>
      <w:r>
        <w:rPr>
          <w:rFonts w:hint="eastAsia" w:asciiTheme="minorEastAsia" w:hAnsiTheme="minorEastAsia" w:eastAsiaTheme="minorEastAsia"/>
          <w:szCs w:val="21"/>
        </w:rPr>
        <w:t>注：投标人应将《资格审查资料》中所填报的主要人员证书及企业业绩信息在上表中进行汇总，且上表中汇总的人员个人信息、证书信息、以及企业业绩信息必须与《资格审查资料》中所填报的保持一致。</w:t>
      </w:r>
    </w:p>
    <w:p w14:paraId="4D185DF9">
      <w:pPr>
        <w:pStyle w:val="17"/>
        <w:wordWrap w:val="0"/>
        <w:spacing w:after="0" w:line="400" w:lineRule="atLeast"/>
        <w:ind w:left="0" w:leftChars="0"/>
        <w:jc w:val="both"/>
        <w:rPr>
          <w:rFonts w:hint="eastAsia" w:asciiTheme="majorEastAsia" w:hAnsiTheme="majorEastAsia" w:eastAsiaTheme="majorEastAsia"/>
          <w:sz w:val="24"/>
        </w:rPr>
      </w:pPr>
    </w:p>
    <w:p w14:paraId="1FD58317">
      <w:pPr>
        <w:spacing w:line="360" w:lineRule="auto"/>
        <w:ind w:left="2520" w:leftChars="1200" w:firstLine="1920" w:firstLineChars="800"/>
        <w:rPr>
          <w:sz w:val="24"/>
        </w:rPr>
      </w:pPr>
    </w:p>
    <w:p w14:paraId="0852FF0C">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2050891">
      <w:pPr>
        <w:pStyle w:val="15"/>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Times New Roman" w:hAnsi="Times New Roman" w:eastAsia="黑体" w:cs="Times New Roman"/>
          <w:color w:val="auto"/>
          <w:sz w:val="31"/>
          <w:szCs w:val="31"/>
          <w:highlight w:val="none"/>
          <w:lang w:eastAsia="zh-CN"/>
        </w:rPr>
      </w:pPr>
      <w:r>
        <w:rPr>
          <w:rFonts w:hint="eastAsia" w:ascii="Times New Roman" w:eastAsia="黑体" w:cs="Times New Roman"/>
          <w:color w:val="auto"/>
          <w:sz w:val="31"/>
          <w:szCs w:val="31"/>
          <w:highlight w:val="none"/>
          <w:u w:val="single"/>
          <w:lang w:eastAsia="zh-CN"/>
        </w:rPr>
        <w:t>辽宁省</w:t>
      </w:r>
    </w:p>
    <w:p w14:paraId="7759E146">
      <w:pPr>
        <w:pageBreakBefore w:val="0"/>
        <w:kinsoku/>
        <w:wordWrap w:val="0"/>
        <w:bidi w:val="0"/>
        <w:spacing w:line="440" w:lineRule="exact"/>
        <w:rPr>
          <w:rFonts w:hint="default" w:ascii="Times New Roman" w:hAnsi="Times New Roman" w:eastAsia="黑体" w:cs="Times New Roman"/>
          <w:color w:val="auto"/>
          <w:sz w:val="24"/>
          <w:highlight w:val="none"/>
          <w:lang w:val="en-US" w:eastAsia="zh-CN"/>
        </w:rPr>
      </w:pP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（项目名称）</w:t>
      </w:r>
      <w:r>
        <w:rPr>
          <w:rFonts w:hint="default" w:ascii="Times New Roman" w:hAnsi="Times New Roman" w:eastAsia="黑体" w:cs="Times New Roman"/>
          <w:b w:val="0"/>
          <w:bCs w:val="0"/>
          <w:color w:val="auto"/>
          <w:sz w:val="31"/>
          <w:szCs w:val="31"/>
          <w:highlight w:val="none"/>
          <w:u w:val="single"/>
        </w:rPr>
        <w:t xml:space="preserve">          </w:t>
      </w:r>
      <w:r>
        <w:rPr>
          <w:rFonts w:hint="default" w:ascii="Times New Roman" w:hAnsi="Times New Roman" w:eastAsia="黑体" w:cs="Times New Roman"/>
          <w:b w:val="0"/>
          <w:bCs w:val="0"/>
          <w:color w:val="auto"/>
          <w:sz w:val="31"/>
          <w:szCs w:val="31"/>
          <w:highlight w:val="none"/>
        </w:rPr>
        <w:t>（</w:t>
      </w:r>
      <w:r>
        <w:rPr>
          <w:rFonts w:hint="default" w:ascii="Times New Roman" w:hAnsi="Times New Roman" w:eastAsia="黑体" w:cs="Times New Roman"/>
          <w:b w:val="0"/>
          <w:bCs w:val="0"/>
          <w:color w:val="auto"/>
          <w:sz w:val="31"/>
          <w:szCs w:val="31"/>
          <w:highlight w:val="none"/>
          <w:lang w:val="en-US" w:eastAsia="zh-CN"/>
        </w:rPr>
        <w:t>标段</w:t>
      </w:r>
      <w:r>
        <w:rPr>
          <w:rFonts w:hint="default" w:ascii="Times New Roman" w:hAnsi="Times New Roman" w:eastAsia="黑体" w:cs="Times New Roman"/>
          <w:b w:val="0"/>
          <w:bCs w:val="0"/>
          <w:color w:val="auto"/>
          <w:sz w:val="31"/>
          <w:szCs w:val="31"/>
          <w:highlight w:val="none"/>
        </w:rPr>
        <w:t>名称）</w:t>
      </w:r>
      <w:r>
        <w:rPr>
          <w:rFonts w:hint="default" w:ascii="Times New Roman" w:hAnsi="Times New Roman" w:eastAsia="黑体" w:cs="Times New Roman"/>
          <w:b w:val="0"/>
          <w:bCs w:val="0"/>
          <w:color w:val="auto"/>
          <w:sz w:val="31"/>
          <w:szCs w:val="31"/>
          <w:highlight w:val="none"/>
          <w:lang w:val="en-US" w:eastAsia="zh-CN"/>
        </w:rPr>
        <w:t>施工招标</w:t>
      </w:r>
    </w:p>
    <w:p w14:paraId="1D9A486E">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t xml:space="preserve"> </w:t>
      </w:r>
    </w:p>
    <w:p w14:paraId="47C54E32">
      <w:pPr>
        <w:pageBreakBefore w:val="0"/>
        <w:kinsoku/>
        <w:wordWrap w:val="0"/>
        <w:bidi w:val="0"/>
        <w:spacing w:line="440" w:lineRule="exact"/>
        <w:rPr>
          <w:rFonts w:hint="default" w:ascii="Times New Roman" w:hAnsi="Times New Roman" w:eastAsia="黑体" w:cs="Times New Roman"/>
          <w:color w:val="auto"/>
          <w:sz w:val="40"/>
          <w:szCs w:val="40"/>
          <w:highlight w:val="none"/>
        </w:rPr>
      </w:pPr>
    </w:p>
    <w:p w14:paraId="5A3CDE21">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35B1C687">
      <w:pPr>
        <w:pStyle w:val="16"/>
        <w:rPr>
          <w:rFonts w:hint="default" w:ascii="Times New Roman" w:hAnsi="Times New Roman" w:eastAsia="黑体" w:cs="Times New Roman"/>
          <w:color w:val="auto"/>
          <w:sz w:val="40"/>
          <w:szCs w:val="40"/>
          <w:highlight w:val="none"/>
        </w:rPr>
      </w:pPr>
    </w:p>
    <w:p w14:paraId="4752992C">
      <w:pPr>
        <w:pStyle w:val="16"/>
        <w:rPr>
          <w:rFonts w:hint="default" w:ascii="Times New Roman" w:hAnsi="Times New Roman" w:eastAsia="黑体" w:cs="Times New Roman"/>
          <w:color w:val="auto"/>
          <w:sz w:val="40"/>
          <w:szCs w:val="40"/>
          <w:highlight w:val="none"/>
        </w:rPr>
      </w:pPr>
    </w:p>
    <w:p w14:paraId="4669CE5E">
      <w:pPr>
        <w:pStyle w:val="16"/>
        <w:rPr>
          <w:rFonts w:hint="default" w:ascii="Times New Roman" w:hAnsi="Times New Roman" w:eastAsia="黑体" w:cs="Times New Roman"/>
          <w:color w:val="auto"/>
          <w:sz w:val="40"/>
          <w:szCs w:val="40"/>
          <w:highlight w:val="none"/>
        </w:rPr>
      </w:pPr>
    </w:p>
    <w:p w14:paraId="6F53962E">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6A3C5243">
      <w:pPr>
        <w:keepNext/>
        <w:keepLines/>
        <w:pageBreakBefore w:val="0"/>
        <w:widowControl w:val="0"/>
        <w:kinsoku/>
        <w:wordWrap w:val="0"/>
        <w:overflowPunct/>
        <w:topLinePunct w:val="0"/>
        <w:autoSpaceDE/>
        <w:autoSpaceDN/>
        <w:bidi w:val="0"/>
        <w:adjustRightInd/>
        <w:snapToGrid/>
        <w:spacing w:before="0" w:after="0" w:line="360" w:lineRule="auto"/>
        <w:jc w:val="center"/>
        <w:textAlignment w:val="auto"/>
        <w:outlineLvl w:val="9"/>
        <w:rPr>
          <w:rFonts w:hint="default" w:ascii="Times New Roman" w:hAnsi="Times New Roman" w:eastAsia="黑体" w:cs="Times New Roman"/>
          <w:b w:val="0"/>
          <w:color w:val="auto"/>
          <w:sz w:val="72"/>
          <w:szCs w:val="72"/>
          <w:highlight w:val="none"/>
        </w:rPr>
      </w:pPr>
      <w:bookmarkStart w:id="1980" w:name="_Toc25715"/>
      <w:bookmarkStart w:id="1981" w:name="_Toc9419"/>
      <w:bookmarkStart w:id="1982" w:name="_Toc11826"/>
      <w:r>
        <w:rPr>
          <w:rFonts w:hint="default" w:ascii="Times New Roman" w:hAnsi="Times New Roman" w:eastAsia="黑体" w:cs="Times New Roman"/>
          <w:b w:val="0"/>
          <w:color w:val="auto"/>
          <w:sz w:val="72"/>
          <w:szCs w:val="72"/>
          <w:highlight w:val="none"/>
        </w:rPr>
        <w:t>投  标  文  件</w:t>
      </w:r>
      <w:bookmarkEnd w:id="1980"/>
      <w:bookmarkEnd w:id="1981"/>
      <w:bookmarkEnd w:id="1982"/>
    </w:p>
    <w:p w14:paraId="38EE1068">
      <w:pPr>
        <w:keepNext/>
        <w:keepLines/>
        <w:pageBreakBefore w:val="0"/>
        <w:widowControl w:val="0"/>
        <w:kinsoku/>
        <w:wordWrap w:val="0"/>
        <w:overflowPunct/>
        <w:topLinePunct w:val="0"/>
        <w:autoSpaceDE/>
        <w:autoSpaceDN/>
        <w:bidi w:val="0"/>
        <w:adjustRightInd/>
        <w:snapToGrid/>
        <w:spacing w:before="0" w:after="0" w:line="360" w:lineRule="auto"/>
        <w:jc w:val="center"/>
        <w:textAlignment w:val="auto"/>
        <w:outlineLvl w:val="9"/>
        <w:rPr>
          <w:rFonts w:hint="default" w:ascii="Times New Roman" w:hAnsi="Times New Roman" w:eastAsia="黑体" w:cs="Times New Roman"/>
          <w:b w:val="0"/>
          <w:color w:val="auto"/>
          <w:sz w:val="30"/>
          <w:szCs w:val="30"/>
          <w:highlight w:val="none"/>
        </w:rPr>
      </w:pPr>
      <w:bookmarkStart w:id="1983" w:name="_Toc16866"/>
      <w:bookmarkStart w:id="1984" w:name="_Toc5781"/>
      <w:r>
        <w:rPr>
          <w:rFonts w:hint="default" w:ascii="Times New Roman" w:hAnsi="Times New Roman" w:eastAsia="黑体" w:cs="Times New Roman"/>
          <w:b w:val="0"/>
          <w:color w:val="auto"/>
          <w:sz w:val="32"/>
          <w:szCs w:val="32"/>
          <w:highlight w:val="none"/>
        </w:rPr>
        <w:t>（</w:t>
      </w:r>
      <w:r>
        <w:rPr>
          <w:rFonts w:hint="default" w:ascii="Times New Roman" w:hAnsi="Times New Roman" w:eastAsia="黑体" w:cs="Times New Roman"/>
          <w:b w:val="0"/>
          <w:color w:val="auto"/>
          <w:sz w:val="32"/>
          <w:szCs w:val="32"/>
          <w:highlight w:val="none"/>
          <w:lang w:val="en-US" w:eastAsia="zh-CN"/>
        </w:rPr>
        <w:t>第二个信封</w:t>
      </w:r>
      <w:r>
        <w:rPr>
          <w:rFonts w:hint="default" w:ascii="Times New Roman" w:hAnsi="Times New Roman" w:cs="Times New Roman"/>
          <w:b w:val="0"/>
          <w:color w:val="auto"/>
          <w:sz w:val="32"/>
          <w:szCs w:val="32"/>
          <w:highlight w:val="none"/>
          <w:lang w:val="en-US" w:eastAsia="zh-CN"/>
        </w:rPr>
        <w:t xml:space="preserve"> </w:t>
      </w:r>
      <w:r>
        <w:rPr>
          <w:rFonts w:hint="default" w:ascii="Times New Roman" w:hAnsi="Times New Roman" w:eastAsia="黑体" w:cs="Times New Roman"/>
          <w:b w:val="0"/>
          <w:color w:val="auto"/>
          <w:sz w:val="32"/>
          <w:szCs w:val="32"/>
          <w:highlight w:val="none"/>
        </w:rPr>
        <w:t>报价文件）</w:t>
      </w:r>
      <w:bookmarkEnd w:id="1983"/>
      <w:bookmarkEnd w:id="1984"/>
    </w:p>
    <w:p w14:paraId="14253E4F">
      <w:pPr>
        <w:pageBreakBefore w:val="0"/>
        <w:kinsoku/>
        <w:wordWrap w:val="0"/>
        <w:bidi w:val="0"/>
        <w:spacing w:line="440" w:lineRule="exact"/>
        <w:jc w:val="center"/>
        <w:rPr>
          <w:rFonts w:hint="default" w:ascii="Times New Roman" w:hAnsi="Times New Roman" w:eastAsia="黑体" w:cs="Times New Roman"/>
          <w:color w:val="auto"/>
          <w:sz w:val="40"/>
          <w:szCs w:val="40"/>
          <w:highlight w:val="none"/>
        </w:rPr>
      </w:pPr>
    </w:p>
    <w:p w14:paraId="52B50469">
      <w:pPr>
        <w:pageBreakBefore w:val="0"/>
        <w:kinsoku/>
        <w:wordWrap w:val="0"/>
        <w:bidi w:val="0"/>
        <w:spacing w:line="440" w:lineRule="exact"/>
        <w:jc w:val="center"/>
        <w:rPr>
          <w:rFonts w:hint="default" w:ascii="Times New Roman" w:hAnsi="Times New Roman" w:eastAsia="黑体" w:cs="Times New Roman"/>
          <w:color w:val="auto"/>
          <w:sz w:val="36"/>
          <w:szCs w:val="36"/>
          <w:highlight w:val="none"/>
        </w:rPr>
      </w:pPr>
    </w:p>
    <w:p w14:paraId="2B16E99D">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DEDCCE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902662A">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FFBEE5A">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CFAC738">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29D6A6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F22918F">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EDB125B">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690AFE9">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t>投标人：</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w:t>
      </w:r>
      <w:r>
        <w:rPr>
          <w:rFonts w:hint="default" w:ascii="Times New Roman" w:hAnsi="Times New Roman" w:eastAsia="黑体" w:cs="Times New Roman"/>
          <w:color w:val="auto"/>
          <w:sz w:val="28"/>
          <w:szCs w:val="28"/>
          <w:highlight w:val="none"/>
          <w:lang w:eastAsia="zh-CN"/>
        </w:rPr>
        <w:t>盖单位电子印章</w:t>
      </w:r>
      <w:r>
        <w:rPr>
          <w:rFonts w:hint="default" w:ascii="Times New Roman" w:hAnsi="Times New Roman" w:eastAsia="黑体" w:cs="Times New Roman"/>
          <w:color w:val="auto"/>
          <w:sz w:val="28"/>
          <w:szCs w:val="28"/>
          <w:highlight w:val="none"/>
        </w:rPr>
        <w:t>）</w:t>
      </w:r>
    </w:p>
    <w:p w14:paraId="6AF2761E">
      <w:pPr>
        <w:pageBreakBefore w:val="0"/>
        <w:kinsoku/>
        <w:wordWrap w:val="0"/>
        <w:bidi w:val="0"/>
        <w:spacing w:line="440" w:lineRule="exact"/>
        <w:rPr>
          <w:rFonts w:hint="default" w:ascii="Times New Roman" w:hAnsi="Times New Roman" w:eastAsia="黑体" w:cs="Times New Roman"/>
          <w:color w:val="auto"/>
          <w:sz w:val="28"/>
          <w:szCs w:val="28"/>
          <w:highlight w:val="none"/>
        </w:rPr>
      </w:pPr>
    </w:p>
    <w:p w14:paraId="03ADA251">
      <w:pPr>
        <w:pageBreakBefore w:val="0"/>
        <w:kinsoku/>
        <w:wordWrap w:val="0"/>
        <w:bidi w:val="0"/>
        <w:spacing w:line="440" w:lineRule="exact"/>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年</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月</w:t>
      </w:r>
      <w:r>
        <w:rPr>
          <w:rFonts w:hint="default" w:ascii="Times New Roman" w:hAnsi="Times New Roman" w:eastAsia="黑体" w:cs="Times New Roman"/>
          <w:color w:val="auto"/>
          <w:sz w:val="28"/>
          <w:szCs w:val="28"/>
          <w:highlight w:val="none"/>
          <w:u w:val="single"/>
        </w:rPr>
        <w:t xml:space="preserve">         </w:t>
      </w:r>
      <w:r>
        <w:rPr>
          <w:rFonts w:hint="default" w:ascii="Times New Roman" w:hAnsi="Times New Roman" w:eastAsia="黑体" w:cs="Times New Roman"/>
          <w:color w:val="auto"/>
          <w:sz w:val="28"/>
          <w:szCs w:val="28"/>
          <w:highlight w:val="none"/>
        </w:rPr>
        <w:t>日</w:t>
      </w:r>
    </w:p>
    <w:p w14:paraId="296B2360">
      <w:pPr>
        <w:pageBreakBefore w:val="0"/>
        <w:kinsoku/>
        <w:wordWrap w:val="0"/>
        <w:bidi w:val="0"/>
        <w:spacing w:line="440" w:lineRule="exact"/>
        <w:ind w:firstLine="140" w:firstLineChars="50"/>
        <w:jc w:val="center"/>
        <w:rPr>
          <w:rFonts w:hint="default" w:ascii="Times New Roman" w:hAnsi="Times New Roman" w:eastAsia="黑体" w:cs="Times New Roman"/>
          <w:color w:val="auto"/>
          <w:sz w:val="28"/>
          <w:szCs w:val="28"/>
          <w:highlight w:val="none"/>
        </w:rPr>
      </w:pPr>
      <w:r>
        <w:rPr>
          <w:rFonts w:hint="default" w:ascii="Times New Roman" w:hAnsi="Times New Roman" w:eastAsia="黑体" w:cs="Times New Roman"/>
          <w:color w:val="auto"/>
          <w:sz w:val="28"/>
          <w:szCs w:val="28"/>
          <w:highlight w:val="none"/>
        </w:rPr>
        <w:br w:type="page"/>
      </w:r>
    </w:p>
    <w:p w14:paraId="398C72D6">
      <w:pPr>
        <w:pageBreakBefore w:val="0"/>
        <w:kinsoku/>
        <w:wordWrap w:val="0"/>
        <w:bidi w:val="0"/>
        <w:spacing w:line="440" w:lineRule="exact"/>
        <w:ind w:firstLine="140" w:firstLineChars="50"/>
        <w:jc w:val="center"/>
        <w:rPr>
          <w:rFonts w:hint="default" w:ascii="Times New Roman" w:hAnsi="Times New Roman" w:eastAsia="黑体" w:cs="Times New Roman"/>
          <w:color w:val="auto"/>
          <w:sz w:val="28"/>
          <w:szCs w:val="28"/>
          <w:highlight w:val="none"/>
        </w:rPr>
      </w:pPr>
    </w:p>
    <w:p w14:paraId="584BC0A6">
      <w:pPr>
        <w:pageBreakBefore w:val="0"/>
        <w:kinsoku/>
        <w:wordWrap w:val="0"/>
        <w:bidi w:val="0"/>
        <w:spacing w:line="440" w:lineRule="exact"/>
        <w:ind w:firstLine="151" w:firstLineChars="50"/>
        <w:jc w:val="center"/>
        <w:rPr>
          <w:rFonts w:hint="default" w:ascii="Times New Roman" w:hAnsi="Times New Roman" w:eastAsia="黑体" w:cs="Times New Roman"/>
          <w:b/>
          <w:color w:val="auto"/>
          <w:sz w:val="30"/>
          <w:szCs w:val="30"/>
          <w:highlight w:val="none"/>
        </w:rPr>
      </w:pPr>
      <w:r>
        <w:rPr>
          <w:rFonts w:hint="default" w:ascii="Times New Roman" w:hAnsi="Times New Roman" w:eastAsia="黑体" w:cs="Times New Roman"/>
          <w:b/>
          <w:color w:val="auto"/>
          <w:sz w:val="30"/>
          <w:szCs w:val="30"/>
          <w:highlight w:val="none"/>
        </w:rPr>
        <w:t>目     录</w:t>
      </w:r>
    </w:p>
    <w:p w14:paraId="55F12CDE">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16F8150">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一、投标函</w:t>
      </w:r>
    </w:p>
    <w:p w14:paraId="68FBF419">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二、已标价工程量清单</w:t>
      </w:r>
    </w:p>
    <w:p w14:paraId="07E6AEA6">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三、合同用款估算表</w:t>
      </w:r>
    </w:p>
    <w:p w14:paraId="590E563F">
      <w:pPr>
        <w:pageBreakBefore w:val="0"/>
        <w:kinsoku/>
        <w:wordWrap w:val="0"/>
        <w:bidi w:val="0"/>
        <w:spacing w:line="440" w:lineRule="exact"/>
        <w:ind w:left="1619" w:leftChars="771" w:firstLine="1"/>
        <w:rPr>
          <w:rFonts w:hint="default" w:ascii="Times New Roman" w:hAnsi="Times New Roman" w:cs="Times New Roman"/>
          <w:color w:val="auto"/>
          <w:sz w:val="24"/>
          <w:highlight w:val="none"/>
        </w:rPr>
      </w:pPr>
    </w:p>
    <w:p w14:paraId="41C20B9F">
      <w:pPr>
        <w:pageBreakBefore w:val="0"/>
        <w:kinsoku/>
        <w:wordWrap w:val="0"/>
        <w:bidi w:val="0"/>
        <w:spacing w:before="360" w:beforeLines="150" w:after="240" w:afterLines="100" w:line="380" w:lineRule="atLeast"/>
        <w:jc w:val="center"/>
        <w:outlineLvl w:val="9"/>
        <w:rPr>
          <w:rFonts w:hint="default" w:ascii="Times New Roman" w:hAnsi="Times New Roman" w:eastAsia="黑体" w:cs="Times New Roman"/>
          <w:color w:val="auto"/>
          <w:sz w:val="20"/>
          <w:szCs w:val="20"/>
          <w:highlight w:val="none"/>
        </w:rPr>
      </w:pPr>
    </w:p>
    <w:p w14:paraId="46BD3978">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0C8D1E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68673055">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9448AE4">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27CE3E1">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AF0016D">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01843EB3">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51E11A21">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362706B9">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2FC10E9">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264D629D">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47304B07">
      <w:pPr>
        <w:pageBreakBefore w:val="0"/>
        <w:kinsoku/>
        <w:wordWrap w:val="0"/>
        <w:bidi w:val="0"/>
        <w:spacing w:line="440" w:lineRule="exact"/>
        <w:rPr>
          <w:rFonts w:hint="default" w:ascii="Times New Roman" w:hAnsi="Times New Roman" w:eastAsia="黑体" w:cs="Times New Roman"/>
          <w:color w:val="auto"/>
          <w:sz w:val="20"/>
          <w:szCs w:val="20"/>
          <w:highlight w:val="none"/>
        </w:rPr>
      </w:pPr>
    </w:p>
    <w:p w14:paraId="15A228D2">
      <w:pPr>
        <w:pageBreakBefore w:val="0"/>
        <w:kinsoku/>
        <w:wordWrap w:val="0"/>
        <w:bidi w:val="0"/>
        <w:spacing w:line="440" w:lineRule="exact"/>
        <w:rPr>
          <w:rFonts w:hint="default" w:ascii="Times New Roman" w:hAnsi="Times New Roman" w:eastAsia="黑体" w:cs="Times New Roman"/>
          <w:color w:val="auto"/>
          <w:sz w:val="20"/>
          <w:szCs w:val="20"/>
          <w:highlight w:val="none"/>
        </w:rPr>
      </w:pPr>
      <w:r>
        <w:rPr>
          <w:rFonts w:hint="default" w:ascii="Times New Roman" w:hAnsi="Times New Roman" w:eastAsia="黑体" w:cs="Times New Roman"/>
          <w:color w:val="auto"/>
          <w:sz w:val="20"/>
          <w:szCs w:val="20"/>
          <w:highlight w:val="none"/>
        </w:rPr>
        <w:br w:type="page"/>
      </w:r>
    </w:p>
    <w:p w14:paraId="1524C8CB">
      <w:pPr>
        <w:pStyle w:val="2"/>
        <w:pageBreakBefore w:val="0"/>
        <w:kinsoku/>
        <w:wordWrap w:val="0"/>
        <w:bidi w:val="0"/>
        <w:spacing w:before="0" w:after="0" w:line="400" w:lineRule="atLeast"/>
        <w:jc w:val="center"/>
        <w:outlineLvl w:val="1"/>
        <w:rPr>
          <w:rFonts w:hint="default" w:ascii="Times New Roman" w:hAnsi="Times New Roman" w:eastAsia="黑体" w:cs="Times New Roman"/>
          <w:b w:val="0"/>
          <w:color w:val="auto"/>
          <w:sz w:val="30"/>
          <w:szCs w:val="30"/>
          <w:highlight w:val="none"/>
        </w:rPr>
      </w:pPr>
      <w:bookmarkStart w:id="1985" w:name="_Toc13802"/>
      <w:bookmarkStart w:id="1986" w:name="_Toc9512"/>
      <w:bookmarkStart w:id="1987" w:name="_Toc29275"/>
      <w:r>
        <w:rPr>
          <w:rFonts w:hint="default" w:ascii="Times New Roman" w:hAnsi="Times New Roman" w:eastAsia="黑体" w:cs="Times New Roman"/>
          <w:b w:val="0"/>
          <w:color w:val="auto"/>
          <w:sz w:val="30"/>
          <w:szCs w:val="30"/>
          <w:highlight w:val="none"/>
        </w:rPr>
        <w:t>一、投标函</w:t>
      </w:r>
      <w:bookmarkEnd w:id="1985"/>
      <w:bookmarkEnd w:id="1986"/>
      <w:bookmarkEnd w:id="1987"/>
    </w:p>
    <w:p w14:paraId="7CE336AA">
      <w:pPr>
        <w:pageBreakBefore w:val="0"/>
        <w:kinsoku/>
        <w:wordWrap w:val="0"/>
        <w:bidi w:val="0"/>
        <w:spacing w:before="360" w:beforeLines="150" w:after="240" w:afterLines="100" w:line="400" w:lineRule="atLeast"/>
        <w:jc w:val="center"/>
        <w:outlineLvl w:val="9"/>
        <w:rPr>
          <w:rFonts w:hint="default" w:ascii="Times New Roman" w:hAnsi="Times New Roman" w:eastAsia="黑体" w:cs="Times New Roman"/>
          <w:b w:val="0"/>
          <w:color w:val="auto"/>
          <w:sz w:val="28"/>
          <w:szCs w:val="28"/>
          <w:highlight w:val="none"/>
        </w:rPr>
      </w:pPr>
    </w:p>
    <w:p w14:paraId="5533C437">
      <w:pPr>
        <w:pageBreakBefore w:val="0"/>
        <w:kinsoku/>
        <w:wordWrap w:val="0"/>
        <w:bidi w:val="0"/>
        <w:spacing w:before="240" w:beforeLines="100" w:after="120" w:afterLines="50" w:line="400" w:lineRule="atLeast"/>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 xml:space="preserve"> </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（招标人名称）：</w:t>
      </w:r>
    </w:p>
    <w:p w14:paraId="42C24F7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1．我方已仔细研究</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（项目名称）</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标段名称</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施工招标文件的全部内容（含补遗书第___号至第___号），在考察工程现场后，愿意以人民币（大写）</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元（¥</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）的投标总报价（或根据招标文件规定修正核实后确定的另一金额，其中，增值税税率为</w:t>
      </w:r>
      <w:r>
        <w:rPr>
          <w:rFonts w:hint="default" w:ascii="Times New Roman" w:hAnsi="Times New Roman" w:eastAsia="黑体" w:cs="Times New Roman"/>
          <w:color w:val="auto"/>
          <w:sz w:val="24"/>
          <w:highlight w:val="none"/>
          <w:u w:val="single"/>
        </w:rPr>
        <w:t xml:space="preserve">         </w:t>
      </w:r>
      <w:r>
        <w:rPr>
          <w:rFonts w:hint="default" w:ascii="Times New Roman" w:hAnsi="Times New Roman" w:cs="Times New Roman"/>
          <w:color w:val="auto"/>
          <w:sz w:val="24"/>
          <w:highlight w:val="none"/>
        </w:rPr>
        <w:t>），按合同约定实施和完成承包工程，修补工程中的任何缺陷。</w:t>
      </w:r>
    </w:p>
    <w:p w14:paraId="2F88E7A9">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2．在合同协议书正式签署生效之前，本投标函连同你方的中标通知书将构成我们双方之间共同遵守的文件，对双方具有约束力。</w:t>
      </w:r>
    </w:p>
    <w:p w14:paraId="4ACB4D45">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3．</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（其他补充说明）。</w:t>
      </w:r>
    </w:p>
    <w:p w14:paraId="273BC0FA">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p>
    <w:p w14:paraId="37A7F679">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 标 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（盖单位</w:t>
      </w:r>
      <w:r>
        <w:rPr>
          <w:rFonts w:hint="default" w:ascii="Times New Roman" w:hAnsi="Times New Roman" w:cs="Times New Roman"/>
          <w:color w:val="auto"/>
          <w:sz w:val="24"/>
          <w:highlight w:val="none"/>
          <w:lang w:val="en-US" w:eastAsia="zh-CN"/>
        </w:rPr>
        <w:t>电子印</w:t>
      </w:r>
      <w:r>
        <w:rPr>
          <w:rFonts w:hint="default" w:ascii="Times New Roman" w:hAnsi="Times New Roman" w:cs="Times New Roman"/>
          <w:color w:val="auto"/>
          <w:sz w:val="24"/>
          <w:highlight w:val="none"/>
        </w:rPr>
        <w:t>章）</w:t>
      </w:r>
    </w:p>
    <w:p w14:paraId="3FEA7F31">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outlineLvl w:val="9"/>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法定代表人或其委托代理人：</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（个人</w:t>
      </w:r>
      <w:r>
        <w:rPr>
          <w:rFonts w:hint="eastAsia" w:cs="Times New Roman"/>
          <w:color w:val="auto"/>
          <w:sz w:val="24"/>
          <w:highlight w:val="none"/>
          <w:lang w:eastAsia="zh-CN"/>
        </w:rPr>
        <w:t>电子签名</w:t>
      </w:r>
      <w:r>
        <w:rPr>
          <w:rFonts w:hint="default" w:ascii="Times New Roman" w:hAnsi="Times New Roman" w:cs="Times New Roman"/>
          <w:color w:val="auto"/>
          <w:sz w:val="24"/>
          <w:highlight w:val="none"/>
        </w:rPr>
        <w:t>或个人电子印章）</w:t>
      </w:r>
    </w:p>
    <w:p w14:paraId="4991B056">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地    址：</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28D614B5">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网    址：</w:t>
      </w:r>
      <w:r>
        <w:rPr>
          <w:rFonts w:hint="default" w:ascii="Times New Roman" w:hAnsi="Times New Roman" w:cs="Times New Roman"/>
          <w:color w:val="auto"/>
          <w:sz w:val="24"/>
          <w:highlight w:val="none"/>
          <w:u w:val="single"/>
        </w:rPr>
        <w:t xml:space="preserve">                                     </w:t>
      </w:r>
    </w:p>
    <w:p w14:paraId="208B90DB">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电    话：</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5E82BFAA">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传    真：</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 xml:space="preserve"> </w:t>
      </w:r>
    </w:p>
    <w:p w14:paraId="48F086D2">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邮政编码：</w:t>
      </w:r>
      <w:r>
        <w:rPr>
          <w:rFonts w:hint="default" w:ascii="Times New Roman" w:hAnsi="Times New Roman" w:cs="Times New Roman"/>
          <w:color w:val="auto"/>
          <w:sz w:val="24"/>
          <w:highlight w:val="none"/>
          <w:u w:val="single"/>
        </w:rPr>
        <w:t xml:space="preserve">                                  </w:t>
      </w:r>
    </w:p>
    <w:p w14:paraId="289DC5A2">
      <w:pPr>
        <w:keepNext w:val="0"/>
        <w:keepLines w:val="0"/>
        <w:pageBreakBefore w:val="0"/>
        <w:widowControl w:val="0"/>
        <w:kinsoku/>
        <w:wordWrap w:val="0"/>
        <w:overflowPunct/>
        <w:topLinePunct w:val="0"/>
        <w:autoSpaceDE/>
        <w:autoSpaceDN/>
        <w:bidi w:val="0"/>
        <w:adjustRightInd/>
        <w:snapToGrid/>
        <w:spacing w:line="400" w:lineRule="atLeast"/>
        <w:ind w:firstLine="1440" w:firstLineChars="600"/>
        <w:textAlignment w:val="auto"/>
        <w:rPr>
          <w:rFonts w:hint="default" w:ascii="Times New Roman" w:hAnsi="Times New Roman" w:cs="Times New Roman"/>
          <w:color w:val="auto"/>
          <w:sz w:val="24"/>
          <w:highlight w:val="none"/>
        </w:rPr>
      </w:pPr>
    </w:p>
    <w:p w14:paraId="07338102">
      <w:pPr>
        <w:pageBreakBefore w:val="0"/>
        <w:kinsoku/>
        <w:wordWrap w:val="0"/>
        <w:bidi w:val="0"/>
        <w:spacing w:line="400" w:lineRule="atLeast"/>
        <w:ind w:firstLine="4740" w:firstLineChars="1975"/>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年</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月</w:t>
      </w:r>
      <w:r>
        <w:rPr>
          <w:rFonts w:hint="default" w:ascii="Times New Roman" w:hAnsi="Times New Roman" w:cs="Times New Roman"/>
          <w:color w:val="auto"/>
          <w:sz w:val="24"/>
          <w:highlight w:val="none"/>
          <w:u w:val="single"/>
        </w:rPr>
        <w:t xml:space="preserve">       </w:t>
      </w:r>
      <w:r>
        <w:rPr>
          <w:rFonts w:hint="default" w:ascii="Times New Roman" w:hAnsi="Times New Roman" w:cs="Times New Roman"/>
          <w:color w:val="auto"/>
          <w:sz w:val="24"/>
          <w:highlight w:val="none"/>
        </w:rPr>
        <w:t>日</w:t>
      </w:r>
      <w:r>
        <w:rPr>
          <w:rFonts w:hint="default" w:ascii="Times New Roman" w:hAnsi="Times New Roman" w:cs="Times New Roman"/>
          <w:color w:val="auto"/>
          <w:sz w:val="24"/>
          <w:highlight w:val="none"/>
        </w:rPr>
        <w:br w:type="page"/>
      </w:r>
    </w:p>
    <w:p w14:paraId="164F4723">
      <w:pPr>
        <w:pStyle w:val="2"/>
        <w:pageBreakBefore w:val="0"/>
        <w:kinsoku/>
        <w:wordWrap w:val="0"/>
        <w:bidi w:val="0"/>
        <w:spacing w:before="360" w:beforeLines="150" w:after="240" w:afterLines="100" w:line="380" w:lineRule="atLeast"/>
        <w:jc w:val="center"/>
        <w:outlineLvl w:val="1"/>
        <w:rPr>
          <w:rFonts w:hint="default" w:ascii="Times New Roman" w:hAnsi="Times New Roman" w:eastAsia="黑体" w:cs="Times New Roman"/>
          <w:b w:val="0"/>
          <w:color w:val="auto"/>
          <w:sz w:val="28"/>
          <w:szCs w:val="28"/>
          <w:highlight w:val="none"/>
        </w:rPr>
      </w:pPr>
      <w:bookmarkStart w:id="1988" w:name="_Toc14806"/>
      <w:bookmarkStart w:id="1989" w:name="_Toc9477"/>
      <w:bookmarkStart w:id="1990" w:name="_Toc27163"/>
      <w:bookmarkStart w:id="1991" w:name="_Toc234833263"/>
      <w:r>
        <w:rPr>
          <w:rFonts w:hint="default" w:ascii="Times New Roman" w:hAnsi="Times New Roman" w:eastAsia="黑体" w:cs="Times New Roman"/>
          <w:b w:val="0"/>
          <w:color w:val="auto"/>
          <w:sz w:val="28"/>
          <w:szCs w:val="28"/>
          <w:highlight w:val="none"/>
        </w:rPr>
        <w:t>二、已标价工程量清单</w:t>
      </w:r>
      <w:bookmarkEnd w:id="1988"/>
      <w:bookmarkEnd w:id="1989"/>
      <w:bookmarkEnd w:id="1990"/>
      <w:bookmarkEnd w:id="1991"/>
    </w:p>
    <w:p w14:paraId="406A6F62">
      <w:pPr>
        <w:pageBreakBefore w:val="0"/>
        <w:kinsoku/>
        <w:wordWrap w:val="0"/>
        <w:bidi w:val="0"/>
        <w:spacing w:line="440" w:lineRule="exact"/>
        <w:rPr>
          <w:rFonts w:hint="default" w:ascii="Times New Roman" w:hAnsi="Times New Roman" w:eastAsia="黑体" w:cs="Times New Roman"/>
          <w:color w:val="auto"/>
          <w:sz w:val="24"/>
          <w:highlight w:val="none"/>
        </w:rPr>
      </w:pPr>
    </w:p>
    <w:p w14:paraId="61ABA328">
      <w:pPr>
        <w:pageBreakBefore w:val="0"/>
        <w:kinsoku/>
        <w:wordWrap w:val="0"/>
        <w:bidi w:val="0"/>
        <w:spacing w:line="440" w:lineRule="exact"/>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投标人应按照第五章</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工程量清单</w:t>
      </w:r>
      <w:r>
        <w:rPr>
          <w:rFonts w:hint="eastAsia" w:ascii="宋体" w:hAnsi="宋体" w:eastAsia="宋体" w:cs="宋体"/>
          <w:color w:val="auto"/>
          <w:sz w:val="24"/>
          <w:highlight w:val="none"/>
        </w:rPr>
        <w:t>”</w:t>
      </w:r>
      <w:r>
        <w:rPr>
          <w:rFonts w:hint="default" w:ascii="Times New Roman" w:hAnsi="Times New Roman" w:cs="Times New Roman"/>
          <w:color w:val="auto"/>
          <w:sz w:val="24"/>
          <w:highlight w:val="none"/>
        </w:rPr>
        <w:t>的要求逐项填报工程量清单，包括工程量清单说明、投标报价说明、计日工说明、其他说明及工程量清单各项表格（工程量清单表5.1～表5.5）。</w:t>
      </w:r>
    </w:p>
    <w:p w14:paraId="3F49E51D">
      <w:pPr>
        <w:pStyle w:val="2"/>
        <w:pageBreakBefore w:val="0"/>
        <w:kinsoku/>
        <w:wordWrap w:val="0"/>
        <w:bidi w:val="0"/>
        <w:spacing w:before="0" w:after="0" w:line="380" w:lineRule="atLeast"/>
        <w:jc w:val="center"/>
        <w:outlineLvl w:val="1"/>
        <w:rPr>
          <w:rFonts w:hint="default" w:ascii="Times New Roman" w:hAnsi="Times New Roman" w:eastAsia="黑体" w:cs="Times New Roman"/>
          <w:b w:val="0"/>
          <w:color w:val="auto"/>
          <w:sz w:val="28"/>
          <w:szCs w:val="28"/>
          <w:highlight w:val="none"/>
        </w:rPr>
      </w:pPr>
      <w:r>
        <w:rPr>
          <w:rFonts w:hint="default" w:ascii="Times New Roman" w:hAnsi="Times New Roman" w:eastAsia="黑体" w:cs="Times New Roman"/>
          <w:color w:val="auto"/>
          <w:sz w:val="24"/>
          <w:highlight w:val="none"/>
        </w:rPr>
        <w:br w:type="page"/>
      </w:r>
      <w:bookmarkStart w:id="1992" w:name="_Toc6563"/>
      <w:bookmarkStart w:id="1993" w:name="_Toc25809"/>
      <w:bookmarkStart w:id="1994" w:name="_Toc933"/>
      <w:bookmarkStart w:id="1995" w:name="_Toc234833274"/>
      <w:r>
        <w:rPr>
          <w:rFonts w:hint="default" w:ascii="Times New Roman" w:hAnsi="Times New Roman" w:eastAsia="黑体" w:cs="Times New Roman"/>
          <w:b w:val="0"/>
          <w:color w:val="auto"/>
          <w:sz w:val="28"/>
          <w:szCs w:val="28"/>
          <w:highlight w:val="none"/>
        </w:rPr>
        <w:t>三、合同用款估算表</w:t>
      </w:r>
      <w:bookmarkEnd w:id="1992"/>
      <w:bookmarkEnd w:id="1993"/>
      <w:bookmarkEnd w:id="1994"/>
      <w:bookmarkEnd w:id="1995"/>
    </w:p>
    <w:p w14:paraId="1399C445">
      <w:pPr>
        <w:pStyle w:val="80"/>
        <w:pageBreakBefore w:val="0"/>
        <w:kinsoku/>
        <w:wordWrap w:val="0"/>
        <w:bidi w:val="0"/>
        <w:snapToGrid w:val="0"/>
        <w:spacing w:before="0" w:after="0" w:line="400" w:lineRule="atLeast"/>
        <w:jc w:val="center"/>
        <w:rPr>
          <w:rFonts w:hint="default" w:ascii="Times New Roman" w:hAnsi="Times New Roman" w:cs="Times New Roman"/>
          <w:b w:val="0"/>
          <w:color w:val="auto"/>
          <w:highlight w:val="none"/>
        </w:rPr>
      </w:pPr>
    </w:p>
    <w:tbl>
      <w:tblPr>
        <w:tblStyle w:val="39"/>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2025"/>
        <w:gridCol w:w="1547"/>
        <w:gridCol w:w="1548"/>
        <w:gridCol w:w="1548"/>
        <w:gridCol w:w="1548"/>
      </w:tblGrid>
      <w:tr w14:paraId="3C73F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vMerge w:val="restart"/>
            <w:tcBorders>
              <w:bottom w:val="nil"/>
              <w:right w:val="single" w:color="auto" w:sz="6" w:space="0"/>
            </w:tcBorders>
            <w:noWrap w:val="0"/>
            <w:vAlign w:val="center"/>
          </w:tcPr>
          <w:p w14:paraId="05D8AC1B">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从开工月算起的时间</w:t>
            </w:r>
          </w:p>
          <w:p w14:paraId="7076F049">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（月）</w:t>
            </w:r>
          </w:p>
        </w:tc>
        <w:tc>
          <w:tcPr>
            <w:tcW w:w="6191" w:type="dxa"/>
            <w:gridSpan w:val="4"/>
            <w:tcBorders>
              <w:left w:val="single" w:color="auto" w:sz="6" w:space="0"/>
            </w:tcBorders>
            <w:noWrap w:val="0"/>
            <w:vAlign w:val="center"/>
          </w:tcPr>
          <w:p w14:paraId="389299F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投标人的估算</w:t>
            </w:r>
          </w:p>
        </w:tc>
      </w:tr>
      <w:tr w14:paraId="2562D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vMerge w:val="continue"/>
            <w:tcBorders>
              <w:top w:val="nil"/>
              <w:bottom w:val="nil"/>
              <w:right w:val="single" w:color="auto" w:sz="6" w:space="0"/>
            </w:tcBorders>
            <w:noWrap w:val="0"/>
            <w:vAlign w:val="center"/>
          </w:tcPr>
          <w:p w14:paraId="79E1105B">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3095" w:type="dxa"/>
            <w:gridSpan w:val="2"/>
            <w:tcBorders>
              <w:top w:val="single" w:color="auto" w:sz="4" w:space="0"/>
              <w:left w:val="single" w:color="auto" w:sz="6" w:space="0"/>
              <w:bottom w:val="single" w:color="auto" w:sz="6" w:space="0"/>
              <w:right w:val="single" w:color="auto" w:sz="6" w:space="0"/>
            </w:tcBorders>
            <w:noWrap w:val="0"/>
            <w:vAlign w:val="center"/>
          </w:tcPr>
          <w:p w14:paraId="1B09BB8B">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分     期</w:t>
            </w:r>
          </w:p>
        </w:tc>
        <w:tc>
          <w:tcPr>
            <w:tcW w:w="3096" w:type="dxa"/>
            <w:gridSpan w:val="2"/>
            <w:tcBorders>
              <w:left w:val="single" w:color="auto" w:sz="6" w:space="0"/>
            </w:tcBorders>
            <w:noWrap w:val="0"/>
            <w:vAlign w:val="center"/>
          </w:tcPr>
          <w:p w14:paraId="59666A5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累     计</w:t>
            </w:r>
          </w:p>
        </w:tc>
      </w:tr>
      <w:tr w14:paraId="7DD3D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vMerge w:val="continue"/>
            <w:tcBorders>
              <w:top w:val="nil"/>
              <w:right w:val="single" w:color="auto" w:sz="6" w:space="0"/>
            </w:tcBorders>
            <w:noWrap w:val="0"/>
            <w:vAlign w:val="center"/>
          </w:tcPr>
          <w:p w14:paraId="2AE4685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7" w:type="dxa"/>
            <w:tcBorders>
              <w:top w:val="single" w:color="auto" w:sz="6" w:space="0"/>
              <w:left w:val="single" w:color="auto" w:sz="6" w:space="0"/>
            </w:tcBorders>
            <w:noWrap w:val="0"/>
            <w:vAlign w:val="center"/>
          </w:tcPr>
          <w:p w14:paraId="17DFF8B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金额（元）</w:t>
            </w:r>
          </w:p>
        </w:tc>
        <w:tc>
          <w:tcPr>
            <w:tcW w:w="1548" w:type="dxa"/>
            <w:tcBorders>
              <w:top w:val="single" w:color="auto" w:sz="6" w:space="0"/>
            </w:tcBorders>
            <w:noWrap w:val="0"/>
            <w:vAlign w:val="center"/>
          </w:tcPr>
          <w:p w14:paraId="7533B73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548" w:type="dxa"/>
            <w:noWrap w:val="0"/>
            <w:vAlign w:val="center"/>
          </w:tcPr>
          <w:p w14:paraId="54FB869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金额（元）</w:t>
            </w:r>
          </w:p>
        </w:tc>
        <w:tc>
          <w:tcPr>
            <w:tcW w:w="1548" w:type="dxa"/>
            <w:noWrap w:val="0"/>
            <w:vAlign w:val="center"/>
          </w:tcPr>
          <w:p w14:paraId="3BDDADF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r>
      <w:tr w14:paraId="4A0BA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201469E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第一次开工预付款</w:t>
            </w:r>
          </w:p>
        </w:tc>
        <w:tc>
          <w:tcPr>
            <w:tcW w:w="1547" w:type="dxa"/>
            <w:noWrap w:val="0"/>
            <w:vAlign w:val="center"/>
          </w:tcPr>
          <w:p w14:paraId="3A4A62C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621374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63C93EB7">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7F55ADE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1A9F6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45987BD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 ~ 3</w:t>
            </w:r>
          </w:p>
        </w:tc>
        <w:tc>
          <w:tcPr>
            <w:tcW w:w="1547" w:type="dxa"/>
            <w:noWrap w:val="0"/>
            <w:vAlign w:val="center"/>
          </w:tcPr>
          <w:p w14:paraId="6D6963D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5B9457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71DAE6C">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6B80B8B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502FD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48C4DA2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4 ~ 6</w:t>
            </w:r>
          </w:p>
        </w:tc>
        <w:tc>
          <w:tcPr>
            <w:tcW w:w="1547" w:type="dxa"/>
            <w:noWrap w:val="0"/>
            <w:vAlign w:val="center"/>
          </w:tcPr>
          <w:p w14:paraId="66AD55D9">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65F0844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1EF77E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7D07CCF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0A9E6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009B9D2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7 ~ 9</w:t>
            </w:r>
          </w:p>
        </w:tc>
        <w:tc>
          <w:tcPr>
            <w:tcW w:w="1547" w:type="dxa"/>
            <w:noWrap w:val="0"/>
            <w:vAlign w:val="center"/>
          </w:tcPr>
          <w:p w14:paraId="5300E13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0230F67">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647D4B2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1E07902">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71424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64EA3824">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 ~ 12</w:t>
            </w:r>
          </w:p>
        </w:tc>
        <w:tc>
          <w:tcPr>
            <w:tcW w:w="1547" w:type="dxa"/>
            <w:noWrap w:val="0"/>
            <w:vAlign w:val="center"/>
          </w:tcPr>
          <w:p w14:paraId="010DABE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3B613D8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0E42A5C">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FFFC9C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00D34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56F3CEA4">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13 ~ 15</w:t>
            </w:r>
          </w:p>
        </w:tc>
        <w:tc>
          <w:tcPr>
            <w:tcW w:w="1547" w:type="dxa"/>
            <w:noWrap w:val="0"/>
            <w:vAlign w:val="center"/>
          </w:tcPr>
          <w:p w14:paraId="260335E0">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E7C226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876C959">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D44E5CB">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5CDE9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73A706E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547" w:type="dxa"/>
            <w:noWrap w:val="0"/>
            <w:vAlign w:val="center"/>
          </w:tcPr>
          <w:p w14:paraId="4F4363C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9D7C90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76A1AA32">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08C73128">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67577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2A950BB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w:t>
            </w:r>
          </w:p>
        </w:tc>
        <w:tc>
          <w:tcPr>
            <w:tcW w:w="1547" w:type="dxa"/>
            <w:noWrap w:val="0"/>
            <w:vAlign w:val="center"/>
          </w:tcPr>
          <w:p w14:paraId="12C8181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902B9F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779836B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F49C21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6AEE2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021F6A5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7" w:type="dxa"/>
            <w:noWrap w:val="0"/>
            <w:vAlign w:val="center"/>
          </w:tcPr>
          <w:p w14:paraId="45FAEDF5">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D64F67A">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2B255DAD">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7DF32FC7">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0B761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68E36CE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缺陷责任期</w:t>
            </w:r>
          </w:p>
        </w:tc>
        <w:tc>
          <w:tcPr>
            <w:tcW w:w="1547" w:type="dxa"/>
            <w:noWrap w:val="0"/>
            <w:vAlign w:val="center"/>
          </w:tcPr>
          <w:p w14:paraId="3242A3F3">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F79A9D6">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3F60AF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5232C951">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00600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Pr>
        <w:tc>
          <w:tcPr>
            <w:tcW w:w="2653" w:type="dxa"/>
            <w:gridSpan w:val="2"/>
            <w:noWrap w:val="0"/>
            <w:vAlign w:val="center"/>
          </w:tcPr>
          <w:p w14:paraId="37878DEC">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小      计</w:t>
            </w:r>
          </w:p>
        </w:tc>
        <w:tc>
          <w:tcPr>
            <w:tcW w:w="1547" w:type="dxa"/>
            <w:noWrap w:val="0"/>
            <w:vAlign w:val="center"/>
          </w:tcPr>
          <w:p w14:paraId="15FA6662">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44D96D5F">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100.00</w:t>
            </w:r>
          </w:p>
        </w:tc>
        <w:tc>
          <w:tcPr>
            <w:tcW w:w="1548" w:type="dxa"/>
            <w:noWrap w:val="0"/>
            <w:vAlign w:val="center"/>
          </w:tcPr>
          <w:p w14:paraId="338B31E2">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c>
          <w:tcPr>
            <w:tcW w:w="1548" w:type="dxa"/>
            <w:noWrap w:val="0"/>
            <w:vAlign w:val="center"/>
          </w:tcPr>
          <w:p w14:paraId="175C186E">
            <w:pPr>
              <w:pageBreakBefore w:val="0"/>
              <w:kinsoku/>
              <w:wordWrap w:val="0"/>
              <w:bidi w:val="0"/>
              <w:snapToGrid w:val="0"/>
              <w:spacing w:before="60" w:beforeLines="25" w:after="60" w:afterLines="25" w:line="400" w:lineRule="atLeast"/>
              <w:jc w:val="center"/>
              <w:rPr>
                <w:rFonts w:hint="default" w:ascii="Times New Roman" w:hAnsi="Times New Roman" w:cs="Times New Roman"/>
                <w:color w:val="auto"/>
                <w:szCs w:val="21"/>
                <w:highlight w:val="none"/>
              </w:rPr>
            </w:pPr>
          </w:p>
        </w:tc>
      </w:tr>
      <w:tr w14:paraId="729C9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8844" w:type="dxa"/>
            <w:gridSpan w:val="6"/>
            <w:noWrap w:val="0"/>
            <w:vAlign w:val="center"/>
          </w:tcPr>
          <w:p w14:paraId="38D7E11F">
            <w:pPr>
              <w:pStyle w:val="26"/>
              <w:pageBreakBefore w:val="0"/>
              <w:tabs>
                <w:tab w:val="clear" w:pos="4153"/>
                <w:tab w:val="clear" w:pos="8306"/>
              </w:tabs>
              <w:kinsoku/>
              <w:wordWrap w:val="0"/>
              <w:bidi w:val="0"/>
              <w:spacing w:before="60" w:beforeLines="25" w:after="60" w:afterLines="25" w:line="400" w:lineRule="atLeas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投标价：</w:t>
            </w:r>
          </w:p>
        </w:tc>
      </w:tr>
      <w:tr w14:paraId="3A223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62" w:hRule="atLeast"/>
        </w:trPr>
        <w:tc>
          <w:tcPr>
            <w:tcW w:w="628" w:type="dxa"/>
            <w:noWrap w:val="0"/>
            <w:vAlign w:val="center"/>
          </w:tcPr>
          <w:p w14:paraId="51083589">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说</w:t>
            </w:r>
          </w:p>
          <w:p w14:paraId="1B7DE155">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3B77BB91">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4E45BF24">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65117BF4">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明</w:t>
            </w:r>
          </w:p>
        </w:tc>
        <w:tc>
          <w:tcPr>
            <w:tcW w:w="8216" w:type="dxa"/>
            <w:gridSpan w:val="5"/>
            <w:noWrap w:val="0"/>
            <w:vAlign w:val="center"/>
          </w:tcPr>
          <w:p w14:paraId="5AC97E3F">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756E5A8A">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p w14:paraId="16C10FAE">
            <w:pPr>
              <w:pageBreakBefore w:val="0"/>
              <w:kinsoku/>
              <w:wordWrap w:val="0"/>
              <w:bidi w:val="0"/>
              <w:snapToGrid w:val="0"/>
              <w:spacing w:line="400" w:lineRule="atLeast"/>
              <w:jc w:val="center"/>
              <w:rPr>
                <w:rFonts w:hint="default" w:ascii="Times New Roman" w:hAnsi="Times New Roman" w:cs="Times New Roman"/>
                <w:color w:val="auto"/>
                <w:szCs w:val="21"/>
                <w:highlight w:val="none"/>
              </w:rPr>
            </w:pPr>
          </w:p>
        </w:tc>
      </w:tr>
    </w:tbl>
    <w:p w14:paraId="1CCBA73A">
      <w:pPr>
        <w:pageBreakBefore w:val="0"/>
        <w:kinsoku/>
        <w:wordWrap w:val="0"/>
        <w:bidi w:val="0"/>
        <w:snapToGrid w:val="0"/>
        <w:spacing w:line="340" w:lineRule="atLeast"/>
        <w:ind w:left="894" w:leftChars="100" w:hanging="684" w:hangingChars="326"/>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注：1.投标人可按工程进度估算并填写本表。</w:t>
      </w:r>
    </w:p>
    <w:p w14:paraId="09B18DA7">
      <w:pPr>
        <w:pageBreakBefore w:val="0"/>
        <w:kinsoku/>
        <w:wordWrap w:val="0"/>
        <w:bidi w:val="0"/>
        <w:spacing w:line="340" w:lineRule="atLeast"/>
        <w:ind w:left="865" w:leftChars="286" w:right="-334" w:rightChars="-159" w:hanging="264" w:hangingChars="126"/>
        <w:rPr>
          <w:rFonts w:hint="default" w:ascii="Times New Roman" w:hAnsi="Times New Roman" w:eastAsia="黑体" w:cs="Times New Roman"/>
          <w:color w:val="auto"/>
          <w:szCs w:val="21"/>
          <w:highlight w:val="none"/>
        </w:rPr>
      </w:pPr>
      <w:r>
        <w:rPr>
          <w:rFonts w:hint="default" w:ascii="Times New Roman" w:hAnsi="Times New Roman" w:cs="Times New Roman"/>
          <w:color w:val="auto"/>
          <w:szCs w:val="21"/>
          <w:highlight w:val="none"/>
        </w:rPr>
        <w:t>2.用款额按所报单价和总额价估算，不包括价格调整和暂列金额、暂估价，但应考虑开工预付款的扣回以及签发付款证书后到实际支付的时间间隔。</w:t>
      </w:r>
    </w:p>
    <w:p w14:paraId="7D75B0D2">
      <w:pPr>
        <w:pageBreakBefore w:val="0"/>
        <w:kinsoku/>
        <w:wordWrap w:val="0"/>
        <w:bidi w:val="0"/>
        <w:spacing w:line="400" w:lineRule="atLeast"/>
        <w:ind w:firstLine="480" w:firstLineChars="200"/>
        <w:rPr>
          <w:rFonts w:hint="default" w:ascii="Times New Roman" w:hAnsi="Times New Roman" w:cs="Times New Roman"/>
          <w:color w:val="auto"/>
          <w:sz w:val="24"/>
          <w:highlight w:val="none"/>
        </w:rPr>
      </w:pPr>
    </w:p>
    <w:sectPr>
      <w:footnotePr>
        <w:numFmt w:val="decimalEnclosedCircleChinese"/>
        <w:numRestart w:val="eachPage"/>
      </w:footnotePr>
      <w:pgSz w:w="11906" w:h="16838"/>
      <w:pgMar w:top="1984"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759A5C7-F4DD-4F61-8107-67285EEA9ADF}"/>
  </w:font>
  <w:font w:name="黑体">
    <w:panose1 w:val="02010609060101010101"/>
    <w:charset w:val="86"/>
    <w:family w:val="auto"/>
    <w:pitch w:val="default"/>
    <w:sig w:usb0="800002BF" w:usb1="38CF7CFA" w:usb2="00000016" w:usb3="00000000" w:csb0="00040001" w:csb1="00000000"/>
    <w:embedRegular r:id="rId2" w:fontKey="{8E164055-A0AE-4D59-84A3-78413985811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85EEE804-03C9-46F8-BDA7-90D637AA3DBB}"/>
  </w:font>
  <w:font w:name="Calibri">
    <w:panose1 w:val="020F0502020204030204"/>
    <w:charset w:val="00"/>
    <w:family w:val="swiss"/>
    <w:pitch w:val="default"/>
    <w:sig w:usb0="E00002FF" w:usb1="4000ACFF" w:usb2="00000001" w:usb3="00000000" w:csb0="2000019F" w:csb1="00000000"/>
    <w:embedRegular r:id="rId4" w:fontKey="{5424EBC3-6A49-433D-B613-28999FF31397}"/>
  </w:font>
  <w:font w:name="仿宋_GB2312">
    <w:altName w:val="仿宋"/>
    <w:panose1 w:val="02010609030101010101"/>
    <w:charset w:val="86"/>
    <w:family w:val="modern"/>
    <w:pitch w:val="default"/>
    <w:sig w:usb0="00000000" w:usb1="00000000" w:usb2="00000000" w:usb3="00000000" w:csb0="00040000" w:csb1="00000000"/>
    <w:embedRegular r:id="rId5" w:fontKey="{008703BB-855A-47E7-894C-5996B59E3367}"/>
  </w:font>
  <w:font w:name="仿宋">
    <w:panose1 w:val="02010609060101010101"/>
    <w:charset w:val="86"/>
    <w:family w:val="auto"/>
    <w:pitch w:val="default"/>
    <w:sig w:usb0="800002BF" w:usb1="38CF7CFA" w:usb2="00000016" w:usb3="00000000" w:csb0="00040001" w:csb1="00000000"/>
    <w:embedRegular r:id="rId6" w:fontKey="{66DAF148-D067-4BDB-9D6F-0D1B25182728}"/>
  </w:font>
  <w:font w:name="楷体">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embedRegular r:id="rId7" w:fontKey="{A1FBFD37-08C9-4865-8CDB-2CB70E7CA2BF}"/>
  </w:font>
  <w:font w:name="宋体-18030">
    <w:altName w:val="宋体"/>
    <w:panose1 w:val="00000000000000000000"/>
    <w:charset w:val="86"/>
    <w:family w:val="modern"/>
    <w:pitch w:val="default"/>
    <w:sig w:usb0="00000000" w:usb1="00000000" w:usb2="000A005E" w:usb3="00000000" w:csb0="00040001" w:csb1="00000000"/>
    <w:embedRegular r:id="rId8" w:fontKey="{8B1E0E20-8DF4-4A5B-94D9-3E7C44E63222}"/>
  </w:font>
  <w:font w:name="MS Gothic">
    <w:panose1 w:val="020B0609070205080204"/>
    <w:charset w:val="80"/>
    <w:family w:val="modern"/>
    <w:pitch w:val="default"/>
    <w:sig w:usb0="E00002FF" w:usb1="6AC7FDFB" w:usb2="00000012" w:usb3="00000000" w:csb0="4002009F" w:csb1="DFD70000"/>
    <w:embedRegular r:id="rId9" w:fontKey="{68210FF1-E70E-4891-8431-E990AB775F8E}"/>
  </w:font>
  <w:font w:name="隶书">
    <w:panose1 w:val="02010509060101010101"/>
    <w:charset w:val="86"/>
    <w:family w:val="modern"/>
    <w:pitch w:val="default"/>
    <w:sig w:usb0="00000001" w:usb1="080E0000" w:usb2="00000000" w:usb3="00000000" w:csb0="00040000" w:csb1="00000000"/>
    <w:embedRegular r:id="rId10" w:fontKey="{D658631A-1E21-4C0B-B8A6-DBA618C52C10}"/>
  </w:font>
  <w:font w:name="华文隶书">
    <w:panose1 w:val="02010800040101010101"/>
    <w:charset w:val="86"/>
    <w:family w:val="auto"/>
    <w:pitch w:val="default"/>
    <w:sig w:usb0="00000001" w:usb1="080F0000" w:usb2="00000000" w:usb3="00000000" w:csb0="00040000" w:csb1="00000000"/>
    <w:embedRegular r:id="rId11" w:fontKey="{E93826C7-A009-488B-A198-48001AE32BED}"/>
  </w:font>
  <w:font w:name="宋体 ，Arial">
    <w:altName w:val="宋体"/>
    <w:panose1 w:val="00000000000000000000"/>
    <w:charset w:val="86"/>
    <w:family w:val="roman"/>
    <w:pitch w:val="default"/>
    <w:sig w:usb0="00000000" w:usb1="00000000" w:usb2="00000010" w:usb3="00000000" w:csb0="00040000" w:csb1="00000000"/>
    <w:embedRegular r:id="rId12" w:fontKey="{59E76BAD-3099-4110-9D3B-5B9EA723D649}"/>
  </w:font>
  <w:font w:name="Roman">
    <w:altName w:val="Times New Roman"/>
    <w:panose1 w:val="00000000000000000000"/>
    <w:charset w:val="00"/>
    <w:family w:val="roman"/>
    <w:pitch w:val="default"/>
    <w:sig w:usb0="00000000" w:usb1="00000000" w:usb2="00000000" w:usb3="00000000" w:csb0="00000000" w:csb1="00000000"/>
  </w:font>
  <w:font w:name="WPSEMBED1">
    <w:panose1 w:val="02010509060101010101"/>
    <w:charset w:val="86"/>
    <w:family w:val="auto"/>
    <w:pitch w:val="default"/>
    <w:sig w:usb0="00000001" w:usb1="080E0000" w:usb2="00000000" w:usb3="00000000" w:csb0="00040000" w:csb1="00000000"/>
  </w:font>
  <w:font w:name="WPSEMBED2">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8024E">
    <w:pPr>
      <w:pStyle w:val="26"/>
      <w:spacing w:line="240" w:lineRule="exact"/>
      <w:ind w:right="360" w:firstLine="360"/>
      <w:rPr>
        <w:rFonts w:hint="eastAsia" w:eastAsia="黑体"/>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F5C9C">
                          <w:pPr>
                            <w:pStyle w:val="26"/>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7F5C9C">
                    <w:pPr>
                      <w:pStyle w:val="26"/>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FBADA">
    <w:pPr>
      <w:pStyle w:val="26"/>
      <w:rPr>
        <w:rStyle w:val="43"/>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9E6CC">
                          <w:pPr>
                            <w:pStyle w:val="2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529E6CC">
                    <w:pPr>
                      <w:pStyle w:val="26"/>
                    </w:pPr>
                    <w:r>
                      <w:fldChar w:fldCharType="begin"/>
                    </w:r>
                    <w:r>
                      <w:instrText xml:space="preserve"> PAGE  \* MERGEFORMAT </w:instrText>
                    </w:r>
                    <w:r>
                      <w:fldChar w:fldCharType="separate"/>
                    </w:r>
                    <w:r>
                      <w:t>8</w:t>
                    </w:r>
                    <w:r>
                      <w:fldChar w:fldCharType="end"/>
                    </w:r>
                  </w:p>
                </w:txbxContent>
              </v:textbox>
            </v:shape>
          </w:pict>
        </mc:Fallback>
      </mc:AlternateContent>
    </w:r>
  </w:p>
  <w:p w14:paraId="697D4092">
    <w:pPr>
      <w:pStyle w:val="26"/>
      <w:spacing w:line="240" w:lineRule="exact"/>
      <w:ind w:right="360" w:firstLine="360"/>
      <w:jc w:val="center"/>
      <w:rPr>
        <w:rFonts w:hint="eastAsia" w:eastAsia="黑体"/>
        <w:sz w:val="17"/>
        <w:szCs w:val="17"/>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7DB7E">
    <w:pPr>
      <w:pStyle w:val="26"/>
      <w:ind w:right="360"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926EC4">
                          <w:pPr>
                            <w:pStyle w:val="2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A926EC4">
                    <w:pPr>
                      <w:pStyle w:val="2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5C387">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558E6">
                          <w:pPr>
                            <w:pStyle w:val="2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3558E6">
                    <w:pPr>
                      <w:pStyle w:val="26"/>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82C6A">
    <w:pPr>
      <w:pStyle w:val="26"/>
      <w:ind w:right="360" w:firstLine="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30F3D1">
                          <w:pPr>
                            <w:pStyle w:val="2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1030F3D1">
                    <w:pPr>
                      <w:pStyle w:val="2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866808">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546F8">
                          <w:pPr>
                            <w:pStyle w:val="26"/>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2B546F8">
                    <w:pPr>
                      <w:pStyle w:val="26"/>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675B4">
    <w:pPr>
      <w:pStyle w:val="26"/>
      <w:ind w:right="360" w:firstLine="36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C830B0">
                          <w:pPr>
                            <w:pStyle w:val="2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EC830B0">
                    <w:pPr>
                      <w:pStyle w:val="2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41FB6">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6195D8">
                          <w:pPr>
                            <w:pStyle w:val="2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16195D8">
                    <w:pPr>
                      <w:pStyle w:val="2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A66D8">
    <w:pPr>
      <w:pStyle w:val="26"/>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3810A0">
                          <w:pPr>
                            <w:pStyle w:val="26"/>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3810A0">
                    <w:pPr>
                      <w:pStyle w:val="26"/>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D2736">
    <w:pPr>
      <w:pStyle w:val="26"/>
      <w:ind w:right="360" w:firstLine="360"/>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846C4">
                          <w:pPr>
                            <w:pStyle w:val="26"/>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5F6846C4">
                    <w:pPr>
                      <w:pStyle w:val="26"/>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2F5DD">
    <w:pPr>
      <w:spacing w:line="230" w:lineRule="auto"/>
      <w:ind w:left="4106"/>
      <w:rPr>
        <w:rFonts w:ascii="宋体" w:hAnsi="宋体" w:eastAsia="宋体" w:cs="宋体"/>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6DB6F8">
                          <w:pPr>
                            <w:pStyle w:val="26"/>
                          </w:pPr>
                          <w:r>
                            <w:fldChar w:fldCharType="begin"/>
                          </w:r>
                          <w:r>
                            <w:instrText xml:space="preserve"> PAGE  \* MERGEFORMAT </w:instrText>
                          </w:r>
                          <w:r>
                            <w:fldChar w:fldCharType="separate"/>
                          </w:r>
                          <w:r>
                            <w:t>211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E6DB6F8">
                    <w:pPr>
                      <w:pStyle w:val="26"/>
                    </w:pPr>
                    <w:r>
                      <w:fldChar w:fldCharType="begin"/>
                    </w:r>
                    <w:r>
                      <w:instrText xml:space="preserve"> PAGE  \* MERGEFORMAT </w:instrText>
                    </w:r>
                    <w:r>
                      <w:fldChar w:fldCharType="separate"/>
                    </w:r>
                    <w:r>
                      <w:t>211</w:t>
                    </w:r>
                    <w:r>
                      <w:fldChar w:fldCharType="end"/>
                    </w:r>
                  </w:p>
                </w:txbxContent>
              </v:textbox>
            </v:shape>
          </w:pict>
        </mc:Fallback>
      </mc:AlternateContent>
    </w:r>
    <w:r>
      <w:rPr>
        <w:rFonts w:ascii="宋体" w:hAnsi="宋体" w:eastAsia="宋体" w:cs="宋体"/>
        <w:spacing w:val="-7"/>
        <w:sz w:val="18"/>
        <w:szCs w:val="18"/>
      </w:rPr>
      <w:t>141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C490">
    <w:pPr>
      <w:pStyle w:val="26"/>
      <w:tabs>
        <w:tab w:val="left" w:pos="1778"/>
      </w:tabs>
      <w:ind w:right="360" w:firstLine="360"/>
      <w:jc w:val="left"/>
      <w:rPr>
        <w:rFonts w:hint="eastAsia" w:eastAsia="宋体"/>
        <w:lang w:eastAsia="zh-CN"/>
      </w:rPr>
    </w:pPr>
    <w:r>
      <w:rPr>
        <w:rFonts w:hint="eastAsia"/>
        <w:lang w:eastAsia="zh-CN"/>
      </w:rPr>
      <w:tab/>
    </w:r>
    <w:r>
      <w:rPr>
        <w:rFonts w:hint="eastAsia"/>
        <w:lang w:eastAsia="zh-CN"/>
      </w:rP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8D575">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1B9A2">
                          <w:pPr>
                            <w:pStyle w:val="26"/>
                          </w:pPr>
                          <w:r>
                            <w:fldChar w:fldCharType="begin"/>
                          </w:r>
                          <w:r>
                            <w:instrText xml:space="preserve"> PAGE  \* MERGEFORMAT </w:instrText>
                          </w:r>
                          <w:r>
                            <w:fldChar w:fldCharType="separate"/>
                          </w:r>
                          <w:r>
                            <w:t>196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F01B9A2">
                    <w:pPr>
                      <w:pStyle w:val="26"/>
                    </w:pPr>
                    <w:r>
                      <w:fldChar w:fldCharType="begin"/>
                    </w:r>
                    <w:r>
                      <w:instrText xml:space="preserve"> PAGE  \* MERGEFORMAT </w:instrText>
                    </w:r>
                    <w:r>
                      <w:fldChar w:fldCharType="separate"/>
                    </w:r>
                    <w:r>
                      <w:t>196</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9CE3E">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EE2C0">
                          <w:pPr>
                            <w:pStyle w:val="26"/>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E0EE2C0">
                    <w:pPr>
                      <w:pStyle w:val="26"/>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993AC">
    <w:pPr>
      <w:pStyle w:val="26"/>
      <w:ind w:right="360" w:firstLine="36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77544">
                          <w:pPr>
                            <w:pStyle w:val="26"/>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7AA77544">
                    <w:pPr>
                      <w:pStyle w:val="26"/>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6A943">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3F35BB">
                          <w:pPr>
                            <w:pStyle w:val="26"/>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53F35BB">
                    <w:pPr>
                      <w:pStyle w:val="26"/>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52E4C">
    <w:pPr>
      <w:pStyle w:val="26"/>
      <w:spacing w:line="240" w:lineRule="exact"/>
      <w:ind w:right="360" w:firstLine="360"/>
      <w:jc w:val="center"/>
      <w:rPr>
        <w:rFonts w:eastAsia="黑体"/>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0B562">
                          <w:pPr>
                            <w:pStyle w:val="26"/>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14:paraId="1930B562">
                    <w:pPr>
                      <w:pStyle w:val="26"/>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B7C">
    <w:pPr>
      <w:pStyle w:val="26"/>
      <w:spacing w:line="240" w:lineRule="exact"/>
      <w:ind w:right="360" w:firstLine="360"/>
      <w:rPr>
        <w:rFonts w:hint="eastAsia" w:eastAsia="黑体"/>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5251F4">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1C5251F4">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F496B">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818BC">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7818BC">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93216">
    <w:pPr>
      <w:pStyle w:val="26"/>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5E86FE">
                          <w:pPr>
                            <w:pStyle w:val="26"/>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7F5E86FE">
                    <w:pPr>
                      <w:pStyle w:val="26"/>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06722">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206D6B">
                          <w:pPr>
                            <w:pStyle w:val="2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A206D6B">
                    <w:pPr>
                      <w:pStyle w:val="2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37EDD">
    <w:pPr>
      <w:pStyle w:val="26"/>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B3F01">
                          <w:pPr>
                            <w:pStyle w:val="2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1D4B3F01">
                    <w:pPr>
                      <w:pStyle w:val="2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44326">
    <w:pPr>
      <w:pStyle w:val="26"/>
      <w:spacing w:line="240" w:lineRule="exact"/>
      <w:ind w:right="360" w:firstLine="360"/>
      <w:jc w:val="center"/>
      <w:rPr>
        <w:rFonts w:hint="eastAsia" w:eastAsia="黑体"/>
        <w:sz w:val="17"/>
        <w:szCs w:val="17"/>
      </w:rPr>
    </w:pPr>
    <w:r>
      <w:rPr>
        <w:sz w:val="17"/>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65C48">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6365C48">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86DE1">
    <w:pPr>
      <w:pStyle w:val="26"/>
      <w:ind w:right="360" w:firstLine="36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AEBFD">
                          <w:pPr>
                            <w:pStyle w:val="2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2E3AEBFD">
                    <w:pPr>
                      <w:pStyle w:val="2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8">
    <w:p>
      <w:r>
        <w:separator/>
      </w:r>
    </w:p>
  </w:footnote>
  <w:footnote w:type="continuationSeparator" w:id="109">
    <w:p>
      <w:r>
        <w:continuationSeparator/>
      </w:r>
    </w:p>
  </w:footnote>
  <w:footnote w:id="0">
    <w:p w14:paraId="3552DEDF">
      <w:pPr>
        <w:pStyle w:val="30"/>
        <w:spacing w:line="300" w:lineRule="atLeast"/>
        <w:ind w:left="180" w:hanging="180" w:hangingChars="100"/>
        <w:jc w:val="both"/>
        <w:rPr>
          <w:rFonts w:hint="eastAsia"/>
          <w:szCs w:val="18"/>
        </w:rPr>
      </w:pPr>
      <w:r>
        <w:rPr>
          <w:rStyle w:val="47"/>
          <w:szCs w:val="18"/>
        </w:rPr>
        <w:footnoteRef/>
      </w:r>
      <w:r>
        <w:rPr>
          <w:rFonts w:hint="eastAsia"/>
          <w:szCs w:val="18"/>
        </w:rPr>
        <w:t xml:space="preserve"> 招标人可根据项目具体特点和实际需要对本章内容进行补充、细化，但应遵守有关法律法规、部门规章和行政规范性文件的规定。</w:t>
      </w:r>
    </w:p>
  </w:footnote>
  <w:footnote w:id="1">
    <w:p w14:paraId="1C9115AF">
      <w:pPr>
        <w:pStyle w:val="30"/>
        <w:spacing w:line="300" w:lineRule="atLeast"/>
        <w:ind w:left="180" w:hanging="180" w:hangingChars="100"/>
        <w:jc w:val="both"/>
        <w:rPr>
          <w:rFonts w:hint="eastAsia"/>
          <w:szCs w:val="18"/>
        </w:rPr>
      </w:pPr>
      <w:r>
        <w:rPr>
          <w:rStyle w:val="47"/>
        </w:rPr>
        <w:footnoteRef/>
      </w:r>
      <w:r>
        <w:t xml:space="preserve"> </w:t>
      </w:r>
      <w:r>
        <w:rPr>
          <w:rFonts w:hint="eastAsia"/>
          <w:szCs w:val="18"/>
        </w:rPr>
        <w:t>招标人应自招标文件开始发售之日起，将招标文件的关键内容上传至</w:t>
      </w:r>
      <w:r>
        <w:rPr>
          <w:rFonts w:hint="eastAsia"/>
          <w:szCs w:val="18"/>
          <w:lang w:val="en-US" w:eastAsia="zh-CN"/>
        </w:rPr>
        <w:t>电子交易平台和</w:t>
      </w:r>
      <w:r>
        <w:rPr>
          <w:rFonts w:hint="eastAsia"/>
          <w:szCs w:val="18"/>
        </w:rPr>
        <w:t>具有招标监督职责的交通运输主管部门政府网站，</w:t>
      </w:r>
      <w:r>
        <w:rPr>
          <w:rFonts w:hint="eastAsia"/>
          <w:szCs w:val="18"/>
          <w:lang w:val="en-US" w:eastAsia="zh-CN"/>
        </w:rPr>
        <w:t>公告</w:t>
      </w:r>
      <w:r>
        <w:rPr>
          <w:rFonts w:hint="eastAsia"/>
          <w:szCs w:val="18"/>
        </w:rPr>
        <w:t>内容</w:t>
      </w:r>
      <w:r>
        <w:rPr>
          <w:rFonts w:hint="eastAsia"/>
          <w:szCs w:val="18"/>
          <w:lang w:val="en-US" w:eastAsia="zh-CN"/>
        </w:rPr>
        <w:t>应当</w:t>
      </w:r>
      <w:r>
        <w:rPr>
          <w:rFonts w:hint="eastAsia"/>
          <w:szCs w:val="18"/>
        </w:rPr>
        <w:t>载明项目概况、投标人资格条件要求、评标办法、潜在投标人访问电子交易系统的网络地址和方法、异议受理联系人和招标监督部门投诉举报电话等信息，接受社会监督。招标人可将招标文件的关键内容全部载明在招标公告正文中，或作为招标公告的附件进行公开，或作为独立文件在网站上进行公开。</w:t>
      </w:r>
    </w:p>
  </w:footnote>
  <w:footnote w:id="2">
    <w:p w14:paraId="2A6BB01C">
      <w:pPr>
        <w:pStyle w:val="30"/>
        <w:snapToGrid/>
        <w:spacing w:line="300" w:lineRule="atLeast"/>
        <w:ind w:left="180" w:hanging="180" w:hangingChars="100"/>
        <w:jc w:val="both"/>
        <w:rPr>
          <w:rFonts w:hint="eastAsia"/>
          <w:szCs w:val="18"/>
        </w:rPr>
      </w:pPr>
      <w:r>
        <w:rPr>
          <w:rStyle w:val="47"/>
          <w:rFonts w:hint="eastAsia"/>
        </w:rPr>
        <w:footnoteRef/>
      </w:r>
      <w:r>
        <w:rPr>
          <w:rStyle w:val="47"/>
          <w:rFonts w:hint="eastAsia"/>
        </w:rPr>
        <w:t xml:space="preserve"> </w:t>
      </w:r>
      <w:r>
        <w:rPr>
          <w:rFonts w:hint="eastAsia"/>
          <w:szCs w:val="18"/>
        </w:rPr>
        <w:t>招标人不得在招投标过程中设置各类不合理限制和壁垒，不得存在</w:t>
      </w:r>
      <w:r>
        <w:rPr>
          <w:rFonts w:hint="eastAsia"/>
          <w:szCs w:val="18"/>
          <w:lang w:val="en-US" w:eastAsia="zh-CN"/>
        </w:rPr>
        <w:t>限制或变相限制符合准入条件的企业参与招投标采购活动</w:t>
      </w:r>
      <w:r>
        <w:rPr>
          <w:rFonts w:hint="eastAsia"/>
          <w:szCs w:val="18"/>
        </w:rPr>
        <w:t>。</w:t>
      </w:r>
    </w:p>
  </w:footnote>
  <w:footnote w:id="3">
    <w:p w14:paraId="04F81503">
      <w:pPr>
        <w:spacing w:line="320" w:lineRule="atLeast"/>
        <w:ind w:left="180" w:hanging="180" w:hangingChars="100"/>
        <w:rPr>
          <w:rFonts w:ascii="Times New Roman" w:hAnsi="Times New Roman" w:eastAsia="宋体" w:cs="Times New Roman"/>
          <w:szCs w:val="18"/>
        </w:rPr>
      </w:pPr>
      <w:r>
        <w:rPr>
          <w:rStyle w:val="47"/>
          <w:rFonts w:ascii="Times New Roman" w:hAnsi="Times New Roman" w:eastAsia="宋体" w:cs="Times New Roman"/>
          <w:bCs/>
          <w:kern w:val="0"/>
          <w:sz w:val="18"/>
          <w:szCs w:val="20"/>
        </w:rPr>
        <w:footnoteRef/>
      </w:r>
      <w:r>
        <w:rPr>
          <w:rFonts w:hint="eastAsia" w:ascii="Times New Roman" w:hAnsi="Times New Roman" w:eastAsia="宋体" w:cs="Times New Roman"/>
          <w:szCs w:val="18"/>
        </w:rPr>
        <w:t xml:space="preserve"> </w:t>
      </w:r>
      <w:r>
        <w:rPr>
          <w:rFonts w:hint="eastAsia" w:ascii="Times New Roman" w:hAnsi="Times New Roman" w:eastAsia="宋体" w:cs="Times New Roman"/>
          <w:kern w:val="0"/>
          <w:sz w:val="18"/>
          <w:szCs w:val="18"/>
        </w:rPr>
        <w:t>本段规定仅适用于</w:t>
      </w:r>
      <w:bookmarkStart w:id="1996" w:name="_Toc411777490"/>
      <w:bookmarkStart w:id="1997" w:name="_Toc315861048"/>
      <w:r>
        <w:rPr>
          <w:rFonts w:hint="eastAsia" w:ascii="Times New Roman" w:hAnsi="Times New Roman" w:eastAsia="宋体" w:cs="Times New Roman"/>
          <w:kern w:val="0"/>
          <w:sz w:val="18"/>
          <w:szCs w:val="18"/>
        </w:rPr>
        <w:t>根据《关于发布公路工程从业企业资质名录的通知》</w:t>
      </w:r>
      <w:bookmarkEnd w:id="1996"/>
      <w:bookmarkEnd w:id="1997"/>
      <w:r>
        <w:rPr>
          <w:rFonts w:hint="eastAsia" w:ascii="Times New Roman" w:hAnsi="Times New Roman" w:eastAsia="宋体" w:cs="Times New Roman"/>
          <w:kern w:val="0"/>
          <w:sz w:val="18"/>
          <w:szCs w:val="18"/>
        </w:rPr>
        <w:t>（厅公路字〔</w:t>
      </w:r>
      <w:r>
        <w:rPr>
          <w:rFonts w:ascii="Times New Roman" w:hAnsi="Times New Roman" w:eastAsia="宋体" w:cs="Times New Roman"/>
          <w:kern w:val="0"/>
          <w:sz w:val="18"/>
          <w:szCs w:val="18"/>
        </w:rPr>
        <w:t>2011</w:t>
      </w:r>
      <w:r>
        <w:rPr>
          <w:rFonts w:hint="eastAsia" w:ascii="Times New Roman" w:hAnsi="Times New Roman" w:eastAsia="宋体" w:cs="Times New Roman"/>
          <w:kern w:val="0"/>
          <w:sz w:val="18"/>
          <w:szCs w:val="18"/>
        </w:rPr>
        <w:t>〕</w:t>
      </w:r>
      <w:r>
        <w:rPr>
          <w:rFonts w:ascii="Times New Roman" w:hAnsi="Times New Roman" w:eastAsia="宋体" w:cs="Times New Roman"/>
          <w:kern w:val="0"/>
          <w:sz w:val="18"/>
          <w:szCs w:val="18"/>
        </w:rPr>
        <w:t>114</w:t>
      </w:r>
      <w:r>
        <w:rPr>
          <w:rFonts w:hint="eastAsia" w:ascii="Times New Roman" w:hAnsi="Times New Roman" w:eastAsia="宋体" w:cs="Times New Roman"/>
          <w:kern w:val="0"/>
          <w:sz w:val="18"/>
          <w:szCs w:val="18"/>
        </w:rPr>
        <w:t>号）要求，招标人应通过名录对投标人资质条件进行审核的公路施工企业；如前款文件中规定的资质已由省级相关部门负责审核、审批，则</w:t>
      </w:r>
      <w:r>
        <w:rPr>
          <w:rFonts w:hint="eastAsia" w:cs="Times New Roman"/>
          <w:kern w:val="0"/>
          <w:sz w:val="18"/>
          <w:szCs w:val="18"/>
          <w:lang w:val="en-US" w:eastAsia="zh-CN"/>
        </w:rPr>
        <w:t>不做要求</w:t>
      </w:r>
      <w:r>
        <w:rPr>
          <w:rFonts w:hint="eastAsia" w:ascii="Times New Roman" w:hAnsi="Times New Roman" w:eastAsia="宋体" w:cs="Times New Roman"/>
          <w:kern w:val="0"/>
          <w:sz w:val="18"/>
          <w:szCs w:val="18"/>
        </w:rPr>
        <w:t>。</w:t>
      </w:r>
    </w:p>
  </w:footnote>
  <w:footnote w:id="4">
    <w:p w14:paraId="6308A0C1">
      <w:pPr>
        <w:pStyle w:val="30"/>
        <w:spacing w:line="280" w:lineRule="atLeast"/>
        <w:ind w:left="180" w:hanging="180" w:hangingChars="100"/>
        <w:rPr>
          <w:rFonts w:hint="eastAsia"/>
          <w:szCs w:val="18"/>
        </w:rPr>
      </w:pPr>
      <w:r>
        <w:rPr>
          <w:rStyle w:val="47"/>
          <w:szCs w:val="18"/>
        </w:rPr>
        <w:footnoteRef/>
      </w:r>
      <w:r>
        <w:rPr>
          <w:szCs w:val="18"/>
        </w:rPr>
        <w:t xml:space="preserve"> </w:t>
      </w:r>
      <w:r>
        <w:rPr>
          <w:rFonts w:hint="eastAsia"/>
          <w:szCs w:val="18"/>
        </w:rPr>
        <w:t>a.“投标人须知前附表”用于进一步明确正文中的未尽事宜，由招标人根据招标项目具体特点和实际需要编制和填写，且</w:t>
      </w:r>
      <w:r>
        <w:rPr>
          <w:szCs w:val="18"/>
        </w:rPr>
        <w:t>应</w:t>
      </w:r>
      <w:r>
        <w:rPr>
          <w:rFonts w:hint="eastAsia"/>
          <w:szCs w:val="18"/>
        </w:rPr>
        <w:t>与招标文件中其他章节相衔接，并不得与本章正文内容相抵触。</w:t>
      </w:r>
      <w:r>
        <w:rPr>
          <w:rFonts w:hint="eastAsia"/>
          <w:b/>
          <w:bCs/>
          <w:szCs w:val="18"/>
        </w:rPr>
        <w:t>如前附表与正文不一致时，以前附表的规定为准</w:t>
      </w:r>
      <w:r>
        <w:rPr>
          <w:rFonts w:hint="eastAsia"/>
          <w:szCs w:val="18"/>
        </w:rPr>
        <w:t>。</w:t>
      </w:r>
    </w:p>
    <w:p w14:paraId="7A8FAE1A">
      <w:pPr>
        <w:pStyle w:val="30"/>
        <w:spacing w:line="280" w:lineRule="atLeast"/>
        <w:ind w:left="0" w:leftChars="0" w:firstLine="180" w:firstLineChars="100"/>
        <w:rPr>
          <w:rFonts w:hint="eastAsia"/>
          <w:szCs w:val="18"/>
        </w:rPr>
      </w:pPr>
      <w:r>
        <w:rPr>
          <w:rFonts w:hint="eastAsia"/>
          <w:szCs w:val="18"/>
        </w:rPr>
        <w:t>b.</w:t>
      </w:r>
      <w:r>
        <w:rPr>
          <w:rFonts w:hint="eastAsia" w:ascii="宋体" w:hAnsi="宋体" w:cs="宋体-18030"/>
          <w:szCs w:val="18"/>
        </w:rPr>
        <w:t>“投标人须知前附表”中的附录表格同属“投标人须知前附表”内容，具有同等效力。</w:t>
      </w:r>
    </w:p>
  </w:footnote>
  <w:footnote w:id="5">
    <w:p w14:paraId="1B4A0B73">
      <w:pPr>
        <w:pStyle w:val="30"/>
        <w:spacing w:line="320" w:lineRule="atLeast"/>
        <w:ind w:left="180" w:hanging="210" w:hangingChars="100"/>
        <w:rPr>
          <w:rFonts w:hint="eastAsia"/>
          <w:szCs w:val="18"/>
        </w:rPr>
      </w:pPr>
      <w:r>
        <w:rPr>
          <w:rStyle w:val="47"/>
          <w:kern w:val="2"/>
          <w:sz w:val="21"/>
          <w:szCs w:val="18"/>
        </w:rPr>
        <w:footnoteRef/>
      </w:r>
      <w:r>
        <w:rPr>
          <w:szCs w:val="18"/>
        </w:rPr>
        <w:t xml:space="preserve"> </w:t>
      </w:r>
      <w:r>
        <w:rPr>
          <w:rFonts w:hint="eastAsia"/>
          <w:szCs w:val="18"/>
        </w:rPr>
        <w:t>存在多个同一类型专业工程和同等资格条件要求标段的，应当采用随机分配投标标段方式。</w:t>
      </w:r>
    </w:p>
  </w:footnote>
  <w:footnote w:id="6">
    <w:p w14:paraId="631847CD">
      <w:pPr>
        <w:pStyle w:val="30"/>
        <w:spacing w:line="320" w:lineRule="atLeast"/>
        <w:ind w:left="180" w:hanging="180" w:hangingChars="100"/>
        <w:rPr>
          <w:rFonts w:hint="eastAsia"/>
          <w:szCs w:val="18"/>
        </w:rPr>
      </w:pPr>
      <w:r>
        <w:rPr>
          <w:rStyle w:val="47"/>
          <w:szCs w:val="18"/>
        </w:rPr>
        <w:footnoteRef/>
      </w:r>
      <w:r>
        <w:rPr>
          <w:szCs w:val="18"/>
        </w:rPr>
        <w:t xml:space="preserve"> </w:t>
      </w:r>
      <w:r>
        <w:rPr>
          <w:rFonts w:hint="eastAsia"/>
          <w:szCs w:val="18"/>
        </w:rPr>
        <w:t>评标委员会应由招标人代表和有关方面的专家组成，人数为</w:t>
      </w:r>
      <w:r>
        <w:rPr>
          <w:rFonts w:hint="eastAsia"/>
          <w:szCs w:val="18"/>
          <w:lang w:eastAsia="zh-CN"/>
        </w:rPr>
        <w:t>5</w:t>
      </w:r>
      <w:r>
        <w:rPr>
          <w:rFonts w:hint="eastAsia"/>
          <w:szCs w:val="18"/>
        </w:rPr>
        <w:t>人以上单数，其中技术、经济专家人数应不少于成员总数的三分之二。</w:t>
      </w:r>
    </w:p>
  </w:footnote>
  <w:footnote w:id="7">
    <w:p w14:paraId="572B7B31">
      <w:pPr>
        <w:pStyle w:val="30"/>
        <w:snapToGrid/>
        <w:spacing w:line="320" w:lineRule="atLeast"/>
        <w:ind w:left="180" w:hanging="180" w:hangingChars="100"/>
        <w:rPr>
          <w:rFonts w:hint="eastAsia" w:eastAsia="宋体"/>
          <w:szCs w:val="18"/>
          <w:lang w:val="en-US" w:eastAsia="zh-CN"/>
        </w:rPr>
      </w:pPr>
      <w:r>
        <w:rPr>
          <w:rStyle w:val="47"/>
          <w:rFonts w:hint="eastAsia"/>
          <w:szCs w:val="18"/>
        </w:rPr>
        <w:footnoteRef/>
      </w:r>
      <w:r>
        <w:rPr>
          <w:rFonts w:hint="eastAsia"/>
          <w:szCs w:val="18"/>
        </w:rPr>
        <w:t xml:space="preserve"> </w:t>
      </w:r>
      <w:r>
        <w:rPr>
          <w:rFonts w:hint="eastAsia"/>
          <w:szCs w:val="18"/>
          <w:lang w:val="en-US" w:eastAsia="zh-CN"/>
        </w:rPr>
        <w:t>根据《国务院办公厅关于创新完善体制机制推动招标投标市场规范健康发展的意见》（国办发〔2024〕21号）规定，招标人应结合项目特点和需求，明确定标规则。</w:t>
      </w:r>
    </w:p>
  </w:footnote>
  <w:footnote w:id="8">
    <w:p w14:paraId="6BAF25AF">
      <w:pPr>
        <w:pStyle w:val="30"/>
        <w:spacing w:line="320" w:lineRule="atLeast"/>
        <w:ind w:left="180" w:right="-229" w:rightChars="-109" w:hanging="180" w:hangingChars="100"/>
        <w:rPr>
          <w:szCs w:val="18"/>
        </w:rPr>
      </w:pPr>
      <w:r>
        <w:rPr>
          <w:rStyle w:val="47"/>
          <w:szCs w:val="18"/>
        </w:rPr>
        <w:footnoteRef/>
      </w:r>
      <w:r>
        <w:rPr>
          <w:rFonts w:hint="eastAsia"/>
        </w:rPr>
        <w:t xml:space="preserve"> 招标人不得强制限定履约保证金必须采用现金或支票方式缴纳，</w:t>
      </w:r>
      <w:r>
        <w:t>不得拒绝银行保函形式的</w:t>
      </w:r>
      <w:r>
        <w:rPr>
          <w:rFonts w:hint="eastAsia"/>
        </w:rPr>
        <w:t>履约保证金。</w:t>
      </w:r>
    </w:p>
  </w:footnote>
  <w:footnote w:id="9">
    <w:p w14:paraId="203BC41E">
      <w:pPr>
        <w:pStyle w:val="30"/>
        <w:spacing w:line="320" w:lineRule="atLeast"/>
        <w:ind w:left="180" w:right="-229" w:rightChars="-109" w:hanging="210" w:hangingChars="100"/>
        <w:rPr>
          <w:szCs w:val="18"/>
        </w:rPr>
      </w:pPr>
      <w:r>
        <w:rPr>
          <w:rStyle w:val="47"/>
          <w:kern w:val="2"/>
          <w:sz w:val="21"/>
          <w:szCs w:val="18"/>
        </w:rPr>
        <w:footnoteRef/>
      </w:r>
      <w:r>
        <w:rPr>
          <w:rFonts w:hint="eastAsia"/>
        </w:rPr>
        <w:t xml:space="preserve"> 招标人应当按照国家有关规定，在招标文件中明确履约保证金收取比例，对于</w:t>
      </w:r>
      <w:r>
        <w:rPr>
          <w:rFonts w:hint="eastAsia"/>
          <w:lang w:eastAsia="zh-CN"/>
        </w:rPr>
        <w:t>最近年度</w:t>
      </w:r>
      <w:r>
        <w:rPr>
          <w:rFonts w:hint="eastAsia"/>
        </w:rPr>
        <w:t>信用等级为AA的中标人，可给予减少履约保证金。</w:t>
      </w:r>
    </w:p>
  </w:footnote>
  <w:footnote w:id="10">
    <w:p w14:paraId="046DF24A">
      <w:pPr>
        <w:pStyle w:val="30"/>
        <w:snapToGrid w:val="0"/>
        <w:rPr>
          <w:rFonts w:hint="eastAsia" w:eastAsia="宋体"/>
          <w:lang w:eastAsia="zh-CN"/>
        </w:rPr>
      </w:pPr>
      <w:r>
        <w:rPr>
          <w:rStyle w:val="47"/>
        </w:rPr>
        <w:footnoteRef/>
      </w:r>
      <w:r>
        <w:t xml:space="preserve"> </w:t>
      </w:r>
      <w:r>
        <w:rPr>
          <w:rFonts w:hint="eastAsia"/>
          <w:lang w:val="en-US" w:eastAsia="zh-CN"/>
        </w:rPr>
        <w:t>仅适用于采用</w:t>
      </w:r>
      <w:r>
        <w:rPr>
          <w:rFonts w:hint="eastAsia"/>
        </w:rPr>
        <w:t>技术评分最低标价法、技术评分合理低价法和综合评分法</w:t>
      </w:r>
      <w:r>
        <w:rPr>
          <w:rFonts w:hint="eastAsia"/>
          <w:lang w:val="en-US" w:eastAsia="zh-CN"/>
        </w:rPr>
        <w:t>的项目</w:t>
      </w:r>
      <w:r>
        <w:rPr>
          <w:rFonts w:hint="eastAsia"/>
          <w:lang w:eastAsia="zh-CN"/>
        </w:rPr>
        <w:t>。</w:t>
      </w:r>
    </w:p>
  </w:footnote>
  <w:footnote w:id="11">
    <w:p w14:paraId="682A9C6C">
      <w:pPr>
        <w:pStyle w:val="2"/>
        <w:keepNext w:val="0"/>
        <w:keepLines w:val="0"/>
        <w:widowControl/>
        <w:pBdr>
          <w:top w:val="none" w:color="auto" w:sz="0" w:space="0"/>
          <w:left w:val="none" w:color="auto" w:sz="0" w:space="0"/>
          <w:bottom w:val="none" w:color="auto" w:sz="0" w:space="0"/>
          <w:right w:val="none" w:color="auto" w:sz="0" w:space="0"/>
        </w:pBdr>
        <w:shd w:val="clear" w:fill="FFFFFF"/>
        <w:adjustRightInd w:val="0"/>
        <w:snapToGrid w:val="0"/>
        <w:spacing w:before="141" w:after="141" w:line="7" w:lineRule="atLeast"/>
        <w:ind w:left="0" w:hanging="168" w:hangingChars="80"/>
        <w:jc w:val="left"/>
        <w:textAlignment w:val="baseline"/>
        <w:rPr>
          <w:rFonts w:hint="eastAsia"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ascii="Times New Roman" w:hAnsi="Times New Roman" w:eastAsia="宋体" w:cs="Times New Roman"/>
          <w:kern w:val="0"/>
          <w:sz w:val="18"/>
          <w:szCs w:val="20"/>
          <w:lang w:val="en-US" w:eastAsia="zh-CN" w:bidi="ar-SA"/>
        </w:rPr>
        <w:t xml:space="preserve"> </w:t>
      </w:r>
      <w:r>
        <w:rPr>
          <w:rFonts w:hint="eastAsia" w:ascii="Times New Roman" w:hAnsi="Times New Roman" w:eastAsia="宋体" w:cs="Times New Roman"/>
          <w:bCs w:val="0"/>
          <w:kern w:val="0"/>
          <w:sz w:val="18"/>
          <w:szCs w:val="20"/>
          <w:lang w:val="en-US" w:eastAsia="zh-CN" w:bidi="ar-SA"/>
        </w:rPr>
        <w:t>以工</w:t>
      </w:r>
      <w:r>
        <w:rPr>
          <w:rFonts w:hint="eastAsia" w:ascii="Times New Roman" w:hAnsi="Times New Roman" w:eastAsia="宋体" w:cs="Times New Roman"/>
          <w:kern w:val="0"/>
          <w:sz w:val="18"/>
          <w:szCs w:val="20"/>
          <w:lang w:val="en-US" w:eastAsia="zh-CN" w:bidi="ar-SA"/>
        </w:rPr>
        <w:t>代赈相关要求应符合《</w:t>
      </w:r>
      <w:r>
        <w:rPr>
          <w:rFonts w:hint="eastAsia" w:ascii="Times New Roman" w:hAnsi="Times New Roman" w:eastAsia="宋体" w:cs="Times New Roman"/>
          <w:b w:val="0"/>
          <w:bCs w:val="0"/>
          <w:i w:val="0"/>
          <w:iCs w:val="0"/>
          <w:caps w:val="0"/>
          <w:color w:val="2D66A5"/>
          <w:spacing w:val="0"/>
          <w:kern w:val="0"/>
          <w:sz w:val="18"/>
          <w:szCs w:val="20"/>
          <w:shd w:val="clear" w:fill="FFFFFF"/>
        </w:rPr>
        <w:t>交通运输部办公厅关于做好交通运输基础设施建设和管护领域推广以工代赈工作的通知</w:t>
      </w:r>
      <w:r>
        <w:rPr>
          <w:rFonts w:hint="eastAsia" w:ascii="Times New Roman" w:hAnsi="Times New Roman" w:eastAsia="宋体" w:cs="Times New Roman"/>
          <w:kern w:val="0"/>
          <w:sz w:val="18"/>
          <w:szCs w:val="20"/>
          <w:lang w:val="en-US" w:eastAsia="zh-CN" w:bidi="ar-SA"/>
        </w:rPr>
        <w:t>》</w:t>
      </w:r>
      <w:r>
        <w:rPr>
          <w:rFonts w:hint="eastAsia" w:eastAsia="宋体" w:cs="Times New Roman"/>
          <w:bCs w:val="0"/>
          <w:kern w:val="0"/>
          <w:sz w:val="18"/>
          <w:szCs w:val="20"/>
          <w:lang w:val="en-US" w:eastAsia="zh-CN" w:bidi="ar-SA"/>
        </w:rPr>
        <w:t>（交办公路〔2022〕35号）规定</w:t>
      </w:r>
      <w:r>
        <w:rPr>
          <w:rFonts w:hint="eastAsia" w:ascii="Times New Roman" w:hAnsi="Times New Roman" w:eastAsia="宋体" w:cs="Times New Roman"/>
          <w:kern w:val="0"/>
          <w:sz w:val="18"/>
          <w:szCs w:val="20"/>
          <w:lang w:val="en-US" w:eastAsia="zh-CN" w:bidi="ar-SA"/>
        </w:rPr>
        <w:t>。</w:t>
      </w:r>
    </w:p>
  </w:footnote>
  <w:footnote w:id="12">
    <w:p w14:paraId="7D96E239">
      <w:pPr>
        <w:pStyle w:val="30"/>
        <w:ind w:left="210" w:hanging="210"/>
        <w:rPr>
          <w:rFonts w:hint="eastAsia"/>
          <w:szCs w:val="18"/>
        </w:rPr>
      </w:pPr>
      <w:r>
        <w:rPr>
          <w:rStyle w:val="47"/>
          <w:szCs w:val="18"/>
        </w:rPr>
        <w:footnoteRef/>
      </w:r>
      <w:r>
        <w:rPr>
          <w:rFonts w:hint="eastAsia"/>
          <w:szCs w:val="18"/>
        </w:rPr>
        <w:t xml:space="preserve"> 具体资质要求由招标人在满足国家相关法律法规前提下，根据招标项目具体特点和实际情况确定。</w:t>
      </w:r>
    </w:p>
  </w:footnote>
  <w:footnote w:id="13">
    <w:p w14:paraId="56E07409">
      <w:pPr>
        <w:pStyle w:val="30"/>
        <w:snapToGrid w:val="0"/>
        <w:ind w:firstLine="0"/>
      </w:pPr>
      <w:r>
        <w:rPr>
          <w:rStyle w:val="47"/>
          <w:kern w:val="2"/>
          <w:sz w:val="21"/>
          <w:szCs w:val="24"/>
        </w:rPr>
        <w:footnoteRef/>
      </w:r>
      <w:r>
        <w:t xml:space="preserve"> </w:t>
      </w:r>
      <w:r>
        <w:rPr>
          <w:rFonts w:hint="eastAsia"/>
          <w:lang w:val="en-US" w:eastAsia="zh-CN"/>
        </w:rPr>
        <w:t>企业资质等级</w:t>
      </w:r>
      <w:r>
        <w:rPr>
          <w:rFonts w:hint="eastAsia"/>
        </w:rPr>
        <w:t>应当严格按照从业资质管理相关规定，提出与招标项目相适应的资质最低条件，不得提高资质等级要求。</w:t>
      </w:r>
    </w:p>
  </w:footnote>
  <w:footnote w:id="14">
    <w:p w14:paraId="30BCE76F">
      <w:pPr>
        <w:pStyle w:val="30"/>
        <w:spacing w:line="240" w:lineRule="auto"/>
        <w:ind w:left="180" w:hanging="180" w:hangingChars="100"/>
        <w:rPr>
          <w:rFonts w:hint="eastAsia"/>
          <w:szCs w:val="18"/>
        </w:rPr>
      </w:pPr>
      <w:r>
        <w:rPr>
          <w:rStyle w:val="47"/>
          <w:szCs w:val="18"/>
        </w:rPr>
        <w:footnoteRef/>
      </w:r>
      <w:r>
        <w:rPr>
          <w:rFonts w:hint="eastAsia"/>
          <w:szCs w:val="18"/>
        </w:rPr>
        <w:t xml:space="preserve"> 具体财务要求由招标人在满足国家相关法律法规前提下，根据招标项目具体特点和实际情况确定。</w:t>
      </w:r>
    </w:p>
  </w:footnote>
  <w:footnote w:id="15">
    <w:p w14:paraId="1C453D59">
      <w:pPr>
        <w:pStyle w:val="30"/>
        <w:spacing w:line="300" w:lineRule="atLeast"/>
        <w:ind w:left="180" w:hanging="180" w:hangingChars="100"/>
        <w:rPr>
          <w:rFonts w:hint="eastAsia"/>
          <w:szCs w:val="18"/>
        </w:rPr>
      </w:pPr>
      <w:r>
        <w:rPr>
          <w:rStyle w:val="47"/>
          <w:szCs w:val="18"/>
        </w:rPr>
        <w:footnoteRef/>
      </w:r>
      <w:r>
        <w:rPr>
          <w:rFonts w:hint="eastAsia"/>
          <w:szCs w:val="18"/>
        </w:rPr>
        <w:t xml:space="preserve"> 具体业绩要求由招标人在满足国家相关法律法规前提下，根据招标项目具体特点和实际情况确定，但不得设置过高的业绩资格条件。</w:t>
      </w:r>
    </w:p>
  </w:footnote>
  <w:footnote w:id="16">
    <w:p w14:paraId="1D71B627">
      <w:pPr>
        <w:pStyle w:val="30"/>
        <w:snapToGrid w:val="0"/>
        <w:ind w:firstLine="0"/>
        <w:rPr>
          <w:rFonts w:hint="default"/>
          <w:highlight w:val="yellow"/>
          <w:lang w:val="en-US" w:eastAsia="zh-CN"/>
        </w:rPr>
      </w:pPr>
      <w:r>
        <w:rPr>
          <w:rStyle w:val="47"/>
          <w:kern w:val="2"/>
          <w:sz w:val="21"/>
          <w:szCs w:val="24"/>
        </w:rPr>
        <w:footnoteRef/>
      </w:r>
      <w:r>
        <w:t xml:space="preserve"> </w:t>
      </w:r>
      <w:r>
        <w:rPr>
          <w:rFonts w:hint="eastAsia"/>
          <w:lang w:val="en-US" w:eastAsia="zh-CN"/>
        </w:rPr>
        <w:t>业绩量化指标不得超过项目标的规模。0</w:t>
      </w:r>
    </w:p>
  </w:footnote>
  <w:footnote w:id="17">
    <w:p w14:paraId="272A01A3">
      <w:pPr>
        <w:pStyle w:val="30"/>
        <w:ind w:left="210" w:hanging="210"/>
        <w:rPr>
          <w:rFonts w:hint="eastAsia"/>
          <w:szCs w:val="18"/>
        </w:rPr>
      </w:pPr>
      <w:r>
        <w:rPr>
          <w:rStyle w:val="47"/>
          <w:szCs w:val="18"/>
        </w:rPr>
        <w:footnoteRef/>
      </w:r>
      <w:r>
        <w:rPr>
          <w:rFonts w:hint="eastAsia"/>
          <w:szCs w:val="18"/>
        </w:rPr>
        <w:t xml:space="preserve"> </w:t>
      </w:r>
      <w:r>
        <w:rPr>
          <w:rFonts w:hint="eastAsia"/>
        </w:rPr>
        <w:t>具体信誉要求由招标人在满足国家相关法律法规前提下，根据招标项目具体特点和实际情况确定</w:t>
      </w:r>
      <w:r>
        <w:rPr>
          <w:lang w:eastAsia="zh-CN"/>
        </w:rPr>
        <w:t>。</w:t>
      </w:r>
    </w:p>
  </w:footnote>
  <w:footnote w:id="18">
    <w:p w14:paraId="5B2533B6">
      <w:pPr>
        <w:pStyle w:val="30"/>
        <w:spacing w:line="360" w:lineRule="atLeast"/>
        <w:ind w:left="180" w:hanging="180" w:hangingChars="100"/>
        <w:rPr>
          <w:rFonts w:hint="eastAsia"/>
          <w:szCs w:val="18"/>
        </w:rPr>
      </w:pPr>
      <w:r>
        <w:rPr>
          <w:rStyle w:val="47"/>
          <w:szCs w:val="18"/>
        </w:rPr>
        <w:footnoteRef/>
      </w:r>
      <w:r>
        <w:rPr>
          <w:rFonts w:hint="eastAsia"/>
          <w:szCs w:val="18"/>
        </w:rPr>
        <w:t xml:space="preserve"> 对项目经理和项目总工的具体资格要求由招标人在满足国家相关法律法规前提下，根据招标项目具体特点和实际情况确定，但不得设置过高的资格条件。</w:t>
      </w:r>
    </w:p>
  </w:footnote>
  <w:footnote w:id="19">
    <w:p w14:paraId="683511A6">
      <w:pPr>
        <w:pStyle w:val="30"/>
        <w:snapToGrid w:val="0"/>
        <w:ind w:firstLine="0"/>
      </w:pPr>
      <w:r>
        <w:rPr>
          <w:rStyle w:val="47"/>
        </w:rPr>
        <w:footnoteRef/>
      </w:r>
      <w:r>
        <w:t xml:space="preserve"> </w:t>
      </w:r>
      <w:r>
        <w:rPr>
          <w:rFonts w:hint="eastAsia"/>
        </w:rPr>
        <w:t>项目经理应当具有注册建造师证书，其专业和等级按照相关规定根据项目实际设置，招标人不得再另行设置相应等级技术职称要求</w:t>
      </w:r>
      <w:r>
        <w:rPr>
          <w:rFonts w:hint="eastAsia"/>
          <w:lang w:eastAsia="zh-CN"/>
        </w:rPr>
        <w:t>；</w:t>
      </w:r>
      <w:r>
        <w:rPr>
          <w:rFonts w:hint="eastAsia"/>
        </w:rPr>
        <w:t>项目经理应当具有相应安全生产考核合格证书。项目总工程师一般应当设置技术职称要求。主要人员业绩量化指标不得超过项目标的规模。</w:t>
      </w:r>
    </w:p>
  </w:footnote>
  <w:footnote w:id="20">
    <w:p w14:paraId="40192CEF">
      <w:pPr>
        <w:spacing w:line="320" w:lineRule="atLeast"/>
        <w:ind w:left="180" w:hanging="180" w:hangingChars="100"/>
        <w:rPr>
          <w:rFonts w:ascii="Times New Roman" w:hAnsi="Times New Roman" w:eastAsia="宋体" w:cs="Times New Roman"/>
          <w:szCs w:val="18"/>
        </w:rPr>
      </w:pPr>
      <w:r>
        <w:rPr>
          <w:rStyle w:val="47"/>
          <w:rFonts w:ascii="Times New Roman" w:hAnsi="Times New Roman" w:eastAsia="宋体" w:cs="Times New Roman"/>
          <w:bCs/>
          <w:kern w:val="0"/>
          <w:sz w:val="18"/>
          <w:szCs w:val="20"/>
        </w:rPr>
        <w:footnoteRef/>
      </w:r>
      <w:r>
        <w:rPr>
          <w:rFonts w:hint="eastAsia" w:ascii="Times New Roman" w:hAnsi="Times New Roman" w:eastAsia="宋体" w:cs="Times New Roman"/>
          <w:szCs w:val="18"/>
        </w:rPr>
        <w:t xml:space="preserve"> </w:t>
      </w:r>
      <w:r>
        <w:rPr>
          <w:rFonts w:hint="eastAsia" w:ascii="Times New Roman" w:hAnsi="Times New Roman" w:eastAsia="宋体" w:cs="Times New Roman"/>
          <w:kern w:val="0"/>
          <w:sz w:val="18"/>
          <w:szCs w:val="18"/>
        </w:rPr>
        <w:t>本</w:t>
      </w:r>
      <w:r>
        <w:rPr>
          <w:rFonts w:hint="eastAsia" w:cs="Times New Roman"/>
          <w:kern w:val="0"/>
          <w:sz w:val="18"/>
          <w:szCs w:val="18"/>
          <w:lang w:val="en-US" w:eastAsia="zh-CN"/>
        </w:rPr>
        <w:t>项</w:t>
      </w:r>
      <w:r>
        <w:rPr>
          <w:rFonts w:hint="eastAsia" w:ascii="Times New Roman" w:hAnsi="Times New Roman" w:eastAsia="宋体" w:cs="Times New Roman"/>
          <w:kern w:val="0"/>
          <w:sz w:val="18"/>
          <w:szCs w:val="18"/>
        </w:rPr>
        <w:t>规定仅适用于根据《关于发布公路工程从业企业资质名录的通知》（厅公路字〔</w:t>
      </w:r>
      <w:r>
        <w:rPr>
          <w:rFonts w:ascii="Times New Roman" w:hAnsi="Times New Roman" w:eastAsia="宋体" w:cs="Times New Roman"/>
          <w:kern w:val="0"/>
          <w:sz w:val="18"/>
          <w:szCs w:val="18"/>
        </w:rPr>
        <w:t>2011</w:t>
      </w:r>
      <w:r>
        <w:rPr>
          <w:rFonts w:hint="eastAsia" w:ascii="Times New Roman" w:hAnsi="Times New Roman" w:eastAsia="宋体" w:cs="Times New Roman"/>
          <w:kern w:val="0"/>
          <w:sz w:val="18"/>
          <w:szCs w:val="18"/>
        </w:rPr>
        <w:t>〕</w:t>
      </w:r>
      <w:r>
        <w:rPr>
          <w:rFonts w:ascii="Times New Roman" w:hAnsi="Times New Roman" w:eastAsia="宋体" w:cs="Times New Roman"/>
          <w:kern w:val="0"/>
          <w:sz w:val="18"/>
          <w:szCs w:val="18"/>
        </w:rPr>
        <w:t>114</w:t>
      </w:r>
      <w:r>
        <w:rPr>
          <w:rFonts w:hint="eastAsia" w:ascii="Times New Roman" w:hAnsi="Times New Roman" w:eastAsia="宋体" w:cs="Times New Roman"/>
          <w:kern w:val="0"/>
          <w:sz w:val="18"/>
          <w:szCs w:val="18"/>
        </w:rPr>
        <w:t>号）要求，招标人应通过名录对投标人资质条件进行审核的公路施工企业；如前款文件中规定的资质已由省级相关部门负责审核、审批，则不做要求。</w:t>
      </w:r>
    </w:p>
  </w:footnote>
  <w:footnote w:id="21">
    <w:p w14:paraId="51227DBC">
      <w:pPr>
        <w:spacing w:line="320" w:lineRule="atLeast"/>
        <w:ind w:left="180" w:hanging="180" w:hangingChars="100"/>
        <w:rPr>
          <w:rFonts w:ascii="Times New Roman" w:hAnsi="Times New Roman" w:eastAsia="宋体" w:cs="Times New Roman"/>
          <w:szCs w:val="18"/>
        </w:rPr>
      </w:pPr>
      <w:r>
        <w:rPr>
          <w:rStyle w:val="47"/>
          <w:rFonts w:ascii="Times New Roman" w:hAnsi="Times New Roman" w:eastAsia="宋体" w:cs="Times New Roman"/>
          <w:bCs/>
          <w:kern w:val="0"/>
          <w:sz w:val="18"/>
          <w:szCs w:val="20"/>
        </w:rPr>
        <w:footnoteRef/>
      </w:r>
      <w:r>
        <w:rPr>
          <w:rFonts w:hint="eastAsia" w:ascii="Times New Roman" w:hAnsi="Times New Roman" w:eastAsia="宋体" w:cs="Times New Roman"/>
          <w:szCs w:val="18"/>
        </w:rPr>
        <w:t xml:space="preserve"> </w:t>
      </w:r>
      <w:r>
        <w:rPr>
          <w:rFonts w:hint="eastAsia" w:ascii="Times New Roman" w:hAnsi="Times New Roman" w:eastAsia="宋体" w:cs="Times New Roman"/>
          <w:kern w:val="0"/>
          <w:sz w:val="18"/>
          <w:szCs w:val="18"/>
        </w:rPr>
        <w:t>本</w:t>
      </w:r>
      <w:r>
        <w:rPr>
          <w:rFonts w:hint="eastAsia" w:cs="Times New Roman"/>
          <w:kern w:val="0"/>
          <w:sz w:val="18"/>
          <w:szCs w:val="18"/>
          <w:lang w:val="en-US" w:eastAsia="zh-CN"/>
        </w:rPr>
        <w:t>项</w:t>
      </w:r>
      <w:r>
        <w:rPr>
          <w:rFonts w:hint="eastAsia" w:ascii="Times New Roman" w:hAnsi="Times New Roman" w:eastAsia="宋体" w:cs="Times New Roman"/>
          <w:kern w:val="0"/>
          <w:sz w:val="18"/>
          <w:szCs w:val="18"/>
        </w:rPr>
        <w:t>规定仅适用于根据《关于发布公路工程从业企业资质名录的通知》（厅公路字〔</w:t>
      </w:r>
      <w:r>
        <w:rPr>
          <w:rFonts w:ascii="Times New Roman" w:hAnsi="Times New Roman" w:eastAsia="宋体" w:cs="Times New Roman"/>
          <w:kern w:val="0"/>
          <w:sz w:val="18"/>
          <w:szCs w:val="18"/>
        </w:rPr>
        <w:t>2011</w:t>
      </w:r>
      <w:r>
        <w:rPr>
          <w:rFonts w:hint="eastAsia" w:ascii="Times New Roman" w:hAnsi="Times New Roman" w:eastAsia="宋体" w:cs="Times New Roman"/>
          <w:kern w:val="0"/>
          <w:sz w:val="18"/>
          <w:szCs w:val="18"/>
        </w:rPr>
        <w:t>〕</w:t>
      </w:r>
      <w:r>
        <w:rPr>
          <w:rFonts w:ascii="Times New Roman" w:hAnsi="Times New Roman" w:eastAsia="宋体" w:cs="Times New Roman"/>
          <w:kern w:val="0"/>
          <w:sz w:val="18"/>
          <w:szCs w:val="18"/>
        </w:rPr>
        <w:t>114</w:t>
      </w:r>
      <w:r>
        <w:rPr>
          <w:rFonts w:hint="eastAsia" w:ascii="Times New Roman" w:hAnsi="Times New Roman" w:eastAsia="宋体" w:cs="Times New Roman"/>
          <w:kern w:val="0"/>
          <w:sz w:val="18"/>
          <w:szCs w:val="18"/>
        </w:rPr>
        <w:t>号）要求，招标人应通过名录对投标人资质条件进行审核</w:t>
      </w:r>
      <w:r>
        <w:rPr>
          <w:rFonts w:hint="eastAsia" w:ascii="Times New Roman" w:hAnsi="Times New Roman" w:eastAsia="宋体" w:cs="Times New Roman"/>
          <w:kern w:val="0"/>
          <w:sz w:val="18"/>
          <w:szCs w:val="18"/>
          <w:highlight w:val="none"/>
        </w:rPr>
        <w:t>的公路施工企</w:t>
      </w:r>
      <w:r>
        <w:rPr>
          <w:rFonts w:hint="eastAsia" w:ascii="Times New Roman" w:hAnsi="Times New Roman" w:eastAsia="宋体" w:cs="Times New Roman"/>
          <w:kern w:val="0"/>
          <w:sz w:val="18"/>
          <w:szCs w:val="18"/>
        </w:rPr>
        <w:t>业</w:t>
      </w:r>
      <w:r>
        <w:rPr>
          <w:rFonts w:hint="eastAsia" w:cs="Times New Roman"/>
          <w:kern w:val="0"/>
          <w:sz w:val="18"/>
          <w:szCs w:val="18"/>
          <w:lang w:eastAsia="zh-CN"/>
        </w:rPr>
        <w:t>；</w:t>
      </w:r>
      <w:r>
        <w:rPr>
          <w:rFonts w:hint="eastAsia" w:cs="Times New Roman"/>
          <w:kern w:val="0"/>
          <w:sz w:val="18"/>
          <w:szCs w:val="18"/>
          <w:lang w:val="en-US" w:eastAsia="zh-CN"/>
        </w:rPr>
        <w:t>如前款文件中规定的资质已由省级相关部门负责审核、审批，则投标人无需提供相应资质的网页截图</w:t>
      </w:r>
      <w:r>
        <w:rPr>
          <w:rFonts w:hint="eastAsia" w:ascii="Times New Roman" w:hAnsi="Times New Roman" w:eastAsia="宋体" w:cs="Times New Roman"/>
          <w:kern w:val="0"/>
          <w:sz w:val="18"/>
          <w:szCs w:val="18"/>
        </w:rPr>
        <w:t>。</w:t>
      </w:r>
    </w:p>
  </w:footnote>
  <w:footnote w:id="22">
    <w:p w14:paraId="4C896160">
      <w:pPr>
        <w:pStyle w:val="30"/>
        <w:snapToGrid w:val="0"/>
        <w:rPr>
          <w:rFonts w:hint="default" w:eastAsia="宋体"/>
          <w:lang w:val="en-US" w:eastAsia="zh-CN"/>
        </w:rPr>
      </w:pPr>
      <w:r>
        <w:rPr>
          <w:rStyle w:val="47"/>
        </w:rPr>
        <w:footnoteRef/>
      </w:r>
      <w:r>
        <w:t xml:space="preserve"> </w:t>
      </w:r>
      <w:r>
        <w:rPr>
          <w:rFonts w:hint="eastAsia"/>
          <w:lang w:val="en-US" w:eastAsia="zh-CN"/>
        </w:rPr>
        <w:t>G值详见评标办法。</w:t>
      </w:r>
    </w:p>
  </w:footnote>
  <w:footnote w:id="23">
    <w:p w14:paraId="6E464D0C">
      <w:pPr>
        <w:pStyle w:val="30"/>
        <w:tabs>
          <w:tab w:val="left" w:pos="3780"/>
        </w:tabs>
        <w:spacing w:line="320" w:lineRule="atLeast"/>
        <w:ind w:left="180" w:hanging="180" w:hangingChars="100"/>
        <w:rPr>
          <w:rFonts w:hint="eastAsia"/>
          <w:szCs w:val="18"/>
        </w:rPr>
      </w:pPr>
      <w:r>
        <w:rPr>
          <w:rStyle w:val="47"/>
          <w:szCs w:val="18"/>
        </w:rPr>
        <w:footnoteRef/>
      </w:r>
      <w:r>
        <w:rPr>
          <w:szCs w:val="18"/>
        </w:rPr>
        <w:t xml:space="preserve"> </w:t>
      </w:r>
      <w:r>
        <w:rPr>
          <w:rFonts w:hint="eastAsia"/>
          <w:szCs w:val="18"/>
        </w:rPr>
        <w:t>招标人可根据</w:t>
      </w:r>
      <w:r>
        <w:rPr>
          <w:rFonts w:hint="eastAsia"/>
          <w:szCs w:val="18"/>
          <w:lang w:eastAsia="zh-CN"/>
        </w:rPr>
        <w:t>实际</w:t>
      </w:r>
      <w:r>
        <w:rPr>
          <w:rFonts w:hint="eastAsia"/>
          <w:szCs w:val="18"/>
        </w:rPr>
        <w:t>需要进行修改。</w:t>
      </w:r>
    </w:p>
  </w:footnote>
  <w:footnote w:id="24">
    <w:p w14:paraId="0F8591A0">
      <w:pPr>
        <w:pStyle w:val="30"/>
        <w:spacing w:line="300" w:lineRule="atLeast"/>
        <w:ind w:left="180" w:hanging="180" w:hangingChars="100"/>
        <w:jc w:val="both"/>
        <w:rPr>
          <w:rFonts w:hint="eastAsia" w:hAnsi="宋体"/>
          <w:szCs w:val="18"/>
        </w:rPr>
      </w:pPr>
      <w:r>
        <w:rPr>
          <w:rStyle w:val="47"/>
          <w:rFonts w:ascii="宋体" w:hAnsi="宋体"/>
          <w:szCs w:val="18"/>
        </w:rPr>
        <w:footnoteRef/>
      </w:r>
      <w:r>
        <w:rPr>
          <w:rFonts w:hint="eastAsia" w:hAnsi="宋体"/>
          <w:szCs w:val="18"/>
          <w:lang w:eastAsia="zh-CN"/>
        </w:rPr>
        <w:t xml:space="preserve"> 投标人仅须在投标文件的澄清或说明上加盖CA数字证书中的单位章，或由法定代表人或其委托代理人的个人电子印章或电子签名</w:t>
      </w:r>
      <w:r>
        <w:rPr>
          <w:rFonts w:hint="eastAsia" w:hAnsi="宋体"/>
          <w:szCs w:val="18"/>
        </w:rPr>
        <w:t>。</w:t>
      </w:r>
    </w:p>
  </w:footnote>
  <w:footnote w:id="25">
    <w:p w14:paraId="77E6E45A">
      <w:pPr>
        <w:pStyle w:val="30"/>
        <w:spacing w:line="320" w:lineRule="atLeast"/>
        <w:ind w:left="180" w:hanging="180" w:hangingChars="100"/>
        <w:jc w:val="both"/>
        <w:rPr>
          <w:rFonts w:hint="eastAsia"/>
          <w:szCs w:val="18"/>
        </w:rPr>
      </w:pPr>
      <w:r>
        <w:rPr>
          <w:rStyle w:val="47"/>
          <w:szCs w:val="18"/>
        </w:rPr>
        <w:footnoteRef/>
      </w:r>
      <w:r>
        <w:rPr>
          <w:rFonts w:hint="eastAsia"/>
          <w:szCs w:val="18"/>
        </w:rPr>
        <w:t xml:space="preserve"> “合理低价法”是综合评估法的评分因素中评标价得分为100分、其他评分因素分值为0分的特例。“合理低价法”中，第一个信封（商务及技术文件）的评审应采用合格制。</w:t>
      </w:r>
    </w:p>
  </w:footnote>
  <w:footnote w:id="26">
    <w:p w14:paraId="3DE0CDAB">
      <w:pPr>
        <w:pStyle w:val="30"/>
        <w:spacing w:line="320" w:lineRule="atLeast"/>
        <w:ind w:left="180" w:hanging="180" w:hangingChars="100"/>
        <w:jc w:val="both"/>
        <w:rPr>
          <w:rFonts w:hint="eastAsia"/>
          <w:szCs w:val="18"/>
        </w:rPr>
      </w:pPr>
      <w:r>
        <w:rPr>
          <w:rStyle w:val="47"/>
          <w:szCs w:val="18"/>
        </w:rPr>
        <w:footnoteRef/>
      </w:r>
      <w:r>
        <w:rPr>
          <w:szCs w:val="18"/>
        </w:rPr>
        <w:t xml:space="preserve"> </w:t>
      </w:r>
      <w:r>
        <w:rPr>
          <w:rFonts w:hint="eastAsia"/>
          <w:szCs w:val="18"/>
        </w:rPr>
        <w:t>“评标办法前附表”用于明确评标的方法、因素、标准和程序</w:t>
      </w:r>
      <w:r>
        <w:rPr>
          <w:rFonts w:hint="eastAsia"/>
          <w:szCs w:val="18"/>
          <w:lang w:eastAsia="zh-CN"/>
        </w:rPr>
        <w:t>，</w:t>
      </w:r>
      <w:r>
        <w:rPr>
          <w:rFonts w:hint="eastAsia"/>
          <w:szCs w:val="18"/>
        </w:rPr>
        <w:t>是对评标办法正文的补充和细化，应对照评标办法正文中同一编号的条款一起阅读和理解。</w:t>
      </w:r>
      <w:r>
        <w:rPr>
          <w:rFonts w:hint="eastAsia" w:ascii="黑体" w:hAnsi="黑体" w:eastAsia="黑体"/>
          <w:szCs w:val="18"/>
        </w:rPr>
        <w:t>如前附表与正文不一致时，以前附表的规定为准</w:t>
      </w:r>
      <w:r>
        <w:rPr>
          <w:rFonts w:hint="eastAsia"/>
          <w:szCs w:val="18"/>
        </w:rPr>
        <w:t>。招标人应根据招标项目具体特点和实际需要，详细列明全部评审因素、标准，没有列明的因素和标准不得作为评标的依据。</w:t>
      </w:r>
    </w:p>
  </w:footnote>
  <w:footnote w:id="27">
    <w:p w14:paraId="17BE9561">
      <w:pPr>
        <w:pStyle w:val="30"/>
        <w:spacing w:line="320" w:lineRule="atLeast"/>
        <w:ind w:left="180" w:hanging="180" w:hangingChars="100"/>
        <w:rPr>
          <w:rFonts w:hint="eastAsia"/>
          <w:szCs w:val="18"/>
        </w:rPr>
      </w:pPr>
      <w:r>
        <w:rPr>
          <w:rStyle w:val="47"/>
          <w:szCs w:val="18"/>
        </w:rPr>
        <w:footnoteRef/>
      </w:r>
      <w:r>
        <w:rPr>
          <w:rFonts w:hint="eastAsia" w:ascii="宋体" w:hAnsi="宋体"/>
          <w:szCs w:val="18"/>
        </w:rPr>
        <w:t xml:space="preserve"> 对</w:t>
      </w:r>
      <w:r>
        <w:rPr>
          <w:rFonts w:hint="eastAsia"/>
          <w:szCs w:val="18"/>
        </w:rPr>
        <w:t>于特别复杂的特大桥梁和特长隧道项目主体工程以及其他有特殊要求的工程，还</w:t>
      </w:r>
      <w:r>
        <w:rPr>
          <w:rFonts w:hint="eastAsia"/>
          <w:szCs w:val="18"/>
          <w:lang w:eastAsia="zh-CN"/>
        </w:rPr>
        <w:t>可</w:t>
      </w:r>
      <w:r>
        <w:rPr>
          <w:rFonts w:hint="eastAsia"/>
          <w:szCs w:val="18"/>
        </w:rPr>
        <w:t>对其他管理和技术人员</w:t>
      </w:r>
      <w:r>
        <w:rPr>
          <w:rFonts w:hint="eastAsia"/>
          <w:lang w:eastAsia="zh-CN"/>
        </w:rPr>
        <w:t>（例如</w:t>
      </w:r>
      <w:r>
        <w:rPr>
          <w:lang w:eastAsia="zh-CN"/>
        </w:rPr>
        <w:t>项目副经理、专业工程师等</w:t>
      </w:r>
      <w:r>
        <w:rPr>
          <w:rFonts w:hint="eastAsia"/>
          <w:lang w:eastAsia="zh-CN"/>
        </w:rPr>
        <w:t>）</w:t>
      </w:r>
      <w:r>
        <w:rPr>
          <w:rFonts w:hint="eastAsia"/>
          <w:szCs w:val="18"/>
        </w:rPr>
        <w:t>以及主要机械设备和试验检测设备进行资格评审。</w:t>
      </w:r>
    </w:p>
  </w:footnote>
  <w:footnote w:id="28">
    <w:p w14:paraId="6E132FF6">
      <w:pPr>
        <w:pStyle w:val="30"/>
        <w:spacing w:line="320" w:lineRule="atLeast"/>
        <w:ind w:left="180" w:hanging="180" w:hangingChars="100"/>
        <w:rPr>
          <w:rFonts w:hint="eastAsia"/>
        </w:rPr>
      </w:pPr>
      <w:r>
        <w:rPr>
          <w:rStyle w:val="47"/>
        </w:rPr>
        <w:footnoteRef/>
      </w:r>
      <w:r>
        <w:rPr>
          <w:rFonts w:hint="eastAsia"/>
          <w:szCs w:val="18"/>
          <w:lang w:eastAsia="zh-CN"/>
        </w:rPr>
        <w:t xml:space="preserve"> </w:t>
      </w:r>
      <w:r>
        <w:rPr>
          <w:rFonts w:hint="eastAsia"/>
          <w:szCs w:val="18"/>
        </w:rPr>
        <w:t>本</w:t>
      </w:r>
      <w:r>
        <w:rPr>
          <w:rFonts w:hint="eastAsia"/>
          <w:szCs w:val="18"/>
          <w:lang w:eastAsia="zh-CN"/>
        </w:rPr>
        <w:t>款</w:t>
      </w:r>
      <w:r>
        <w:rPr>
          <w:rFonts w:hint="eastAsia"/>
          <w:szCs w:val="18"/>
        </w:rPr>
        <w:t>规定仅适用于根据《关于发布公路工程从业企业资质名录的通知》（厅公路字〔</w:t>
      </w:r>
      <w:r>
        <w:rPr>
          <w:szCs w:val="18"/>
        </w:rPr>
        <w:t>2011</w:t>
      </w:r>
      <w:r>
        <w:rPr>
          <w:rFonts w:hint="eastAsia"/>
          <w:szCs w:val="18"/>
        </w:rPr>
        <w:t>〕</w:t>
      </w:r>
      <w:r>
        <w:rPr>
          <w:szCs w:val="18"/>
        </w:rPr>
        <w:t>114</w:t>
      </w:r>
      <w:r>
        <w:rPr>
          <w:rFonts w:hint="eastAsia"/>
          <w:szCs w:val="18"/>
        </w:rPr>
        <w:t>号）要求，招标人应通过名录对投标人资质条件进行审核的公路施工企业；如前款文件中规定的资质已由省级相关部门负责审核、审批，则不做要求。</w:t>
      </w:r>
    </w:p>
  </w:footnote>
  <w:footnote w:id="29">
    <w:p w14:paraId="7F6648C5">
      <w:pPr>
        <w:pStyle w:val="30"/>
        <w:spacing w:line="320" w:lineRule="atLeast"/>
        <w:ind w:left="180" w:hanging="180" w:hangingChars="100"/>
        <w:rPr>
          <w:rStyle w:val="47"/>
          <w:szCs w:val="18"/>
        </w:rPr>
      </w:pPr>
      <w:r>
        <w:rPr>
          <w:rStyle w:val="47"/>
          <w:szCs w:val="18"/>
        </w:rPr>
        <w:footnoteRef/>
      </w:r>
      <w:r>
        <w:rPr>
          <w:rFonts w:hint="eastAsia"/>
          <w:szCs w:val="18"/>
        </w:rPr>
        <w:t xml:space="preserve"> 如</w:t>
      </w:r>
      <w:r>
        <w:rPr>
          <w:rStyle w:val="47"/>
          <w:szCs w:val="18"/>
          <w:vertAlign w:val="baseline"/>
        </w:rPr>
        <w:t>本项目招标</w:t>
      </w:r>
      <w:r>
        <w:rPr>
          <w:rStyle w:val="47"/>
          <w:rFonts w:hint="eastAsia"/>
          <w:szCs w:val="18"/>
          <w:vertAlign w:val="baseline"/>
          <w:lang w:eastAsia="zh-CN"/>
        </w:rPr>
        <w:t>由</w:t>
      </w:r>
      <w:r>
        <w:rPr>
          <w:rFonts w:hint="eastAsia"/>
          <w:szCs w:val="18"/>
        </w:rPr>
        <w:t>投标人按照招标人提供的</w:t>
      </w:r>
      <w:r>
        <w:rPr>
          <w:szCs w:val="18"/>
        </w:rPr>
        <w:t>工程量固化清单</w:t>
      </w:r>
      <w:r>
        <w:rPr>
          <w:rFonts w:hint="eastAsia"/>
          <w:szCs w:val="18"/>
        </w:rPr>
        <w:t>电子文件填写工程量清单，无须按照本章第3.3.2项和第3.3.3项的规定对投标报价进行修正，第3.3.2项</w:t>
      </w:r>
      <w:r>
        <w:rPr>
          <w:rFonts w:hint="eastAsia"/>
          <w:szCs w:val="18"/>
          <w:lang w:eastAsia="zh-CN"/>
        </w:rPr>
        <w:t>至</w:t>
      </w:r>
      <w:r>
        <w:rPr>
          <w:rFonts w:hint="eastAsia"/>
          <w:szCs w:val="18"/>
        </w:rPr>
        <w:t>第3.3.5项内容不适用。</w:t>
      </w:r>
    </w:p>
  </w:footnote>
  <w:footnote w:id="30">
    <w:p w14:paraId="11DE86F7">
      <w:pPr>
        <w:pStyle w:val="30"/>
        <w:snapToGrid w:val="0"/>
      </w:pPr>
      <w:r>
        <w:rPr>
          <w:rStyle w:val="47"/>
        </w:rPr>
        <w:footnoteRef/>
      </w:r>
      <w:r>
        <w:t xml:space="preserve"> </w:t>
      </w:r>
      <w:r>
        <w:rPr>
          <w:rFonts w:hint="eastAsia"/>
          <w:lang w:val="en-US" w:eastAsia="zh-CN"/>
        </w:rPr>
        <w:t>本合同仅</w:t>
      </w:r>
      <w:r>
        <w:rPr>
          <w:rFonts w:hint="eastAsia"/>
        </w:rPr>
        <w:t>适用</w:t>
      </w:r>
      <w:r>
        <w:rPr>
          <w:rFonts w:hint="eastAsia"/>
          <w:lang w:val="en-US" w:eastAsia="zh-CN"/>
        </w:rPr>
        <w:t>于</w:t>
      </w:r>
      <w:r>
        <w:rPr>
          <w:rFonts w:hint="eastAsia"/>
        </w:rPr>
        <w:t>建设项目，养护工程项目</w:t>
      </w:r>
      <w:r>
        <w:rPr>
          <w:rFonts w:hint="eastAsia"/>
          <w:lang w:eastAsia="zh-CN"/>
        </w:rPr>
        <w:t>的</w:t>
      </w:r>
      <w:r>
        <w:rPr>
          <w:rFonts w:hint="eastAsia"/>
          <w:lang w:val="en-US" w:eastAsia="zh-CN"/>
        </w:rPr>
        <w:t>合同可</w:t>
      </w:r>
      <w:r>
        <w:rPr>
          <w:rFonts w:hint="eastAsia"/>
        </w:rPr>
        <w:t>参照</w:t>
      </w:r>
      <w:r>
        <w:rPr>
          <w:rFonts w:hint="eastAsia"/>
          <w:lang w:val="en-US" w:eastAsia="zh-CN"/>
        </w:rPr>
        <w:t>执行。</w:t>
      </w:r>
    </w:p>
  </w:footnote>
  <w:footnote w:id="31">
    <w:p w14:paraId="378A19A7">
      <w:pPr>
        <w:pStyle w:val="30"/>
        <w:rPr>
          <w:rFonts w:hint="eastAsia"/>
          <w:lang w:eastAsia="zh-CN"/>
        </w:rPr>
      </w:pPr>
      <w:r>
        <w:rPr>
          <w:rStyle w:val="47"/>
        </w:rPr>
        <w:footnoteRef/>
      </w:r>
      <w:r>
        <w:t xml:space="preserve"> </w:t>
      </w:r>
      <w:r>
        <w:rPr>
          <w:rFonts w:hint="eastAsia"/>
          <w:lang w:eastAsia="zh-CN"/>
        </w:rPr>
        <w:t>本部分不加修改地引用了国家九部委《标准施工招标文件》（2007年版）相关内容。</w:t>
      </w:r>
    </w:p>
  </w:footnote>
  <w:footnote w:id="32">
    <w:p w14:paraId="0322C7F7">
      <w:pPr>
        <w:pStyle w:val="30"/>
        <w:spacing w:line="320" w:lineRule="atLeast"/>
        <w:ind w:left="180" w:hanging="180" w:hangingChars="100"/>
        <w:rPr>
          <w:rFonts w:hint="eastAsia"/>
          <w:lang w:eastAsia="zh-CN"/>
        </w:rPr>
      </w:pPr>
      <w:r>
        <w:rPr>
          <w:rStyle w:val="47"/>
        </w:rPr>
        <w:footnoteRef/>
      </w:r>
      <w:r>
        <w:t xml:space="preserve"> 如果在招标</w:t>
      </w:r>
      <w:r>
        <w:rPr>
          <w:rFonts w:hint="eastAsia"/>
          <w:lang w:eastAsia="zh-CN"/>
        </w:rPr>
        <w:t>阶段</w:t>
      </w:r>
      <w:r>
        <w:rPr>
          <w:rFonts w:hint="eastAsia"/>
        </w:rPr>
        <w:t>，招标人</w:t>
      </w:r>
      <w:r>
        <w:t>在图纸中直接指定了取土场和弃土场位置</w:t>
      </w:r>
      <w:r>
        <w:rPr>
          <w:rFonts w:hint="eastAsia"/>
        </w:rPr>
        <w:t>，</w:t>
      </w:r>
      <w:r>
        <w:t>且作为投标人投标</w:t>
      </w:r>
      <w:r>
        <w:rPr>
          <w:rFonts w:hint="eastAsia"/>
          <w:lang w:eastAsia="zh-CN"/>
        </w:rPr>
        <w:t>报价</w:t>
      </w:r>
      <w:r>
        <w:t>的依据</w:t>
      </w:r>
      <w:r>
        <w:rPr>
          <w:rFonts w:hint="eastAsia"/>
        </w:rPr>
        <w:t>，则</w:t>
      </w:r>
      <w:r>
        <w:rPr>
          <w:rFonts w:hint="eastAsia"/>
          <w:lang w:eastAsia="zh-CN"/>
        </w:rPr>
        <w:t>招标</w:t>
      </w:r>
      <w:r>
        <w:rPr>
          <w:rFonts w:hint="eastAsia"/>
        </w:rPr>
        <w:t>人应在项目专用合同条款中对本项规定进行调整。</w:t>
      </w:r>
    </w:p>
  </w:footnote>
  <w:footnote w:id="33">
    <w:p w14:paraId="23F2E19B">
      <w:pPr>
        <w:pStyle w:val="30"/>
        <w:spacing w:line="300" w:lineRule="atLeast"/>
        <w:ind w:left="210" w:hanging="210"/>
        <w:rPr>
          <w:rFonts w:hint="eastAsia"/>
          <w:szCs w:val="18"/>
        </w:rPr>
      </w:pPr>
      <w:r>
        <w:rPr>
          <w:rStyle w:val="47"/>
          <w:szCs w:val="18"/>
        </w:rPr>
        <w:footnoteRef/>
      </w:r>
      <w:r>
        <w:rPr>
          <w:rFonts w:hint="eastAsia" w:hAnsi="Roman"/>
          <w:szCs w:val="18"/>
        </w:rPr>
        <w:t xml:space="preserve"> 缺陷责任期一般为自实际交工日期起计算</w:t>
      </w:r>
      <w:r>
        <w:rPr>
          <w:rFonts w:hint="eastAsia" w:hAnsi="Roman"/>
          <w:szCs w:val="18"/>
          <w:lang w:eastAsia="zh-CN"/>
        </w:rPr>
        <w:t>1</w:t>
      </w:r>
      <w:r>
        <w:rPr>
          <w:rFonts w:hint="eastAsia" w:hAnsi="Roman"/>
          <w:szCs w:val="18"/>
        </w:rPr>
        <w:t>年</w:t>
      </w:r>
      <w:r>
        <w:rPr>
          <w:rFonts w:hint="eastAsia" w:hAnsi="Roman"/>
          <w:szCs w:val="18"/>
          <w:lang w:eastAsia="zh-CN"/>
        </w:rPr>
        <w:t>，</w:t>
      </w:r>
      <w:r>
        <w:rPr>
          <w:rFonts w:hint="eastAsia" w:hAnsi="Roman"/>
          <w:szCs w:val="18"/>
        </w:rPr>
        <w:t>最长不超过</w:t>
      </w:r>
      <w:r>
        <w:rPr>
          <w:rFonts w:hint="eastAsia" w:hAnsi="Roman"/>
          <w:szCs w:val="18"/>
          <w:lang w:eastAsia="zh-CN"/>
        </w:rPr>
        <w:t>2年</w:t>
      </w:r>
      <w:r>
        <w:rPr>
          <w:rFonts w:hint="eastAsia" w:hAnsi="Roman"/>
          <w:szCs w:val="18"/>
        </w:rPr>
        <w:t>。</w:t>
      </w:r>
    </w:p>
  </w:footnote>
  <w:footnote w:id="34">
    <w:p w14:paraId="6A0A2D2A">
      <w:pPr>
        <w:pStyle w:val="30"/>
        <w:spacing w:line="300" w:lineRule="atLeast"/>
        <w:ind w:left="210" w:hanging="210"/>
        <w:rPr>
          <w:rFonts w:hint="eastAsia"/>
          <w:szCs w:val="18"/>
        </w:rPr>
      </w:pPr>
      <w:r>
        <w:rPr>
          <w:rStyle w:val="47"/>
          <w:szCs w:val="18"/>
        </w:rPr>
        <w:footnoteRef/>
      </w:r>
      <w:r>
        <w:rPr>
          <w:rFonts w:hint="eastAsia" w:hAnsi="Roman"/>
          <w:szCs w:val="18"/>
        </w:rPr>
        <w:t xml:space="preserve"> </w:t>
      </w:r>
      <w:r>
        <w:rPr>
          <w:rFonts w:hAnsi="Roman"/>
          <w:szCs w:val="18"/>
        </w:rPr>
        <w:t>逾期交工违约金限额</w:t>
      </w:r>
      <w:r>
        <w:rPr>
          <w:rFonts w:hint="eastAsia" w:hAnsi="Roman"/>
          <w:szCs w:val="18"/>
        </w:rPr>
        <w:t>一般应为10</w:t>
      </w:r>
      <w:r>
        <w:rPr>
          <w:rFonts w:hAnsi="Roman"/>
          <w:szCs w:val="18"/>
        </w:rPr>
        <w:t>%签约合同价</w:t>
      </w:r>
      <w:r>
        <w:rPr>
          <w:rFonts w:hint="eastAsia" w:hAnsi="Roman"/>
          <w:szCs w:val="18"/>
        </w:rPr>
        <w:t>。</w:t>
      </w:r>
    </w:p>
  </w:footnote>
  <w:footnote w:id="35">
    <w:p w14:paraId="50703F15">
      <w:pPr>
        <w:pStyle w:val="30"/>
        <w:spacing w:line="280" w:lineRule="atLeast"/>
        <w:ind w:left="210" w:hanging="210"/>
        <w:rPr>
          <w:rFonts w:hint="eastAsia"/>
          <w:szCs w:val="18"/>
        </w:rPr>
      </w:pPr>
      <w:r>
        <w:rPr>
          <w:rStyle w:val="47"/>
          <w:szCs w:val="18"/>
        </w:rPr>
        <w:footnoteRef/>
      </w:r>
      <w:r>
        <w:rPr>
          <w:rFonts w:hint="eastAsia" w:hAnsi="Roman"/>
          <w:szCs w:val="18"/>
        </w:rPr>
        <w:t xml:space="preserve">  指主要材料，一般应为70%～75%，最低不少于60%。</w:t>
      </w:r>
    </w:p>
  </w:footnote>
  <w:footnote w:id="36">
    <w:p w14:paraId="169F48F2">
      <w:pPr>
        <w:pStyle w:val="30"/>
        <w:spacing w:line="280" w:lineRule="atLeast"/>
        <w:ind w:left="210" w:hanging="210"/>
        <w:rPr>
          <w:rFonts w:hint="eastAsia"/>
          <w:szCs w:val="18"/>
        </w:rPr>
      </w:pPr>
      <w:r>
        <w:rPr>
          <w:rStyle w:val="47"/>
          <w:szCs w:val="18"/>
        </w:rPr>
        <w:footnoteRef/>
      </w:r>
      <w:r>
        <w:rPr>
          <w:rFonts w:hint="eastAsia" w:hAnsi="Roman"/>
          <w:szCs w:val="18"/>
        </w:rPr>
        <w:t xml:space="preserve">  国际上一般按月平均支付额的0.3</w:t>
      </w:r>
      <w:r>
        <w:rPr>
          <w:rFonts w:hint="eastAsia" w:hAnsi="Roman"/>
          <w:szCs w:val="18"/>
        </w:rPr>
        <w:sym w:font="Symbol" w:char="F07E"/>
      </w:r>
      <w:r>
        <w:rPr>
          <w:rFonts w:hint="eastAsia" w:hAnsi="Roman"/>
          <w:szCs w:val="18"/>
        </w:rPr>
        <w:t>0.5倍计算，我国可按0.2</w:t>
      </w:r>
      <w:r>
        <w:rPr>
          <w:rFonts w:hint="eastAsia" w:hAnsi="Roman"/>
          <w:szCs w:val="18"/>
        </w:rPr>
        <w:sym w:font="Symbol" w:char="F07E"/>
      </w:r>
      <w:r>
        <w:rPr>
          <w:rFonts w:hAnsi="Roman"/>
          <w:szCs w:val="18"/>
        </w:rPr>
        <w:t>0.3倍</w:t>
      </w:r>
      <w:r>
        <w:rPr>
          <w:rFonts w:hint="eastAsia" w:hAnsi="Roman"/>
          <w:szCs w:val="18"/>
        </w:rPr>
        <w:t>计</w:t>
      </w:r>
      <w:r>
        <w:rPr>
          <w:rFonts w:hint="eastAsia" w:hAnsi="Roman"/>
          <w:szCs w:val="18"/>
          <w:lang w:eastAsia="zh-CN"/>
        </w:rPr>
        <w:t>，</w:t>
      </w:r>
      <w:r>
        <w:rPr>
          <w:rFonts w:hint="eastAsia" w:hAnsi="Roman"/>
          <w:szCs w:val="18"/>
        </w:rPr>
        <w:t>以利承包人资金周转。</w:t>
      </w:r>
    </w:p>
  </w:footnote>
  <w:footnote w:id="37">
    <w:p w14:paraId="4B050AC4">
      <w:pPr>
        <w:pStyle w:val="30"/>
        <w:spacing w:line="280" w:lineRule="atLeast"/>
        <w:ind w:left="210" w:hanging="210"/>
        <w:rPr>
          <w:rFonts w:hint="eastAsia"/>
          <w:szCs w:val="18"/>
        </w:rPr>
      </w:pPr>
      <w:r>
        <w:rPr>
          <w:rStyle w:val="47"/>
          <w:szCs w:val="18"/>
        </w:rPr>
        <w:footnoteRef/>
      </w:r>
      <w:r>
        <w:rPr>
          <w:rFonts w:hint="eastAsia"/>
          <w:szCs w:val="18"/>
        </w:rPr>
        <w:t xml:space="preserve"> </w:t>
      </w:r>
      <w:r>
        <w:rPr>
          <w:rFonts w:hint="eastAsia"/>
          <w:szCs w:val="18"/>
          <w:lang w:eastAsia="zh-CN"/>
        </w:rPr>
        <w:t xml:space="preserve"> </w:t>
      </w:r>
      <w:r>
        <w:rPr>
          <w:rFonts w:hint="eastAsia"/>
          <w:szCs w:val="18"/>
          <w:lang w:val="en-US" w:eastAsia="zh-CN"/>
        </w:rPr>
        <w:t>建设项目</w:t>
      </w:r>
      <w:r>
        <w:rPr>
          <w:rFonts w:hAnsi="Roman"/>
          <w:szCs w:val="18"/>
        </w:rPr>
        <w:t>保修期一般应为自实际交工日期起计算5年</w:t>
      </w:r>
      <w:r>
        <w:rPr>
          <w:rFonts w:hint="eastAsia" w:hAnsi="Roman"/>
          <w:szCs w:val="18"/>
          <w:lang w:eastAsia="zh-CN"/>
        </w:rPr>
        <w:t>，</w:t>
      </w:r>
      <w:r>
        <w:rPr>
          <w:rFonts w:hint="eastAsia" w:hAnsi="Roman"/>
          <w:szCs w:val="18"/>
          <w:lang w:val="en-US" w:eastAsia="zh-CN"/>
        </w:rPr>
        <w:t>养护项目根据项目实际情况设定</w:t>
      </w:r>
      <w:r>
        <w:rPr>
          <w:rFonts w:hint="eastAsia" w:hAnsi="Roman"/>
          <w:szCs w:val="18"/>
        </w:rPr>
        <w:t>。</w:t>
      </w:r>
    </w:p>
  </w:footnote>
  <w:footnote w:id="38">
    <w:p w14:paraId="002161AD">
      <w:pPr>
        <w:pStyle w:val="30"/>
        <w:snapToGrid w:val="0"/>
        <w:ind w:firstLine="0"/>
      </w:pPr>
      <w:r>
        <w:rPr>
          <w:rStyle w:val="47"/>
        </w:rPr>
        <w:footnoteRef/>
      </w:r>
      <w:r>
        <w:t xml:space="preserve"> </w:t>
      </w:r>
      <w:r>
        <w:rPr>
          <w:rFonts w:hint="eastAsia"/>
        </w:rPr>
        <w:t>招标人可结合</w:t>
      </w:r>
      <w:r>
        <w:rPr>
          <w:rFonts w:hint="eastAsia"/>
          <w:lang w:val="en-US" w:eastAsia="zh-CN"/>
        </w:rPr>
        <w:t>辽宁</w:t>
      </w:r>
      <w:r>
        <w:rPr>
          <w:rFonts w:hint="eastAsia"/>
        </w:rPr>
        <w:t>省公路建设领域管理政策文件</w:t>
      </w:r>
      <w:r>
        <w:rPr>
          <w:rFonts w:hint="eastAsia"/>
          <w:lang w:eastAsia="zh-CN"/>
        </w:rPr>
        <w:t>、招标项目具体特点和实际需要</w:t>
      </w:r>
      <w:r>
        <w:rPr>
          <w:rFonts w:hint="eastAsia"/>
        </w:rPr>
        <w:t>对项目专用合同条款进行补充、细化</w:t>
      </w:r>
      <w:r>
        <w:rPr>
          <w:rFonts w:hint="eastAsia"/>
          <w:lang w:eastAsia="zh-CN"/>
        </w:rPr>
        <w:t>，</w:t>
      </w:r>
      <w:r>
        <w:rPr>
          <w:rFonts w:hint="eastAsia"/>
        </w:rPr>
        <w:t>不得设置各类</w:t>
      </w:r>
      <w:r>
        <w:rPr>
          <w:rFonts w:hint="eastAsia"/>
          <w:lang w:eastAsia="zh-CN"/>
        </w:rPr>
        <w:t>有失公允或违法违规合同条款</w:t>
      </w:r>
      <w:r>
        <w:rPr>
          <w:rFonts w:hint="eastAsia"/>
        </w:rPr>
        <w:t>。</w:t>
      </w:r>
    </w:p>
  </w:footnote>
  <w:footnote w:id="39">
    <w:p w14:paraId="46EE37E6">
      <w:pPr>
        <w:pStyle w:val="30"/>
        <w:spacing w:line="300" w:lineRule="atLeast"/>
        <w:ind w:left="360" w:hanging="360" w:hangingChars="200"/>
        <w:jc w:val="both"/>
        <w:rPr>
          <w:szCs w:val="18"/>
        </w:rPr>
      </w:pPr>
      <w:r>
        <w:rPr>
          <w:rStyle w:val="47"/>
          <w:rFonts w:ascii="宋体" w:hAnsi="宋体"/>
          <w:szCs w:val="18"/>
        </w:rPr>
        <w:footnoteRef/>
      </w:r>
      <w:r>
        <w:rPr>
          <w:rFonts w:hint="eastAsia"/>
          <w:szCs w:val="18"/>
        </w:rPr>
        <w:t xml:space="preserve"> </w:t>
      </w:r>
      <w:r>
        <w:rPr>
          <w:szCs w:val="18"/>
        </w:rPr>
        <w:t>a.</w:t>
      </w:r>
      <w:r>
        <w:rPr>
          <w:rFonts w:hAnsi="宋体"/>
          <w:szCs w:val="18"/>
        </w:rPr>
        <w:t>招标人应在招标文件中规定若投标人在所投标段中标需派驻的其他管理和技术人员</w:t>
      </w:r>
      <w:r>
        <w:rPr>
          <w:rFonts w:hint="eastAsia"/>
          <w:lang w:eastAsia="zh-CN"/>
        </w:rPr>
        <w:t>（例如</w:t>
      </w:r>
      <w:r>
        <w:rPr>
          <w:lang w:eastAsia="zh-CN"/>
        </w:rPr>
        <w:t>项目副经理、专业工程师等</w:t>
      </w:r>
      <w:r>
        <w:rPr>
          <w:rFonts w:hint="eastAsia"/>
          <w:lang w:eastAsia="zh-CN"/>
        </w:rPr>
        <w:t>）</w:t>
      </w:r>
      <w:r>
        <w:rPr>
          <w:rFonts w:hAnsi="宋体"/>
          <w:szCs w:val="18"/>
        </w:rPr>
        <w:t>。</w:t>
      </w:r>
      <w:r>
        <w:rPr>
          <w:rFonts w:hint="eastAsia" w:hAnsi="宋体"/>
          <w:szCs w:val="18"/>
        </w:rPr>
        <w:t>上述人员</w:t>
      </w:r>
      <w:r>
        <w:rPr>
          <w:rFonts w:hAnsi="宋体"/>
          <w:szCs w:val="18"/>
        </w:rPr>
        <w:t>的具体人选由招标人和中标人在合同谈判阶段确定</w:t>
      </w:r>
      <w:r>
        <w:rPr>
          <w:rFonts w:hint="eastAsia" w:hAnsi="宋体"/>
          <w:szCs w:val="18"/>
        </w:rPr>
        <w:t>，且经</w:t>
      </w:r>
      <w:r>
        <w:rPr>
          <w:rFonts w:hAnsi="宋体"/>
          <w:szCs w:val="18"/>
        </w:rPr>
        <w:t>招标人审批后作为派驻本标段的项目管理机构主要人员</w:t>
      </w:r>
      <w:r>
        <w:rPr>
          <w:rFonts w:hint="eastAsia" w:hAnsi="宋体"/>
          <w:szCs w:val="18"/>
        </w:rPr>
        <w:t>，</w:t>
      </w:r>
      <w:r>
        <w:rPr>
          <w:rFonts w:hAnsi="宋体"/>
          <w:szCs w:val="18"/>
        </w:rPr>
        <w:t>不允许更换。</w:t>
      </w:r>
      <w:r>
        <w:rPr>
          <w:rFonts w:hint="eastAsia" w:hAnsi="宋体"/>
          <w:szCs w:val="18"/>
        </w:rPr>
        <w:t>如中标人拟派驻的人员数量和资格条件不满足本表要求，招标人应取消其中标资格。</w:t>
      </w:r>
    </w:p>
    <w:p w14:paraId="45DFBF6C">
      <w:pPr>
        <w:pStyle w:val="30"/>
        <w:spacing w:line="300" w:lineRule="atLeast"/>
        <w:ind w:left="361" w:leftChars="86" w:hanging="180" w:hangingChars="100"/>
        <w:jc w:val="both"/>
        <w:rPr>
          <w:rFonts w:hint="eastAsia"/>
          <w:szCs w:val="18"/>
        </w:rPr>
      </w:pPr>
      <w:r>
        <w:rPr>
          <w:szCs w:val="18"/>
        </w:rPr>
        <w:t>b.</w:t>
      </w:r>
      <w:r>
        <w:rPr>
          <w:rFonts w:hAnsi="宋体"/>
          <w:szCs w:val="18"/>
        </w:rPr>
        <w:t>本表不适用于已按招标文件要求提供了其他管理和技术人员的特别复杂的特大桥梁和特长隧道项目主体工程以及其他有特殊要求的工程</w:t>
      </w:r>
      <w:r>
        <w:rPr>
          <w:rFonts w:hint="eastAsia" w:ascii="宋体" w:hAnsi="宋体"/>
          <w:szCs w:val="18"/>
        </w:rPr>
        <w:t>。</w:t>
      </w:r>
    </w:p>
  </w:footnote>
  <w:footnote w:id="40">
    <w:p w14:paraId="233BBC1C">
      <w:pPr>
        <w:pStyle w:val="30"/>
        <w:spacing w:line="300" w:lineRule="atLeast"/>
        <w:ind w:left="360" w:hanging="360" w:hangingChars="200"/>
        <w:rPr>
          <w:szCs w:val="18"/>
        </w:rPr>
      </w:pPr>
      <w:r>
        <w:rPr>
          <w:rStyle w:val="47"/>
          <w:szCs w:val="18"/>
        </w:rPr>
        <w:footnoteRef/>
      </w:r>
      <w:r>
        <w:rPr>
          <w:rFonts w:hint="eastAsia"/>
          <w:szCs w:val="18"/>
        </w:rPr>
        <w:t xml:space="preserve"> </w:t>
      </w:r>
      <w:r>
        <w:rPr>
          <w:szCs w:val="18"/>
        </w:rPr>
        <w:t>a.</w:t>
      </w:r>
      <w:r>
        <w:rPr>
          <w:rFonts w:hint="eastAsia"/>
          <w:szCs w:val="18"/>
        </w:rPr>
        <w:t xml:space="preserve"> </w:t>
      </w:r>
      <w:r>
        <w:rPr>
          <w:rFonts w:hAnsi="宋体"/>
          <w:szCs w:val="18"/>
        </w:rPr>
        <w:t>招标人应在招标文件中规定若投标人在所投标段中标需提供的主要机械设备和试验检测设备。招标人将在</w:t>
      </w:r>
      <w:r>
        <w:rPr>
          <w:rFonts w:hint="eastAsia" w:hAnsi="宋体"/>
          <w:szCs w:val="18"/>
        </w:rPr>
        <w:t>合同谈判阶段</w:t>
      </w:r>
      <w:r>
        <w:rPr>
          <w:rFonts w:hAnsi="宋体"/>
          <w:szCs w:val="18"/>
        </w:rPr>
        <w:t>要求中标人按照本表的最低要求填报为本标段配备的主要设备，在经招标人审批后作为投入本标段的主要设备且不允许更换。</w:t>
      </w:r>
      <w:r>
        <w:rPr>
          <w:rFonts w:hint="eastAsia" w:hAnsi="宋体"/>
          <w:szCs w:val="18"/>
        </w:rPr>
        <w:t>如招标人拟提供的设备数量和规格指标等不满足本表要求，招标人应取消其中标资格。</w:t>
      </w:r>
    </w:p>
    <w:p w14:paraId="698EA37E">
      <w:pPr>
        <w:pStyle w:val="30"/>
        <w:spacing w:line="300" w:lineRule="atLeast"/>
        <w:ind w:left="451" w:leftChars="129" w:hanging="180" w:hangingChars="100"/>
        <w:jc w:val="both"/>
        <w:rPr>
          <w:rFonts w:hint="eastAsia"/>
          <w:szCs w:val="18"/>
        </w:rPr>
      </w:pPr>
      <w:r>
        <w:rPr>
          <w:szCs w:val="18"/>
        </w:rPr>
        <w:t>b.</w:t>
      </w:r>
      <w:r>
        <w:rPr>
          <w:rFonts w:hAnsi="宋体"/>
          <w:szCs w:val="18"/>
        </w:rPr>
        <w:t>本表不适用</w:t>
      </w:r>
      <w:r>
        <w:rPr>
          <w:rFonts w:hint="eastAsia" w:ascii="宋体" w:hAnsi="宋体"/>
          <w:szCs w:val="18"/>
        </w:rPr>
        <w:t>于已按招标文件要求提供了主要机械设备和试验检测设备的特别复杂的特大桥梁和特长隧道项目主体工程以及其他有特殊要求的工程。</w:t>
      </w:r>
    </w:p>
    <w:p w14:paraId="7871AFAF">
      <w:pPr>
        <w:pStyle w:val="30"/>
        <w:ind w:left="210" w:hanging="210"/>
        <w:rPr>
          <w:rFonts w:hint="eastAsia"/>
          <w:sz w:val="21"/>
          <w:szCs w:val="21"/>
        </w:rPr>
      </w:pPr>
    </w:p>
  </w:footnote>
  <w:footnote w:id="41">
    <w:p w14:paraId="315B33E9">
      <w:pPr>
        <w:pStyle w:val="30"/>
        <w:tabs>
          <w:tab w:val="left" w:pos="3780"/>
        </w:tabs>
        <w:spacing w:line="340" w:lineRule="atLeast"/>
        <w:ind w:left="210" w:hanging="210"/>
        <w:rPr>
          <w:rFonts w:hint="eastAsia"/>
        </w:rPr>
      </w:pPr>
      <w:r>
        <w:rPr>
          <w:rStyle w:val="47"/>
        </w:rPr>
        <w:footnoteRef/>
      </w:r>
      <w:r>
        <w:rPr>
          <w:rFonts w:hint="eastAsia"/>
        </w:rPr>
        <w:t>本条内容可修改为：“</w:t>
      </w:r>
      <w:r>
        <w:t>本</w:t>
      </w:r>
      <w:r>
        <w:rPr>
          <w:rFonts w:hint="eastAsia"/>
          <w:lang w:eastAsia="zh-CN"/>
        </w:rPr>
        <w:t>担保</w:t>
      </w:r>
      <w:r>
        <w:t>自</w:t>
      </w:r>
      <w:r>
        <w:rPr>
          <w:rFonts w:hint="eastAsia"/>
          <w:u w:val="single"/>
        </w:rPr>
        <w:t xml:space="preserve">         </w:t>
      </w:r>
      <w:r>
        <w:t>（生效日期）之日起生效，至</w:t>
      </w:r>
      <w:r>
        <w:rPr>
          <w:rFonts w:hint="eastAsia"/>
          <w:u w:val="single"/>
        </w:rPr>
        <w:t xml:space="preserve">         </w:t>
      </w:r>
      <w:r>
        <w:t>（失效日期）之日失效</w:t>
      </w:r>
      <w:r>
        <w:rPr>
          <w:rFonts w:hint="eastAsia"/>
        </w:rPr>
        <w:t>。”</w:t>
      </w:r>
      <w:r>
        <w:rPr>
          <w:rFonts w:hint="eastAsia"/>
          <w:sz w:val="21"/>
          <w:szCs w:val="21"/>
        </w:rPr>
        <w:t xml:space="preserve"> </w:t>
      </w:r>
      <w:r>
        <w:rPr>
          <w:rFonts w:hint="eastAsia"/>
        </w:rPr>
        <w:t>如发包人接受</w:t>
      </w:r>
      <w:r>
        <w:rPr>
          <w:rFonts w:hint="eastAsia"/>
          <w:lang w:eastAsia="zh-CN"/>
        </w:rPr>
        <w:t>履约</w:t>
      </w:r>
      <w:r>
        <w:t>保函</w:t>
      </w:r>
      <w:r>
        <w:rPr>
          <w:rFonts w:hint="eastAsia"/>
        </w:rPr>
        <w:t>采用固定有效</w:t>
      </w:r>
      <w:r>
        <w:t>期，</w:t>
      </w:r>
      <w:r>
        <w:rPr>
          <w:rFonts w:hint="eastAsia"/>
        </w:rPr>
        <w:t>在项目</w:t>
      </w:r>
      <w:r>
        <w:t>专用合同条款中</w:t>
      </w:r>
      <w:r>
        <w:rPr>
          <w:rFonts w:hint="eastAsia"/>
        </w:rPr>
        <w:t>应</w:t>
      </w:r>
      <w:r>
        <w:t>增加</w:t>
      </w:r>
      <w:r>
        <w:rPr>
          <w:rFonts w:hint="eastAsia"/>
          <w:lang w:eastAsia="zh-CN"/>
        </w:rPr>
        <w:t>保证</w:t>
      </w:r>
      <w:r>
        <w:rPr>
          <w:rFonts w:hint="eastAsia"/>
        </w:rPr>
        <w:t>承包人在</w:t>
      </w:r>
      <w:r>
        <w:rPr>
          <w:rFonts w:hint="eastAsia"/>
          <w:lang w:eastAsia="zh-CN"/>
        </w:rPr>
        <w:t>履约</w:t>
      </w:r>
      <w:r>
        <w:t>保函失效</w:t>
      </w:r>
      <w:r>
        <w:rPr>
          <w:rFonts w:hint="eastAsia"/>
          <w:lang w:eastAsia="zh-CN"/>
        </w:rPr>
        <w:t>日</w:t>
      </w:r>
      <w:r>
        <w:t>前向发包人出具后续阶段履约保函</w:t>
      </w:r>
      <w:r>
        <w:rPr>
          <w:rFonts w:hint="eastAsia"/>
          <w:lang w:eastAsia="zh-CN"/>
        </w:rPr>
        <w:t>的</w:t>
      </w:r>
      <w:r>
        <w:rPr>
          <w:rFonts w:hint="eastAsia"/>
        </w:rPr>
        <w:t>约束</w:t>
      </w:r>
      <w:r>
        <w:rPr>
          <w:rFonts w:hint="eastAsia"/>
          <w:lang w:eastAsia="zh-CN"/>
        </w:rPr>
        <w:t>性</w:t>
      </w:r>
      <w:r>
        <w:rPr>
          <w:lang w:eastAsia="zh-CN"/>
        </w:rPr>
        <w:t>条款</w:t>
      </w:r>
      <w:r>
        <w:t>，直至发包人签发交工验收证书</w:t>
      </w:r>
      <w:r>
        <w:rPr>
          <w:rFonts w:hint="eastAsia"/>
        </w:rPr>
        <w:t>且承包人按照合同约定缴纳质量保证金</w:t>
      </w:r>
      <w:r>
        <w:t>之日</w:t>
      </w:r>
      <w:r>
        <w:rPr>
          <w:rFonts w:hint="eastAsia"/>
          <w:lang w:eastAsia="zh-CN"/>
        </w:rPr>
        <w:t>为止</w:t>
      </w:r>
      <w:r>
        <w:t>。</w:t>
      </w:r>
    </w:p>
  </w:footnote>
  <w:footnote w:id="42">
    <w:p w14:paraId="68DF7A92">
      <w:pPr>
        <w:widowControl w:val="0"/>
        <w:adjustRightInd w:val="0"/>
        <w:snapToGrid w:val="0"/>
        <w:spacing w:line="240" w:lineRule="auto"/>
        <w:ind w:left="126" w:hanging="147" w:hangingChars="70"/>
        <w:jc w:val="both"/>
        <w:textAlignment w:val="baseline"/>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hint="eastAsia" w:ascii="Times New Roman" w:hAnsi="Times New Roman" w:eastAsia="宋体" w:cs="Times New Roman"/>
          <w:kern w:val="0"/>
          <w:sz w:val="18"/>
          <w:szCs w:val="20"/>
          <w:lang w:val="en-US" w:eastAsia="zh-CN" w:bidi="ar-SA"/>
        </w:rPr>
        <w:t>详见《公路工程标准施工招标文件》（2018年版第</w:t>
      </w:r>
      <w:r>
        <w:rPr>
          <w:rFonts w:hint="eastAsia" w:cs="Times New Roman"/>
          <w:kern w:val="0"/>
          <w:sz w:val="18"/>
          <w:szCs w:val="20"/>
          <w:lang w:val="en-US" w:eastAsia="zh-CN" w:bidi="ar-SA"/>
        </w:rPr>
        <w:t>二</w:t>
      </w:r>
      <w:r>
        <w:rPr>
          <w:rFonts w:hint="eastAsia" w:ascii="Times New Roman" w:hAnsi="Times New Roman" w:eastAsia="宋体" w:cs="Times New Roman"/>
          <w:kern w:val="0"/>
          <w:sz w:val="18"/>
          <w:szCs w:val="20"/>
          <w:lang w:val="en-US" w:eastAsia="zh-CN" w:bidi="ar-SA"/>
        </w:rPr>
        <w:t>册），</w:t>
      </w:r>
      <w:r>
        <w:rPr>
          <w:rFonts w:ascii="Times New Roman" w:hAnsi="Times New Roman" w:eastAsia="宋体" w:cs="Times New Roman"/>
          <w:kern w:val="0"/>
          <w:sz w:val="18"/>
          <w:szCs w:val="20"/>
          <w:lang w:val="en-US" w:eastAsia="zh-CN" w:bidi="ar-SA"/>
        </w:rPr>
        <w:t>招标人或</w:t>
      </w:r>
      <w:r>
        <w:rPr>
          <w:rFonts w:hint="eastAsia" w:ascii="Times New Roman" w:hAnsi="Times New Roman" w:eastAsia="宋体" w:cs="Times New Roman"/>
          <w:kern w:val="0"/>
          <w:sz w:val="18"/>
          <w:szCs w:val="20"/>
          <w:lang w:val="en-US" w:eastAsia="zh-CN" w:bidi="ar-SA"/>
        </w:rPr>
        <w:t>招标人</w:t>
      </w:r>
      <w:r>
        <w:rPr>
          <w:rFonts w:ascii="Times New Roman" w:hAnsi="Times New Roman" w:eastAsia="宋体" w:cs="Times New Roman"/>
          <w:kern w:val="0"/>
          <w:sz w:val="18"/>
          <w:szCs w:val="20"/>
          <w:lang w:val="en-US" w:eastAsia="zh-CN" w:bidi="ar-SA"/>
        </w:rPr>
        <w:t>委托的</w:t>
      </w:r>
      <w:r>
        <w:rPr>
          <w:rFonts w:hint="eastAsia" w:ascii="Times New Roman" w:hAnsi="Times New Roman" w:eastAsia="宋体" w:cs="Times New Roman"/>
          <w:kern w:val="0"/>
          <w:sz w:val="18"/>
          <w:szCs w:val="20"/>
          <w:lang w:val="en-US" w:eastAsia="zh-CN" w:bidi="ar-SA"/>
        </w:rPr>
        <w:t>咨询</w:t>
      </w:r>
      <w:r>
        <w:rPr>
          <w:rFonts w:ascii="Times New Roman" w:hAnsi="Times New Roman" w:eastAsia="宋体" w:cs="Times New Roman"/>
          <w:kern w:val="0"/>
          <w:sz w:val="18"/>
          <w:szCs w:val="20"/>
          <w:lang w:val="en-US" w:eastAsia="zh-CN" w:bidi="ar-SA"/>
        </w:rPr>
        <w:t>单位</w:t>
      </w:r>
      <w:r>
        <w:rPr>
          <w:rFonts w:hint="eastAsia" w:ascii="Times New Roman" w:hAnsi="Times New Roman" w:eastAsia="宋体" w:cs="Times New Roman"/>
          <w:kern w:val="0"/>
          <w:sz w:val="18"/>
          <w:szCs w:val="20"/>
          <w:lang w:val="en-US" w:eastAsia="zh-CN" w:bidi="ar-SA"/>
        </w:rPr>
        <w:t>可</w:t>
      </w:r>
      <w:r>
        <w:rPr>
          <w:rFonts w:ascii="Times New Roman" w:hAnsi="Times New Roman" w:eastAsia="宋体" w:cs="Times New Roman"/>
          <w:kern w:val="0"/>
          <w:sz w:val="18"/>
          <w:szCs w:val="20"/>
          <w:lang w:val="en-US" w:eastAsia="zh-CN" w:bidi="ar-SA"/>
        </w:rPr>
        <w:t>依据招标图纸文件，按照交通运输部《公路工程标准施工招标文件》“第七章 技术规范”、“第八章 工程量清单计量规则”中相关规定，根据项目特点和实际情况进行编制，向投标人免费提供下载。</w:t>
      </w:r>
    </w:p>
  </w:footnote>
  <w:footnote w:id="43">
    <w:p w14:paraId="3208B6D9">
      <w:pPr>
        <w:widowControl w:val="0"/>
        <w:adjustRightInd w:val="0"/>
        <w:snapToGrid w:val="0"/>
        <w:spacing w:line="240" w:lineRule="auto"/>
        <w:ind w:left="126" w:hanging="147" w:hangingChars="70"/>
        <w:jc w:val="both"/>
        <w:textAlignment w:val="baseline"/>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hint="eastAsia" w:ascii="Times New Roman" w:hAnsi="Times New Roman" w:eastAsia="宋体" w:cs="Times New Roman"/>
          <w:kern w:val="0"/>
          <w:sz w:val="18"/>
          <w:szCs w:val="20"/>
          <w:lang w:val="en-US" w:eastAsia="zh-CN" w:bidi="ar-SA"/>
        </w:rPr>
        <w:t>详见《公路工程标准施工招标文件》（2018年版第三册），</w:t>
      </w:r>
      <w:r>
        <w:rPr>
          <w:rFonts w:ascii="Times New Roman" w:hAnsi="Times New Roman" w:eastAsia="宋体" w:cs="Times New Roman"/>
          <w:kern w:val="0"/>
          <w:sz w:val="18"/>
          <w:szCs w:val="20"/>
          <w:lang w:val="en-US" w:eastAsia="zh-CN" w:bidi="ar-SA"/>
        </w:rPr>
        <w:t>招标人或</w:t>
      </w:r>
      <w:r>
        <w:rPr>
          <w:rFonts w:hint="eastAsia" w:ascii="Times New Roman" w:hAnsi="Times New Roman" w:eastAsia="宋体" w:cs="Times New Roman"/>
          <w:kern w:val="0"/>
          <w:sz w:val="18"/>
          <w:szCs w:val="20"/>
          <w:lang w:val="en-US" w:eastAsia="zh-CN" w:bidi="ar-SA"/>
        </w:rPr>
        <w:t>招标人</w:t>
      </w:r>
      <w:r>
        <w:rPr>
          <w:rFonts w:ascii="Times New Roman" w:hAnsi="Times New Roman" w:eastAsia="宋体" w:cs="Times New Roman"/>
          <w:kern w:val="0"/>
          <w:sz w:val="18"/>
          <w:szCs w:val="20"/>
          <w:lang w:val="en-US" w:eastAsia="zh-CN" w:bidi="ar-SA"/>
        </w:rPr>
        <w:t>委托的</w:t>
      </w:r>
      <w:r>
        <w:rPr>
          <w:rFonts w:hint="eastAsia" w:ascii="Times New Roman" w:hAnsi="Times New Roman" w:eastAsia="宋体" w:cs="Times New Roman"/>
          <w:kern w:val="0"/>
          <w:sz w:val="18"/>
          <w:szCs w:val="20"/>
          <w:lang w:val="en-US" w:eastAsia="zh-CN" w:bidi="ar-SA"/>
        </w:rPr>
        <w:t>咨询</w:t>
      </w:r>
      <w:r>
        <w:rPr>
          <w:rFonts w:ascii="Times New Roman" w:hAnsi="Times New Roman" w:eastAsia="宋体" w:cs="Times New Roman"/>
          <w:kern w:val="0"/>
          <w:sz w:val="18"/>
          <w:szCs w:val="20"/>
          <w:lang w:val="en-US" w:eastAsia="zh-CN" w:bidi="ar-SA"/>
        </w:rPr>
        <w:t>单位</w:t>
      </w:r>
      <w:r>
        <w:rPr>
          <w:rFonts w:hint="eastAsia" w:ascii="Times New Roman" w:hAnsi="Times New Roman" w:eastAsia="宋体" w:cs="Times New Roman"/>
          <w:kern w:val="0"/>
          <w:sz w:val="18"/>
          <w:szCs w:val="20"/>
          <w:lang w:val="en-US" w:eastAsia="zh-CN" w:bidi="ar-SA"/>
        </w:rPr>
        <w:t>可</w:t>
      </w:r>
      <w:r>
        <w:rPr>
          <w:rFonts w:ascii="Times New Roman" w:hAnsi="Times New Roman" w:eastAsia="宋体" w:cs="Times New Roman"/>
          <w:kern w:val="0"/>
          <w:sz w:val="18"/>
          <w:szCs w:val="20"/>
          <w:lang w:val="en-US" w:eastAsia="zh-CN" w:bidi="ar-SA"/>
        </w:rPr>
        <w:t>依据招标图纸文件，按照交通运输部《公路工程标准施工招标文件》“第七章 技术规范”、“第八章 工程量清单计量规则”中相关规定，根据项目特点和实际情况进行编制，向投标人免费提供下载。</w:t>
      </w:r>
    </w:p>
  </w:footnote>
  <w:footnote w:id="44">
    <w:p w14:paraId="31108465">
      <w:pPr>
        <w:pStyle w:val="30"/>
        <w:ind w:left="210" w:hanging="210"/>
        <w:rPr>
          <w:rFonts w:hint="eastAsia"/>
          <w:szCs w:val="18"/>
        </w:rPr>
      </w:pPr>
      <w:r>
        <w:rPr>
          <w:rStyle w:val="47"/>
          <w:szCs w:val="18"/>
        </w:rPr>
        <w:footnoteRef/>
      </w:r>
      <w:r>
        <w:rPr>
          <w:rFonts w:hint="eastAsia"/>
          <w:szCs w:val="18"/>
        </w:rPr>
        <w:t xml:space="preserve"> 招标人可结合招标项目具体特点和实际需要，对本章内容进行补充、细化。</w:t>
      </w:r>
    </w:p>
  </w:footnote>
  <w:footnote w:id="45">
    <w:p w14:paraId="18AD2F8F">
      <w:pPr>
        <w:pStyle w:val="30"/>
        <w:spacing w:line="300" w:lineRule="atLeast"/>
        <w:ind w:left="180" w:hanging="180" w:hangingChars="100"/>
        <w:jc w:val="both"/>
        <w:rPr>
          <w:rFonts w:hint="eastAsia" w:hAnsi="宋体"/>
          <w:szCs w:val="18"/>
        </w:rPr>
      </w:pPr>
      <w:r>
        <w:rPr>
          <w:rStyle w:val="47"/>
          <w:rFonts w:ascii="宋体" w:hAnsi="宋体"/>
          <w:szCs w:val="18"/>
        </w:rPr>
        <w:footnoteRef/>
      </w:r>
      <w:r>
        <w:rPr>
          <w:rFonts w:hint="eastAsia" w:hAnsi="宋体"/>
          <w:szCs w:val="18"/>
          <w:lang w:eastAsia="zh-CN"/>
        </w:rPr>
        <w:t xml:space="preserve"> </w:t>
      </w:r>
      <w:r>
        <w:rPr>
          <w:rFonts w:hAnsi="宋体"/>
          <w:szCs w:val="18"/>
        </w:rPr>
        <w:t>本</w:t>
      </w:r>
      <w:r>
        <w:rPr>
          <w:rFonts w:hint="eastAsia" w:hAnsi="宋体"/>
          <w:szCs w:val="18"/>
          <w:lang w:eastAsia="zh-CN"/>
        </w:rPr>
        <w:t>条款</w:t>
      </w:r>
      <w:r>
        <w:rPr>
          <w:rFonts w:hAnsi="宋体"/>
          <w:szCs w:val="18"/>
        </w:rPr>
        <w:t>不适用于已按资格招标文件要求提供了其他管理和技术人员</w:t>
      </w:r>
      <w:r>
        <w:rPr>
          <w:rFonts w:hint="eastAsia" w:hAnsi="宋体"/>
          <w:szCs w:val="18"/>
        </w:rPr>
        <w:t>、</w:t>
      </w:r>
      <w:r>
        <w:rPr>
          <w:rFonts w:hAnsi="宋体"/>
          <w:szCs w:val="18"/>
        </w:rPr>
        <w:t>主要机械设备和试验检测设备的</w:t>
      </w:r>
      <w:r>
        <w:rPr>
          <w:rFonts w:hint="eastAsia" w:hAnsi="宋体"/>
          <w:szCs w:val="18"/>
        </w:rPr>
        <w:t>项目。</w:t>
      </w:r>
    </w:p>
  </w:footnote>
  <w:footnote w:id="46">
    <w:p w14:paraId="77BAEC05">
      <w:pPr>
        <w:pStyle w:val="30"/>
        <w:spacing w:line="300" w:lineRule="atLeast"/>
        <w:ind w:left="180" w:hanging="210" w:hangingChars="100"/>
        <w:rPr>
          <w:szCs w:val="18"/>
        </w:rPr>
      </w:pPr>
      <w:r>
        <w:rPr>
          <w:rStyle w:val="47"/>
          <w:kern w:val="2"/>
          <w:sz w:val="21"/>
          <w:szCs w:val="18"/>
        </w:rPr>
        <w:footnoteRef/>
      </w:r>
      <w:r>
        <w:rPr>
          <w:szCs w:val="18"/>
        </w:rPr>
        <w:t xml:space="preserve"> </w:t>
      </w:r>
      <w:r>
        <w:rPr>
          <w:rFonts w:hint="eastAsia"/>
          <w:szCs w:val="18"/>
          <w:lang w:val="en-US" w:eastAsia="zh-CN"/>
        </w:rPr>
        <w:t>若联合体协议书采用线下签署方式，投标人应</w:t>
      </w:r>
      <w:r>
        <w:rPr>
          <w:rFonts w:hint="eastAsia"/>
          <w:szCs w:val="18"/>
        </w:rPr>
        <w:t>附</w:t>
      </w:r>
      <w:r>
        <w:rPr>
          <w:rFonts w:hint="eastAsia"/>
          <w:szCs w:val="18"/>
          <w:lang w:val="en-US" w:eastAsia="zh-CN"/>
        </w:rPr>
        <w:t>所有成员签字盖章后的</w:t>
      </w:r>
      <w:r>
        <w:rPr>
          <w:rFonts w:hint="eastAsia"/>
          <w:szCs w:val="18"/>
        </w:rPr>
        <w:t>联合体协议书</w:t>
      </w:r>
      <w:r>
        <w:rPr>
          <w:rFonts w:hint="eastAsia"/>
          <w:szCs w:val="18"/>
          <w:lang w:val="en-US" w:eastAsia="zh-CN"/>
        </w:rPr>
        <w:t>原件扫描件</w:t>
      </w:r>
      <w:r>
        <w:rPr>
          <w:rFonts w:hint="eastAsia"/>
          <w:szCs w:val="18"/>
          <w:highlight w:val="none"/>
          <w:lang w:val="en-US" w:eastAsia="zh-CN"/>
        </w:rPr>
        <w:t>。</w:t>
      </w:r>
    </w:p>
  </w:footnote>
  <w:footnote w:id="47">
    <w:p w14:paraId="669834A2">
      <w:pPr>
        <w:pStyle w:val="30"/>
        <w:snapToGrid w:val="0"/>
        <w:ind w:firstLine="0"/>
        <w:rPr>
          <w:rFonts w:hint="default" w:eastAsia="宋体"/>
          <w:lang w:val="en-US" w:eastAsia="zh-CN"/>
        </w:rPr>
      </w:pPr>
      <w:r>
        <w:rPr>
          <w:rStyle w:val="47"/>
        </w:rPr>
        <w:footnoteRef/>
      </w:r>
      <w:r>
        <w:t xml:space="preserve"> </w:t>
      </w:r>
      <w:r>
        <w:rPr>
          <w:rFonts w:hint="eastAsia"/>
          <w:lang w:val="en-US" w:eastAsia="zh-CN"/>
        </w:rPr>
        <w:t>牵头人承担施工的份额不得低于联合体其他成员。</w:t>
      </w:r>
    </w:p>
  </w:footnote>
  <w:footnote w:id="48">
    <w:p w14:paraId="5E41AAD7">
      <w:pPr>
        <w:pStyle w:val="30"/>
        <w:spacing w:line="300" w:lineRule="atLeast"/>
        <w:ind w:left="180" w:hanging="180" w:hangingChars="100"/>
        <w:rPr>
          <w:rFonts w:hint="eastAsia" w:ascii="宋体-18030" w:hAnsi="宋体-18030" w:eastAsia="宋体-18030" w:cs="宋体-18030"/>
          <w:szCs w:val="18"/>
        </w:rPr>
      </w:pPr>
      <w:r>
        <w:rPr>
          <w:rStyle w:val="47"/>
          <w:rFonts w:ascii="宋体-18030" w:hAnsi="宋体-18030" w:eastAsia="宋体-18030" w:cs="宋体-18030"/>
          <w:szCs w:val="18"/>
        </w:rPr>
        <w:footnoteRef/>
      </w:r>
      <w:r>
        <w:rPr>
          <w:rFonts w:hint="eastAsia"/>
          <w:szCs w:val="18"/>
        </w:rPr>
        <w:t xml:space="preserve"> 招标人要求投标人提供银行信贷证明是为了避免投标人中标后因流动资金不足而影响工程施工，招标人可根据招标项目具体特点和实际情况选择是否要求投标人提供银行信贷证明。如采用银行信贷证明，</w:t>
      </w:r>
      <w:r>
        <w:rPr>
          <w:rFonts w:hint="eastAsia" w:ascii="宋体" w:hAnsi="宋体" w:cs="宋体-18030"/>
          <w:szCs w:val="18"/>
        </w:rPr>
        <w:t>招标人应在此规定开具信贷证明的银行级别。</w:t>
      </w:r>
    </w:p>
  </w:footnote>
  <w:footnote w:id="49">
    <w:p w14:paraId="7E65299B">
      <w:pPr>
        <w:pStyle w:val="30"/>
        <w:ind w:firstLine="0"/>
        <w:jc w:val="both"/>
        <w:rPr>
          <w:rFonts w:hint="eastAsia" w:ascii="宋体" w:hAnsi="宋体"/>
          <w:szCs w:val="18"/>
        </w:rPr>
      </w:pPr>
      <w:r>
        <w:rPr>
          <w:rStyle w:val="47"/>
          <w:rFonts w:ascii="宋体" w:hAnsi="宋体"/>
          <w:szCs w:val="18"/>
        </w:rPr>
        <w:footnoteRef/>
      </w:r>
      <w:r>
        <w:rPr>
          <w:rFonts w:hint="eastAsia" w:ascii="宋体" w:hAnsi="宋体"/>
          <w:szCs w:val="18"/>
        </w:rPr>
        <w:t xml:space="preserve"> 本表</w:t>
      </w:r>
      <w:r>
        <w:rPr>
          <w:rFonts w:hint="eastAsia"/>
          <w:szCs w:val="18"/>
        </w:rPr>
        <w:t>仅适用于特别复杂的特大桥梁和特长隧道项目主体工程以及其他有特殊要求的工程。</w:t>
      </w:r>
    </w:p>
  </w:footnote>
  <w:footnote w:id="50">
    <w:p w14:paraId="6DB29027">
      <w:pPr>
        <w:pStyle w:val="30"/>
        <w:ind w:firstLine="0"/>
        <w:jc w:val="both"/>
        <w:rPr>
          <w:rFonts w:hint="eastAsia" w:ascii="宋体" w:hAnsi="宋体"/>
          <w:szCs w:val="18"/>
        </w:rPr>
      </w:pPr>
      <w:r>
        <w:rPr>
          <w:rStyle w:val="47"/>
          <w:rFonts w:ascii="宋体" w:hAnsi="宋体"/>
          <w:szCs w:val="18"/>
        </w:rPr>
        <w:footnoteRef/>
      </w:r>
      <w:r>
        <w:rPr>
          <w:rFonts w:hint="eastAsia" w:ascii="宋体" w:hAnsi="宋体"/>
          <w:szCs w:val="18"/>
        </w:rPr>
        <w:t xml:space="preserve"> 本表</w:t>
      </w:r>
      <w:r>
        <w:rPr>
          <w:rFonts w:hint="eastAsia"/>
          <w:szCs w:val="18"/>
        </w:rPr>
        <w:t>仅适用于特别复杂的特大桥梁和特长隧道项目主体工程以及其他有特殊要求的工程。</w:t>
      </w:r>
    </w:p>
  </w:footnote>
  <w:footnote w:id="51">
    <w:p w14:paraId="41001978">
      <w:pPr>
        <w:pStyle w:val="30"/>
        <w:ind w:firstLine="0"/>
        <w:jc w:val="both"/>
        <w:rPr>
          <w:rFonts w:hint="eastAsia" w:ascii="宋体" w:hAnsi="宋体"/>
          <w:sz w:val="21"/>
          <w:szCs w:val="21"/>
        </w:rPr>
      </w:pPr>
      <w:r>
        <w:rPr>
          <w:rStyle w:val="47"/>
          <w:rFonts w:ascii="宋体" w:hAnsi="宋体"/>
        </w:rPr>
        <w:footnoteRef/>
      </w:r>
      <w:r>
        <w:rPr>
          <w:rFonts w:hint="eastAsia" w:ascii="宋体" w:hAnsi="宋体"/>
          <w:szCs w:val="18"/>
          <w:lang w:eastAsia="zh-CN"/>
        </w:rPr>
        <w:t xml:space="preserve"> </w:t>
      </w:r>
      <w:r>
        <w:rPr>
          <w:rFonts w:hint="eastAsia" w:ascii="宋体" w:hAnsi="宋体"/>
          <w:szCs w:val="18"/>
        </w:rPr>
        <w:t>本表仅适用于特别复杂的特大桥梁和特长隧道项目主体工程以及其他有特殊要求的工程。</w:t>
      </w:r>
    </w:p>
  </w:footnote>
  <w:footnote w:id="52">
    <w:p w14:paraId="13854128">
      <w:pPr>
        <w:pStyle w:val="30"/>
        <w:ind w:firstLine="0"/>
        <w:jc w:val="both"/>
        <w:rPr>
          <w:rFonts w:hint="eastAsia" w:ascii="宋体" w:hAnsi="宋体"/>
          <w:szCs w:val="18"/>
        </w:rPr>
      </w:pPr>
      <w:r>
        <w:rPr>
          <w:rStyle w:val="47"/>
          <w:rFonts w:ascii="宋体" w:hAnsi="宋体"/>
          <w:szCs w:val="18"/>
        </w:rPr>
        <w:footnoteRef/>
      </w:r>
      <w:r>
        <w:rPr>
          <w:rFonts w:hint="eastAsia" w:ascii="宋体" w:hAnsi="宋体"/>
          <w:szCs w:val="18"/>
        </w:rPr>
        <w:t xml:space="preserve"> 本表</w:t>
      </w:r>
      <w:r>
        <w:rPr>
          <w:rFonts w:hint="eastAsia"/>
          <w:szCs w:val="18"/>
        </w:rPr>
        <w:t>仅适用于特别复杂的特大桥梁和特长隧道项目主体工程以及其他有特殊要求的工程。</w:t>
      </w:r>
    </w:p>
  </w:footnote>
  <w:footnote w:id="53">
    <w:p w14:paraId="4BD4D153">
      <w:pPr>
        <w:widowControl w:val="0"/>
        <w:adjustRightInd w:val="0"/>
        <w:snapToGrid w:val="0"/>
        <w:spacing w:line="420" w:lineRule="atLeast"/>
        <w:ind w:firstLine="454"/>
        <w:jc w:val="left"/>
        <w:textAlignment w:val="baseline"/>
        <w:rPr>
          <w:rFonts w:hint="default" w:ascii="Times New Roman" w:hAnsi="Times New Roman" w:eastAsia="宋体" w:cs="Times New Roman"/>
          <w:kern w:val="0"/>
          <w:sz w:val="18"/>
          <w:szCs w:val="20"/>
          <w:lang w:val="en-US" w:eastAsia="zh-CN" w:bidi="ar-SA"/>
        </w:rPr>
      </w:pPr>
      <w:r>
        <w:rPr>
          <w:rFonts w:ascii="Times New Roman" w:hAnsi="Times New Roman" w:eastAsia="宋体" w:cs="Times New Roman"/>
          <w:kern w:val="2"/>
          <w:sz w:val="21"/>
          <w:szCs w:val="24"/>
          <w:vertAlign w:val="superscript"/>
          <w:lang w:val="en-US" w:eastAsia="zh-CN" w:bidi="ar-SA"/>
        </w:rPr>
        <w:footnoteRef/>
      </w:r>
      <w:r>
        <w:rPr>
          <w:rFonts w:ascii="Times New Roman" w:hAnsi="Times New Roman" w:eastAsia="宋体" w:cs="Times New Roman"/>
          <w:kern w:val="0"/>
          <w:sz w:val="18"/>
          <w:szCs w:val="20"/>
          <w:lang w:val="zh-CN" w:eastAsia="zh-CN" w:bidi="ar-SA"/>
        </w:rPr>
        <w:t xml:space="preserve"> </w:t>
      </w:r>
      <w:r>
        <w:rPr>
          <w:rFonts w:hint="eastAsia" w:ascii="Times New Roman" w:hAnsi="Times New Roman" w:eastAsia="宋体" w:cs="Times New Roman"/>
          <w:kern w:val="0"/>
          <w:sz w:val="18"/>
          <w:szCs w:val="20"/>
          <w:lang w:val="en-US" w:eastAsia="zh-CN" w:bidi="ar-SA"/>
        </w:rPr>
        <w:t>若本次招标接受联合体投标，以联合体形式参与投标的投标人，联合体各成员应分别填写信息。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1CDAF">
    <w:pPr>
      <w:pStyle w:val="27"/>
      <w:pBdr>
        <w:bottom w:val="none" w:color="auto" w:sz="0" w:space="0"/>
      </w:pBdr>
      <w:tabs>
        <w:tab w:val="left" w:pos="464"/>
        <w:tab w:val="center" w:pos="4397"/>
        <w:tab w:val="right" w:pos="8675"/>
        <w:tab w:val="clear" w:pos="8306"/>
      </w:tabs>
      <w:jc w:val="left"/>
      <w:rPr>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DC81F">
    <w:pPr>
      <w:pStyle w:val="27"/>
      <w:rPr>
        <w:rFonts w:hint="eastAsia" w:eastAsia="宋体"/>
        <w:lang w:eastAsia="zh-CN"/>
      </w:rPr>
    </w:pPr>
    <w:r>
      <w:rPr>
        <w:rFonts w:hint="eastAsia" w:eastAsia="黑体" w:cs="Times New Roman"/>
        <w:sz w:val="20"/>
        <w:szCs w:val="21"/>
        <w:lang w:eastAsia="zh-CN"/>
      </w:rPr>
      <w:t>辽宁省公路工程标准施工电子招标文件（2025年版）</w:t>
    </w:r>
  </w:p>
  <w:p w14:paraId="77038F3F">
    <w:pPr>
      <w:pStyle w:val="2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B2642">
    <w:pPr>
      <w:pStyle w:val="27"/>
      <w:jc w:val="left"/>
      <w:rPr>
        <w:rFonts w:hint="default" w:eastAsia="宋体"/>
        <w:szCs w:val="17"/>
        <w:lang w:val="en-US" w:eastAsia="zh-CN"/>
      </w:rPr>
    </w:pPr>
    <w:r>
      <w:rPr>
        <w:rFonts w:hint="eastAsia"/>
        <w:u w:val="single"/>
        <w:lang w:eastAsia="zh-CN"/>
      </w:rPr>
      <w:t>营口市庄西线（太阳升至桥南段）修复养护工程</w:t>
    </w:r>
    <w:r>
      <w:rPr>
        <w:rFonts w:hint="default"/>
        <w:u w:val="single"/>
      </w:rPr>
      <w:t>施工</w:t>
    </w:r>
    <w:r>
      <w:rPr>
        <w:rFonts w:hint="eastAsia"/>
        <w:u w:val="single"/>
        <w:lang w:val="en-US" w:eastAsia="zh-CN"/>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2F4E9">
    <w:pPr>
      <w:pStyle w:val="27"/>
      <w:rPr>
        <w:rFonts w:hint="eastAsia" w:eastAsia="宋体"/>
        <w:lang w:eastAsia="zh-CN"/>
      </w:rPr>
    </w:pPr>
    <w:r>
      <w:rPr>
        <w:rFonts w:hint="eastAsia" w:eastAsia="黑体" w:cs="Times New Roman"/>
        <w:sz w:val="20"/>
        <w:szCs w:val="21"/>
        <w:lang w:eastAsia="zh-CN"/>
      </w:rPr>
      <w:t>辽宁省公路工程标准施工电子招标文件（2025年版）</w:t>
    </w:r>
  </w:p>
  <w:p w14:paraId="78DBBA15">
    <w:pPr>
      <w:pStyle w:val="27"/>
    </w:pPr>
  </w:p>
  <w:p w14:paraId="25F0D245">
    <w:pPr>
      <w:pStyle w:val="27"/>
      <w:rPr>
        <w:szCs w:val="17"/>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40C50">
    <w:pPr>
      <w:pStyle w:val="27"/>
      <w:jc w:val="left"/>
      <w:rPr>
        <w:rFonts w:hint="default" w:eastAsia="宋体"/>
        <w:lang w:val="en-US" w:eastAsia="zh-CN"/>
      </w:rPr>
    </w:pPr>
    <w:r>
      <w:rPr>
        <w:rFonts w:hint="eastAsia"/>
        <w:u w:val="single"/>
        <w:lang w:eastAsia="zh-CN"/>
      </w:rPr>
      <w:t>营口市庄西线（太阳升至桥南段）修复养护工程</w:t>
    </w:r>
    <w:r>
      <w:rPr>
        <w:rFonts w:hint="default"/>
        <w:u w:val="single"/>
      </w:rPr>
      <w:t>施工</w:t>
    </w:r>
    <w:r>
      <w:rPr>
        <w:rFonts w:hint="eastAsia"/>
        <w:u w:val="single"/>
        <w:lang w:val="en-US" w:eastAsia="zh-CN"/>
      </w:rPr>
      <w:t xml:space="preserve">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83D54">
    <w:pPr>
      <w:pStyle w:val="27"/>
      <w:rPr>
        <w:rFonts w:hint="default"/>
        <w:lang w:val="en-US"/>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32A32">
    <w:pPr>
      <w:pStyle w:val="27"/>
      <w:rPr>
        <w:rFonts w:hint="eastAsia" w:eastAsia="宋体"/>
        <w:lang w:eastAsia="zh-CN"/>
      </w:rPr>
    </w:pPr>
    <w:r>
      <w:rPr>
        <w:rFonts w:hint="eastAsia" w:eastAsia="黑体" w:cs="Times New Roman"/>
        <w:sz w:val="20"/>
        <w:szCs w:val="21"/>
        <w:lang w:eastAsia="zh-CN"/>
      </w:rPr>
      <w:t>辽宁省公路工程标准施工电子招标文件（2025年版）</w:t>
    </w:r>
  </w:p>
  <w:p w14:paraId="32DA6072">
    <w:pPr>
      <w:pStyle w:val="2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ADED4">
    <w:pPr>
      <w:pStyle w:val="27"/>
      <w:pBdr>
        <w:bottom w:val="single" w:color="auto" w:sz="4" w:space="0"/>
      </w:pBdr>
      <w:jc w:val="left"/>
      <w:rPr>
        <w:szCs w:val="17"/>
      </w:rPr>
    </w:pPr>
    <w:r>
      <w:rPr>
        <w:rFonts w:hint="eastAsia" w:eastAsia="黑体" w:cs="Times New Roman"/>
        <w:sz w:val="20"/>
        <w:szCs w:val="21"/>
        <w:lang w:eastAsia="zh-CN"/>
      </w:rPr>
      <w:t>辽宁省公路工程标准施工电子招标文件（2025年版）</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50632">
    <w:pPr>
      <w:pStyle w:val="27"/>
      <w:jc w:val="left"/>
      <w:rPr>
        <w:rFonts w:hint="default"/>
        <w:lang w:val="en-US"/>
      </w:rPr>
    </w:pPr>
    <w:r>
      <w:rPr>
        <w:rFonts w:hint="eastAsia" w:eastAsia="黑体" w:cs="Times New Roman"/>
        <w:sz w:val="20"/>
        <w:szCs w:val="21"/>
        <w:u w:val="single"/>
        <w:lang w:eastAsia="zh-CN"/>
      </w:rPr>
      <w:t>营口市庄西线（太阳升至桥南段）修复养护工程</w:t>
    </w:r>
    <w:r>
      <w:rPr>
        <w:rFonts w:hint="eastAsia" w:eastAsia="黑体" w:cs="Times New Roman"/>
        <w:sz w:val="20"/>
        <w:szCs w:val="21"/>
        <w:u w:val="single"/>
        <w:lang w:val="en-US" w:eastAsia="zh-CN"/>
      </w:rPr>
      <w:t xml:space="preserve">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3FB92">
    <w:pPr>
      <w:pStyle w:val="27"/>
      <w:rPr>
        <w:rFonts w:hint="eastAsia" w:eastAsia="宋体"/>
        <w:lang w:eastAsia="zh-CN"/>
      </w:rPr>
    </w:pPr>
    <w:r>
      <w:rPr>
        <w:rFonts w:hint="eastAsia" w:eastAsia="黑体" w:cs="Times New Roman"/>
        <w:sz w:val="20"/>
        <w:szCs w:val="21"/>
        <w:lang w:eastAsia="zh-CN"/>
      </w:rPr>
      <w:t>辽宁省公路工程标准施工电子招标文件（2025年版）</w:t>
    </w:r>
  </w:p>
  <w:p w14:paraId="2739DB7D">
    <w:pPr>
      <w:pStyle w:val="27"/>
      <w:rPr>
        <w:szCs w:val="17"/>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8F3E0">
    <w:pPr>
      <w:pStyle w:val="27"/>
      <w:wordWrap w:val="0"/>
      <w:jc w:val="right"/>
      <w:rPr>
        <w:sz w:val="17"/>
        <w:szCs w:val="17"/>
      </w:rPr>
    </w:pPr>
    <w:r>
      <w:rPr>
        <w:sz w:val="19"/>
        <w:szCs w:val="19"/>
      </w:rPr>
      <mc:AlternateContent>
        <mc:Choice Requires="wps">
          <w:drawing>
            <wp:anchor distT="0" distB="0" distL="114300" distR="114300" simplePos="0" relativeHeight="251662336" behindDoc="0" locked="0" layoutInCell="1" allowOverlap="1">
              <wp:simplePos x="0" y="0"/>
              <wp:positionH relativeFrom="column">
                <wp:posOffset>-45720</wp:posOffset>
              </wp:positionH>
              <wp:positionV relativeFrom="paragraph">
                <wp:posOffset>175895</wp:posOffset>
              </wp:positionV>
              <wp:extent cx="5343525" cy="0"/>
              <wp:effectExtent l="0" t="22225" r="3175" b="28575"/>
              <wp:wrapNone/>
              <wp:docPr id="58" name="直接连接符 58"/>
              <wp:cNvGraphicFramePr/>
              <a:graphic xmlns:a="http://schemas.openxmlformats.org/drawingml/2006/main">
                <a:graphicData uri="http://schemas.microsoft.com/office/word/2010/wordprocessingShape">
                  <wps:wsp>
                    <wps:cNvCnPr/>
                    <wps:spPr>
                      <a:xfrm>
                        <a:off x="0" y="0"/>
                        <a:ext cx="5343525" cy="0"/>
                      </a:xfrm>
                      <a:prstGeom prst="line">
                        <a:avLst/>
                      </a:prstGeom>
                      <a:ln w="44450" cap="flat" cmpd="thickThin">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6pt;margin-top:13.85pt;height:0pt;width:420.75pt;z-index:251662336;mso-width-relative:page;mso-height-relative:page;" filled="f" stroked="t" coordsize="21600,21600" o:gfxdata="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KVl97WAAAACAEAAA8AAAAAAAAAAQAgAAAAIgAAAGRycy9kb3ducmV2LnhtbFBL&#10;AQIUABQAAAAIAIdO4kCyjue5+AEAAO8DAAAOAAAAAAAAAAEAIAAAACUBAABkcnMvZTJvRG9jLnht&#10;bFBLBQYAAAAABgAGAFkBAACPBQAAAAA=&#10;">
              <v:fill on="f" focussize="0,0"/>
              <v:stroke weight="3.5pt" color="#000000" linestyle="thickThin" joinstyle="round"/>
              <v:imagedata o:title=""/>
              <o:lock v:ext="edit" aspectratio="f"/>
            </v:line>
          </w:pict>
        </mc:Fallback>
      </mc:AlternateContent>
    </w:r>
    <w:r>
      <w:rPr>
        <w:rFonts w:hint="eastAsia"/>
        <w:sz w:val="17"/>
        <w:szCs w:val="17"/>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35F27">
    <w:pPr>
      <w:pStyle w:val="27"/>
      <w:rPr>
        <w:rFonts w:hint="eastAsia" w:eastAsia="宋体"/>
        <w:lang w:eastAsia="zh-CN"/>
      </w:rPr>
    </w:pPr>
    <w:r>
      <w:rPr>
        <w:rFonts w:hint="eastAsia" w:eastAsia="黑体" w:cs="Times New Roman"/>
        <w:sz w:val="20"/>
        <w:szCs w:val="21"/>
        <w:lang w:eastAsia="zh-CN"/>
      </w:rPr>
      <w:t>辽宁省公路工程标准施工电子招标文件（2025年版）</w:t>
    </w:r>
  </w:p>
  <w:p w14:paraId="250C320E">
    <w:pPr>
      <w:pStyle w:val="27"/>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A7974">
    <w:pPr>
      <w:pStyle w:val="27"/>
      <w:jc w:val="left"/>
      <w:rPr>
        <w:rFonts w:hint="default"/>
        <w:lang w:val="en-US"/>
      </w:rPr>
    </w:pPr>
    <w:r>
      <w:rPr>
        <w:rFonts w:hint="eastAsia" w:eastAsia="黑体" w:cs="Times New Roman"/>
        <w:sz w:val="20"/>
        <w:szCs w:val="21"/>
        <w:u w:val="single"/>
        <w:lang w:val="en-US" w:eastAsia="zh-CN"/>
      </w:rPr>
      <w:t xml:space="preserve">盖州市2026年农村公路维修改造、危桥及安防工程施工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425E9">
    <w:pPr>
      <w:pStyle w:val="27"/>
      <w:wordWrap w:val="0"/>
      <w:ind w:right="315"/>
      <w:jc w:val="right"/>
      <w:rPr>
        <w:sz w:val="17"/>
        <w:szCs w:val="17"/>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678BE">
    <w:pPr>
      <w:pStyle w:val="27"/>
      <w:jc w:val="left"/>
      <w:rPr>
        <w:rFonts w:hint="default" w:eastAsia="宋体"/>
        <w:u w:val="single"/>
        <w:lang w:val="en-US" w:eastAsia="zh-CN"/>
      </w:rPr>
    </w:pPr>
    <w:r>
      <w:rPr>
        <w:rFonts w:hint="eastAsia"/>
        <w:u w:val="single"/>
        <w:lang w:val="en-US" w:eastAsia="zh-CN"/>
      </w:rPr>
      <w:t xml:space="preserve">盖州市2026年农村公路维修改造、危桥及安防工程施工                                                </w:t>
    </w:r>
  </w:p>
  <w:p w14:paraId="36BA5C21">
    <w:pPr>
      <w:pStyle w:val="27"/>
      <w:wordWrap w:val="0"/>
      <w:ind w:right="315"/>
      <w:jc w:val="right"/>
      <w:rPr>
        <w:sz w:val="17"/>
        <w:szCs w:val="17"/>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8CA43">
    <w:pPr>
      <w:pStyle w:val="27"/>
      <w:jc w:val="left"/>
      <w:rPr>
        <w:rFonts w:hint="default" w:eastAsia="宋体"/>
        <w:u w:val="single"/>
        <w:lang w:val="en-US" w:eastAsia="zh-CN"/>
      </w:rPr>
    </w:pPr>
    <w:r>
      <w:rPr>
        <w:rFonts w:hint="eastAsia"/>
        <w:u w:val="single"/>
        <w:lang w:val="en-US" w:eastAsia="zh-CN"/>
      </w:rPr>
      <w:t xml:space="preserve">盖州市2026年农村公路维修改造、危桥及安防工程施工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07EDD">
    <w:pPr>
      <w:pStyle w:val="27"/>
      <w:rPr>
        <w:rFonts w:hint="eastAsia" w:eastAsia="宋体"/>
        <w:lang w:eastAsia="zh-CN"/>
      </w:rPr>
    </w:pPr>
    <w:r>
      <w:rPr>
        <w:rFonts w:hint="eastAsia" w:eastAsia="黑体" w:cs="Times New Roman"/>
        <w:sz w:val="20"/>
        <w:szCs w:val="21"/>
        <w:lang w:eastAsia="zh-CN"/>
      </w:rPr>
      <w:t>辽宁省公路工程标准施工电子招标文件（2025年版）</w:t>
    </w:r>
  </w:p>
  <w:p w14:paraId="3919B157">
    <w:pPr>
      <w:pStyle w:val="2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1E276">
    <w:pPr>
      <w:pStyle w:val="27"/>
      <w:jc w:val="left"/>
      <w:rPr>
        <w:rFonts w:hint="default" w:eastAsia="宋体"/>
        <w:lang w:val="en-US" w:eastAsia="zh-CN"/>
      </w:rPr>
    </w:pPr>
    <w:r>
      <w:rPr>
        <w:rFonts w:hint="eastAsia"/>
        <w:u w:val="single"/>
        <w:lang w:eastAsia="zh-CN"/>
      </w:rPr>
      <w:t>营口市庄西线（太阳升至桥南段）修复养护工程</w:t>
    </w:r>
    <w:r>
      <w:rPr>
        <w:rFonts w:hint="default"/>
        <w:u w:val="single"/>
      </w:rPr>
      <w:t>施工</w:t>
    </w:r>
    <w:r>
      <w:rPr>
        <w:rFonts w:hint="eastAsia"/>
        <w:u w:val="single"/>
        <w:lang w:val="en-US" w:eastAsia="zh-CN"/>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9ABB6">
    <w:pPr>
      <w:pStyle w:val="27"/>
      <w:rPr>
        <w:rFonts w:hint="eastAsia" w:eastAsia="宋体"/>
        <w:lang w:eastAsia="zh-CN"/>
      </w:rPr>
    </w:pPr>
    <w:r>
      <w:rPr>
        <w:rFonts w:hint="eastAsia" w:eastAsia="黑体" w:cs="Times New Roman"/>
        <w:sz w:val="20"/>
        <w:szCs w:val="21"/>
        <w:lang w:eastAsia="zh-CN"/>
      </w:rPr>
      <w:t>辽宁省公路工程标准施工电子招标文件（2025年版）</w:t>
    </w:r>
  </w:p>
  <w:p w14:paraId="37856793">
    <w:pPr>
      <w:pStyle w:val="27"/>
    </w:pPr>
  </w:p>
  <w:p w14:paraId="6BF6DFFE">
    <w:pPr>
      <w:pStyle w:val="2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8440F">
    <w:pPr>
      <w:pStyle w:val="27"/>
      <w:jc w:val="left"/>
      <w:rPr>
        <w:rFonts w:hint="default" w:eastAsia="宋体"/>
        <w:lang w:val="en-US" w:eastAsia="zh-CN"/>
      </w:rPr>
    </w:pPr>
    <w:r>
      <w:rPr>
        <w:rFonts w:hint="default"/>
        <w:u w:val="single"/>
        <w:lang w:eastAsia="zh-CN"/>
      </w:rPr>
      <w:t>盖州市2026年农村公路维修改造、危桥及安防工程</w:t>
    </w:r>
    <w:r>
      <w:rPr>
        <w:rFonts w:hint="default"/>
        <w:u w:val="single"/>
      </w:rPr>
      <w:t>施工</w:t>
    </w:r>
    <w:r>
      <w:rPr>
        <w:rFonts w:hint="eastAsia"/>
        <w:u w:val="single"/>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78C048"/>
    <w:multiLevelType w:val="singleLevel"/>
    <w:tmpl w:val="AA78C048"/>
    <w:lvl w:ilvl="0" w:tentative="0">
      <w:start w:val="5"/>
      <w:numFmt w:val="chineseCounting"/>
      <w:suff w:val="nothing"/>
      <w:lvlText w:val="（%1）"/>
      <w:lvlJc w:val="left"/>
      <w:rPr>
        <w:rFonts w:hint="eastAsia"/>
      </w:rPr>
    </w:lvl>
  </w:abstractNum>
  <w:abstractNum w:abstractNumId="1">
    <w:nsid w:val="D5FDB523"/>
    <w:multiLevelType w:val="singleLevel"/>
    <w:tmpl w:val="D5FDB52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 w:id="108"/>
    <w:footnote w:id="109"/>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ZTQ4Y2Y2NGEzY2MxZDQyNGU0OThlOWNkMmVjZTMifQ=="/>
  </w:docVars>
  <w:rsids>
    <w:rsidRoot w:val="00183A6E"/>
    <w:rsid w:val="0000001F"/>
    <w:rsid w:val="0000015E"/>
    <w:rsid w:val="00000524"/>
    <w:rsid w:val="0000071E"/>
    <w:rsid w:val="00000EEC"/>
    <w:rsid w:val="000027F1"/>
    <w:rsid w:val="0000303A"/>
    <w:rsid w:val="00003C39"/>
    <w:rsid w:val="00003C73"/>
    <w:rsid w:val="00003F34"/>
    <w:rsid w:val="00004004"/>
    <w:rsid w:val="0000436D"/>
    <w:rsid w:val="00005158"/>
    <w:rsid w:val="00005781"/>
    <w:rsid w:val="00005AF8"/>
    <w:rsid w:val="0000601A"/>
    <w:rsid w:val="000060FE"/>
    <w:rsid w:val="000062A9"/>
    <w:rsid w:val="00006980"/>
    <w:rsid w:val="00006E02"/>
    <w:rsid w:val="0000700D"/>
    <w:rsid w:val="00007455"/>
    <w:rsid w:val="00007E1B"/>
    <w:rsid w:val="00010F5B"/>
    <w:rsid w:val="0001202A"/>
    <w:rsid w:val="0001267B"/>
    <w:rsid w:val="00012A9E"/>
    <w:rsid w:val="00012D09"/>
    <w:rsid w:val="000135D2"/>
    <w:rsid w:val="0001364D"/>
    <w:rsid w:val="00014EA1"/>
    <w:rsid w:val="000152F7"/>
    <w:rsid w:val="00015501"/>
    <w:rsid w:val="0001594C"/>
    <w:rsid w:val="00015B67"/>
    <w:rsid w:val="00015FF0"/>
    <w:rsid w:val="00016921"/>
    <w:rsid w:val="0001738A"/>
    <w:rsid w:val="000173A0"/>
    <w:rsid w:val="0001746B"/>
    <w:rsid w:val="000175A9"/>
    <w:rsid w:val="00017876"/>
    <w:rsid w:val="00017E9C"/>
    <w:rsid w:val="00020375"/>
    <w:rsid w:val="000207C2"/>
    <w:rsid w:val="00021472"/>
    <w:rsid w:val="0002185D"/>
    <w:rsid w:val="0002204B"/>
    <w:rsid w:val="00022E41"/>
    <w:rsid w:val="00023047"/>
    <w:rsid w:val="000234C8"/>
    <w:rsid w:val="00023529"/>
    <w:rsid w:val="00023703"/>
    <w:rsid w:val="000237C3"/>
    <w:rsid w:val="0002394B"/>
    <w:rsid w:val="00023E8C"/>
    <w:rsid w:val="00024283"/>
    <w:rsid w:val="00024371"/>
    <w:rsid w:val="00024D41"/>
    <w:rsid w:val="00025A82"/>
    <w:rsid w:val="00026423"/>
    <w:rsid w:val="000265D3"/>
    <w:rsid w:val="00026D2B"/>
    <w:rsid w:val="000272D1"/>
    <w:rsid w:val="0003009E"/>
    <w:rsid w:val="0003015B"/>
    <w:rsid w:val="000302DB"/>
    <w:rsid w:val="00030850"/>
    <w:rsid w:val="00030F00"/>
    <w:rsid w:val="00031249"/>
    <w:rsid w:val="000316B1"/>
    <w:rsid w:val="000318AC"/>
    <w:rsid w:val="00031A9B"/>
    <w:rsid w:val="0003252B"/>
    <w:rsid w:val="0003369F"/>
    <w:rsid w:val="000336A8"/>
    <w:rsid w:val="000339C0"/>
    <w:rsid w:val="00033BA1"/>
    <w:rsid w:val="00033CB7"/>
    <w:rsid w:val="00034A2F"/>
    <w:rsid w:val="0003557E"/>
    <w:rsid w:val="000357A5"/>
    <w:rsid w:val="00035836"/>
    <w:rsid w:val="00035C00"/>
    <w:rsid w:val="0003643A"/>
    <w:rsid w:val="0003653D"/>
    <w:rsid w:val="00036575"/>
    <w:rsid w:val="00036605"/>
    <w:rsid w:val="00036E8E"/>
    <w:rsid w:val="00037A32"/>
    <w:rsid w:val="000406C1"/>
    <w:rsid w:val="0004141C"/>
    <w:rsid w:val="00041598"/>
    <w:rsid w:val="0004179D"/>
    <w:rsid w:val="0004186E"/>
    <w:rsid w:val="0004197A"/>
    <w:rsid w:val="00041DCF"/>
    <w:rsid w:val="000426F6"/>
    <w:rsid w:val="0004298A"/>
    <w:rsid w:val="00042A06"/>
    <w:rsid w:val="00042F0B"/>
    <w:rsid w:val="00043269"/>
    <w:rsid w:val="00043437"/>
    <w:rsid w:val="00043481"/>
    <w:rsid w:val="00043722"/>
    <w:rsid w:val="00043BA4"/>
    <w:rsid w:val="00043BB1"/>
    <w:rsid w:val="00043D44"/>
    <w:rsid w:val="00044548"/>
    <w:rsid w:val="00045307"/>
    <w:rsid w:val="00045318"/>
    <w:rsid w:val="00045474"/>
    <w:rsid w:val="00045BF8"/>
    <w:rsid w:val="00046385"/>
    <w:rsid w:val="0004688A"/>
    <w:rsid w:val="000468D7"/>
    <w:rsid w:val="00046C0C"/>
    <w:rsid w:val="00046C6C"/>
    <w:rsid w:val="000470FD"/>
    <w:rsid w:val="00047E18"/>
    <w:rsid w:val="00047F50"/>
    <w:rsid w:val="0005001E"/>
    <w:rsid w:val="0005085F"/>
    <w:rsid w:val="00050A3B"/>
    <w:rsid w:val="00050A57"/>
    <w:rsid w:val="00050ACF"/>
    <w:rsid w:val="00050C5E"/>
    <w:rsid w:val="000519C9"/>
    <w:rsid w:val="00051D76"/>
    <w:rsid w:val="000528C6"/>
    <w:rsid w:val="00052AEB"/>
    <w:rsid w:val="0005336F"/>
    <w:rsid w:val="0005350A"/>
    <w:rsid w:val="0005365E"/>
    <w:rsid w:val="00054111"/>
    <w:rsid w:val="000555D9"/>
    <w:rsid w:val="00055AB6"/>
    <w:rsid w:val="00056868"/>
    <w:rsid w:val="000572A7"/>
    <w:rsid w:val="000603C4"/>
    <w:rsid w:val="000608B3"/>
    <w:rsid w:val="000615E4"/>
    <w:rsid w:val="000616D0"/>
    <w:rsid w:val="00061BC0"/>
    <w:rsid w:val="00061E21"/>
    <w:rsid w:val="00061FA0"/>
    <w:rsid w:val="00063161"/>
    <w:rsid w:val="00063B44"/>
    <w:rsid w:val="00063B57"/>
    <w:rsid w:val="00063E83"/>
    <w:rsid w:val="00063EAB"/>
    <w:rsid w:val="000643F2"/>
    <w:rsid w:val="0006462C"/>
    <w:rsid w:val="00064857"/>
    <w:rsid w:val="0006494A"/>
    <w:rsid w:val="00065384"/>
    <w:rsid w:val="0006548E"/>
    <w:rsid w:val="00065B0A"/>
    <w:rsid w:val="00065F8D"/>
    <w:rsid w:val="0006638C"/>
    <w:rsid w:val="000667E8"/>
    <w:rsid w:val="0007022C"/>
    <w:rsid w:val="0007037D"/>
    <w:rsid w:val="00070522"/>
    <w:rsid w:val="00070656"/>
    <w:rsid w:val="000706F5"/>
    <w:rsid w:val="00070FE7"/>
    <w:rsid w:val="000715D7"/>
    <w:rsid w:val="000716AB"/>
    <w:rsid w:val="00071B4F"/>
    <w:rsid w:val="00071B8A"/>
    <w:rsid w:val="00072643"/>
    <w:rsid w:val="0007269F"/>
    <w:rsid w:val="00072E36"/>
    <w:rsid w:val="00073431"/>
    <w:rsid w:val="00073C97"/>
    <w:rsid w:val="00074090"/>
    <w:rsid w:val="000740B0"/>
    <w:rsid w:val="0007425D"/>
    <w:rsid w:val="00074972"/>
    <w:rsid w:val="00074C68"/>
    <w:rsid w:val="00074D82"/>
    <w:rsid w:val="00074FF8"/>
    <w:rsid w:val="00075B9F"/>
    <w:rsid w:val="00076473"/>
    <w:rsid w:val="00076D26"/>
    <w:rsid w:val="00076F72"/>
    <w:rsid w:val="00076FD6"/>
    <w:rsid w:val="00077029"/>
    <w:rsid w:val="00077120"/>
    <w:rsid w:val="00077713"/>
    <w:rsid w:val="00077756"/>
    <w:rsid w:val="0007778E"/>
    <w:rsid w:val="00077EAC"/>
    <w:rsid w:val="000805BB"/>
    <w:rsid w:val="000808D7"/>
    <w:rsid w:val="00080DF4"/>
    <w:rsid w:val="00080E55"/>
    <w:rsid w:val="00080E94"/>
    <w:rsid w:val="0008123A"/>
    <w:rsid w:val="000814B2"/>
    <w:rsid w:val="00081A55"/>
    <w:rsid w:val="00083415"/>
    <w:rsid w:val="00083489"/>
    <w:rsid w:val="000845C3"/>
    <w:rsid w:val="00084744"/>
    <w:rsid w:val="0008478E"/>
    <w:rsid w:val="000849ED"/>
    <w:rsid w:val="00084C06"/>
    <w:rsid w:val="00085174"/>
    <w:rsid w:val="000858F1"/>
    <w:rsid w:val="00085B7E"/>
    <w:rsid w:val="00085E0C"/>
    <w:rsid w:val="00085E67"/>
    <w:rsid w:val="00085F8E"/>
    <w:rsid w:val="00086300"/>
    <w:rsid w:val="00086CB8"/>
    <w:rsid w:val="0008716E"/>
    <w:rsid w:val="00087B78"/>
    <w:rsid w:val="00087C4A"/>
    <w:rsid w:val="00090056"/>
    <w:rsid w:val="00090245"/>
    <w:rsid w:val="00090903"/>
    <w:rsid w:val="0009131C"/>
    <w:rsid w:val="000915D5"/>
    <w:rsid w:val="00091922"/>
    <w:rsid w:val="00091EF6"/>
    <w:rsid w:val="0009214B"/>
    <w:rsid w:val="000931C5"/>
    <w:rsid w:val="0009379A"/>
    <w:rsid w:val="00093BEA"/>
    <w:rsid w:val="000947D7"/>
    <w:rsid w:val="00094875"/>
    <w:rsid w:val="00094C83"/>
    <w:rsid w:val="00094FED"/>
    <w:rsid w:val="0009547B"/>
    <w:rsid w:val="00095BA8"/>
    <w:rsid w:val="00095BD6"/>
    <w:rsid w:val="00095F22"/>
    <w:rsid w:val="000972BB"/>
    <w:rsid w:val="00097DDB"/>
    <w:rsid w:val="000A01B9"/>
    <w:rsid w:val="000A0AFA"/>
    <w:rsid w:val="000A18E2"/>
    <w:rsid w:val="000A1D8C"/>
    <w:rsid w:val="000A2246"/>
    <w:rsid w:val="000A26A9"/>
    <w:rsid w:val="000A29C7"/>
    <w:rsid w:val="000A2A4A"/>
    <w:rsid w:val="000A2ACB"/>
    <w:rsid w:val="000A2AEF"/>
    <w:rsid w:val="000A2D88"/>
    <w:rsid w:val="000A31F5"/>
    <w:rsid w:val="000A3C9C"/>
    <w:rsid w:val="000A48DA"/>
    <w:rsid w:val="000A4951"/>
    <w:rsid w:val="000A4A47"/>
    <w:rsid w:val="000A5528"/>
    <w:rsid w:val="000A567A"/>
    <w:rsid w:val="000A5935"/>
    <w:rsid w:val="000A5CF1"/>
    <w:rsid w:val="000A5EFF"/>
    <w:rsid w:val="000A610F"/>
    <w:rsid w:val="000A627F"/>
    <w:rsid w:val="000A659F"/>
    <w:rsid w:val="000A6613"/>
    <w:rsid w:val="000A6891"/>
    <w:rsid w:val="000A6913"/>
    <w:rsid w:val="000A6A4C"/>
    <w:rsid w:val="000A6C53"/>
    <w:rsid w:val="000A7442"/>
    <w:rsid w:val="000A7B25"/>
    <w:rsid w:val="000A7E78"/>
    <w:rsid w:val="000B006E"/>
    <w:rsid w:val="000B070D"/>
    <w:rsid w:val="000B09DA"/>
    <w:rsid w:val="000B0F3E"/>
    <w:rsid w:val="000B24A3"/>
    <w:rsid w:val="000B24F4"/>
    <w:rsid w:val="000B286D"/>
    <w:rsid w:val="000B34E6"/>
    <w:rsid w:val="000B35A6"/>
    <w:rsid w:val="000B388D"/>
    <w:rsid w:val="000B389E"/>
    <w:rsid w:val="000B3922"/>
    <w:rsid w:val="000B3D2C"/>
    <w:rsid w:val="000B48BB"/>
    <w:rsid w:val="000B4953"/>
    <w:rsid w:val="000B4E6F"/>
    <w:rsid w:val="000B501B"/>
    <w:rsid w:val="000B513E"/>
    <w:rsid w:val="000B55F0"/>
    <w:rsid w:val="000B5FAF"/>
    <w:rsid w:val="000B6A50"/>
    <w:rsid w:val="000B6B21"/>
    <w:rsid w:val="000B6E09"/>
    <w:rsid w:val="000B75C5"/>
    <w:rsid w:val="000C0031"/>
    <w:rsid w:val="000C04FC"/>
    <w:rsid w:val="000C18B8"/>
    <w:rsid w:val="000C2010"/>
    <w:rsid w:val="000C2160"/>
    <w:rsid w:val="000C22FD"/>
    <w:rsid w:val="000C29B6"/>
    <w:rsid w:val="000C2BAB"/>
    <w:rsid w:val="000C32FE"/>
    <w:rsid w:val="000C3341"/>
    <w:rsid w:val="000C3414"/>
    <w:rsid w:val="000C36DC"/>
    <w:rsid w:val="000C3ADC"/>
    <w:rsid w:val="000C3DF6"/>
    <w:rsid w:val="000C3EEC"/>
    <w:rsid w:val="000C40AF"/>
    <w:rsid w:val="000C4363"/>
    <w:rsid w:val="000C473F"/>
    <w:rsid w:val="000C4C93"/>
    <w:rsid w:val="000C4E3A"/>
    <w:rsid w:val="000C532C"/>
    <w:rsid w:val="000C566F"/>
    <w:rsid w:val="000C5DFE"/>
    <w:rsid w:val="000C678C"/>
    <w:rsid w:val="000C697F"/>
    <w:rsid w:val="000C6B91"/>
    <w:rsid w:val="000C6DED"/>
    <w:rsid w:val="000C74BA"/>
    <w:rsid w:val="000C7B6F"/>
    <w:rsid w:val="000D0394"/>
    <w:rsid w:val="000D0506"/>
    <w:rsid w:val="000D0946"/>
    <w:rsid w:val="000D0ABC"/>
    <w:rsid w:val="000D0F21"/>
    <w:rsid w:val="000D12D1"/>
    <w:rsid w:val="000D19D3"/>
    <w:rsid w:val="000D1A37"/>
    <w:rsid w:val="000D1B0E"/>
    <w:rsid w:val="000D1BBD"/>
    <w:rsid w:val="000D2418"/>
    <w:rsid w:val="000D25F4"/>
    <w:rsid w:val="000D2739"/>
    <w:rsid w:val="000D2880"/>
    <w:rsid w:val="000D28FA"/>
    <w:rsid w:val="000D35F3"/>
    <w:rsid w:val="000D3D94"/>
    <w:rsid w:val="000D40D1"/>
    <w:rsid w:val="000D4177"/>
    <w:rsid w:val="000D4BFB"/>
    <w:rsid w:val="000D4CCF"/>
    <w:rsid w:val="000D4D62"/>
    <w:rsid w:val="000D4E80"/>
    <w:rsid w:val="000D5115"/>
    <w:rsid w:val="000D5765"/>
    <w:rsid w:val="000D57FA"/>
    <w:rsid w:val="000D5CCF"/>
    <w:rsid w:val="000D60F8"/>
    <w:rsid w:val="000D6ABE"/>
    <w:rsid w:val="000D6B3E"/>
    <w:rsid w:val="000D6CF7"/>
    <w:rsid w:val="000D7C93"/>
    <w:rsid w:val="000E05E0"/>
    <w:rsid w:val="000E0742"/>
    <w:rsid w:val="000E087A"/>
    <w:rsid w:val="000E0F59"/>
    <w:rsid w:val="000E0F8F"/>
    <w:rsid w:val="000E14FD"/>
    <w:rsid w:val="000E15CC"/>
    <w:rsid w:val="000E1BAC"/>
    <w:rsid w:val="000E1C9D"/>
    <w:rsid w:val="000E1D39"/>
    <w:rsid w:val="000E1E2A"/>
    <w:rsid w:val="000E1F2B"/>
    <w:rsid w:val="000E2216"/>
    <w:rsid w:val="000E2955"/>
    <w:rsid w:val="000E2BBA"/>
    <w:rsid w:val="000E3659"/>
    <w:rsid w:val="000E3A5C"/>
    <w:rsid w:val="000E4159"/>
    <w:rsid w:val="000E4316"/>
    <w:rsid w:val="000E4358"/>
    <w:rsid w:val="000E58C7"/>
    <w:rsid w:val="000E5ABE"/>
    <w:rsid w:val="000E5B50"/>
    <w:rsid w:val="000E66F7"/>
    <w:rsid w:val="000E6F28"/>
    <w:rsid w:val="000E7263"/>
    <w:rsid w:val="000E7387"/>
    <w:rsid w:val="000E751B"/>
    <w:rsid w:val="000E7614"/>
    <w:rsid w:val="000E7A3F"/>
    <w:rsid w:val="000E7BC6"/>
    <w:rsid w:val="000F0614"/>
    <w:rsid w:val="000F08A1"/>
    <w:rsid w:val="000F125B"/>
    <w:rsid w:val="000F18AD"/>
    <w:rsid w:val="000F219D"/>
    <w:rsid w:val="000F23BC"/>
    <w:rsid w:val="000F2EB8"/>
    <w:rsid w:val="000F2F8A"/>
    <w:rsid w:val="000F2FBE"/>
    <w:rsid w:val="000F34B1"/>
    <w:rsid w:val="000F3BC4"/>
    <w:rsid w:val="000F3E55"/>
    <w:rsid w:val="000F3EFB"/>
    <w:rsid w:val="000F48C0"/>
    <w:rsid w:val="000F5CC3"/>
    <w:rsid w:val="000F5ED0"/>
    <w:rsid w:val="000F6B5A"/>
    <w:rsid w:val="000F6DFE"/>
    <w:rsid w:val="000F7128"/>
    <w:rsid w:val="000F79B4"/>
    <w:rsid w:val="000F7FB7"/>
    <w:rsid w:val="0010009E"/>
    <w:rsid w:val="001000F9"/>
    <w:rsid w:val="001004F4"/>
    <w:rsid w:val="00101096"/>
    <w:rsid w:val="001012B9"/>
    <w:rsid w:val="00101462"/>
    <w:rsid w:val="0010183A"/>
    <w:rsid w:val="00101CB6"/>
    <w:rsid w:val="0010238C"/>
    <w:rsid w:val="00102510"/>
    <w:rsid w:val="00102585"/>
    <w:rsid w:val="0010271E"/>
    <w:rsid w:val="0010293D"/>
    <w:rsid w:val="001029A6"/>
    <w:rsid w:val="00102DC7"/>
    <w:rsid w:val="00103696"/>
    <w:rsid w:val="0010444F"/>
    <w:rsid w:val="001045E4"/>
    <w:rsid w:val="001046F1"/>
    <w:rsid w:val="001049F2"/>
    <w:rsid w:val="001053C2"/>
    <w:rsid w:val="00105799"/>
    <w:rsid w:val="00105F4B"/>
    <w:rsid w:val="001062B7"/>
    <w:rsid w:val="001064B4"/>
    <w:rsid w:val="0010678A"/>
    <w:rsid w:val="00106927"/>
    <w:rsid w:val="00106AB6"/>
    <w:rsid w:val="00106F6C"/>
    <w:rsid w:val="00111409"/>
    <w:rsid w:val="00111797"/>
    <w:rsid w:val="001117F2"/>
    <w:rsid w:val="00111946"/>
    <w:rsid w:val="00111966"/>
    <w:rsid w:val="00111CBB"/>
    <w:rsid w:val="0011236D"/>
    <w:rsid w:val="001123D8"/>
    <w:rsid w:val="00112B4A"/>
    <w:rsid w:val="00112E6E"/>
    <w:rsid w:val="00113540"/>
    <w:rsid w:val="00113D3F"/>
    <w:rsid w:val="001140AD"/>
    <w:rsid w:val="0011496D"/>
    <w:rsid w:val="00115546"/>
    <w:rsid w:val="001157AB"/>
    <w:rsid w:val="00115D86"/>
    <w:rsid w:val="00115EFE"/>
    <w:rsid w:val="0011640B"/>
    <w:rsid w:val="0011674E"/>
    <w:rsid w:val="00116C28"/>
    <w:rsid w:val="00116E0E"/>
    <w:rsid w:val="00116F83"/>
    <w:rsid w:val="001171B1"/>
    <w:rsid w:val="00117803"/>
    <w:rsid w:val="00117A3A"/>
    <w:rsid w:val="00120BCB"/>
    <w:rsid w:val="00121D54"/>
    <w:rsid w:val="00122B32"/>
    <w:rsid w:val="00122DD3"/>
    <w:rsid w:val="00122FC9"/>
    <w:rsid w:val="00123468"/>
    <w:rsid w:val="00123772"/>
    <w:rsid w:val="00123FBF"/>
    <w:rsid w:val="00124485"/>
    <w:rsid w:val="001247DB"/>
    <w:rsid w:val="0012509C"/>
    <w:rsid w:val="001251FF"/>
    <w:rsid w:val="00125420"/>
    <w:rsid w:val="0012551E"/>
    <w:rsid w:val="00127200"/>
    <w:rsid w:val="00127689"/>
    <w:rsid w:val="00127B5C"/>
    <w:rsid w:val="00130705"/>
    <w:rsid w:val="001309EA"/>
    <w:rsid w:val="00131930"/>
    <w:rsid w:val="00131AEF"/>
    <w:rsid w:val="001320D1"/>
    <w:rsid w:val="001321CB"/>
    <w:rsid w:val="0013292B"/>
    <w:rsid w:val="00132B16"/>
    <w:rsid w:val="00132D96"/>
    <w:rsid w:val="00133B3C"/>
    <w:rsid w:val="00133B60"/>
    <w:rsid w:val="001344FC"/>
    <w:rsid w:val="001348D0"/>
    <w:rsid w:val="00134B32"/>
    <w:rsid w:val="00134C18"/>
    <w:rsid w:val="00134C27"/>
    <w:rsid w:val="0013505A"/>
    <w:rsid w:val="001365B8"/>
    <w:rsid w:val="0014008F"/>
    <w:rsid w:val="0014069F"/>
    <w:rsid w:val="001406FD"/>
    <w:rsid w:val="00140804"/>
    <w:rsid w:val="00140A61"/>
    <w:rsid w:val="00140F0E"/>
    <w:rsid w:val="0014123A"/>
    <w:rsid w:val="00141966"/>
    <w:rsid w:val="00141D5D"/>
    <w:rsid w:val="00141E3A"/>
    <w:rsid w:val="001421E7"/>
    <w:rsid w:val="00142219"/>
    <w:rsid w:val="00142B3F"/>
    <w:rsid w:val="00142E68"/>
    <w:rsid w:val="0014306A"/>
    <w:rsid w:val="001434AA"/>
    <w:rsid w:val="00143C47"/>
    <w:rsid w:val="00143C48"/>
    <w:rsid w:val="00143C68"/>
    <w:rsid w:val="00143CF7"/>
    <w:rsid w:val="00143EA5"/>
    <w:rsid w:val="00144441"/>
    <w:rsid w:val="00144B21"/>
    <w:rsid w:val="001459F8"/>
    <w:rsid w:val="00145E6D"/>
    <w:rsid w:val="0014600B"/>
    <w:rsid w:val="0014658C"/>
    <w:rsid w:val="00146710"/>
    <w:rsid w:val="0014690F"/>
    <w:rsid w:val="00146989"/>
    <w:rsid w:val="00147A6D"/>
    <w:rsid w:val="00150F4D"/>
    <w:rsid w:val="00151038"/>
    <w:rsid w:val="00151A7F"/>
    <w:rsid w:val="00151F2E"/>
    <w:rsid w:val="00151FC8"/>
    <w:rsid w:val="001527C1"/>
    <w:rsid w:val="00152861"/>
    <w:rsid w:val="001535C8"/>
    <w:rsid w:val="00153DAB"/>
    <w:rsid w:val="00153DBD"/>
    <w:rsid w:val="0015423F"/>
    <w:rsid w:val="00155293"/>
    <w:rsid w:val="00155667"/>
    <w:rsid w:val="00155FC6"/>
    <w:rsid w:val="00156AD4"/>
    <w:rsid w:val="00157151"/>
    <w:rsid w:val="00157E52"/>
    <w:rsid w:val="001600C8"/>
    <w:rsid w:val="00160277"/>
    <w:rsid w:val="00160D73"/>
    <w:rsid w:val="0016205A"/>
    <w:rsid w:val="00162319"/>
    <w:rsid w:val="001623CE"/>
    <w:rsid w:val="00162541"/>
    <w:rsid w:val="001631FF"/>
    <w:rsid w:val="001639C4"/>
    <w:rsid w:val="0016425B"/>
    <w:rsid w:val="00164863"/>
    <w:rsid w:val="00164893"/>
    <w:rsid w:val="00164EDC"/>
    <w:rsid w:val="0016516B"/>
    <w:rsid w:val="001655A3"/>
    <w:rsid w:val="00165E5B"/>
    <w:rsid w:val="00166BD3"/>
    <w:rsid w:val="001675B1"/>
    <w:rsid w:val="00167A32"/>
    <w:rsid w:val="00167F63"/>
    <w:rsid w:val="00167F89"/>
    <w:rsid w:val="00170071"/>
    <w:rsid w:val="001701AF"/>
    <w:rsid w:val="001701DF"/>
    <w:rsid w:val="0017098D"/>
    <w:rsid w:val="00170CF8"/>
    <w:rsid w:val="00170DD7"/>
    <w:rsid w:val="00171326"/>
    <w:rsid w:val="00171A81"/>
    <w:rsid w:val="00171EEA"/>
    <w:rsid w:val="001722A2"/>
    <w:rsid w:val="00172ECE"/>
    <w:rsid w:val="00173F8F"/>
    <w:rsid w:val="00174C65"/>
    <w:rsid w:val="0017537A"/>
    <w:rsid w:val="001755A3"/>
    <w:rsid w:val="00175C51"/>
    <w:rsid w:val="00175F34"/>
    <w:rsid w:val="00175F61"/>
    <w:rsid w:val="0017601A"/>
    <w:rsid w:val="0017609D"/>
    <w:rsid w:val="0017610F"/>
    <w:rsid w:val="00176668"/>
    <w:rsid w:val="00176EED"/>
    <w:rsid w:val="00177050"/>
    <w:rsid w:val="00177857"/>
    <w:rsid w:val="00177F61"/>
    <w:rsid w:val="001801E3"/>
    <w:rsid w:val="00180461"/>
    <w:rsid w:val="00180BD9"/>
    <w:rsid w:val="001819F4"/>
    <w:rsid w:val="00181DE7"/>
    <w:rsid w:val="0018299C"/>
    <w:rsid w:val="00182E08"/>
    <w:rsid w:val="00182EE9"/>
    <w:rsid w:val="0018342A"/>
    <w:rsid w:val="00183553"/>
    <w:rsid w:val="001836B7"/>
    <w:rsid w:val="00183A6E"/>
    <w:rsid w:val="00183AA1"/>
    <w:rsid w:val="00183B15"/>
    <w:rsid w:val="001844D0"/>
    <w:rsid w:val="00184660"/>
    <w:rsid w:val="00184741"/>
    <w:rsid w:val="00185557"/>
    <w:rsid w:val="00185C87"/>
    <w:rsid w:val="00185CA1"/>
    <w:rsid w:val="00185F3E"/>
    <w:rsid w:val="001861A7"/>
    <w:rsid w:val="001861EF"/>
    <w:rsid w:val="001867B8"/>
    <w:rsid w:val="001868CE"/>
    <w:rsid w:val="00186DA8"/>
    <w:rsid w:val="0018784D"/>
    <w:rsid w:val="00187F1D"/>
    <w:rsid w:val="00190010"/>
    <w:rsid w:val="0019028F"/>
    <w:rsid w:val="001907E8"/>
    <w:rsid w:val="00191065"/>
    <w:rsid w:val="001914A6"/>
    <w:rsid w:val="00191DE6"/>
    <w:rsid w:val="00192400"/>
    <w:rsid w:val="0019254B"/>
    <w:rsid w:val="0019378D"/>
    <w:rsid w:val="00194424"/>
    <w:rsid w:val="00195B3D"/>
    <w:rsid w:val="00195EE2"/>
    <w:rsid w:val="00196648"/>
    <w:rsid w:val="0019679B"/>
    <w:rsid w:val="0019708F"/>
    <w:rsid w:val="001970B8"/>
    <w:rsid w:val="00197173"/>
    <w:rsid w:val="00197451"/>
    <w:rsid w:val="001974F4"/>
    <w:rsid w:val="001976DF"/>
    <w:rsid w:val="001979F5"/>
    <w:rsid w:val="00197C2B"/>
    <w:rsid w:val="001A01CC"/>
    <w:rsid w:val="001A022D"/>
    <w:rsid w:val="001A040D"/>
    <w:rsid w:val="001A07DC"/>
    <w:rsid w:val="001A0AD5"/>
    <w:rsid w:val="001A1653"/>
    <w:rsid w:val="001A1705"/>
    <w:rsid w:val="001A1B7D"/>
    <w:rsid w:val="001A2072"/>
    <w:rsid w:val="001A23E6"/>
    <w:rsid w:val="001A25A2"/>
    <w:rsid w:val="001A2E89"/>
    <w:rsid w:val="001A2F26"/>
    <w:rsid w:val="001A394A"/>
    <w:rsid w:val="001A4A1E"/>
    <w:rsid w:val="001A504B"/>
    <w:rsid w:val="001A5437"/>
    <w:rsid w:val="001A60BC"/>
    <w:rsid w:val="001A657E"/>
    <w:rsid w:val="001A7133"/>
    <w:rsid w:val="001A7519"/>
    <w:rsid w:val="001B0287"/>
    <w:rsid w:val="001B0400"/>
    <w:rsid w:val="001B08C8"/>
    <w:rsid w:val="001B095D"/>
    <w:rsid w:val="001B12B3"/>
    <w:rsid w:val="001B1532"/>
    <w:rsid w:val="001B156A"/>
    <w:rsid w:val="001B1621"/>
    <w:rsid w:val="001B1665"/>
    <w:rsid w:val="001B1C37"/>
    <w:rsid w:val="001B2591"/>
    <w:rsid w:val="001B2724"/>
    <w:rsid w:val="001B296B"/>
    <w:rsid w:val="001B3077"/>
    <w:rsid w:val="001B32C4"/>
    <w:rsid w:val="001B3A92"/>
    <w:rsid w:val="001B42CF"/>
    <w:rsid w:val="001B4551"/>
    <w:rsid w:val="001B4C52"/>
    <w:rsid w:val="001B5962"/>
    <w:rsid w:val="001B5C46"/>
    <w:rsid w:val="001B709E"/>
    <w:rsid w:val="001B7600"/>
    <w:rsid w:val="001B7645"/>
    <w:rsid w:val="001B7ADE"/>
    <w:rsid w:val="001B7F6B"/>
    <w:rsid w:val="001B7FAA"/>
    <w:rsid w:val="001C03EC"/>
    <w:rsid w:val="001C0798"/>
    <w:rsid w:val="001C0E0C"/>
    <w:rsid w:val="001C118A"/>
    <w:rsid w:val="001C1F0F"/>
    <w:rsid w:val="001C2569"/>
    <w:rsid w:val="001C2706"/>
    <w:rsid w:val="001C2806"/>
    <w:rsid w:val="001C2F08"/>
    <w:rsid w:val="001C371D"/>
    <w:rsid w:val="001C392F"/>
    <w:rsid w:val="001C3B66"/>
    <w:rsid w:val="001C3FC6"/>
    <w:rsid w:val="001C4D94"/>
    <w:rsid w:val="001C515C"/>
    <w:rsid w:val="001C63CB"/>
    <w:rsid w:val="001C65FC"/>
    <w:rsid w:val="001C6637"/>
    <w:rsid w:val="001D02B6"/>
    <w:rsid w:val="001D052F"/>
    <w:rsid w:val="001D0A38"/>
    <w:rsid w:val="001D0C48"/>
    <w:rsid w:val="001D10E6"/>
    <w:rsid w:val="001D1199"/>
    <w:rsid w:val="001D11C3"/>
    <w:rsid w:val="001D12E4"/>
    <w:rsid w:val="001D152C"/>
    <w:rsid w:val="001D15E8"/>
    <w:rsid w:val="001D167A"/>
    <w:rsid w:val="001D18FC"/>
    <w:rsid w:val="001D1E44"/>
    <w:rsid w:val="001D20FC"/>
    <w:rsid w:val="001D3C52"/>
    <w:rsid w:val="001D4235"/>
    <w:rsid w:val="001D4307"/>
    <w:rsid w:val="001D4407"/>
    <w:rsid w:val="001D4565"/>
    <w:rsid w:val="001D4A24"/>
    <w:rsid w:val="001D53FE"/>
    <w:rsid w:val="001D54A2"/>
    <w:rsid w:val="001D5866"/>
    <w:rsid w:val="001D6EE0"/>
    <w:rsid w:val="001D6FAE"/>
    <w:rsid w:val="001D70E5"/>
    <w:rsid w:val="001D741C"/>
    <w:rsid w:val="001D7D69"/>
    <w:rsid w:val="001D7EDD"/>
    <w:rsid w:val="001E0669"/>
    <w:rsid w:val="001E0B04"/>
    <w:rsid w:val="001E115B"/>
    <w:rsid w:val="001E12A8"/>
    <w:rsid w:val="001E1714"/>
    <w:rsid w:val="001E1824"/>
    <w:rsid w:val="001E1832"/>
    <w:rsid w:val="001E19EB"/>
    <w:rsid w:val="001E1B30"/>
    <w:rsid w:val="001E2042"/>
    <w:rsid w:val="001E373B"/>
    <w:rsid w:val="001E3A60"/>
    <w:rsid w:val="001E4157"/>
    <w:rsid w:val="001E495F"/>
    <w:rsid w:val="001E49AB"/>
    <w:rsid w:val="001E4B2C"/>
    <w:rsid w:val="001E58DE"/>
    <w:rsid w:val="001E5AF5"/>
    <w:rsid w:val="001E5CBA"/>
    <w:rsid w:val="001E5D85"/>
    <w:rsid w:val="001E6663"/>
    <w:rsid w:val="001E6754"/>
    <w:rsid w:val="001E679A"/>
    <w:rsid w:val="001E6FFE"/>
    <w:rsid w:val="001E7AC9"/>
    <w:rsid w:val="001F0C8E"/>
    <w:rsid w:val="001F10F7"/>
    <w:rsid w:val="001F239A"/>
    <w:rsid w:val="001F24D2"/>
    <w:rsid w:val="001F2CFE"/>
    <w:rsid w:val="001F3230"/>
    <w:rsid w:val="001F3253"/>
    <w:rsid w:val="001F358E"/>
    <w:rsid w:val="001F36DC"/>
    <w:rsid w:val="001F3F62"/>
    <w:rsid w:val="001F42BD"/>
    <w:rsid w:val="001F43A5"/>
    <w:rsid w:val="001F5509"/>
    <w:rsid w:val="001F583B"/>
    <w:rsid w:val="001F5A6D"/>
    <w:rsid w:val="001F5A72"/>
    <w:rsid w:val="001F617F"/>
    <w:rsid w:val="001F61A4"/>
    <w:rsid w:val="001F6978"/>
    <w:rsid w:val="001F6AF8"/>
    <w:rsid w:val="001F6C09"/>
    <w:rsid w:val="001F6CCF"/>
    <w:rsid w:val="001F7CBA"/>
    <w:rsid w:val="00200308"/>
    <w:rsid w:val="00200443"/>
    <w:rsid w:val="00200867"/>
    <w:rsid w:val="00200ECF"/>
    <w:rsid w:val="00201064"/>
    <w:rsid w:val="0020150A"/>
    <w:rsid w:val="0020179E"/>
    <w:rsid w:val="00201AC4"/>
    <w:rsid w:val="00201AE1"/>
    <w:rsid w:val="002021E7"/>
    <w:rsid w:val="00202688"/>
    <w:rsid w:val="002028BE"/>
    <w:rsid w:val="00202C8B"/>
    <w:rsid w:val="00202E5F"/>
    <w:rsid w:val="0020303F"/>
    <w:rsid w:val="00203537"/>
    <w:rsid w:val="002039EA"/>
    <w:rsid w:val="00203B2C"/>
    <w:rsid w:val="00204216"/>
    <w:rsid w:val="00204671"/>
    <w:rsid w:val="002046F4"/>
    <w:rsid w:val="00204811"/>
    <w:rsid w:val="002054A7"/>
    <w:rsid w:val="002057AD"/>
    <w:rsid w:val="00205D23"/>
    <w:rsid w:val="00205FD8"/>
    <w:rsid w:val="00206515"/>
    <w:rsid w:val="002065A4"/>
    <w:rsid w:val="002065E5"/>
    <w:rsid w:val="00206837"/>
    <w:rsid w:val="00206911"/>
    <w:rsid w:val="00207070"/>
    <w:rsid w:val="00210137"/>
    <w:rsid w:val="00210261"/>
    <w:rsid w:val="002108B3"/>
    <w:rsid w:val="00210A9D"/>
    <w:rsid w:val="00211F2E"/>
    <w:rsid w:val="00212112"/>
    <w:rsid w:val="0021229E"/>
    <w:rsid w:val="00212EEE"/>
    <w:rsid w:val="002130F9"/>
    <w:rsid w:val="002142C1"/>
    <w:rsid w:val="002144BD"/>
    <w:rsid w:val="00214840"/>
    <w:rsid w:val="00215256"/>
    <w:rsid w:val="002154B6"/>
    <w:rsid w:val="002154BD"/>
    <w:rsid w:val="00215715"/>
    <w:rsid w:val="00215AF8"/>
    <w:rsid w:val="002160BA"/>
    <w:rsid w:val="002165D8"/>
    <w:rsid w:val="0021666A"/>
    <w:rsid w:val="00216E27"/>
    <w:rsid w:val="00216E7F"/>
    <w:rsid w:val="00217257"/>
    <w:rsid w:val="00217A95"/>
    <w:rsid w:val="0022109F"/>
    <w:rsid w:val="00221594"/>
    <w:rsid w:val="0022195C"/>
    <w:rsid w:val="002219FC"/>
    <w:rsid w:val="0022318A"/>
    <w:rsid w:val="002232FA"/>
    <w:rsid w:val="002234BF"/>
    <w:rsid w:val="00223842"/>
    <w:rsid w:val="0022391D"/>
    <w:rsid w:val="00223B1E"/>
    <w:rsid w:val="00223B68"/>
    <w:rsid w:val="00223C5E"/>
    <w:rsid w:val="0022409B"/>
    <w:rsid w:val="002244A4"/>
    <w:rsid w:val="0022468C"/>
    <w:rsid w:val="0022479F"/>
    <w:rsid w:val="00224EA5"/>
    <w:rsid w:val="00225054"/>
    <w:rsid w:val="002250A2"/>
    <w:rsid w:val="00225152"/>
    <w:rsid w:val="002252C2"/>
    <w:rsid w:val="002264C5"/>
    <w:rsid w:val="00226CFF"/>
    <w:rsid w:val="00227584"/>
    <w:rsid w:val="002275FD"/>
    <w:rsid w:val="00227A17"/>
    <w:rsid w:val="00227FD0"/>
    <w:rsid w:val="0023000B"/>
    <w:rsid w:val="00230711"/>
    <w:rsid w:val="00230CC1"/>
    <w:rsid w:val="00230E1A"/>
    <w:rsid w:val="00231924"/>
    <w:rsid w:val="00231BEF"/>
    <w:rsid w:val="00232E38"/>
    <w:rsid w:val="00233041"/>
    <w:rsid w:val="002331CB"/>
    <w:rsid w:val="00233430"/>
    <w:rsid w:val="0023365A"/>
    <w:rsid w:val="00233816"/>
    <w:rsid w:val="00233BA2"/>
    <w:rsid w:val="00233F0A"/>
    <w:rsid w:val="00234046"/>
    <w:rsid w:val="0023437D"/>
    <w:rsid w:val="00234492"/>
    <w:rsid w:val="002359BB"/>
    <w:rsid w:val="00235B31"/>
    <w:rsid w:val="0023617C"/>
    <w:rsid w:val="00236466"/>
    <w:rsid w:val="00237420"/>
    <w:rsid w:val="0023753D"/>
    <w:rsid w:val="0023753F"/>
    <w:rsid w:val="002375FD"/>
    <w:rsid w:val="00237600"/>
    <w:rsid w:val="002378C0"/>
    <w:rsid w:val="002378E0"/>
    <w:rsid w:val="0023798D"/>
    <w:rsid w:val="00237AC6"/>
    <w:rsid w:val="00240277"/>
    <w:rsid w:val="00240294"/>
    <w:rsid w:val="002402B6"/>
    <w:rsid w:val="0024089F"/>
    <w:rsid w:val="00240FFC"/>
    <w:rsid w:val="00241377"/>
    <w:rsid w:val="0024141E"/>
    <w:rsid w:val="00241641"/>
    <w:rsid w:val="002418BA"/>
    <w:rsid w:val="00241A25"/>
    <w:rsid w:val="00241CF9"/>
    <w:rsid w:val="00241F5A"/>
    <w:rsid w:val="00242399"/>
    <w:rsid w:val="002425C2"/>
    <w:rsid w:val="00242C8C"/>
    <w:rsid w:val="00242E9C"/>
    <w:rsid w:val="00242F46"/>
    <w:rsid w:val="00243153"/>
    <w:rsid w:val="0024330C"/>
    <w:rsid w:val="00243CE1"/>
    <w:rsid w:val="0024401D"/>
    <w:rsid w:val="0024448F"/>
    <w:rsid w:val="00245539"/>
    <w:rsid w:val="0024573D"/>
    <w:rsid w:val="00245B13"/>
    <w:rsid w:val="00245B4A"/>
    <w:rsid w:val="00246087"/>
    <w:rsid w:val="002462F5"/>
    <w:rsid w:val="00246467"/>
    <w:rsid w:val="00246A6B"/>
    <w:rsid w:val="00246F4C"/>
    <w:rsid w:val="0024754E"/>
    <w:rsid w:val="00247C28"/>
    <w:rsid w:val="00247E30"/>
    <w:rsid w:val="002504A3"/>
    <w:rsid w:val="002508CE"/>
    <w:rsid w:val="00250B12"/>
    <w:rsid w:val="00251054"/>
    <w:rsid w:val="0025110B"/>
    <w:rsid w:val="0025166D"/>
    <w:rsid w:val="00251817"/>
    <w:rsid w:val="00251CAE"/>
    <w:rsid w:val="00251F0B"/>
    <w:rsid w:val="00252CCC"/>
    <w:rsid w:val="00253008"/>
    <w:rsid w:val="00253015"/>
    <w:rsid w:val="0025381B"/>
    <w:rsid w:val="002538A3"/>
    <w:rsid w:val="00253C13"/>
    <w:rsid w:val="00254698"/>
    <w:rsid w:val="00254F66"/>
    <w:rsid w:val="002551C1"/>
    <w:rsid w:val="00255397"/>
    <w:rsid w:val="002557AD"/>
    <w:rsid w:val="00255950"/>
    <w:rsid w:val="00255EA5"/>
    <w:rsid w:val="00255F7D"/>
    <w:rsid w:val="002560D1"/>
    <w:rsid w:val="00256B38"/>
    <w:rsid w:val="00256E0A"/>
    <w:rsid w:val="002576FA"/>
    <w:rsid w:val="00260B83"/>
    <w:rsid w:val="00260C2E"/>
    <w:rsid w:val="00260CED"/>
    <w:rsid w:val="00260E20"/>
    <w:rsid w:val="00261214"/>
    <w:rsid w:val="00261345"/>
    <w:rsid w:val="00262680"/>
    <w:rsid w:val="00262BD1"/>
    <w:rsid w:val="00262BEA"/>
    <w:rsid w:val="00262FF8"/>
    <w:rsid w:val="00263183"/>
    <w:rsid w:val="00263A33"/>
    <w:rsid w:val="002645C4"/>
    <w:rsid w:val="00264A64"/>
    <w:rsid w:val="00264BDF"/>
    <w:rsid w:val="00264E78"/>
    <w:rsid w:val="002659F2"/>
    <w:rsid w:val="00265EA7"/>
    <w:rsid w:val="00266923"/>
    <w:rsid w:val="00266DC2"/>
    <w:rsid w:val="00267C08"/>
    <w:rsid w:val="00270595"/>
    <w:rsid w:val="00270AEF"/>
    <w:rsid w:val="00270D76"/>
    <w:rsid w:val="00270F3F"/>
    <w:rsid w:val="0027103D"/>
    <w:rsid w:val="002711B5"/>
    <w:rsid w:val="00271294"/>
    <w:rsid w:val="002716E5"/>
    <w:rsid w:val="0027179D"/>
    <w:rsid w:val="002717DC"/>
    <w:rsid w:val="00273222"/>
    <w:rsid w:val="00274630"/>
    <w:rsid w:val="00274C9D"/>
    <w:rsid w:val="0027590F"/>
    <w:rsid w:val="00275CB1"/>
    <w:rsid w:val="00276F9A"/>
    <w:rsid w:val="002776CE"/>
    <w:rsid w:val="0028018D"/>
    <w:rsid w:val="00280D65"/>
    <w:rsid w:val="0028154B"/>
    <w:rsid w:val="002818E7"/>
    <w:rsid w:val="00281C4D"/>
    <w:rsid w:val="0028205E"/>
    <w:rsid w:val="00282120"/>
    <w:rsid w:val="002827B0"/>
    <w:rsid w:val="00282B9A"/>
    <w:rsid w:val="00282CC6"/>
    <w:rsid w:val="00282CE9"/>
    <w:rsid w:val="00283A57"/>
    <w:rsid w:val="00283AD7"/>
    <w:rsid w:val="00283E11"/>
    <w:rsid w:val="0028427F"/>
    <w:rsid w:val="00284410"/>
    <w:rsid w:val="00284557"/>
    <w:rsid w:val="00284B3B"/>
    <w:rsid w:val="00285158"/>
    <w:rsid w:val="00285553"/>
    <w:rsid w:val="002857E8"/>
    <w:rsid w:val="002860C8"/>
    <w:rsid w:val="00286646"/>
    <w:rsid w:val="002867AF"/>
    <w:rsid w:val="00286EE8"/>
    <w:rsid w:val="00286F27"/>
    <w:rsid w:val="002870FA"/>
    <w:rsid w:val="00287DBC"/>
    <w:rsid w:val="00287FA5"/>
    <w:rsid w:val="002904C2"/>
    <w:rsid w:val="00290590"/>
    <w:rsid w:val="002907FE"/>
    <w:rsid w:val="0029091B"/>
    <w:rsid w:val="00290C6D"/>
    <w:rsid w:val="00291290"/>
    <w:rsid w:val="002912BB"/>
    <w:rsid w:val="00291E84"/>
    <w:rsid w:val="0029264B"/>
    <w:rsid w:val="00292868"/>
    <w:rsid w:val="00292C9F"/>
    <w:rsid w:val="00292CBA"/>
    <w:rsid w:val="00292CF2"/>
    <w:rsid w:val="0029313E"/>
    <w:rsid w:val="00294316"/>
    <w:rsid w:val="00294C70"/>
    <w:rsid w:val="00295361"/>
    <w:rsid w:val="0029631E"/>
    <w:rsid w:val="00296D16"/>
    <w:rsid w:val="00296DFF"/>
    <w:rsid w:val="002973CE"/>
    <w:rsid w:val="002975F0"/>
    <w:rsid w:val="002A0882"/>
    <w:rsid w:val="002A092D"/>
    <w:rsid w:val="002A12FA"/>
    <w:rsid w:val="002A1845"/>
    <w:rsid w:val="002A19AC"/>
    <w:rsid w:val="002A1E56"/>
    <w:rsid w:val="002A2BAF"/>
    <w:rsid w:val="002A31B3"/>
    <w:rsid w:val="002A33CE"/>
    <w:rsid w:val="002A36E1"/>
    <w:rsid w:val="002A3A20"/>
    <w:rsid w:val="002A43B7"/>
    <w:rsid w:val="002A4544"/>
    <w:rsid w:val="002A481F"/>
    <w:rsid w:val="002A4928"/>
    <w:rsid w:val="002A4B4C"/>
    <w:rsid w:val="002A572F"/>
    <w:rsid w:val="002A6594"/>
    <w:rsid w:val="002A65EE"/>
    <w:rsid w:val="002A694F"/>
    <w:rsid w:val="002A698F"/>
    <w:rsid w:val="002A6E6F"/>
    <w:rsid w:val="002A6F1D"/>
    <w:rsid w:val="002A71DB"/>
    <w:rsid w:val="002A799E"/>
    <w:rsid w:val="002A7B59"/>
    <w:rsid w:val="002A7D63"/>
    <w:rsid w:val="002B00AF"/>
    <w:rsid w:val="002B077D"/>
    <w:rsid w:val="002B0F88"/>
    <w:rsid w:val="002B12D2"/>
    <w:rsid w:val="002B1C38"/>
    <w:rsid w:val="002B26A2"/>
    <w:rsid w:val="002B35BE"/>
    <w:rsid w:val="002B35CA"/>
    <w:rsid w:val="002B362B"/>
    <w:rsid w:val="002B3A08"/>
    <w:rsid w:val="002B3D00"/>
    <w:rsid w:val="002B46BC"/>
    <w:rsid w:val="002B51B7"/>
    <w:rsid w:val="002B52FB"/>
    <w:rsid w:val="002B5F2B"/>
    <w:rsid w:val="002B5F92"/>
    <w:rsid w:val="002B6389"/>
    <w:rsid w:val="002B6EB0"/>
    <w:rsid w:val="002B7884"/>
    <w:rsid w:val="002C04C4"/>
    <w:rsid w:val="002C074C"/>
    <w:rsid w:val="002C0774"/>
    <w:rsid w:val="002C07D6"/>
    <w:rsid w:val="002C0E9E"/>
    <w:rsid w:val="002C1978"/>
    <w:rsid w:val="002C1B69"/>
    <w:rsid w:val="002C255D"/>
    <w:rsid w:val="002C2F03"/>
    <w:rsid w:val="002C382F"/>
    <w:rsid w:val="002C5279"/>
    <w:rsid w:val="002C57DB"/>
    <w:rsid w:val="002C5ECE"/>
    <w:rsid w:val="002C66A4"/>
    <w:rsid w:val="002C695C"/>
    <w:rsid w:val="002C6C43"/>
    <w:rsid w:val="002C6D70"/>
    <w:rsid w:val="002C6EF3"/>
    <w:rsid w:val="002C6FD8"/>
    <w:rsid w:val="002C745C"/>
    <w:rsid w:val="002C7DC5"/>
    <w:rsid w:val="002D06A7"/>
    <w:rsid w:val="002D0B49"/>
    <w:rsid w:val="002D136C"/>
    <w:rsid w:val="002D1882"/>
    <w:rsid w:val="002D1BBD"/>
    <w:rsid w:val="002D1CEF"/>
    <w:rsid w:val="002D2D6A"/>
    <w:rsid w:val="002D2FCF"/>
    <w:rsid w:val="002D3271"/>
    <w:rsid w:val="002D3343"/>
    <w:rsid w:val="002D3953"/>
    <w:rsid w:val="002D39DD"/>
    <w:rsid w:val="002D3E80"/>
    <w:rsid w:val="002D419F"/>
    <w:rsid w:val="002D45D8"/>
    <w:rsid w:val="002D461D"/>
    <w:rsid w:val="002D479D"/>
    <w:rsid w:val="002D48A5"/>
    <w:rsid w:val="002D502C"/>
    <w:rsid w:val="002D5771"/>
    <w:rsid w:val="002D5838"/>
    <w:rsid w:val="002D5B4D"/>
    <w:rsid w:val="002D680E"/>
    <w:rsid w:val="002D703D"/>
    <w:rsid w:val="002D7532"/>
    <w:rsid w:val="002D7F4A"/>
    <w:rsid w:val="002E0209"/>
    <w:rsid w:val="002E074A"/>
    <w:rsid w:val="002E0889"/>
    <w:rsid w:val="002E09B3"/>
    <w:rsid w:val="002E0ADE"/>
    <w:rsid w:val="002E0C80"/>
    <w:rsid w:val="002E0E6A"/>
    <w:rsid w:val="002E0FAE"/>
    <w:rsid w:val="002E1611"/>
    <w:rsid w:val="002E18BB"/>
    <w:rsid w:val="002E1922"/>
    <w:rsid w:val="002E1A96"/>
    <w:rsid w:val="002E20D6"/>
    <w:rsid w:val="002E3058"/>
    <w:rsid w:val="002E34CA"/>
    <w:rsid w:val="002E47F0"/>
    <w:rsid w:val="002E4888"/>
    <w:rsid w:val="002E4900"/>
    <w:rsid w:val="002E49D5"/>
    <w:rsid w:val="002E4BB3"/>
    <w:rsid w:val="002E4DDE"/>
    <w:rsid w:val="002E517A"/>
    <w:rsid w:val="002E57A7"/>
    <w:rsid w:val="002E58B9"/>
    <w:rsid w:val="002E58D0"/>
    <w:rsid w:val="002E5C0F"/>
    <w:rsid w:val="002E5CE5"/>
    <w:rsid w:val="002E634D"/>
    <w:rsid w:val="002E7071"/>
    <w:rsid w:val="002E7166"/>
    <w:rsid w:val="002F07D4"/>
    <w:rsid w:val="002F0D32"/>
    <w:rsid w:val="002F1006"/>
    <w:rsid w:val="002F14E5"/>
    <w:rsid w:val="002F14E7"/>
    <w:rsid w:val="002F15CE"/>
    <w:rsid w:val="002F172C"/>
    <w:rsid w:val="002F1F70"/>
    <w:rsid w:val="002F36FE"/>
    <w:rsid w:val="002F3979"/>
    <w:rsid w:val="002F3CB3"/>
    <w:rsid w:val="002F3CE3"/>
    <w:rsid w:val="002F3D41"/>
    <w:rsid w:val="002F45BC"/>
    <w:rsid w:val="002F4B12"/>
    <w:rsid w:val="002F53BA"/>
    <w:rsid w:val="002F58B0"/>
    <w:rsid w:val="002F5EB5"/>
    <w:rsid w:val="002F6395"/>
    <w:rsid w:val="002F6598"/>
    <w:rsid w:val="002F681C"/>
    <w:rsid w:val="002F6F71"/>
    <w:rsid w:val="002F7756"/>
    <w:rsid w:val="002F785A"/>
    <w:rsid w:val="002F788C"/>
    <w:rsid w:val="002F79F8"/>
    <w:rsid w:val="00300146"/>
    <w:rsid w:val="00300B2E"/>
    <w:rsid w:val="00300B50"/>
    <w:rsid w:val="00300BE1"/>
    <w:rsid w:val="00300D79"/>
    <w:rsid w:val="00300EE0"/>
    <w:rsid w:val="0030157A"/>
    <w:rsid w:val="003017C5"/>
    <w:rsid w:val="00301D28"/>
    <w:rsid w:val="00301F70"/>
    <w:rsid w:val="003028CB"/>
    <w:rsid w:val="00302A44"/>
    <w:rsid w:val="00302CED"/>
    <w:rsid w:val="00303B96"/>
    <w:rsid w:val="0030464A"/>
    <w:rsid w:val="00304FBF"/>
    <w:rsid w:val="003054A7"/>
    <w:rsid w:val="00305986"/>
    <w:rsid w:val="003067C8"/>
    <w:rsid w:val="00306EF6"/>
    <w:rsid w:val="00307F11"/>
    <w:rsid w:val="003103D6"/>
    <w:rsid w:val="00310B0A"/>
    <w:rsid w:val="0031105E"/>
    <w:rsid w:val="003111CE"/>
    <w:rsid w:val="0031154C"/>
    <w:rsid w:val="00311722"/>
    <w:rsid w:val="003119EE"/>
    <w:rsid w:val="00311B2A"/>
    <w:rsid w:val="00311C97"/>
    <w:rsid w:val="003120AC"/>
    <w:rsid w:val="00312230"/>
    <w:rsid w:val="0031284C"/>
    <w:rsid w:val="00312914"/>
    <w:rsid w:val="00312EEA"/>
    <w:rsid w:val="003134CD"/>
    <w:rsid w:val="00313BA2"/>
    <w:rsid w:val="00313FFC"/>
    <w:rsid w:val="0031441C"/>
    <w:rsid w:val="003145E2"/>
    <w:rsid w:val="00314F2A"/>
    <w:rsid w:val="003152FA"/>
    <w:rsid w:val="00316AB5"/>
    <w:rsid w:val="00316D72"/>
    <w:rsid w:val="00317875"/>
    <w:rsid w:val="0032034D"/>
    <w:rsid w:val="00320940"/>
    <w:rsid w:val="003209BE"/>
    <w:rsid w:val="00320A94"/>
    <w:rsid w:val="00320BD3"/>
    <w:rsid w:val="00321196"/>
    <w:rsid w:val="003211A3"/>
    <w:rsid w:val="00321684"/>
    <w:rsid w:val="00321988"/>
    <w:rsid w:val="00321A10"/>
    <w:rsid w:val="00322872"/>
    <w:rsid w:val="003228F1"/>
    <w:rsid w:val="00322A99"/>
    <w:rsid w:val="00322E8C"/>
    <w:rsid w:val="0032306E"/>
    <w:rsid w:val="00323A0A"/>
    <w:rsid w:val="00323B36"/>
    <w:rsid w:val="003242D3"/>
    <w:rsid w:val="00324910"/>
    <w:rsid w:val="0032505F"/>
    <w:rsid w:val="003261F6"/>
    <w:rsid w:val="00326B81"/>
    <w:rsid w:val="00327062"/>
    <w:rsid w:val="003271C1"/>
    <w:rsid w:val="00327756"/>
    <w:rsid w:val="00330C1D"/>
    <w:rsid w:val="00331598"/>
    <w:rsid w:val="003318DE"/>
    <w:rsid w:val="00331C54"/>
    <w:rsid w:val="00331CF7"/>
    <w:rsid w:val="0033218E"/>
    <w:rsid w:val="0033235F"/>
    <w:rsid w:val="0033237D"/>
    <w:rsid w:val="003324D5"/>
    <w:rsid w:val="003325C4"/>
    <w:rsid w:val="0033260F"/>
    <w:rsid w:val="00332AC5"/>
    <w:rsid w:val="00332EA0"/>
    <w:rsid w:val="00332F54"/>
    <w:rsid w:val="0033354C"/>
    <w:rsid w:val="00333865"/>
    <w:rsid w:val="003349C8"/>
    <w:rsid w:val="003354E9"/>
    <w:rsid w:val="00335C08"/>
    <w:rsid w:val="00335D91"/>
    <w:rsid w:val="00335DB8"/>
    <w:rsid w:val="00335E1C"/>
    <w:rsid w:val="00335E38"/>
    <w:rsid w:val="00336371"/>
    <w:rsid w:val="00336526"/>
    <w:rsid w:val="003366F0"/>
    <w:rsid w:val="00336E0B"/>
    <w:rsid w:val="00337ABE"/>
    <w:rsid w:val="00337AE0"/>
    <w:rsid w:val="00337E74"/>
    <w:rsid w:val="003411DE"/>
    <w:rsid w:val="0034176D"/>
    <w:rsid w:val="00341D3B"/>
    <w:rsid w:val="003420D2"/>
    <w:rsid w:val="003422A7"/>
    <w:rsid w:val="003426CA"/>
    <w:rsid w:val="00342E44"/>
    <w:rsid w:val="00343320"/>
    <w:rsid w:val="003437DA"/>
    <w:rsid w:val="00343DD3"/>
    <w:rsid w:val="003442B0"/>
    <w:rsid w:val="00344435"/>
    <w:rsid w:val="003446AE"/>
    <w:rsid w:val="003449AB"/>
    <w:rsid w:val="00344CA8"/>
    <w:rsid w:val="00344F5F"/>
    <w:rsid w:val="003450A7"/>
    <w:rsid w:val="00345192"/>
    <w:rsid w:val="00345382"/>
    <w:rsid w:val="00345CAD"/>
    <w:rsid w:val="00346124"/>
    <w:rsid w:val="0034615D"/>
    <w:rsid w:val="00346770"/>
    <w:rsid w:val="003469BC"/>
    <w:rsid w:val="00346DE8"/>
    <w:rsid w:val="003474E5"/>
    <w:rsid w:val="00347C54"/>
    <w:rsid w:val="003501DE"/>
    <w:rsid w:val="003503C9"/>
    <w:rsid w:val="003505CC"/>
    <w:rsid w:val="00350B9A"/>
    <w:rsid w:val="00352B43"/>
    <w:rsid w:val="00353498"/>
    <w:rsid w:val="0035354D"/>
    <w:rsid w:val="00353ED8"/>
    <w:rsid w:val="00354126"/>
    <w:rsid w:val="00354D5A"/>
    <w:rsid w:val="00354D89"/>
    <w:rsid w:val="00354EB9"/>
    <w:rsid w:val="003553E6"/>
    <w:rsid w:val="0035543F"/>
    <w:rsid w:val="00355BC2"/>
    <w:rsid w:val="00355CB4"/>
    <w:rsid w:val="00357162"/>
    <w:rsid w:val="0035763B"/>
    <w:rsid w:val="003601DD"/>
    <w:rsid w:val="00360F69"/>
    <w:rsid w:val="00361452"/>
    <w:rsid w:val="00361FEE"/>
    <w:rsid w:val="00362CAE"/>
    <w:rsid w:val="00362CC1"/>
    <w:rsid w:val="00362DE3"/>
    <w:rsid w:val="00363015"/>
    <w:rsid w:val="00364210"/>
    <w:rsid w:val="0036437B"/>
    <w:rsid w:val="00364502"/>
    <w:rsid w:val="00364B09"/>
    <w:rsid w:val="00364B32"/>
    <w:rsid w:val="00365029"/>
    <w:rsid w:val="00365C66"/>
    <w:rsid w:val="00365CD8"/>
    <w:rsid w:val="00365D9F"/>
    <w:rsid w:val="00366397"/>
    <w:rsid w:val="00366A85"/>
    <w:rsid w:val="003675AB"/>
    <w:rsid w:val="003676FA"/>
    <w:rsid w:val="00367C29"/>
    <w:rsid w:val="00367EE6"/>
    <w:rsid w:val="00370083"/>
    <w:rsid w:val="003701AF"/>
    <w:rsid w:val="003702A1"/>
    <w:rsid w:val="00371088"/>
    <w:rsid w:val="003714E8"/>
    <w:rsid w:val="00371C3C"/>
    <w:rsid w:val="00371E9B"/>
    <w:rsid w:val="00372165"/>
    <w:rsid w:val="003728BF"/>
    <w:rsid w:val="00372B64"/>
    <w:rsid w:val="00372B66"/>
    <w:rsid w:val="00372D45"/>
    <w:rsid w:val="00372DF3"/>
    <w:rsid w:val="00372DF4"/>
    <w:rsid w:val="0037306A"/>
    <w:rsid w:val="00373A02"/>
    <w:rsid w:val="003741EB"/>
    <w:rsid w:val="003742E2"/>
    <w:rsid w:val="00374AB2"/>
    <w:rsid w:val="00374E9B"/>
    <w:rsid w:val="00375522"/>
    <w:rsid w:val="003756E1"/>
    <w:rsid w:val="003759A2"/>
    <w:rsid w:val="00375A72"/>
    <w:rsid w:val="00375B25"/>
    <w:rsid w:val="003762A4"/>
    <w:rsid w:val="003766E6"/>
    <w:rsid w:val="00376A2E"/>
    <w:rsid w:val="00376BC6"/>
    <w:rsid w:val="00376CA3"/>
    <w:rsid w:val="003772C0"/>
    <w:rsid w:val="00377E55"/>
    <w:rsid w:val="003802FF"/>
    <w:rsid w:val="00380674"/>
    <w:rsid w:val="00380B17"/>
    <w:rsid w:val="00380BC4"/>
    <w:rsid w:val="00381B78"/>
    <w:rsid w:val="003822FB"/>
    <w:rsid w:val="003825EF"/>
    <w:rsid w:val="00382686"/>
    <w:rsid w:val="00383352"/>
    <w:rsid w:val="00383B6F"/>
    <w:rsid w:val="00383D62"/>
    <w:rsid w:val="00383F32"/>
    <w:rsid w:val="00384164"/>
    <w:rsid w:val="003842D6"/>
    <w:rsid w:val="003843D8"/>
    <w:rsid w:val="003848D5"/>
    <w:rsid w:val="00384E7E"/>
    <w:rsid w:val="00385CA1"/>
    <w:rsid w:val="00385E29"/>
    <w:rsid w:val="00385F95"/>
    <w:rsid w:val="003861C1"/>
    <w:rsid w:val="00386377"/>
    <w:rsid w:val="00386418"/>
    <w:rsid w:val="00390092"/>
    <w:rsid w:val="003911CA"/>
    <w:rsid w:val="003916E0"/>
    <w:rsid w:val="0039180F"/>
    <w:rsid w:val="00391DD7"/>
    <w:rsid w:val="00391E4C"/>
    <w:rsid w:val="00391EA1"/>
    <w:rsid w:val="003920A8"/>
    <w:rsid w:val="00392853"/>
    <w:rsid w:val="003931CC"/>
    <w:rsid w:val="003936B9"/>
    <w:rsid w:val="00393EAA"/>
    <w:rsid w:val="003945D9"/>
    <w:rsid w:val="00394826"/>
    <w:rsid w:val="0039512F"/>
    <w:rsid w:val="00395452"/>
    <w:rsid w:val="003955F3"/>
    <w:rsid w:val="00395BB7"/>
    <w:rsid w:val="003961E1"/>
    <w:rsid w:val="0039708B"/>
    <w:rsid w:val="003970AF"/>
    <w:rsid w:val="00397240"/>
    <w:rsid w:val="00397FC6"/>
    <w:rsid w:val="003A0B84"/>
    <w:rsid w:val="003A0CE7"/>
    <w:rsid w:val="003A0D2E"/>
    <w:rsid w:val="003A1020"/>
    <w:rsid w:val="003A1689"/>
    <w:rsid w:val="003A1CB4"/>
    <w:rsid w:val="003A1E22"/>
    <w:rsid w:val="003A2CBF"/>
    <w:rsid w:val="003A2E95"/>
    <w:rsid w:val="003A2F3E"/>
    <w:rsid w:val="003A31D9"/>
    <w:rsid w:val="003A368E"/>
    <w:rsid w:val="003A3B5A"/>
    <w:rsid w:val="003A3E83"/>
    <w:rsid w:val="003A3EC5"/>
    <w:rsid w:val="003A47C2"/>
    <w:rsid w:val="003A4AF9"/>
    <w:rsid w:val="003A4EDC"/>
    <w:rsid w:val="003A5761"/>
    <w:rsid w:val="003A5EF8"/>
    <w:rsid w:val="003A610B"/>
    <w:rsid w:val="003A6751"/>
    <w:rsid w:val="003A6D0E"/>
    <w:rsid w:val="003A6EC9"/>
    <w:rsid w:val="003A7119"/>
    <w:rsid w:val="003A7582"/>
    <w:rsid w:val="003A7642"/>
    <w:rsid w:val="003B0065"/>
    <w:rsid w:val="003B12D1"/>
    <w:rsid w:val="003B1DEA"/>
    <w:rsid w:val="003B249C"/>
    <w:rsid w:val="003B24A5"/>
    <w:rsid w:val="003B3126"/>
    <w:rsid w:val="003B38E9"/>
    <w:rsid w:val="003B3CDF"/>
    <w:rsid w:val="003B3FE6"/>
    <w:rsid w:val="003B440A"/>
    <w:rsid w:val="003B44D7"/>
    <w:rsid w:val="003B46AA"/>
    <w:rsid w:val="003B4820"/>
    <w:rsid w:val="003B4CAF"/>
    <w:rsid w:val="003B5262"/>
    <w:rsid w:val="003B5308"/>
    <w:rsid w:val="003B5503"/>
    <w:rsid w:val="003B5581"/>
    <w:rsid w:val="003B6514"/>
    <w:rsid w:val="003B665E"/>
    <w:rsid w:val="003B6FA8"/>
    <w:rsid w:val="003B741A"/>
    <w:rsid w:val="003B763E"/>
    <w:rsid w:val="003B7D81"/>
    <w:rsid w:val="003B7E96"/>
    <w:rsid w:val="003B7EE7"/>
    <w:rsid w:val="003C0284"/>
    <w:rsid w:val="003C0515"/>
    <w:rsid w:val="003C11A6"/>
    <w:rsid w:val="003C148E"/>
    <w:rsid w:val="003C199A"/>
    <w:rsid w:val="003C2730"/>
    <w:rsid w:val="003C30F9"/>
    <w:rsid w:val="003C365A"/>
    <w:rsid w:val="003C369E"/>
    <w:rsid w:val="003C41DE"/>
    <w:rsid w:val="003C4C15"/>
    <w:rsid w:val="003C4DA7"/>
    <w:rsid w:val="003C544B"/>
    <w:rsid w:val="003C5992"/>
    <w:rsid w:val="003C5B5D"/>
    <w:rsid w:val="003C6031"/>
    <w:rsid w:val="003C6202"/>
    <w:rsid w:val="003C6A36"/>
    <w:rsid w:val="003C6D13"/>
    <w:rsid w:val="003C70BF"/>
    <w:rsid w:val="003D0570"/>
    <w:rsid w:val="003D0A1C"/>
    <w:rsid w:val="003D0C03"/>
    <w:rsid w:val="003D0D30"/>
    <w:rsid w:val="003D103E"/>
    <w:rsid w:val="003D213A"/>
    <w:rsid w:val="003D2635"/>
    <w:rsid w:val="003D2985"/>
    <w:rsid w:val="003D2C1F"/>
    <w:rsid w:val="003D3331"/>
    <w:rsid w:val="003D33EA"/>
    <w:rsid w:val="003D35E1"/>
    <w:rsid w:val="003D3DEB"/>
    <w:rsid w:val="003D3EC0"/>
    <w:rsid w:val="003D4341"/>
    <w:rsid w:val="003D4474"/>
    <w:rsid w:val="003D46DF"/>
    <w:rsid w:val="003D489F"/>
    <w:rsid w:val="003D4E0E"/>
    <w:rsid w:val="003D5A84"/>
    <w:rsid w:val="003D6D8A"/>
    <w:rsid w:val="003D760C"/>
    <w:rsid w:val="003D76EE"/>
    <w:rsid w:val="003E0605"/>
    <w:rsid w:val="003E08CC"/>
    <w:rsid w:val="003E0907"/>
    <w:rsid w:val="003E0BA6"/>
    <w:rsid w:val="003E0E31"/>
    <w:rsid w:val="003E10C3"/>
    <w:rsid w:val="003E1145"/>
    <w:rsid w:val="003E118B"/>
    <w:rsid w:val="003E25AC"/>
    <w:rsid w:val="003E26C1"/>
    <w:rsid w:val="003E2DB1"/>
    <w:rsid w:val="003E3BA5"/>
    <w:rsid w:val="003E3C39"/>
    <w:rsid w:val="003E4BED"/>
    <w:rsid w:val="003E5177"/>
    <w:rsid w:val="003E64C5"/>
    <w:rsid w:val="003E73D3"/>
    <w:rsid w:val="003E776A"/>
    <w:rsid w:val="003E7FDB"/>
    <w:rsid w:val="003F014D"/>
    <w:rsid w:val="003F0488"/>
    <w:rsid w:val="003F0751"/>
    <w:rsid w:val="003F07EA"/>
    <w:rsid w:val="003F09A0"/>
    <w:rsid w:val="003F1366"/>
    <w:rsid w:val="003F15D3"/>
    <w:rsid w:val="003F2702"/>
    <w:rsid w:val="003F2CDC"/>
    <w:rsid w:val="003F32E3"/>
    <w:rsid w:val="003F3365"/>
    <w:rsid w:val="003F35F8"/>
    <w:rsid w:val="003F45BE"/>
    <w:rsid w:val="003F4987"/>
    <w:rsid w:val="003F4BA3"/>
    <w:rsid w:val="003F514A"/>
    <w:rsid w:val="003F5530"/>
    <w:rsid w:val="003F58B9"/>
    <w:rsid w:val="003F59C0"/>
    <w:rsid w:val="003F5E5C"/>
    <w:rsid w:val="003F63FF"/>
    <w:rsid w:val="003F64C7"/>
    <w:rsid w:val="003F6522"/>
    <w:rsid w:val="003F6917"/>
    <w:rsid w:val="003F71DC"/>
    <w:rsid w:val="003F798F"/>
    <w:rsid w:val="003F7AD3"/>
    <w:rsid w:val="003F7EF5"/>
    <w:rsid w:val="00400384"/>
    <w:rsid w:val="0040044D"/>
    <w:rsid w:val="00400769"/>
    <w:rsid w:val="00400874"/>
    <w:rsid w:val="00400AA1"/>
    <w:rsid w:val="00400F42"/>
    <w:rsid w:val="004014D5"/>
    <w:rsid w:val="004015E3"/>
    <w:rsid w:val="00401841"/>
    <w:rsid w:val="00402FBA"/>
    <w:rsid w:val="004035E3"/>
    <w:rsid w:val="00403C6A"/>
    <w:rsid w:val="0040412B"/>
    <w:rsid w:val="0040423B"/>
    <w:rsid w:val="0040437F"/>
    <w:rsid w:val="00404B61"/>
    <w:rsid w:val="00404BFD"/>
    <w:rsid w:val="00404D26"/>
    <w:rsid w:val="00404EF8"/>
    <w:rsid w:val="00404F0B"/>
    <w:rsid w:val="00405982"/>
    <w:rsid w:val="00405C49"/>
    <w:rsid w:val="004060DE"/>
    <w:rsid w:val="0040649F"/>
    <w:rsid w:val="00406AD5"/>
    <w:rsid w:val="00406C43"/>
    <w:rsid w:val="00406CE9"/>
    <w:rsid w:val="00406D0B"/>
    <w:rsid w:val="00406D99"/>
    <w:rsid w:val="00406EB1"/>
    <w:rsid w:val="00406FD8"/>
    <w:rsid w:val="004105E4"/>
    <w:rsid w:val="00410643"/>
    <w:rsid w:val="00411189"/>
    <w:rsid w:val="004128A9"/>
    <w:rsid w:val="004138F7"/>
    <w:rsid w:val="00413CBF"/>
    <w:rsid w:val="0041412C"/>
    <w:rsid w:val="004151DA"/>
    <w:rsid w:val="004151FA"/>
    <w:rsid w:val="00415BDB"/>
    <w:rsid w:val="004163D1"/>
    <w:rsid w:val="00416C6E"/>
    <w:rsid w:val="00416E0E"/>
    <w:rsid w:val="004174E8"/>
    <w:rsid w:val="00417703"/>
    <w:rsid w:val="00420398"/>
    <w:rsid w:val="00420828"/>
    <w:rsid w:val="00420B88"/>
    <w:rsid w:val="00420D50"/>
    <w:rsid w:val="004217F9"/>
    <w:rsid w:val="00421A17"/>
    <w:rsid w:val="00421C18"/>
    <w:rsid w:val="00421D40"/>
    <w:rsid w:val="00421E45"/>
    <w:rsid w:val="00421E5F"/>
    <w:rsid w:val="004222DC"/>
    <w:rsid w:val="004227E5"/>
    <w:rsid w:val="00425F8F"/>
    <w:rsid w:val="00426080"/>
    <w:rsid w:val="00426335"/>
    <w:rsid w:val="0042678E"/>
    <w:rsid w:val="004269CF"/>
    <w:rsid w:val="00426AA6"/>
    <w:rsid w:val="00426CEC"/>
    <w:rsid w:val="00426DAE"/>
    <w:rsid w:val="00426F13"/>
    <w:rsid w:val="0042701C"/>
    <w:rsid w:val="00427223"/>
    <w:rsid w:val="00427530"/>
    <w:rsid w:val="00430AA0"/>
    <w:rsid w:val="0043202D"/>
    <w:rsid w:val="00432C07"/>
    <w:rsid w:val="00432D33"/>
    <w:rsid w:val="00433008"/>
    <w:rsid w:val="004339C8"/>
    <w:rsid w:val="00433D3E"/>
    <w:rsid w:val="00434726"/>
    <w:rsid w:val="0043492D"/>
    <w:rsid w:val="00435000"/>
    <w:rsid w:val="004352E7"/>
    <w:rsid w:val="004357B9"/>
    <w:rsid w:val="00435A81"/>
    <w:rsid w:val="00436BFC"/>
    <w:rsid w:val="00437B32"/>
    <w:rsid w:val="00437FDD"/>
    <w:rsid w:val="004410AA"/>
    <w:rsid w:val="00441931"/>
    <w:rsid w:val="00441C30"/>
    <w:rsid w:val="00441F02"/>
    <w:rsid w:val="00441F3B"/>
    <w:rsid w:val="00442374"/>
    <w:rsid w:val="00442497"/>
    <w:rsid w:val="00442C76"/>
    <w:rsid w:val="00442FD7"/>
    <w:rsid w:val="00442FF3"/>
    <w:rsid w:val="004436DB"/>
    <w:rsid w:val="0044461A"/>
    <w:rsid w:val="00444D6A"/>
    <w:rsid w:val="00445116"/>
    <w:rsid w:val="00445131"/>
    <w:rsid w:val="0044522F"/>
    <w:rsid w:val="00445384"/>
    <w:rsid w:val="004456E5"/>
    <w:rsid w:val="00445B35"/>
    <w:rsid w:val="004462F4"/>
    <w:rsid w:val="00446676"/>
    <w:rsid w:val="00446D47"/>
    <w:rsid w:val="00446E17"/>
    <w:rsid w:val="00446E9F"/>
    <w:rsid w:val="004470AC"/>
    <w:rsid w:val="004477EE"/>
    <w:rsid w:val="0045032D"/>
    <w:rsid w:val="004503D5"/>
    <w:rsid w:val="00450BE5"/>
    <w:rsid w:val="00450CC3"/>
    <w:rsid w:val="00450D34"/>
    <w:rsid w:val="00450FA9"/>
    <w:rsid w:val="0045116B"/>
    <w:rsid w:val="00451A2D"/>
    <w:rsid w:val="00452AB5"/>
    <w:rsid w:val="00452BC4"/>
    <w:rsid w:val="00452E6A"/>
    <w:rsid w:val="004531C9"/>
    <w:rsid w:val="004534FA"/>
    <w:rsid w:val="00453996"/>
    <w:rsid w:val="004544AA"/>
    <w:rsid w:val="0045458E"/>
    <w:rsid w:val="004545AD"/>
    <w:rsid w:val="00454618"/>
    <w:rsid w:val="00454634"/>
    <w:rsid w:val="00454804"/>
    <w:rsid w:val="0045486F"/>
    <w:rsid w:val="00454EFE"/>
    <w:rsid w:val="00454FCD"/>
    <w:rsid w:val="0045554D"/>
    <w:rsid w:val="004557EC"/>
    <w:rsid w:val="00456422"/>
    <w:rsid w:val="004566E6"/>
    <w:rsid w:val="00456E02"/>
    <w:rsid w:val="004570E7"/>
    <w:rsid w:val="00457E09"/>
    <w:rsid w:val="00460163"/>
    <w:rsid w:val="00460300"/>
    <w:rsid w:val="00460332"/>
    <w:rsid w:val="0046067C"/>
    <w:rsid w:val="004606E6"/>
    <w:rsid w:val="004609C4"/>
    <w:rsid w:val="00460F3F"/>
    <w:rsid w:val="00461B4B"/>
    <w:rsid w:val="00461D43"/>
    <w:rsid w:val="00461E14"/>
    <w:rsid w:val="00463979"/>
    <w:rsid w:val="00464302"/>
    <w:rsid w:val="00465029"/>
    <w:rsid w:val="0046548A"/>
    <w:rsid w:val="004656B8"/>
    <w:rsid w:val="00465C92"/>
    <w:rsid w:val="00465EF9"/>
    <w:rsid w:val="00465F5A"/>
    <w:rsid w:val="004663A9"/>
    <w:rsid w:val="00466685"/>
    <w:rsid w:val="00466F9D"/>
    <w:rsid w:val="00467427"/>
    <w:rsid w:val="00467A8D"/>
    <w:rsid w:val="004700B4"/>
    <w:rsid w:val="00470A7A"/>
    <w:rsid w:val="00470DD6"/>
    <w:rsid w:val="00471F8B"/>
    <w:rsid w:val="00472204"/>
    <w:rsid w:val="00472B57"/>
    <w:rsid w:val="00473207"/>
    <w:rsid w:val="00473301"/>
    <w:rsid w:val="0047333E"/>
    <w:rsid w:val="00473442"/>
    <w:rsid w:val="00473D74"/>
    <w:rsid w:val="004742D3"/>
    <w:rsid w:val="00474921"/>
    <w:rsid w:val="00474AC9"/>
    <w:rsid w:val="0047520D"/>
    <w:rsid w:val="004752A8"/>
    <w:rsid w:val="00475756"/>
    <w:rsid w:val="0047576E"/>
    <w:rsid w:val="00476228"/>
    <w:rsid w:val="00476343"/>
    <w:rsid w:val="004768FA"/>
    <w:rsid w:val="00477291"/>
    <w:rsid w:val="00480424"/>
    <w:rsid w:val="00480C2C"/>
    <w:rsid w:val="00480C99"/>
    <w:rsid w:val="0048190D"/>
    <w:rsid w:val="00481D5F"/>
    <w:rsid w:val="004823D6"/>
    <w:rsid w:val="00482801"/>
    <w:rsid w:val="00482DA1"/>
    <w:rsid w:val="00482F8A"/>
    <w:rsid w:val="00483258"/>
    <w:rsid w:val="004833EE"/>
    <w:rsid w:val="00483464"/>
    <w:rsid w:val="0048365D"/>
    <w:rsid w:val="004836E5"/>
    <w:rsid w:val="00483C13"/>
    <w:rsid w:val="00483EC8"/>
    <w:rsid w:val="00484149"/>
    <w:rsid w:val="0048468D"/>
    <w:rsid w:val="0048497F"/>
    <w:rsid w:val="00484EB3"/>
    <w:rsid w:val="0048505C"/>
    <w:rsid w:val="00485300"/>
    <w:rsid w:val="004855D4"/>
    <w:rsid w:val="00485B35"/>
    <w:rsid w:val="00485DB1"/>
    <w:rsid w:val="00485F6B"/>
    <w:rsid w:val="00486019"/>
    <w:rsid w:val="00486D08"/>
    <w:rsid w:val="00487578"/>
    <w:rsid w:val="004877B3"/>
    <w:rsid w:val="00490DDF"/>
    <w:rsid w:val="00491E4A"/>
    <w:rsid w:val="00492156"/>
    <w:rsid w:val="004922EB"/>
    <w:rsid w:val="0049273C"/>
    <w:rsid w:val="00492BDA"/>
    <w:rsid w:val="00492D16"/>
    <w:rsid w:val="00492DED"/>
    <w:rsid w:val="004933DC"/>
    <w:rsid w:val="00493C24"/>
    <w:rsid w:val="00493CA6"/>
    <w:rsid w:val="00493D49"/>
    <w:rsid w:val="00493E57"/>
    <w:rsid w:val="00494DD5"/>
    <w:rsid w:val="004951DC"/>
    <w:rsid w:val="00495734"/>
    <w:rsid w:val="00495786"/>
    <w:rsid w:val="00495AC1"/>
    <w:rsid w:val="00495C83"/>
    <w:rsid w:val="00495F8D"/>
    <w:rsid w:val="004962AD"/>
    <w:rsid w:val="004966FB"/>
    <w:rsid w:val="00496B87"/>
    <w:rsid w:val="00496D71"/>
    <w:rsid w:val="00497165"/>
    <w:rsid w:val="00497F76"/>
    <w:rsid w:val="004A01F9"/>
    <w:rsid w:val="004A03AB"/>
    <w:rsid w:val="004A0AF5"/>
    <w:rsid w:val="004A0E13"/>
    <w:rsid w:val="004A147F"/>
    <w:rsid w:val="004A1661"/>
    <w:rsid w:val="004A1ED8"/>
    <w:rsid w:val="004A227D"/>
    <w:rsid w:val="004A30AF"/>
    <w:rsid w:val="004A31CC"/>
    <w:rsid w:val="004A3577"/>
    <w:rsid w:val="004A3FD6"/>
    <w:rsid w:val="004A4222"/>
    <w:rsid w:val="004A42C6"/>
    <w:rsid w:val="004A482A"/>
    <w:rsid w:val="004A485C"/>
    <w:rsid w:val="004A4D09"/>
    <w:rsid w:val="004A4E33"/>
    <w:rsid w:val="004A5065"/>
    <w:rsid w:val="004A5FB1"/>
    <w:rsid w:val="004A609E"/>
    <w:rsid w:val="004A631A"/>
    <w:rsid w:val="004A6972"/>
    <w:rsid w:val="004A6CE6"/>
    <w:rsid w:val="004A7371"/>
    <w:rsid w:val="004A74E2"/>
    <w:rsid w:val="004B01DD"/>
    <w:rsid w:val="004B0A53"/>
    <w:rsid w:val="004B0CEC"/>
    <w:rsid w:val="004B1927"/>
    <w:rsid w:val="004B1B5C"/>
    <w:rsid w:val="004B1CE6"/>
    <w:rsid w:val="004B1E02"/>
    <w:rsid w:val="004B2285"/>
    <w:rsid w:val="004B2EFD"/>
    <w:rsid w:val="004B36ED"/>
    <w:rsid w:val="004B3BE4"/>
    <w:rsid w:val="004B3CB0"/>
    <w:rsid w:val="004B455A"/>
    <w:rsid w:val="004B4A5F"/>
    <w:rsid w:val="004B4DCC"/>
    <w:rsid w:val="004B4F53"/>
    <w:rsid w:val="004B4FEF"/>
    <w:rsid w:val="004B5550"/>
    <w:rsid w:val="004B567C"/>
    <w:rsid w:val="004B57F7"/>
    <w:rsid w:val="004B583B"/>
    <w:rsid w:val="004B5CA1"/>
    <w:rsid w:val="004B649F"/>
    <w:rsid w:val="004B66D4"/>
    <w:rsid w:val="004B69DF"/>
    <w:rsid w:val="004B6A69"/>
    <w:rsid w:val="004B7196"/>
    <w:rsid w:val="004B73A9"/>
    <w:rsid w:val="004B78DA"/>
    <w:rsid w:val="004B78EB"/>
    <w:rsid w:val="004B7BEC"/>
    <w:rsid w:val="004C049B"/>
    <w:rsid w:val="004C0626"/>
    <w:rsid w:val="004C0EDF"/>
    <w:rsid w:val="004C1919"/>
    <w:rsid w:val="004C19F7"/>
    <w:rsid w:val="004C1D8B"/>
    <w:rsid w:val="004C1DA8"/>
    <w:rsid w:val="004C210B"/>
    <w:rsid w:val="004C21B8"/>
    <w:rsid w:val="004C238E"/>
    <w:rsid w:val="004C2551"/>
    <w:rsid w:val="004C2EEA"/>
    <w:rsid w:val="004C326B"/>
    <w:rsid w:val="004C3E6F"/>
    <w:rsid w:val="004C4195"/>
    <w:rsid w:val="004C438E"/>
    <w:rsid w:val="004C5E9F"/>
    <w:rsid w:val="004C6EEE"/>
    <w:rsid w:val="004C76A2"/>
    <w:rsid w:val="004C7B09"/>
    <w:rsid w:val="004C7C90"/>
    <w:rsid w:val="004C7CD8"/>
    <w:rsid w:val="004D039B"/>
    <w:rsid w:val="004D0DA1"/>
    <w:rsid w:val="004D0F80"/>
    <w:rsid w:val="004D1560"/>
    <w:rsid w:val="004D195B"/>
    <w:rsid w:val="004D1A4B"/>
    <w:rsid w:val="004D1B94"/>
    <w:rsid w:val="004D1E2C"/>
    <w:rsid w:val="004D221E"/>
    <w:rsid w:val="004D256D"/>
    <w:rsid w:val="004D2793"/>
    <w:rsid w:val="004D2CBC"/>
    <w:rsid w:val="004D2F12"/>
    <w:rsid w:val="004D4135"/>
    <w:rsid w:val="004D565F"/>
    <w:rsid w:val="004D5793"/>
    <w:rsid w:val="004D5B19"/>
    <w:rsid w:val="004D5BC1"/>
    <w:rsid w:val="004D5F90"/>
    <w:rsid w:val="004D688C"/>
    <w:rsid w:val="004D6CF4"/>
    <w:rsid w:val="004D6D0C"/>
    <w:rsid w:val="004D7A55"/>
    <w:rsid w:val="004E0095"/>
    <w:rsid w:val="004E095F"/>
    <w:rsid w:val="004E0B7F"/>
    <w:rsid w:val="004E0DD0"/>
    <w:rsid w:val="004E0F30"/>
    <w:rsid w:val="004E110B"/>
    <w:rsid w:val="004E15C5"/>
    <w:rsid w:val="004E1991"/>
    <w:rsid w:val="004E245C"/>
    <w:rsid w:val="004E252A"/>
    <w:rsid w:val="004E2786"/>
    <w:rsid w:val="004E28E1"/>
    <w:rsid w:val="004E2D6E"/>
    <w:rsid w:val="004E3423"/>
    <w:rsid w:val="004E3823"/>
    <w:rsid w:val="004E387F"/>
    <w:rsid w:val="004E3C80"/>
    <w:rsid w:val="004E4122"/>
    <w:rsid w:val="004E4440"/>
    <w:rsid w:val="004E4825"/>
    <w:rsid w:val="004E516B"/>
    <w:rsid w:val="004E5504"/>
    <w:rsid w:val="004E5A75"/>
    <w:rsid w:val="004E5E8E"/>
    <w:rsid w:val="004E6347"/>
    <w:rsid w:val="004E6357"/>
    <w:rsid w:val="004E6943"/>
    <w:rsid w:val="004E72B9"/>
    <w:rsid w:val="004E759C"/>
    <w:rsid w:val="004E7ADA"/>
    <w:rsid w:val="004E7D13"/>
    <w:rsid w:val="004E7FAF"/>
    <w:rsid w:val="004F004B"/>
    <w:rsid w:val="004F0171"/>
    <w:rsid w:val="004F03E0"/>
    <w:rsid w:val="004F08D9"/>
    <w:rsid w:val="004F0909"/>
    <w:rsid w:val="004F0DE3"/>
    <w:rsid w:val="004F0FCC"/>
    <w:rsid w:val="004F1C39"/>
    <w:rsid w:val="004F1D9F"/>
    <w:rsid w:val="004F2390"/>
    <w:rsid w:val="004F24B0"/>
    <w:rsid w:val="004F27D5"/>
    <w:rsid w:val="004F2ADF"/>
    <w:rsid w:val="004F36AE"/>
    <w:rsid w:val="004F39C0"/>
    <w:rsid w:val="004F3C95"/>
    <w:rsid w:val="004F4492"/>
    <w:rsid w:val="004F45B3"/>
    <w:rsid w:val="004F50D0"/>
    <w:rsid w:val="004F5188"/>
    <w:rsid w:val="004F5827"/>
    <w:rsid w:val="004F5A80"/>
    <w:rsid w:val="004F5B61"/>
    <w:rsid w:val="004F606D"/>
    <w:rsid w:val="004F66D1"/>
    <w:rsid w:val="004F6A6D"/>
    <w:rsid w:val="004F6C18"/>
    <w:rsid w:val="004F6C2D"/>
    <w:rsid w:val="004F6E2D"/>
    <w:rsid w:val="004F6E32"/>
    <w:rsid w:val="004F7461"/>
    <w:rsid w:val="0050020B"/>
    <w:rsid w:val="005002F3"/>
    <w:rsid w:val="00500548"/>
    <w:rsid w:val="005008EC"/>
    <w:rsid w:val="00500D4E"/>
    <w:rsid w:val="00500E47"/>
    <w:rsid w:val="00501493"/>
    <w:rsid w:val="0050191C"/>
    <w:rsid w:val="00502A4B"/>
    <w:rsid w:val="00502AE8"/>
    <w:rsid w:val="00502F64"/>
    <w:rsid w:val="005036D3"/>
    <w:rsid w:val="005039F1"/>
    <w:rsid w:val="00504773"/>
    <w:rsid w:val="00504C63"/>
    <w:rsid w:val="00505052"/>
    <w:rsid w:val="00505C75"/>
    <w:rsid w:val="00506745"/>
    <w:rsid w:val="0050693F"/>
    <w:rsid w:val="00506A55"/>
    <w:rsid w:val="00506A72"/>
    <w:rsid w:val="00506EAB"/>
    <w:rsid w:val="00506F43"/>
    <w:rsid w:val="00507446"/>
    <w:rsid w:val="00507849"/>
    <w:rsid w:val="00507E80"/>
    <w:rsid w:val="00510236"/>
    <w:rsid w:val="00510AF5"/>
    <w:rsid w:val="00510F70"/>
    <w:rsid w:val="00511047"/>
    <w:rsid w:val="005113F3"/>
    <w:rsid w:val="00511C56"/>
    <w:rsid w:val="00511FA9"/>
    <w:rsid w:val="005124C9"/>
    <w:rsid w:val="0051323D"/>
    <w:rsid w:val="00513BBF"/>
    <w:rsid w:val="00513CC1"/>
    <w:rsid w:val="005144DB"/>
    <w:rsid w:val="00514E87"/>
    <w:rsid w:val="00514F08"/>
    <w:rsid w:val="00515F7A"/>
    <w:rsid w:val="005168BE"/>
    <w:rsid w:val="00516AE1"/>
    <w:rsid w:val="00516C80"/>
    <w:rsid w:val="00516DA4"/>
    <w:rsid w:val="005172FD"/>
    <w:rsid w:val="00517540"/>
    <w:rsid w:val="00520DBC"/>
    <w:rsid w:val="00520F15"/>
    <w:rsid w:val="00520F24"/>
    <w:rsid w:val="00521296"/>
    <w:rsid w:val="00521583"/>
    <w:rsid w:val="00521B2F"/>
    <w:rsid w:val="00521C45"/>
    <w:rsid w:val="00522077"/>
    <w:rsid w:val="00522AC0"/>
    <w:rsid w:val="00522CD0"/>
    <w:rsid w:val="00523195"/>
    <w:rsid w:val="0052344E"/>
    <w:rsid w:val="0052376A"/>
    <w:rsid w:val="005237F3"/>
    <w:rsid w:val="00523CEB"/>
    <w:rsid w:val="00523EEF"/>
    <w:rsid w:val="00525843"/>
    <w:rsid w:val="00525864"/>
    <w:rsid w:val="00525B8C"/>
    <w:rsid w:val="00525F80"/>
    <w:rsid w:val="005260D2"/>
    <w:rsid w:val="00526108"/>
    <w:rsid w:val="00527971"/>
    <w:rsid w:val="00527B6F"/>
    <w:rsid w:val="00530440"/>
    <w:rsid w:val="00530800"/>
    <w:rsid w:val="00531B2B"/>
    <w:rsid w:val="00532CE3"/>
    <w:rsid w:val="005336FE"/>
    <w:rsid w:val="005338BD"/>
    <w:rsid w:val="005343BC"/>
    <w:rsid w:val="00534B00"/>
    <w:rsid w:val="005358FA"/>
    <w:rsid w:val="00535F07"/>
    <w:rsid w:val="00536625"/>
    <w:rsid w:val="00536A9E"/>
    <w:rsid w:val="00536B59"/>
    <w:rsid w:val="00536F35"/>
    <w:rsid w:val="0053732D"/>
    <w:rsid w:val="0053751E"/>
    <w:rsid w:val="005375D5"/>
    <w:rsid w:val="00537DC1"/>
    <w:rsid w:val="0054023C"/>
    <w:rsid w:val="005404B7"/>
    <w:rsid w:val="0054113D"/>
    <w:rsid w:val="00541756"/>
    <w:rsid w:val="005418F9"/>
    <w:rsid w:val="00542B4C"/>
    <w:rsid w:val="00542CA3"/>
    <w:rsid w:val="00542F2C"/>
    <w:rsid w:val="005432B2"/>
    <w:rsid w:val="00543709"/>
    <w:rsid w:val="005437B3"/>
    <w:rsid w:val="005439FE"/>
    <w:rsid w:val="005444D6"/>
    <w:rsid w:val="00544BE5"/>
    <w:rsid w:val="00545060"/>
    <w:rsid w:val="005453C9"/>
    <w:rsid w:val="00545400"/>
    <w:rsid w:val="0054571D"/>
    <w:rsid w:val="005459F7"/>
    <w:rsid w:val="00545BE6"/>
    <w:rsid w:val="00545E1F"/>
    <w:rsid w:val="0054637E"/>
    <w:rsid w:val="00546973"/>
    <w:rsid w:val="00546D10"/>
    <w:rsid w:val="00547043"/>
    <w:rsid w:val="00547348"/>
    <w:rsid w:val="005477C4"/>
    <w:rsid w:val="0054791E"/>
    <w:rsid w:val="00547D91"/>
    <w:rsid w:val="00547EA0"/>
    <w:rsid w:val="00550001"/>
    <w:rsid w:val="0055082D"/>
    <w:rsid w:val="00550893"/>
    <w:rsid w:val="00550986"/>
    <w:rsid w:val="00550DE1"/>
    <w:rsid w:val="00551129"/>
    <w:rsid w:val="00551135"/>
    <w:rsid w:val="00551296"/>
    <w:rsid w:val="005514FB"/>
    <w:rsid w:val="005515A8"/>
    <w:rsid w:val="00551983"/>
    <w:rsid w:val="0055208D"/>
    <w:rsid w:val="005526BE"/>
    <w:rsid w:val="00552D06"/>
    <w:rsid w:val="00553022"/>
    <w:rsid w:val="0055305D"/>
    <w:rsid w:val="00553082"/>
    <w:rsid w:val="00553350"/>
    <w:rsid w:val="005539F1"/>
    <w:rsid w:val="00553EF6"/>
    <w:rsid w:val="00554B2B"/>
    <w:rsid w:val="00554E70"/>
    <w:rsid w:val="0055598A"/>
    <w:rsid w:val="00555B2A"/>
    <w:rsid w:val="00555CEE"/>
    <w:rsid w:val="00555D4F"/>
    <w:rsid w:val="0055630A"/>
    <w:rsid w:val="00556535"/>
    <w:rsid w:val="00556842"/>
    <w:rsid w:val="00556D65"/>
    <w:rsid w:val="00557518"/>
    <w:rsid w:val="00557979"/>
    <w:rsid w:val="00557B37"/>
    <w:rsid w:val="00557CAA"/>
    <w:rsid w:val="00557D78"/>
    <w:rsid w:val="0056002D"/>
    <w:rsid w:val="005603BC"/>
    <w:rsid w:val="005604D9"/>
    <w:rsid w:val="00560FAC"/>
    <w:rsid w:val="0056107B"/>
    <w:rsid w:val="00561AFF"/>
    <w:rsid w:val="00562797"/>
    <w:rsid w:val="00563D9B"/>
    <w:rsid w:val="005641F8"/>
    <w:rsid w:val="00565C3B"/>
    <w:rsid w:val="00566C7E"/>
    <w:rsid w:val="0056719E"/>
    <w:rsid w:val="00567497"/>
    <w:rsid w:val="00567E44"/>
    <w:rsid w:val="005708CC"/>
    <w:rsid w:val="00570958"/>
    <w:rsid w:val="00570C56"/>
    <w:rsid w:val="00570ED5"/>
    <w:rsid w:val="00571056"/>
    <w:rsid w:val="00572F6F"/>
    <w:rsid w:val="005730DB"/>
    <w:rsid w:val="00573368"/>
    <w:rsid w:val="00574AD4"/>
    <w:rsid w:val="00574C42"/>
    <w:rsid w:val="0057565B"/>
    <w:rsid w:val="005756FC"/>
    <w:rsid w:val="00576244"/>
    <w:rsid w:val="005763B0"/>
    <w:rsid w:val="00576593"/>
    <w:rsid w:val="00576B3A"/>
    <w:rsid w:val="00576B63"/>
    <w:rsid w:val="005770C6"/>
    <w:rsid w:val="00580182"/>
    <w:rsid w:val="00580698"/>
    <w:rsid w:val="005812E7"/>
    <w:rsid w:val="0058140B"/>
    <w:rsid w:val="00582471"/>
    <w:rsid w:val="0058290B"/>
    <w:rsid w:val="005832B5"/>
    <w:rsid w:val="0058337B"/>
    <w:rsid w:val="005839BA"/>
    <w:rsid w:val="005846CF"/>
    <w:rsid w:val="00584BFC"/>
    <w:rsid w:val="005853FB"/>
    <w:rsid w:val="00585661"/>
    <w:rsid w:val="005857E4"/>
    <w:rsid w:val="005859CA"/>
    <w:rsid w:val="00585F75"/>
    <w:rsid w:val="00586878"/>
    <w:rsid w:val="00586E76"/>
    <w:rsid w:val="00587085"/>
    <w:rsid w:val="0058721F"/>
    <w:rsid w:val="00587453"/>
    <w:rsid w:val="0058759D"/>
    <w:rsid w:val="00587671"/>
    <w:rsid w:val="00587A4E"/>
    <w:rsid w:val="00587EBE"/>
    <w:rsid w:val="00590297"/>
    <w:rsid w:val="005902AE"/>
    <w:rsid w:val="005917E6"/>
    <w:rsid w:val="00591848"/>
    <w:rsid w:val="005922CA"/>
    <w:rsid w:val="005934A4"/>
    <w:rsid w:val="00593503"/>
    <w:rsid w:val="00593653"/>
    <w:rsid w:val="00593655"/>
    <w:rsid w:val="00593CF2"/>
    <w:rsid w:val="00593DE5"/>
    <w:rsid w:val="0059446D"/>
    <w:rsid w:val="00594A62"/>
    <w:rsid w:val="00594ABB"/>
    <w:rsid w:val="00594FF5"/>
    <w:rsid w:val="00595786"/>
    <w:rsid w:val="00595956"/>
    <w:rsid w:val="00595C88"/>
    <w:rsid w:val="00595D93"/>
    <w:rsid w:val="00595ECD"/>
    <w:rsid w:val="00596745"/>
    <w:rsid w:val="005968A9"/>
    <w:rsid w:val="0059694F"/>
    <w:rsid w:val="00596FB9"/>
    <w:rsid w:val="00597359"/>
    <w:rsid w:val="005A0671"/>
    <w:rsid w:val="005A0F9E"/>
    <w:rsid w:val="005A129A"/>
    <w:rsid w:val="005A177A"/>
    <w:rsid w:val="005A27D9"/>
    <w:rsid w:val="005A3336"/>
    <w:rsid w:val="005A33E0"/>
    <w:rsid w:val="005A383A"/>
    <w:rsid w:val="005A3B75"/>
    <w:rsid w:val="005A46FC"/>
    <w:rsid w:val="005A4A30"/>
    <w:rsid w:val="005A4B2C"/>
    <w:rsid w:val="005A4E64"/>
    <w:rsid w:val="005A51F2"/>
    <w:rsid w:val="005A553D"/>
    <w:rsid w:val="005A5970"/>
    <w:rsid w:val="005A5BE0"/>
    <w:rsid w:val="005A6290"/>
    <w:rsid w:val="005A6334"/>
    <w:rsid w:val="005A779F"/>
    <w:rsid w:val="005A78F8"/>
    <w:rsid w:val="005B077F"/>
    <w:rsid w:val="005B0860"/>
    <w:rsid w:val="005B0865"/>
    <w:rsid w:val="005B0A0C"/>
    <w:rsid w:val="005B0C27"/>
    <w:rsid w:val="005B1945"/>
    <w:rsid w:val="005B1AA5"/>
    <w:rsid w:val="005B1B44"/>
    <w:rsid w:val="005B1C7D"/>
    <w:rsid w:val="005B1E98"/>
    <w:rsid w:val="005B325A"/>
    <w:rsid w:val="005B329A"/>
    <w:rsid w:val="005B3F6E"/>
    <w:rsid w:val="005B4054"/>
    <w:rsid w:val="005B44F6"/>
    <w:rsid w:val="005B4EA2"/>
    <w:rsid w:val="005B4F90"/>
    <w:rsid w:val="005B5860"/>
    <w:rsid w:val="005B5B67"/>
    <w:rsid w:val="005B5C46"/>
    <w:rsid w:val="005B609C"/>
    <w:rsid w:val="005B6287"/>
    <w:rsid w:val="005B6386"/>
    <w:rsid w:val="005B65A5"/>
    <w:rsid w:val="005B6870"/>
    <w:rsid w:val="005B689C"/>
    <w:rsid w:val="005B6B70"/>
    <w:rsid w:val="005B6E09"/>
    <w:rsid w:val="005B74F3"/>
    <w:rsid w:val="005B79E5"/>
    <w:rsid w:val="005C045C"/>
    <w:rsid w:val="005C0F7C"/>
    <w:rsid w:val="005C10D8"/>
    <w:rsid w:val="005C1461"/>
    <w:rsid w:val="005C22CE"/>
    <w:rsid w:val="005C2684"/>
    <w:rsid w:val="005C2688"/>
    <w:rsid w:val="005C289E"/>
    <w:rsid w:val="005C2C1D"/>
    <w:rsid w:val="005C2D58"/>
    <w:rsid w:val="005C3542"/>
    <w:rsid w:val="005C422A"/>
    <w:rsid w:val="005C4492"/>
    <w:rsid w:val="005C4716"/>
    <w:rsid w:val="005C4912"/>
    <w:rsid w:val="005C4BE6"/>
    <w:rsid w:val="005C4E5F"/>
    <w:rsid w:val="005C577B"/>
    <w:rsid w:val="005C5C94"/>
    <w:rsid w:val="005C658B"/>
    <w:rsid w:val="005D0034"/>
    <w:rsid w:val="005D0464"/>
    <w:rsid w:val="005D0DF1"/>
    <w:rsid w:val="005D0FBC"/>
    <w:rsid w:val="005D1B8F"/>
    <w:rsid w:val="005D29DA"/>
    <w:rsid w:val="005D2CE7"/>
    <w:rsid w:val="005D2E2D"/>
    <w:rsid w:val="005D2F7D"/>
    <w:rsid w:val="005D3007"/>
    <w:rsid w:val="005D3A42"/>
    <w:rsid w:val="005D3B65"/>
    <w:rsid w:val="005D3EEA"/>
    <w:rsid w:val="005D4057"/>
    <w:rsid w:val="005D469F"/>
    <w:rsid w:val="005D4946"/>
    <w:rsid w:val="005D49C8"/>
    <w:rsid w:val="005D4A03"/>
    <w:rsid w:val="005D4E4E"/>
    <w:rsid w:val="005D5165"/>
    <w:rsid w:val="005D5CE6"/>
    <w:rsid w:val="005D657F"/>
    <w:rsid w:val="005D694E"/>
    <w:rsid w:val="005D69AB"/>
    <w:rsid w:val="005D6B06"/>
    <w:rsid w:val="005D6C1B"/>
    <w:rsid w:val="005D7144"/>
    <w:rsid w:val="005D7462"/>
    <w:rsid w:val="005D751E"/>
    <w:rsid w:val="005D7D89"/>
    <w:rsid w:val="005D7FC5"/>
    <w:rsid w:val="005E038C"/>
    <w:rsid w:val="005E0B7C"/>
    <w:rsid w:val="005E0E3D"/>
    <w:rsid w:val="005E16DE"/>
    <w:rsid w:val="005E1C85"/>
    <w:rsid w:val="005E1FDF"/>
    <w:rsid w:val="005E2271"/>
    <w:rsid w:val="005E2DFB"/>
    <w:rsid w:val="005E3265"/>
    <w:rsid w:val="005E3300"/>
    <w:rsid w:val="005E3667"/>
    <w:rsid w:val="005E38B6"/>
    <w:rsid w:val="005E3D05"/>
    <w:rsid w:val="005E432B"/>
    <w:rsid w:val="005E447C"/>
    <w:rsid w:val="005E475B"/>
    <w:rsid w:val="005E50E3"/>
    <w:rsid w:val="005E5795"/>
    <w:rsid w:val="005E57D3"/>
    <w:rsid w:val="005E5AE5"/>
    <w:rsid w:val="005E608F"/>
    <w:rsid w:val="005E62B0"/>
    <w:rsid w:val="005E6D8D"/>
    <w:rsid w:val="005E70E4"/>
    <w:rsid w:val="005E76E9"/>
    <w:rsid w:val="005E76EA"/>
    <w:rsid w:val="005E777D"/>
    <w:rsid w:val="005E7F7F"/>
    <w:rsid w:val="005F0438"/>
    <w:rsid w:val="005F07C4"/>
    <w:rsid w:val="005F085A"/>
    <w:rsid w:val="005F086D"/>
    <w:rsid w:val="005F0A3E"/>
    <w:rsid w:val="005F0A3F"/>
    <w:rsid w:val="005F0C81"/>
    <w:rsid w:val="005F0DC1"/>
    <w:rsid w:val="005F10DB"/>
    <w:rsid w:val="005F116D"/>
    <w:rsid w:val="005F1530"/>
    <w:rsid w:val="005F1A20"/>
    <w:rsid w:val="005F1B03"/>
    <w:rsid w:val="005F391F"/>
    <w:rsid w:val="005F4561"/>
    <w:rsid w:val="005F4B62"/>
    <w:rsid w:val="005F4BAE"/>
    <w:rsid w:val="005F4D7E"/>
    <w:rsid w:val="005F51A2"/>
    <w:rsid w:val="005F5402"/>
    <w:rsid w:val="005F5604"/>
    <w:rsid w:val="005F58D6"/>
    <w:rsid w:val="005F5A1B"/>
    <w:rsid w:val="005F5C4D"/>
    <w:rsid w:val="005F5DC4"/>
    <w:rsid w:val="005F6523"/>
    <w:rsid w:val="005F6EDE"/>
    <w:rsid w:val="005F734B"/>
    <w:rsid w:val="005F77A3"/>
    <w:rsid w:val="005F7FC5"/>
    <w:rsid w:val="00600B55"/>
    <w:rsid w:val="00600EA6"/>
    <w:rsid w:val="0060173A"/>
    <w:rsid w:val="00601807"/>
    <w:rsid w:val="006020E7"/>
    <w:rsid w:val="006028FC"/>
    <w:rsid w:val="006028FD"/>
    <w:rsid w:val="00602996"/>
    <w:rsid w:val="00602E81"/>
    <w:rsid w:val="00603706"/>
    <w:rsid w:val="006037A8"/>
    <w:rsid w:val="00603AAA"/>
    <w:rsid w:val="00603C92"/>
    <w:rsid w:val="00603D69"/>
    <w:rsid w:val="00603DA0"/>
    <w:rsid w:val="006042FA"/>
    <w:rsid w:val="0060450B"/>
    <w:rsid w:val="0060491C"/>
    <w:rsid w:val="0060493B"/>
    <w:rsid w:val="006051FA"/>
    <w:rsid w:val="0060533A"/>
    <w:rsid w:val="006067AB"/>
    <w:rsid w:val="00606C2A"/>
    <w:rsid w:val="00606D70"/>
    <w:rsid w:val="00607350"/>
    <w:rsid w:val="00607FFE"/>
    <w:rsid w:val="0061030D"/>
    <w:rsid w:val="00610417"/>
    <w:rsid w:val="0061094A"/>
    <w:rsid w:val="00610A54"/>
    <w:rsid w:val="00610F45"/>
    <w:rsid w:val="00610F8F"/>
    <w:rsid w:val="006111D2"/>
    <w:rsid w:val="00611984"/>
    <w:rsid w:val="00611F71"/>
    <w:rsid w:val="00612AFE"/>
    <w:rsid w:val="0061330D"/>
    <w:rsid w:val="00613BDC"/>
    <w:rsid w:val="006142AD"/>
    <w:rsid w:val="006144F9"/>
    <w:rsid w:val="00614550"/>
    <w:rsid w:val="00614C14"/>
    <w:rsid w:val="006150E6"/>
    <w:rsid w:val="00616991"/>
    <w:rsid w:val="00616DE0"/>
    <w:rsid w:val="006170F0"/>
    <w:rsid w:val="00617454"/>
    <w:rsid w:val="006203D3"/>
    <w:rsid w:val="0062096D"/>
    <w:rsid w:val="0062111A"/>
    <w:rsid w:val="006212A2"/>
    <w:rsid w:val="00621661"/>
    <w:rsid w:val="00621C9C"/>
    <w:rsid w:val="006223CC"/>
    <w:rsid w:val="00622610"/>
    <w:rsid w:val="0062296B"/>
    <w:rsid w:val="00623013"/>
    <w:rsid w:val="00623100"/>
    <w:rsid w:val="00623886"/>
    <w:rsid w:val="00623C21"/>
    <w:rsid w:val="006247B9"/>
    <w:rsid w:val="00624972"/>
    <w:rsid w:val="006250D6"/>
    <w:rsid w:val="0062561A"/>
    <w:rsid w:val="0062579F"/>
    <w:rsid w:val="006257D1"/>
    <w:rsid w:val="00625994"/>
    <w:rsid w:val="00625C2D"/>
    <w:rsid w:val="00625CA4"/>
    <w:rsid w:val="00626D2F"/>
    <w:rsid w:val="00627046"/>
    <w:rsid w:val="006275F4"/>
    <w:rsid w:val="006277E2"/>
    <w:rsid w:val="00627CA8"/>
    <w:rsid w:val="00627E1A"/>
    <w:rsid w:val="00630271"/>
    <w:rsid w:val="00630369"/>
    <w:rsid w:val="0063062D"/>
    <w:rsid w:val="00630D40"/>
    <w:rsid w:val="0063179E"/>
    <w:rsid w:val="006317EE"/>
    <w:rsid w:val="00632575"/>
    <w:rsid w:val="00632C1A"/>
    <w:rsid w:val="00632D2F"/>
    <w:rsid w:val="00632D3D"/>
    <w:rsid w:val="00632DD5"/>
    <w:rsid w:val="00633172"/>
    <w:rsid w:val="00633327"/>
    <w:rsid w:val="006336F6"/>
    <w:rsid w:val="006337E4"/>
    <w:rsid w:val="0063393B"/>
    <w:rsid w:val="00633945"/>
    <w:rsid w:val="00633B33"/>
    <w:rsid w:val="006345C3"/>
    <w:rsid w:val="006346A3"/>
    <w:rsid w:val="0063480C"/>
    <w:rsid w:val="00634D0C"/>
    <w:rsid w:val="00634ED0"/>
    <w:rsid w:val="00634FE8"/>
    <w:rsid w:val="00635753"/>
    <w:rsid w:val="0063622F"/>
    <w:rsid w:val="006366FE"/>
    <w:rsid w:val="00636749"/>
    <w:rsid w:val="0063685A"/>
    <w:rsid w:val="0063696D"/>
    <w:rsid w:val="00636F07"/>
    <w:rsid w:val="00637002"/>
    <w:rsid w:val="006378EF"/>
    <w:rsid w:val="0064051A"/>
    <w:rsid w:val="006407B4"/>
    <w:rsid w:val="00640D4E"/>
    <w:rsid w:val="006414A8"/>
    <w:rsid w:val="006414FF"/>
    <w:rsid w:val="006416F3"/>
    <w:rsid w:val="00641752"/>
    <w:rsid w:val="00641DA0"/>
    <w:rsid w:val="00641E99"/>
    <w:rsid w:val="006420EA"/>
    <w:rsid w:val="006421BA"/>
    <w:rsid w:val="006421D4"/>
    <w:rsid w:val="00642288"/>
    <w:rsid w:val="00642533"/>
    <w:rsid w:val="00643EFF"/>
    <w:rsid w:val="00644DC5"/>
    <w:rsid w:val="00644F89"/>
    <w:rsid w:val="006457BF"/>
    <w:rsid w:val="006458C3"/>
    <w:rsid w:val="00645F0D"/>
    <w:rsid w:val="0064756D"/>
    <w:rsid w:val="00647714"/>
    <w:rsid w:val="0064782C"/>
    <w:rsid w:val="00647B83"/>
    <w:rsid w:val="00647F04"/>
    <w:rsid w:val="0065094D"/>
    <w:rsid w:val="00650A4E"/>
    <w:rsid w:val="00650B65"/>
    <w:rsid w:val="00650DDE"/>
    <w:rsid w:val="00651039"/>
    <w:rsid w:val="0065104A"/>
    <w:rsid w:val="006515D7"/>
    <w:rsid w:val="00651A4C"/>
    <w:rsid w:val="006521C7"/>
    <w:rsid w:val="0065220F"/>
    <w:rsid w:val="006525C9"/>
    <w:rsid w:val="006526AD"/>
    <w:rsid w:val="0065349D"/>
    <w:rsid w:val="006540F9"/>
    <w:rsid w:val="00654128"/>
    <w:rsid w:val="006542A1"/>
    <w:rsid w:val="006543ED"/>
    <w:rsid w:val="006544D9"/>
    <w:rsid w:val="006548E3"/>
    <w:rsid w:val="00654B38"/>
    <w:rsid w:val="00655280"/>
    <w:rsid w:val="00655E5F"/>
    <w:rsid w:val="00656A63"/>
    <w:rsid w:val="006571F4"/>
    <w:rsid w:val="006575F7"/>
    <w:rsid w:val="00657B11"/>
    <w:rsid w:val="00657D25"/>
    <w:rsid w:val="00657E65"/>
    <w:rsid w:val="006600DF"/>
    <w:rsid w:val="006601D7"/>
    <w:rsid w:val="00660497"/>
    <w:rsid w:val="00660ABC"/>
    <w:rsid w:val="00660EA3"/>
    <w:rsid w:val="00661D53"/>
    <w:rsid w:val="00661F5D"/>
    <w:rsid w:val="006627D2"/>
    <w:rsid w:val="00662AF4"/>
    <w:rsid w:val="00663069"/>
    <w:rsid w:val="006635BD"/>
    <w:rsid w:val="00664117"/>
    <w:rsid w:val="006642FA"/>
    <w:rsid w:val="00664449"/>
    <w:rsid w:val="00664E8A"/>
    <w:rsid w:val="00665500"/>
    <w:rsid w:val="0066581A"/>
    <w:rsid w:val="0066592A"/>
    <w:rsid w:val="00665E9F"/>
    <w:rsid w:val="006663A0"/>
    <w:rsid w:val="00666729"/>
    <w:rsid w:val="00666861"/>
    <w:rsid w:val="00666AC1"/>
    <w:rsid w:val="00666D1D"/>
    <w:rsid w:val="0066740C"/>
    <w:rsid w:val="0066747A"/>
    <w:rsid w:val="00667BE1"/>
    <w:rsid w:val="006704CF"/>
    <w:rsid w:val="006706BD"/>
    <w:rsid w:val="00670C38"/>
    <w:rsid w:val="00671107"/>
    <w:rsid w:val="00671B7E"/>
    <w:rsid w:val="00672059"/>
    <w:rsid w:val="00672339"/>
    <w:rsid w:val="00672666"/>
    <w:rsid w:val="00672811"/>
    <w:rsid w:val="00672843"/>
    <w:rsid w:val="006728F0"/>
    <w:rsid w:val="00672D41"/>
    <w:rsid w:val="00672DE4"/>
    <w:rsid w:val="00673A87"/>
    <w:rsid w:val="00673AD9"/>
    <w:rsid w:val="00675391"/>
    <w:rsid w:val="0067545D"/>
    <w:rsid w:val="00675644"/>
    <w:rsid w:val="006758F5"/>
    <w:rsid w:val="00675D83"/>
    <w:rsid w:val="00675D95"/>
    <w:rsid w:val="00675EDE"/>
    <w:rsid w:val="006763CA"/>
    <w:rsid w:val="006764FF"/>
    <w:rsid w:val="00676788"/>
    <w:rsid w:val="006767FE"/>
    <w:rsid w:val="00676FEE"/>
    <w:rsid w:val="006771B5"/>
    <w:rsid w:val="00677856"/>
    <w:rsid w:val="00677DE0"/>
    <w:rsid w:val="00680C27"/>
    <w:rsid w:val="00680FAB"/>
    <w:rsid w:val="006816F2"/>
    <w:rsid w:val="00681952"/>
    <w:rsid w:val="00681CD6"/>
    <w:rsid w:val="00681D62"/>
    <w:rsid w:val="00681E17"/>
    <w:rsid w:val="0068260C"/>
    <w:rsid w:val="00682B47"/>
    <w:rsid w:val="00682B86"/>
    <w:rsid w:val="00682BED"/>
    <w:rsid w:val="00682DF6"/>
    <w:rsid w:val="00682FD5"/>
    <w:rsid w:val="0068339E"/>
    <w:rsid w:val="006835AE"/>
    <w:rsid w:val="006836D5"/>
    <w:rsid w:val="00684023"/>
    <w:rsid w:val="00684541"/>
    <w:rsid w:val="0068487E"/>
    <w:rsid w:val="00684D31"/>
    <w:rsid w:val="00684E65"/>
    <w:rsid w:val="00684F02"/>
    <w:rsid w:val="0068506F"/>
    <w:rsid w:val="006856BD"/>
    <w:rsid w:val="006859B5"/>
    <w:rsid w:val="00685A4C"/>
    <w:rsid w:val="00685D34"/>
    <w:rsid w:val="00685EAD"/>
    <w:rsid w:val="006861E8"/>
    <w:rsid w:val="0068633C"/>
    <w:rsid w:val="006863EA"/>
    <w:rsid w:val="0068652B"/>
    <w:rsid w:val="00686A99"/>
    <w:rsid w:val="00686CD3"/>
    <w:rsid w:val="00687638"/>
    <w:rsid w:val="0068785A"/>
    <w:rsid w:val="00687B77"/>
    <w:rsid w:val="006907D8"/>
    <w:rsid w:val="0069094A"/>
    <w:rsid w:val="00690F8C"/>
    <w:rsid w:val="006918F5"/>
    <w:rsid w:val="00692180"/>
    <w:rsid w:val="00692274"/>
    <w:rsid w:val="0069257A"/>
    <w:rsid w:val="006927D1"/>
    <w:rsid w:val="00692A1C"/>
    <w:rsid w:val="00692A5E"/>
    <w:rsid w:val="00692BA6"/>
    <w:rsid w:val="00692FD4"/>
    <w:rsid w:val="006930D3"/>
    <w:rsid w:val="00693F46"/>
    <w:rsid w:val="00693FC2"/>
    <w:rsid w:val="0069423F"/>
    <w:rsid w:val="006945BF"/>
    <w:rsid w:val="00695983"/>
    <w:rsid w:val="00695A56"/>
    <w:rsid w:val="00695C21"/>
    <w:rsid w:val="006965BF"/>
    <w:rsid w:val="006975BE"/>
    <w:rsid w:val="0069760C"/>
    <w:rsid w:val="00697655"/>
    <w:rsid w:val="00697A9A"/>
    <w:rsid w:val="00697C62"/>
    <w:rsid w:val="00697DF2"/>
    <w:rsid w:val="00697F96"/>
    <w:rsid w:val="00697FD7"/>
    <w:rsid w:val="006A03E0"/>
    <w:rsid w:val="006A04F5"/>
    <w:rsid w:val="006A0AC4"/>
    <w:rsid w:val="006A0B0B"/>
    <w:rsid w:val="006A0B7E"/>
    <w:rsid w:val="006A1079"/>
    <w:rsid w:val="006A1AC8"/>
    <w:rsid w:val="006A22C6"/>
    <w:rsid w:val="006A2CD3"/>
    <w:rsid w:val="006A338A"/>
    <w:rsid w:val="006A3791"/>
    <w:rsid w:val="006A45A7"/>
    <w:rsid w:val="006A49FF"/>
    <w:rsid w:val="006A4D7C"/>
    <w:rsid w:val="006A5420"/>
    <w:rsid w:val="006A5774"/>
    <w:rsid w:val="006A58E8"/>
    <w:rsid w:val="006A599E"/>
    <w:rsid w:val="006A59CE"/>
    <w:rsid w:val="006A5AB5"/>
    <w:rsid w:val="006A5C64"/>
    <w:rsid w:val="006A5D68"/>
    <w:rsid w:val="006A60AD"/>
    <w:rsid w:val="006A64FF"/>
    <w:rsid w:val="006A7562"/>
    <w:rsid w:val="006B0224"/>
    <w:rsid w:val="006B0457"/>
    <w:rsid w:val="006B1D01"/>
    <w:rsid w:val="006B246B"/>
    <w:rsid w:val="006B2F9C"/>
    <w:rsid w:val="006B3F9B"/>
    <w:rsid w:val="006B4091"/>
    <w:rsid w:val="006B44FD"/>
    <w:rsid w:val="006B4C72"/>
    <w:rsid w:val="006B6B9F"/>
    <w:rsid w:val="006B70DD"/>
    <w:rsid w:val="006B734B"/>
    <w:rsid w:val="006B739D"/>
    <w:rsid w:val="006B74C1"/>
    <w:rsid w:val="006B7AEF"/>
    <w:rsid w:val="006B7DBB"/>
    <w:rsid w:val="006B7E03"/>
    <w:rsid w:val="006C051A"/>
    <w:rsid w:val="006C0949"/>
    <w:rsid w:val="006C198E"/>
    <w:rsid w:val="006C1F3C"/>
    <w:rsid w:val="006C2699"/>
    <w:rsid w:val="006C290D"/>
    <w:rsid w:val="006C2A13"/>
    <w:rsid w:val="006C2FE0"/>
    <w:rsid w:val="006C3618"/>
    <w:rsid w:val="006C4D07"/>
    <w:rsid w:val="006C4F7C"/>
    <w:rsid w:val="006C5675"/>
    <w:rsid w:val="006C5CA3"/>
    <w:rsid w:val="006C65DF"/>
    <w:rsid w:val="006C6860"/>
    <w:rsid w:val="006C6B2B"/>
    <w:rsid w:val="006C6C71"/>
    <w:rsid w:val="006C70BC"/>
    <w:rsid w:val="006C7BF7"/>
    <w:rsid w:val="006D00F5"/>
    <w:rsid w:val="006D021F"/>
    <w:rsid w:val="006D04E7"/>
    <w:rsid w:val="006D09F0"/>
    <w:rsid w:val="006D0D9A"/>
    <w:rsid w:val="006D0E10"/>
    <w:rsid w:val="006D1085"/>
    <w:rsid w:val="006D155D"/>
    <w:rsid w:val="006D1997"/>
    <w:rsid w:val="006D1CA1"/>
    <w:rsid w:val="006D1FEF"/>
    <w:rsid w:val="006D2155"/>
    <w:rsid w:val="006D238D"/>
    <w:rsid w:val="006D26DC"/>
    <w:rsid w:val="006D2818"/>
    <w:rsid w:val="006D2AA9"/>
    <w:rsid w:val="006D400F"/>
    <w:rsid w:val="006D4922"/>
    <w:rsid w:val="006D4D9A"/>
    <w:rsid w:val="006D4EB5"/>
    <w:rsid w:val="006D5034"/>
    <w:rsid w:val="006D54CD"/>
    <w:rsid w:val="006D562F"/>
    <w:rsid w:val="006D5A95"/>
    <w:rsid w:val="006D5B54"/>
    <w:rsid w:val="006D5DE1"/>
    <w:rsid w:val="006D6660"/>
    <w:rsid w:val="006D66C7"/>
    <w:rsid w:val="006D6EBE"/>
    <w:rsid w:val="006D7866"/>
    <w:rsid w:val="006E03B4"/>
    <w:rsid w:val="006E0772"/>
    <w:rsid w:val="006E0E3A"/>
    <w:rsid w:val="006E1315"/>
    <w:rsid w:val="006E1A1E"/>
    <w:rsid w:val="006E1B7C"/>
    <w:rsid w:val="006E2214"/>
    <w:rsid w:val="006E251B"/>
    <w:rsid w:val="006E292E"/>
    <w:rsid w:val="006E2A2C"/>
    <w:rsid w:val="006E3360"/>
    <w:rsid w:val="006E3927"/>
    <w:rsid w:val="006E39E3"/>
    <w:rsid w:val="006E3CBF"/>
    <w:rsid w:val="006E4AFD"/>
    <w:rsid w:val="006E52D8"/>
    <w:rsid w:val="006E598C"/>
    <w:rsid w:val="006E5BA3"/>
    <w:rsid w:val="006E5DD8"/>
    <w:rsid w:val="006E68D4"/>
    <w:rsid w:val="006E6E50"/>
    <w:rsid w:val="006E6FC8"/>
    <w:rsid w:val="006E7454"/>
    <w:rsid w:val="006E7827"/>
    <w:rsid w:val="006E782C"/>
    <w:rsid w:val="006F018F"/>
    <w:rsid w:val="006F02E2"/>
    <w:rsid w:val="006F0537"/>
    <w:rsid w:val="006F0582"/>
    <w:rsid w:val="006F0AFE"/>
    <w:rsid w:val="006F0BFA"/>
    <w:rsid w:val="006F0FA1"/>
    <w:rsid w:val="006F1536"/>
    <w:rsid w:val="006F28EB"/>
    <w:rsid w:val="006F2EA4"/>
    <w:rsid w:val="006F3425"/>
    <w:rsid w:val="006F3806"/>
    <w:rsid w:val="006F3C37"/>
    <w:rsid w:val="006F3DAA"/>
    <w:rsid w:val="006F45D7"/>
    <w:rsid w:val="006F4BD2"/>
    <w:rsid w:val="006F4C8C"/>
    <w:rsid w:val="006F4EDA"/>
    <w:rsid w:val="006F5C36"/>
    <w:rsid w:val="006F6A21"/>
    <w:rsid w:val="006F6F3F"/>
    <w:rsid w:val="006F7CD4"/>
    <w:rsid w:val="006F7D98"/>
    <w:rsid w:val="0070026A"/>
    <w:rsid w:val="00700604"/>
    <w:rsid w:val="00700833"/>
    <w:rsid w:val="00700CF5"/>
    <w:rsid w:val="0070119D"/>
    <w:rsid w:val="00701534"/>
    <w:rsid w:val="00701913"/>
    <w:rsid w:val="00701E01"/>
    <w:rsid w:val="0070216B"/>
    <w:rsid w:val="00702EC6"/>
    <w:rsid w:val="00703590"/>
    <w:rsid w:val="007035A7"/>
    <w:rsid w:val="00703E8E"/>
    <w:rsid w:val="00704483"/>
    <w:rsid w:val="00704B04"/>
    <w:rsid w:val="00704C28"/>
    <w:rsid w:val="00704D4B"/>
    <w:rsid w:val="007050CB"/>
    <w:rsid w:val="00705303"/>
    <w:rsid w:val="007054A7"/>
    <w:rsid w:val="00705A71"/>
    <w:rsid w:val="00705C21"/>
    <w:rsid w:val="00706E3D"/>
    <w:rsid w:val="00706E58"/>
    <w:rsid w:val="007077F9"/>
    <w:rsid w:val="00707F0B"/>
    <w:rsid w:val="0071024C"/>
    <w:rsid w:val="00710460"/>
    <w:rsid w:val="00710748"/>
    <w:rsid w:val="007108DE"/>
    <w:rsid w:val="00710906"/>
    <w:rsid w:val="00710B3E"/>
    <w:rsid w:val="00710F95"/>
    <w:rsid w:val="007110E0"/>
    <w:rsid w:val="007117F9"/>
    <w:rsid w:val="00711AB3"/>
    <w:rsid w:val="00711B61"/>
    <w:rsid w:val="00711E60"/>
    <w:rsid w:val="00712363"/>
    <w:rsid w:val="007123A6"/>
    <w:rsid w:val="007127DA"/>
    <w:rsid w:val="00712A62"/>
    <w:rsid w:val="00713757"/>
    <w:rsid w:val="00713965"/>
    <w:rsid w:val="00713DD2"/>
    <w:rsid w:val="00713FFA"/>
    <w:rsid w:val="00714376"/>
    <w:rsid w:val="00714852"/>
    <w:rsid w:val="007159C7"/>
    <w:rsid w:val="00716402"/>
    <w:rsid w:val="0071666F"/>
    <w:rsid w:val="007167A1"/>
    <w:rsid w:val="00716877"/>
    <w:rsid w:val="00716CAC"/>
    <w:rsid w:val="0071763B"/>
    <w:rsid w:val="00717A1F"/>
    <w:rsid w:val="0072059B"/>
    <w:rsid w:val="007208F7"/>
    <w:rsid w:val="007209F0"/>
    <w:rsid w:val="00721933"/>
    <w:rsid w:val="007226B4"/>
    <w:rsid w:val="00723825"/>
    <w:rsid w:val="00723D68"/>
    <w:rsid w:val="0072464C"/>
    <w:rsid w:val="00724BEA"/>
    <w:rsid w:val="00724D65"/>
    <w:rsid w:val="007255D8"/>
    <w:rsid w:val="0072593A"/>
    <w:rsid w:val="00725FF0"/>
    <w:rsid w:val="007264F6"/>
    <w:rsid w:val="00726762"/>
    <w:rsid w:val="00726F54"/>
    <w:rsid w:val="007271A4"/>
    <w:rsid w:val="00727655"/>
    <w:rsid w:val="007276B9"/>
    <w:rsid w:val="00727837"/>
    <w:rsid w:val="00727C2B"/>
    <w:rsid w:val="00730373"/>
    <w:rsid w:val="007305F3"/>
    <w:rsid w:val="00730BE6"/>
    <w:rsid w:val="00730CD3"/>
    <w:rsid w:val="00732237"/>
    <w:rsid w:val="00732254"/>
    <w:rsid w:val="00732417"/>
    <w:rsid w:val="007324A2"/>
    <w:rsid w:val="007328F6"/>
    <w:rsid w:val="00732FD8"/>
    <w:rsid w:val="00733110"/>
    <w:rsid w:val="007338E1"/>
    <w:rsid w:val="007342F7"/>
    <w:rsid w:val="00734FFB"/>
    <w:rsid w:val="00735536"/>
    <w:rsid w:val="00735EA1"/>
    <w:rsid w:val="00736A29"/>
    <w:rsid w:val="00736C0C"/>
    <w:rsid w:val="00736E03"/>
    <w:rsid w:val="00736F98"/>
    <w:rsid w:val="00737012"/>
    <w:rsid w:val="007371E4"/>
    <w:rsid w:val="00737214"/>
    <w:rsid w:val="007372AA"/>
    <w:rsid w:val="0073748A"/>
    <w:rsid w:val="007378BF"/>
    <w:rsid w:val="00737AEA"/>
    <w:rsid w:val="00737E34"/>
    <w:rsid w:val="00737F2A"/>
    <w:rsid w:val="0074019B"/>
    <w:rsid w:val="00740236"/>
    <w:rsid w:val="00740F31"/>
    <w:rsid w:val="0074127E"/>
    <w:rsid w:val="007417D7"/>
    <w:rsid w:val="00741B27"/>
    <w:rsid w:val="007424D2"/>
    <w:rsid w:val="00742B0B"/>
    <w:rsid w:val="00742BE5"/>
    <w:rsid w:val="00742CFC"/>
    <w:rsid w:val="00742E96"/>
    <w:rsid w:val="00743382"/>
    <w:rsid w:val="0074422A"/>
    <w:rsid w:val="007446C3"/>
    <w:rsid w:val="00744951"/>
    <w:rsid w:val="00744952"/>
    <w:rsid w:val="007456E8"/>
    <w:rsid w:val="0074595D"/>
    <w:rsid w:val="00745C16"/>
    <w:rsid w:val="00745DD1"/>
    <w:rsid w:val="00745EF4"/>
    <w:rsid w:val="007464BD"/>
    <w:rsid w:val="0074671F"/>
    <w:rsid w:val="00746905"/>
    <w:rsid w:val="007471A7"/>
    <w:rsid w:val="007472AA"/>
    <w:rsid w:val="0074730E"/>
    <w:rsid w:val="00747332"/>
    <w:rsid w:val="00747476"/>
    <w:rsid w:val="0074760F"/>
    <w:rsid w:val="00747D1F"/>
    <w:rsid w:val="0075012F"/>
    <w:rsid w:val="007505D9"/>
    <w:rsid w:val="007506C3"/>
    <w:rsid w:val="007508DA"/>
    <w:rsid w:val="00751713"/>
    <w:rsid w:val="00751E1F"/>
    <w:rsid w:val="007521B9"/>
    <w:rsid w:val="007521F2"/>
    <w:rsid w:val="00752794"/>
    <w:rsid w:val="00752C4C"/>
    <w:rsid w:val="007530D1"/>
    <w:rsid w:val="00753CA1"/>
    <w:rsid w:val="007547BF"/>
    <w:rsid w:val="00754994"/>
    <w:rsid w:val="00754C12"/>
    <w:rsid w:val="00754F19"/>
    <w:rsid w:val="00755152"/>
    <w:rsid w:val="0075569A"/>
    <w:rsid w:val="0075571A"/>
    <w:rsid w:val="00755ED2"/>
    <w:rsid w:val="007562A6"/>
    <w:rsid w:val="0075664F"/>
    <w:rsid w:val="007567C1"/>
    <w:rsid w:val="00756CB5"/>
    <w:rsid w:val="00757333"/>
    <w:rsid w:val="00757517"/>
    <w:rsid w:val="007575E9"/>
    <w:rsid w:val="007577D2"/>
    <w:rsid w:val="007578C3"/>
    <w:rsid w:val="00757C2E"/>
    <w:rsid w:val="00760E2A"/>
    <w:rsid w:val="007611BB"/>
    <w:rsid w:val="007615FC"/>
    <w:rsid w:val="00761DC8"/>
    <w:rsid w:val="00761DDD"/>
    <w:rsid w:val="00762D1C"/>
    <w:rsid w:val="0076364F"/>
    <w:rsid w:val="00763D4B"/>
    <w:rsid w:val="007647C8"/>
    <w:rsid w:val="00764E19"/>
    <w:rsid w:val="007657B2"/>
    <w:rsid w:val="00765807"/>
    <w:rsid w:val="00765C33"/>
    <w:rsid w:val="00765F9E"/>
    <w:rsid w:val="0076686F"/>
    <w:rsid w:val="00767803"/>
    <w:rsid w:val="00767A36"/>
    <w:rsid w:val="00767CA6"/>
    <w:rsid w:val="007701F5"/>
    <w:rsid w:val="0077167D"/>
    <w:rsid w:val="00771DCD"/>
    <w:rsid w:val="007721DE"/>
    <w:rsid w:val="007726D4"/>
    <w:rsid w:val="00772B22"/>
    <w:rsid w:val="00772B26"/>
    <w:rsid w:val="007737EF"/>
    <w:rsid w:val="00773C3D"/>
    <w:rsid w:val="00773DDA"/>
    <w:rsid w:val="00775080"/>
    <w:rsid w:val="00775505"/>
    <w:rsid w:val="00775994"/>
    <w:rsid w:val="007759BA"/>
    <w:rsid w:val="00775D59"/>
    <w:rsid w:val="00776660"/>
    <w:rsid w:val="0077682B"/>
    <w:rsid w:val="00776856"/>
    <w:rsid w:val="0077717B"/>
    <w:rsid w:val="0077775B"/>
    <w:rsid w:val="0077788F"/>
    <w:rsid w:val="00777A23"/>
    <w:rsid w:val="00777D8F"/>
    <w:rsid w:val="007804D5"/>
    <w:rsid w:val="00780650"/>
    <w:rsid w:val="00780A34"/>
    <w:rsid w:val="00780BE0"/>
    <w:rsid w:val="00781057"/>
    <w:rsid w:val="00781231"/>
    <w:rsid w:val="00781726"/>
    <w:rsid w:val="00781B8F"/>
    <w:rsid w:val="00781CDE"/>
    <w:rsid w:val="00782ACF"/>
    <w:rsid w:val="00783173"/>
    <w:rsid w:val="007831B2"/>
    <w:rsid w:val="00783910"/>
    <w:rsid w:val="00783A25"/>
    <w:rsid w:val="00783D87"/>
    <w:rsid w:val="00784B30"/>
    <w:rsid w:val="00784BBD"/>
    <w:rsid w:val="00784D1D"/>
    <w:rsid w:val="007857AF"/>
    <w:rsid w:val="00785E5C"/>
    <w:rsid w:val="00785E7F"/>
    <w:rsid w:val="00785FEA"/>
    <w:rsid w:val="007861C1"/>
    <w:rsid w:val="00786326"/>
    <w:rsid w:val="007863C9"/>
    <w:rsid w:val="00786874"/>
    <w:rsid w:val="00786889"/>
    <w:rsid w:val="00786E63"/>
    <w:rsid w:val="00787102"/>
    <w:rsid w:val="00790538"/>
    <w:rsid w:val="00790A4E"/>
    <w:rsid w:val="00790DB5"/>
    <w:rsid w:val="00791009"/>
    <w:rsid w:val="00791D0D"/>
    <w:rsid w:val="00791E27"/>
    <w:rsid w:val="007924C8"/>
    <w:rsid w:val="0079266C"/>
    <w:rsid w:val="00793D15"/>
    <w:rsid w:val="00795136"/>
    <w:rsid w:val="007959B0"/>
    <w:rsid w:val="00796037"/>
    <w:rsid w:val="00796129"/>
    <w:rsid w:val="0079682B"/>
    <w:rsid w:val="00796E41"/>
    <w:rsid w:val="007970A4"/>
    <w:rsid w:val="0079755D"/>
    <w:rsid w:val="00797AD0"/>
    <w:rsid w:val="00797B5C"/>
    <w:rsid w:val="00797BA9"/>
    <w:rsid w:val="00797C0A"/>
    <w:rsid w:val="007A0244"/>
    <w:rsid w:val="007A02A2"/>
    <w:rsid w:val="007A0BE8"/>
    <w:rsid w:val="007A0CD6"/>
    <w:rsid w:val="007A1651"/>
    <w:rsid w:val="007A17CD"/>
    <w:rsid w:val="007A1B51"/>
    <w:rsid w:val="007A1E9E"/>
    <w:rsid w:val="007A2D4A"/>
    <w:rsid w:val="007A2E82"/>
    <w:rsid w:val="007A3508"/>
    <w:rsid w:val="007A37BA"/>
    <w:rsid w:val="007A3A16"/>
    <w:rsid w:val="007A3AE6"/>
    <w:rsid w:val="007A4627"/>
    <w:rsid w:val="007A4BA9"/>
    <w:rsid w:val="007A4D95"/>
    <w:rsid w:val="007A512B"/>
    <w:rsid w:val="007A5830"/>
    <w:rsid w:val="007A5F75"/>
    <w:rsid w:val="007A654C"/>
    <w:rsid w:val="007A6AF1"/>
    <w:rsid w:val="007A7C2C"/>
    <w:rsid w:val="007B0347"/>
    <w:rsid w:val="007B059E"/>
    <w:rsid w:val="007B073E"/>
    <w:rsid w:val="007B1518"/>
    <w:rsid w:val="007B1B0F"/>
    <w:rsid w:val="007B1B31"/>
    <w:rsid w:val="007B1B3C"/>
    <w:rsid w:val="007B20D7"/>
    <w:rsid w:val="007B26E4"/>
    <w:rsid w:val="007B29A5"/>
    <w:rsid w:val="007B3673"/>
    <w:rsid w:val="007B3895"/>
    <w:rsid w:val="007B3F22"/>
    <w:rsid w:val="007B4174"/>
    <w:rsid w:val="007B46C1"/>
    <w:rsid w:val="007B4D86"/>
    <w:rsid w:val="007B5398"/>
    <w:rsid w:val="007B5A51"/>
    <w:rsid w:val="007B5DC0"/>
    <w:rsid w:val="007B6019"/>
    <w:rsid w:val="007B6032"/>
    <w:rsid w:val="007B69C5"/>
    <w:rsid w:val="007B6CB7"/>
    <w:rsid w:val="007B70C4"/>
    <w:rsid w:val="007B7138"/>
    <w:rsid w:val="007B758C"/>
    <w:rsid w:val="007B79ED"/>
    <w:rsid w:val="007B7E0B"/>
    <w:rsid w:val="007C0470"/>
    <w:rsid w:val="007C0B4E"/>
    <w:rsid w:val="007C1CDD"/>
    <w:rsid w:val="007C29DB"/>
    <w:rsid w:val="007C2F54"/>
    <w:rsid w:val="007C35F3"/>
    <w:rsid w:val="007C3B0F"/>
    <w:rsid w:val="007C3E2B"/>
    <w:rsid w:val="007C423A"/>
    <w:rsid w:val="007C4B69"/>
    <w:rsid w:val="007C4CCB"/>
    <w:rsid w:val="007C4D2B"/>
    <w:rsid w:val="007C512E"/>
    <w:rsid w:val="007C55DF"/>
    <w:rsid w:val="007C5C54"/>
    <w:rsid w:val="007C5CEE"/>
    <w:rsid w:val="007C5F41"/>
    <w:rsid w:val="007C620E"/>
    <w:rsid w:val="007C6C59"/>
    <w:rsid w:val="007C742B"/>
    <w:rsid w:val="007D0128"/>
    <w:rsid w:val="007D0F23"/>
    <w:rsid w:val="007D16FD"/>
    <w:rsid w:val="007D2787"/>
    <w:rsid w:val="007D2A4B"/>
    <w:rsid w:val="007D2CCF"/>
    <w:rsid w:val="007D2DF5"/>
    <w:rsid w:val="007D2EA0"/>
    <w:rsid w:val="007D369B"/>
    <w:rsid w:val="007D36EE"/>
    <w:rsid w:val="007D3859"/>
    <w:rsid w:val="007D3A89"/>
    <w:rsid w:val="007D3BDC"/>
    <w:rsid w:val="007D413C"/>
    <w:rsid w:val="007D44B5"/>
    <w:rsid w:val="007D467A"/>
    <w:rsid w:val="007D4B2C"/>
    <w:rsid w:val="007D4F11"/>
    <w:rsid w:val="007D520E"/>
    <w:rsid w:val="007D5BAC"/>
    <w:rsid w:val="007D609D"/>
    <w:rsid w:val="007D6418"/>
    <w:rsid w:val="007E06EE"/>
    <w:rsid w:val="007E0B98"/>
    <w:rsid w:val="007E1307"/>
    <w:rsid w:val="007E1B1F"/>
    <w:rsid w:val="007E1B2D"/>
    <w:rsid w:val="007E2A2F"/>
    <w:rsid w:val="007E2E2C"/>
    <w:rsid w:val="007E316C"/>
    <w:rsid w:val="007E35F5"/>
    <w:rsid w:val="007E3C43"/>
    <w:rsid w:val="007E3DC7"/>
    <w:rsid w:val="007E4291"/>
    <w:rsid w:val="007E42AF"/>
    <w:rsid w:val="007E496C"/>
    <w:rsid w:val="007E4D52"/>
    <w:rsid w:val="007E5104"/>
    <w:rsid w:val="007E567E"/>
    <w:rsid w:val="007E5C0A"/>
    <w:rsid w:val="007E5D82"/>
    <w:rsid w:val="007E5E73"/>
    <w:rsid w:val="007E62BE"/>
    <w:rsid w:val="007E62CE"/>
    <w:rsid w:val="007E62EB"/>
    <w:rsid w:val="007E6385"/>
    <w:rsid w:val="007E70BC"/>
    <w:rsid w:val="007F010F"/>
    <w:rsid w:val="007F06E9"/>
    <w:rsid w:val="007F1012"/>
    <w:rsid w:val="007F178F"/>
    <w:rsid w:val="007F1C49"/>
    <w:rsid w:val="007F2081"/>
    <w:rsid w:val="007F20D5"/>
    <w:rsid w:val="007F28AC"/>
    <w:rsid w:val="007F28BC"/>
    <w:rsid w:val="007F2AFB"/>
    <w:rsid w:val="007F2E5D"/>
    <w:rsid w:val="007F367A"/>
    <w:rsid w:val="007F3AC4"/>
    <w:rsid w:val="007F411A"/>
    <w:rsid w:val="007F4293"/>
    <w:rsid w:val="007F4376"/>
    <w:rsid w:val="007F457E"/>
    <w:rsid w:val="007F46FF"/>
    <w:rsid w:val="007F5018"/>
    <w:rsid w:val="007F54A2"/>
    <w:rsid w:val="007F58D3"/>
    <w:rsid w:val="007F62B6"/>
    <w:rsid w:val="007F6395"/>
    <w:rsid w:val="007F66C3"/>
    <w:rsid w:val="007F69A5"/>
    <w:rsid w:val="007F6D9B"/>
    <w:rsid w:val="007F734F"/>
    <w:rsid w:val="007F77E8"/>
    <w:rsid w:val="007F7B7F"/>
    <w:rsid w:val="007F7FCE"/>
    <w:rsid w:val="00800583"/>
    <w:rsid w:val="00800D65"/>
    <w:rsid w:val="0080109D"/>
    <w:rsid w:val="00801636"/>
    <w:rsid w:val="008017C4"/>
    <w:rsid w:val="00801897"/>
    <w:rsid w:val="008023EB"/>
    <w:rsid w:val="0080263C"/>
    <w:rsid w:val="00802A33"/>
    <w:rsid w:val="00803BCB"/>
    <w:rsid w:val="0080434C"/>
    <w:rsid w:val="0080533D"/>
    <w:rsid w:val="008058D0"/>
    <w:rsid w:val="008058D2"/>
    <w:rsid w:val="00805AE5"/>
    <w:rsid w:val="00805BBE"/>
    <w:rsid w:val="00806635"/>
    <w:rsid w:val="00806C56"/>
    <w:rsid w:val="00807543"/>
    <w:rsid w:val="0080774F"/>
    <w:rsid w:val="0080786A"/>
    <w:rsid w:val="008079B2"/>
    <w:rsid w:val="00807A25"/>
    <w:rsid w:val="00807CDE"/>
    <w:rsid w:val="008101D8"/>
    <w:rsid w:val="00810567"/>
    <w:rsid w:val="00810A54"/>
    <w:rsid w:val="008119FC"/>
    <w:rsid w:val="00811CEC"/>
    <w:rsid w:val="00812206"/>
    <w:rsid w:val="00812383"/>
    <w:rsid w:val="008123BD"/>
    <w:rsid w:val="008127A1"/>
    <w:rsid w:val="00812A2F"/>
    <w:rsid w:val="00812F3B"/>
    <w:rsid w:val="00812FF9"/>
    <w:rsid w:val="008135EC"/>
    <w:rsid w:val="00813FFF"/>
    <w:rsid w:val="008141F6"/>
    <w:rsid w:val="00814436"/>
    <w:rsid w:val="00814A50"/>
    <w:rsid w:val="00814D9B"/>
    <w:rsid w:val="00814E42"/>
    <w:rsid w:val="00815043"/>
    <w:rsid w:val="008158E7"/>
    <w:rsid w:val="00815FBE"/>
    <w:rsid w:val="00816333"/>
    <w:rsid w:val="00816440"/>
    <w:rsid w:val="00816511"/>
    <w:rsid w:val="008168E0"/>
    <w:rsid w:val="00816EAE"/>
    <w:rsid w:val="008171A4"/>
    <w:rsid w:val="00817378"/>
    <w:rsid w:val="00817581"/>
    <w:rsid w:val="0081765D"/>
    <w:rsid w:val="0081770D"/>
    <w:rsid w:val="00817723"/>
    <w:rsid w:val="008178DE"/>
    <w:rsid w:val="008200AC"/>
    <w:rsid w:val="00820661"/>
    <w:rsid w:val="00820E1A"/>
    <w:rsid w:val="00821091"/>
    <w:rsid w:val="00821542"/>
    <w:rsid w:val="0082163D"/>
    <w:rsid w:val="008221CD"/>
    <w:rsid w:val="008221EA"/>
    <w:rsid w:val="00822565"/>
    <w:rsid w:val="00822620"/>
    <w:rsid w:val="0082284D"/>
    <w:rsid w:val="008230B7"/>
    <w:rsid w:val="00823159"/>
    <w:rsid w:val="00823631"/>
    <w:rsid w:val="008238A7"/>
    <w:rsid w:val="00823E83"/>
    <w:rsid w:val="008245BF"/>
    <w:rsid w:val="008249C1"/>
    <w:rsid w:val="00825009"/>
    <w:rsid w:val="00825710"/>
    <w:rsid w:val="00825897"/>
    <w:rsid w:val="00826E92"/>
    <w:rsid w:val="00827079"/>
    <w:rsid w:val="0082742F"/>
    <w:rsid w:val="00827C4B"/>
    <w:rsid w:val="00827C5F"/>
    <w:rsid w:val="00827E56"/>
    <w:rsid w:val="00830700"/>
    <w:rsid w:val="00830808"/>
    <w:rsid w:val="008309A8"/>
    <w:rsid w:val="00830A39"/>
    <w:rsid w:val="00831034"/>
    <w:rsid w:val="008312E4"/>
    <w:rsid w:val="00831FA5"/>
    <w:rsid w:val="0083220E"/>
    <w:rsid w:val="0083237C"/>
    <w:rsid w:val="0083271A"/>
    <w:rsid w:val="00833FF4"/>
    <w:rsid w:val="008341AA"/>
    <w:rsid w:val="008343C3"/>
    <w:rsid w:val="00834475"/>
    <w:rsid w:val="00834F71"/>
    <w:rsid w:val="00835502"/>
    <w:rsid w:val="008355FD"/>
    <w:rsid w:val="00835832"/>
    <w:rsid w:val="00835B4D"/>
    <w:rsid w:val="00835ECC"/>
    <w:rsid w:val="00835EE9"/>
    <w:rsid w:val="008361FC"/>
    <w:rsid w:val="00836602"/>
    <w:rsid w:val="00836F88"/>
    <w:rsid w:val="0083743B"/>
    <w:rsid w:val="0083764D"/>
    <w:rsid w:val="00837E4D"/>
    <w:rsid w:val="00837E79"/>
    <w:rsid w:val="00837ECD"/>
    <w:rsid w:val="00840085"/>
    <w:rsid w:val="00840648"/>
    <w:rsid w:val="00840CF3"/>
    <w:rsid w:val="00840D4D"/>
    <w:rsid w:val="00842415"/>
    <w:rsid w:val="0084245B"/>
    <w:rsid w:val="0084261B"/>
    <w:rsid w:val="00842BAF"/>
    <w:rsid w:val="00842C34"/>
    <w:rsid w:val="0084345D"/>
    <w:rsid w:val="00843554"/>
    <w:rsid w:val="00843CB1"/>
    <w:rsid w:val="0084454E"/>
    <w:rsid w:val="008446A6"/>
    <w:rsid w:val="0084482A"/>
    <w:rsid w:val="008457A7"/>
    <w:rsid w:val="0084589C"/>
    <w:rsid w:val="008458E5"/>
    <w:rsid w:val="0084699E"/>
    <w:rsid w:val="00846AFB"/>
    <w:rsid w:val="00846BFA"/>
    <w:rsid w:val="00846C8E"/>
    <w:rsid w:val="00846E9B"/>
    <w:rsid w:val="008470C9"/>
    <w:rsid w:val="008471FF"/>
    <w:rsid w:val="0084783C"/>
    <w:rsid w:val="00850668"/>
    <w:rsid w:val="00851B8E"/>
    <w:rsid w:val="0085254F"/>
    <w:rsid w:val="008529D2"/>
    <w:rsid w:val="008529E7"/>
    <w:rsid w:val="00852CDB"/>
    <w:rsid w:val="008533C0"/>
    <w:rsid w:val="00853BFC"/>
    <w:rsid w:val="008545A5"/>
    <w:rsid w:val="008548B6"/>
    <w:rsid w:val="008549AE"/>
    <w:rsid w:val="00854D05"/>
    <w:rsid w:val="00854E8B"/>
    <w:rsid w:val="008556C2"/>
    <w:rsid w:val="00855E6F"/>
    <w:rsid w:val="0085640F"/>
    <w:rsid w:val="0085658F"/>
    <w:rsid w:val="00856D0E"/>
    <w:rsid w:val="008570E2"/>
    <w:rsid w:val="00860751"/>
    <w:rsid w:val="00860BD7"/>
    <w:rsid w:val="00861182"/>
    <w:rsid w:val="008611B3"/>
    <w:rsid w:val="00861B55"/>
    <w:rsid w:val="00861D67"/>
    <w:rsid w:val="00861FDC"/>
    <w:rsid w:val="008625B4"/>
    <w:rsid w:val="00862C3F"/>
    <w:rsid w:val="00863365"/>
    <w:rsid w:val="008637C9"/>
    <w:rsid w:val="00863DB7"/>
    <w:rsid w:val="00863E28"/>
    <w:rsid w:val="00863FDC"/>
    <w:rsid w:val="00864543"/>
    <w:rsid w:val="00864C7A"/>
    <w:rsid w:val="008656FD"/>
    <w:rsid w:val="00865A24"/>
    <w:rsid w:val="00865ECE"/>
    <w:rsid w:val="008660C6"/>
    <w:rsid w:val="008662E0"/>
    <w:rsid w:val="0086635B"/>
    <w:rsid w:val="008666C7"/>
    <w:rsid w:val="0086681E"/>
    <w:rsid w:val="008669E6"/>
    <w:rsid w:val="00867894"/>
    <w:rsid w:val="00867F24"/>
    <w:rsid w:val="00870212"/>
    <w:rsid w:val="00870648"/>
    <w:rsid w:val="00870BC2"/>
    <w:rsid w:val="00870E9F"/>
    <w:rsid w:val="00870ED8"/>
    <w:rsid w:val="008713E3"/>
    <w:rsid w:val="008714ED"/>
    <w:rsid w:val="00871615"/>
    <w:rsid w:val="00871A00"/>
    <w:rsid w:val="00871E51"/>
    <w:rsid w:val="008725A7"/>
    <w:rsid w:val="008732FD"/>
    <w:rsid w:val="00873401"/>
    <w:rsid w:val="0087358B"/>
    <w:rsid w:val="0087389D"/>
    <w:rsid w:val="00873DB7"/>
    <w:rsid w:val="008742FB"/>
    <w:rsid w:val="00874982"/>
    <w:rsid w:val="00875267"/>
    <w:rsid w:val="008755E4"/>
    <w:rsid w:val="0087572C"/>
    <w:rsid w:val="0087658B"/>
    <w:rsid w:val="00876A9C"/>
    <w:rsid w:val="00876AB4"/>
    <w:rsid w:val="00876E59"/>
    <w:rsid w:val="008775B8"/>
    <w:rsid w:val="00877A8A"/>
    <w:rsid w:val="00877E73"/>
    <w:rsid w:val="008802F4"/>
    <w:rsid w:val="00880426"/>
    <w:rsid w:val="008805C8"/>
    <w:rsid w:val="00880881"/>
    <w:rsid w:val="00880AFE"/>
    <w:rsid w:val="00880F88"/>
    <w:rsid w:val="00881305"/>
    <w:rsid w:val="008813C7"/>
    <w:rsid w:val="00881979"/>
    <w:rsid w:val="00881D9E"/>
    <w:rsid w:val="00881EE3"/>
    <w:rsid w:val="00882E7C"/>
    <w:rsid w:val="00883143"/>
    <w:rsid w:val="0088388B"/>
    <w:rsid w:val="00884072"/>
    <w:rsid w:val="00884567"/>
    <w:rsid w:val="00884E38"/>
    <w:rsid w:val="00884E62"/>
    <w:rsid w:val="00884EFE"/>
    <w:rsid w:val="008853A0"/>
    <w:rsid w:val="008859C7"/>
    <w:rsid w:val="00885B14"/>
    <w:rsid w:val="00885BE0"/>
    <w:rsid w:val="00885DFD"/>
    <w:rsid w:val="008860A4"/>
    <w:rsid w:val="00886217"/>
    <w:rsid w:val="008863E2"/>
    <w:rsid w:val="00886516"/>
    <w:rsid w:val="00886661"/>
    <w:rsid w:val="008867ED"/>
    <w:rsid w:val="008871C0"/>
    <w:rsid w:val="008873E4"/>
    <w:rsid w:val="00887958"/>
    <w:rsid w:val="00887A61"/>
    <w:rsid w:val="00890040"/>
    <w:rsid w:val="00890415"/>
    <w:rsid w:val="008906AD"/>
    <w:rsid w:val="00890C2E"/>
    <w:rsid w:val="00890F3D"/>
    <w:rsid w:val="00891358"/>
    <w:rsid w:val="008915C1"/>
    <w:rsid w:val="00891CC2"/>
    <w:rsid w:val="008929F5"/>
    <w:rsid w:val="00892A24"/>
    <w:rsid w:val="00892D49"/>
    <w:rsid w:val="00893082"/>
    <w:rsid w:val="00893280"/>
    <w:rsid w:val="00893D0E"/>
    <w:rsid w:val="00893ED0"/>
    <w:rsid w:val="0089402A"/>
    <w:rsid w:val="0089411E"/>
    <w:rsid w:val="008943FB"/>
    <w:rsid w:val="00894AD6"/>
    <w:rsid w:val="00894DF3"/>
    <w:rsid w:val="0089576F"/>
    <w:rsid w:val="008959E7"/>
    <w:rsid w:val="00896734"/>
    <w:rsid w:val="008975FF"/>
    <w:rsid w:val="008A054C"/>
    <w:rsid w:val="008A0707"/>
    <w:rsid w:val="008A0865"/>
    <w:rsid w:val="008A0870"/>
    <w:rsid w:val="008A08FD"/>
    <w:rsid w:val="008A0B2E"/>
    <w:rsid w:val="008A2954"/>
    <w:rsid w:val="008A2F1B"/>
    <w:rsid w:val="008A3596"/>
    <w:rsid w:val="008A35BD"/>
    <w:rsid w:val="008A368E"/>
    <w:rsid w:val="008A37E9"/>
    <w:rsid w:val="008A38EE"/>
    <w:rsid w:val="008A3B07"/>
    <w:rsid w:val="008A3D4E"/>
    <w:rsid w:val="008A47CA"/>
    <w:rsid w:val="008A4803"/>
    <w:rsid w:val="008A4A3A"/>
    <w:rsid w:val="008A50C1"/>
    <w:rsid w:val="008A55B0"/>
    <w:rsid w:val="008A5C34"/>
    <w:rsid w:val="008A5F72"/>
    <w:rsid w:val="008A61B6"/>
    <w:rsid w:val="008A6C3B"/>
    <w:rsid w:val="008A72E6"/>
    <w:rsid w:val="008A7EA1"/>
    <w:rsid w:val="008B0698"/>
    <w:rsid w:val="008B06DF"/>
    <w:rsid w:val="008B0876"/>
    <w:rsid w:val="008B0AEA"/>
    <w:rsid w:val="008B0D49"/>
    <w:rsid w:val="008B1170"/>
    <w:rsid w:val="008B1A9B"/>
    <w:rsid w:val="008B1EBE"/>
    <w:rsid w:val="008B2716"/>
    <w:rsid w:val="008B28AE"/>
    <w:rsid w:val="008B2ED3"/>
    <w:rsid w:val="008B3F60"/>
    <w:rsid w:val="008B4149"/>
    <w:rsid w:val="008B4A57"/>
    <w:rsid w:val="008B4EAC"/>
    <w:rsid w:val="008B4FE3"/>
    <w:rsid w:val="008B52E0"/>
    <w:rsid w:val="008B5711"/>
    <w:rsid w:val="008B5781"/>
    <w:rsid w:val="008B5C72"/>
    <w:rsid w:val="008B657A"/>
    <w:rsid w:val="008B6E6D"/>
    <w:rsid w:val="008B70A6"/>
    <w:rsid w:val="008B7128"/>
    <w:rsid w:val="008B725C"/>
    <w:rsid w:val="008B736F"/>
    <w:rsid w:val="008C0321"/>
    <w:rsid w:val="008C043D"/>
    <w:rsid w:val="008C0878"/>
    <w:rsid w:val="008C0FCE"/>
    <w:rsid w:val="008C148B"/>
    <w:rsid w:val="008C1678"/>
    <w:rsid w:val="008C1999"/>
    <w:rsid w:val="008C2446"/>
    <w:rsid w:val="008C266D"/>
    <w:rsid w:val="008C27DE"/>
    <w:rsid w:val="008C31FD"/>
    <w:rsid w:val="008C3582"/>
    <w:rsid w:val="008C3741"/>
    <w:rsid w:val="008C39FE"/>
    <w:rsid w:val="008C3FAD"/>
    <w:rsid w:val="008C4116"/>
    <w:rsid w:val="008C4531"/>
    <w:rsid w:val="008C4746"/>
    <w:rsid w:val="008C4CE2"/>
    <w:rsid w:val="008C4DBC"/>
    <w:rsid w:val="008C4DBF"/>
    <w:rsid w:val="008C5A41"/>
    <w:rsid w:val="008C5B92"/>
    <w:rsid w:val="008C5EE7"/>
    <w:rsid w:val="008C6519"/>
    <w:rsid w:val="008C69D2"/>
    <w:rsid w:val="008C73A8"/>
    <w:rsid w:val="008C75DE"/>
    <w:rsid w:val="008C7B5C"/>
    <w:rsid w:val="008D03AE"/>
    <w:rsid w:val="008D07EA"/>
    <w:rsid w:val="008D0858"/>
    <w:rsid w:val="008D089A"/>
    <w:rsid w:val="008D0CE8"/>
    <w:rsid w:val="008D1D19"/>
    <w:rsid w:val="008D278D"/>
    <w:rsid w:val="008D299B"/>
    <w:rsid w:val="008D2A2E"/>
    <w:rsid w:val="008D3200"/>
    <w:rsid w:val="008D33E2"/>
    <w:rsid w:val="008D3CDA"/>
    <w:rsid w:val="008D53C0"/>
    <w:rsid w:val="008D5474"/>
    <w:rsid w:val="008D5626"/>
    <w:rsid w:val="008D59E3"/>
    <w:rsid w:val="008D5B9D"/>
    <w:rsid w:val="008D626D"/>
    <w:rsid w:val="008D674F"/>
    <w:rsid w:val="008D680D"/>
    <w:rsid w:val="008D77BD"/>
    <w:rsid w:val="008D7F1D"/>
    <w:rsid w:val="008E027E"/>
    <w:rsid w:val="008E07CC"/>
    <w:rsid w:val="008E0BCA"/>
    <w:rsid w:val="008E1298"/>
    <w:rsid w:val="008E273E"/>
    <w:rsid w:val="008E32C0"/>
    <w:rsid w:val="008E33B3"/>
    <w:rsid w:val="008E3D66"/>
    <w:rsid w:val="008E40AD"/>
    <w:rsid w:val="008E44F7"/>
    <w:rsid w:val="008E4F84"/>
    <w:rsid w:val="008E5564"/>
    <w:rsid w:val="008E5648"/>
    <w:rsid w:val="008E57CC"/>
    <w:rsid w:val="008E57CF"/>
    <w:rsid w:val="008E644A"/>
    <w:rsid w:val="008E7056"/>
    <w:rsid w:val="008E76A2"/>
    <w:rsid w:val="008E7758"/>
    <w:rsid w:val="008E7931"/>
    <w:rsid w:val="008E7B37"/>
    <w:rsid w:val="008E7EC3"/>
    <w:rsid w:val="008F0D7A"/>
    <w:rsid w:val="008F1005"/>
    <w:rsid w:val="008F1081"/>
    <w:rsid w:val="008F12A9"/>
    <w:rsid w:val="008F1434"/>
    <w:rsid w:val="008F20B9"/>
    <w:rsid w:val="008F2A3E"/>
    <w:rsid w:val="008F2EE0"/>
    <w:rsid w:val="008F2FBA"/>
    <w:rsid w:val="008F3212"/>
    <w:rsid w:val="008F330F"/>
    <w:rsid w:val="008F34A7"/>
    <w:rsid w:val="008F3DD3"/>
    <w:rsid w:val="008F4262"/>
    <w:rsid w:val="008F4EB7"/>
    <w:rsid w:val="008F50B6"/>
    <w:rsid w:val="008F5351"/>
    <w:rsid w:val="008F5911"/>
    <w:rsid w:val="008F59FF"/>
    <w:rsid w:val="008F5B6E"/>
    <w:rsid w:val="008F6B77"/>
    <w:rsid w:val="008F6D53"/>
    <w:rsid w:val="008F72ED"/>
    <w:rsid w:val="008F74CF"/>
    <w:rsid w:val="008F76C5"/>
    <w:rsid w:val="008F798F"/>
    <w:rsid w:val="008F7BDB"/>
    <w:rsid w:val="008F7BDD"/>
    <w:rsid w:val="00900018"/>
    <w:rsid w:val="00900543"/>
    <w:rsid w:val="009007A9"/>
    <w:rsid w:val="00900876"/>
    <w:rsid w:val="00900D0A"/>
    <w:rsid w:val="0090106F"/>
    <w:rsid w:val="0090134F"/>
    <w:rsid w:val="00901807"/>
    <w:rsid w:val="00901F9E"/>
    <w:rsid w:val="00901FDA"/>
    <w:rsid w:val="00901FDD"/>
    <w:rsid w:val="009022CC"/>
    <w:rsid w:val="00902457"/>
    <w:rsid w:val="00903342"/>
    <w:rsid w:val="0090358C"/>
    <w:rsid w:val="00903A30"/>
    <w:rsid w:val="00903B65"/>
    <w:rsid w:val="00903C6D"/>
    <w:rsid w:val="00903F6B"/>
    <w:rsid w:val="0090479E"/>
    <w:rsid w:val="009047CE"/>
    <w:rsid w:val="00905057"/>
    <w:rsid w:val="00905A68"/>
    <w:rsid w:val="00906377"/>
    <w:rsid w:val="009068DA"/>
    <w:rsid w:val="00906AB2"/>
    <w:rsid w:val="00907482"/>
    <w:rsid w:val="00907C06"/>
    <w:rsid w:val="00910B9E"/>
    <w:rsid w:val="00910F4A"/>
    <w:rsid w:val="00911214"/>
    <w:rsid w:val="00911244"/>
    <w:rsid w:val="00911576"/>
    <w:rsid w:val="00911FF8"/>
    <w:rsid w:val="00912642"/>
    <w:rsid w:val="00912B05"/>
    <w:rsid w:val="00912E35"/>
    <w:rsid w:val="0091387A"/>
    <w:rsid w:val="009139D1"/>
    <w:rsid w:val="00913A61"/>
    <w:rsid w:val="00913B4E"/>
    <w:rsid w:val="00913B70"/>
    <w:rsid w:val="00913DC8"/>
    <w:rsid w:val="0091428C"/>
    <w:rsid w:val="00914FAA"/>
    <w:rsid w:val="00914FFC"/>
    <w:rsid w:val="00915414"/>
    <w:rsid w:val="009156F8"/>
    <w:rsid w:val="00915752"/>
    <w:rsid w:val="009158EB"/>
    <w:rsid w:val="0091592A"/>
    <w:rsid w:val="00916234"/>
    <w:rsid w:val="00916387"/>
    <w:rsid w:val="00917A36"/>
    <w:rsid w:val="00917B4E"/>
    <w:rsid w:val="00917F3D"/>
    <w:rsid w:val="009203E2"/>
    <w:rsid w:val="00920429"/>
    <w:rsid w:val="0092080F"/>
    <w:rsid w:val="009208BE"/>
    <w:rsid w:val="00920C65"/>
    <w:rsid w:val="00920E3D"/>
    <w:rsid w:val="00920F57"/>
    <w:rsid w:val="009213B0"/>
    <w:rsid w:val="0092192C"/>
    <w:rsid w:val="00922745"/>
    <w:rsid w:val="00922AA4"/>
    <w:rsid w:val="0092321E"/>
    <w:rsid w:val="00923F43"/>
    <w:rsid w:val="0092488F"/>
    <w:rsid w:val="00924A6D"/>
    <w:rsid w:val="00924DA6"/>
    <w:rsid w:val="00924E5D"/>
    <w:rsid w:val="00925451"/>
    <w:rsid w:val="0092555A"/>
    <w:rsid w:val="009255C6"/>
    <w:rsid w:val="00925C45"/>
    <w:rsid w:val="00926485"/>
    <w:rsid w:val="00926E22"/>
    <w:rsid w:val="00927149"/>
    <w:rsid w:val="0092746A"/>
    <w:rsid w:val="00927E88"/>
    <w:rsid w:val="009300ED"/>
    <w:rsid w:val="00930528"/>
    <w:rsid w:val="00930E51"/>
    <w:rsid w:val="00930FDE"/>
    <w:rsid w:val="00931574"/>
    <w:rsid w:val="00931F4E"/>
    <w:rsid w:val="009324C2"/>
    <w:rsid w:val="00932ACD"/>
    <w:rsid w:val="00932C25"/>
    <w:rsid w:val="00932F15"/>
    <w:rsid w:val="00933175"/>
    <w:rsid w:val="00933410"/>
    <w:rsid w:val="00934046"/>
    <w:rsid w:val="00935501"/>
    <w:rsid w:val="009356A0"/>
    <w:rsid w:val="009357C7"/>
    <w:rsid w:val="009358B2"/>
    <w:rsid w:val="00935956"/>
    <w:rsid w:val="00935ECE"/>
    <w:rsid w:val="009369AD"/>
    <w:rsid w:val="00936BB8"/>
    <w:rsid w:val="00936F28"/>
    <w:rsid w:val="009372D5"/>
    <w:rsid w:val="0093773C"/>
    <w:rsid w:val="00937BDA"/>
    <w:rsid w:val="00937D0E"/>
    <w:rsid w:val="00937E85"/>
    <w:rsid w:val="009409B5"/>
    <w:rsid w:val="00940E33"/>
    <w:rsid w:val="009410F5"/>
    <w:rsid w:val="00941226"/>
    <w:rsid w:val="009425A4"/>
    <w:rsid w:val="0094268B"/>
    <w:rsid w:val="00942C9C"/>
    <w:rsid w:val="00942EBB"/>
    <w:rsid w:val="009430E0"/>
    <w:rsid w:val="009433BF"/>
    <w:rsid w:val="009437D0"/>
    <w:rsid w:val="009439DC"/>
    <w:rsid w:val="00943AA5"/>
    <w:rsid w:val="00943CDD"/>
    <w:rsid w:val="00943DD8"/>
    <w:rsid w:val="009447BF"/>
    <w:rsid w:val="00945516"/>
    <w:rsid w:val="009455D2"/>
    <w:rsid w:val="009478B8"/>
    <w:rsid w:val="00947ECC"/>
    <w:rsid w:val="009507AD"/>
    <w:rsid w:val="00950BFD"/>
    <w:rsid w:val="00951146"/>
    <w:rsid w:val="00951D0D"/>
    <w:rsid w:val="00951D79"/>
    <w:rsid w:val="00951FF6"/>
    <w:rsid w:val="00952533"/>
    <w:rsid w:val="009526D7"/>
    <w:rsid w:val="009529E5"/>
    <w:rsid w:val="00952DC9"/>
    <w:rsid w:val="00952F38"/>
    <w:rsid w:val="009530B9"/>
    <w:rsid w:val="00953509"/>
    <w:rsid w:val="009535FA"/>
    <w:rsid w:val="0095388B"/>
    <w:rsid w:val="00953C55"/>
    <w:rsid w:val="00954BB7"/>
    <w:rsid w:val="009550CA"/>
    <w:rsid w:val="0095532A"/>
    <w:rsid w:val="00955909"/>
    <w:rsid w:val="009559E6"/>
    <w:rsid w:val="00955CB4"/>
    <w:rsid w:val="009562DC"/>
    <w:rsid w:val="00956AAF"/>
    <w:rsid w:val="0095709B"/>
    <w:rsid w:val="00957496"/>
    <w:rsid w:val="00957643"/>
    <w:rsid w:val="00957886"/>
    <w:rsid w:val="009578EB"/>
    <w:rsid w:val="00960179"/>
    <w:rsid w:val="00960346"/>
    <w:rsid w:val="00960861"/>
    <w:rsid w:val="00961562"/>
    <w:rsid w:val="009615B3"/>
    <w:rsid w:val="00961918"/>
    <w:rsid w:val="00961AFC"/>
    <w:rsid w:val="00961B03"/>
    <w:rsid w:val="00961CF7"/>
    <w:rsid w:val="009620A2"/>
    <w:rsid w:val="009621F1"/>
    <w:rsid w:val="009624E5"/>
    <w:rsid w:val="00962783"/>
    <w:rsid w:val="009631C9"/>
    <w:rsid w:val="009633D4"/>
    <w:rsid w:val="009633EE"/>
    <w:rsid w:val="009633FB"/>
    <w:rsid w:val="009634CD"/>
    <w:rsid w:val="00963A8E"/>
    <w:rsid w:val="00963BBB"/>
    <w:rsid w:val="009642BC"/>
    <w:rsid w:val="009644E6"/>
    <w:rsid w:val="0096475D"/>
    <w:rsid w:val="00964A98"/>
    <w:rsid w:val="0096524A"/>
    <w:rsid w:val="00965548"/>
    <w:rsid w:val="009655A1"/>
    <w:rsid w:val="009661B9"/>
    <w:rsid w:val="00966718"/>
    <w:rsid w:val="0096671E"/>
    <w:rsid w:val="009668F4"/>
    <w:rsid w:val="00966931"/>
    <w:rsid w:val="00967B85"/>
    <w:rsid w:val="009708B5"/>
    <w:rsid w:val="00970AFB"/>
    <w:rsid w:val="00970F0E"/>
    <w:rsid w:val="00970F6C"/>
    <w:rsid w:val="00970FCE"/>
    <w:rsid w:val="00971663"/>
    <w:rsid w:val="00971735"/>
    <w:rsid w:val="009720C0"/>
    <w:rsid w:val="0097252F"/>
    <w:rsid w:val="00972FCD"/>
    <w:rsid w:val="0097348D"/>
    <w:rsid w:val="00973AF6"/>
    <w:rsid w:val="00973C69"/>
    <w:rsid w:val="00973E5F"/>
    <w:rsid w:val="00974064"/>
    <w:rsid w:val="009740E8"/>
    <w:rsid w:val="00974751"/>
    <w:rsid w:val="00974C4F"/>
    <w:rsid w:val="00974C81"/>
    <w:rsid w:val="00974FAA"/>
    <w:rsid w:val="009754CC"/>
    <w:rsid w:val="00975AC3"/>
    <w:rsid w:val="00975BAE"/>
    <w:rsid w:val="00976027"/>
    <w:rsid w:val="009764EE"/>
    <w:rsid w:val="009765C6"/>
    <w:rsid w:val="00976748"/>
    <w:rsid w:val="00976CE4"/>
    <w:rsid w:val="0097745C"/>
    <w:rsid w:val="009803EF"/>
    <w:rsid w:val="00980633"/>
    <w:rsid w:val="00980900"/>
    <w:rsid w:val="00980B62"/>
    <w:rsid w:val="00981B25"/>
    <w:rsid w:val="00982163"/>
    <w:rsid w:val="0098218F"/>
    <w:rsid w:val="009821B6"/>
    <w:rsid w:val="0098248B"/>
    <w:rsid w:val="00982D5F"/>
    <w:rsid w:val="00982DBA"/>
    <w:rsid w:val="00983A41"/>
    <w:rsid w:val="00983D9F"/>
    <w:rsid w:val="00984789"/>
    <w:rsid w:val="009854A4"/>
    <w:rsid w:val="00986214"/>
    <w:rsid w:val="009862F8"/>
    <w:rsid w:val="00986A47"/>
    <w:rsid w:val="0098726E"/>
    <w:rsid w:val="00987C8A"/>
    <w:rsid w:val="00987FC9"/>
    <w:rsid w:val="00990E39"/>
    <w:rsid w:val="00990FAE"/>
    <w:rsid w:val="00991142"/>
    <w:rsid w:val="009921FE"/>
    <w:rsid w:val="009925B6"/>
    <w:rsid w:val="00992C33"/>
    <w:rsid w:val="00992F36"/>
    <w:rsid w:val="00993040"/>
    <w:rsid w:val="009930AD"/>
    <w:rsid w:val="009934BE"/>
    <w:rsid w:val="0099392B"/>
    <w:rsid w:val="00993B39"/>
    <w:rsid w:val="00993BA0"/>
    <w:rsid w:val="00993D7F"/>
    <w:rsid w:val="00993E99"/>
    <w:rsid w:val="00994275"/>
    <w:rsid w:val="0099448B"/>
    <w:rsid w:val="0099480E"/>
    <w:rsid w:val="00994A3D"/>
    <w:rsid w:val="00995105"/>
    <w:rsid w:val="009953E6"/>
    <w:rsid w:val="009957A3"/>
    <w:rsid w:val="00995D80"/>
    <w:rsid w:val="009966F5"/>
    <w:rsid w:val="00996F46"/>
    <w:rsid w:val="00997420"/>
    <w:rsid w:val="00997846"/>
    <w:rsid w:val="00997EB5"/>
    <w:rsid w:val="009A006C"/>
    <w:rsid w:val="009A021A"/>
    <w:rsid w:val="009A02B0"/>
    <w:rsid w:val="009A07A6"/>
    <w:rsid w:val="009A0A08"/>
    <w:rsid w:val="009A0A65"/>
    <w:rsid w:val="009A0E54"/>
    <w:rsid w:val="009A0EA5"/>
    <w:rsid w:val="009A0EFF"/>
    <w:rsid w:val="009A1268"/>
    <w:rsid w:val="009A1B16"/>
    <w:rsid w:val="009A21A2"/>
    <w:rsid w:val="009A286B"/>
    <w:rsid w:val="009A2C41"/>
    <w:rsid w:val="009A32C6"/>
    <w:rsid w:val="009A3872"/>
    <w:rsid w:val="009A3B30"/>
    <w:rsid w:val="009A3FCE"/>
    <w:rsid w:val="009A415B"/>
    <w:rsid w:val="009A4369"/>
    <w:rsid w:val="009A4B61"/>
    <w:rsid w:val="009A5142"/>
    <w:rsid w:val="009A5530"/>
    <w:rsid w:val="009A56D0"/>
    <w:rsid w:val="009A5710"/>
    <w:rsid w:val="009A5B14"/>
    <w:rsid w:val="009A5C2A"/>
    <w:rsid w:val="009A5DD4"/>
    <w:rsid w:val="009A6477"/>
    <w:rsid w:val="009A6658"/>
    <w:rsid w:val="009A67F0"/>
    <w:rsid w:val="009A6975"/>
    <w:rsid w:val="009A70B6"/>
    <w:rsid w:val="009A7F37"/>
    <w:rsid w:val="009A7F60"/>
    <w:rsid w:val="009B048C"/>
    <w:rsid w:val="009B05C5"/>
    <w:rsid w:val="009B0803"/>
    <w:rsid w:val="009B0DFD"/>
    <w:rsid w:val="009B1314"/>
    <w:rsid w:val="009B1B5E"/>
    <w:rsid w:val="009B20C0"/>
    <w:rsid w:val="009B21BB"/>
    <w:rsid w:val="009B2279"/>
    <w:rsid w:val="009B2941"/>
    <w:rsid w:val="009B29BA"/>
    <w:rsid w:val="009B3863"/>
    <w:rsid w:val="009B3E76"/>
    <w:rsid w:val="009B3F3D"/>
    <w:rsid w:val="009B4471"/>
    <w:rsid w:val="009B5226"/>
    <w:rsid w:val="009B52DD"/>
    <w:rsid w:val="009B5A85"/>
    <w:rsid w:val="009B5C5C"/>
    <w:rsid w:val="009B63BB"/>
    <w:rsid w:val="009B696A"/>
    <w:rsid w:val="009B7551"/>
    <w:rsid w:val="009B7A4D"/>
    <w:rsid w:val="009B7E2D"/>
    <w:rsid w:val="009C04C3"/>
    <w:rsid w:val="009C04CD"/>
    <w:rsid w:val="009C0ABD"/>
    <w:rsid w:val="009C0BFE"/>
    <w:rsid w:val="009C159A"/>
    <w:rsid w:val="009C16D0"/>
    <w:rsid w:val="009C1E2D"/>
    <w:rsid w:val="009C21A1"/>
    <w:rsid w:val="009C2875"/>
    <w:rsid w:val="009C2968"/>
    <w:rsid w:val="009C2E19"/>
    <w:rsid w:val="009C302B"/>
    <w:rsid w:val="009C316E"/>
    <w:rsid w:val="009C3687"/>
    <w:rsid w:val="009C4019"/>
    <w:rsid w:val="009C409C"/>
    <w:rsid w:val="009C43F9"/>
    <w:rsid w:val="009C477A"/>
    <w:rsid w:val="009C47F6"/>
    <w:rsid w:val="009C4AD9"/>
    <w:rsid w:val="009C4B80"/>
    <w:rsid w:val="009C4E27"/>
    <w:rsid w:val="009C4F1A"/>
    <w:rsid w:val="009C53FA"/>
    <w:rsid w:val="009C585B"/>
    <w:rsid w:val="009C5F7B"/>
    <w:rsid w:val="009C62CD"/>
    <w:rsid w:val="009C6458"/>
    <w:rsid w:val="009C648D"/>
    <w:rsid w:val="009C7543"/>
    <w:rsid w:val="009C78FB"/>
    <w:rsid w:val="009D015F"/>
    <w:rsid w:val="009D028D"/>
    <w:rsid w:val="009D0CAA"/>
    <w:rsid w:val="009D1092"/>
    <w:rsid w:val="009D11EE"/>
    <w:rsid w:val="009D177B"/>
    <w:rsid w:val="009D1843"/>
    <w:rsid w:val="009D18C1"/>
    <w:rsid w:val="009D204F"/>
    <w:rsid w:val="009D27F6"/>
    <w:rsid w:val="009D2F51"/>
    <w:rsid w:val="009D41B5"/>
    <w:rsid w:val="009D41DB"/>
    <w:rsid w:val="009D476C"/>
    <w:rsid w:val="009D4AE4"/>
    <w:rsid w:val="009D4E92"/>
    <w:rsid w:val="009D53B6"/>
    <w:rsid w:val="009D5E7D"/>
    <w:rsid w:val="009D63CE"/>
    <w:rsid w:val="009D7126"/>
    <w:rsid w:val="009D784F"/>
    <w:rsid w:val="009E02BD"/>
    <w:rsid w:val="009E05ED"/>
    <w:rsid w:val="009E0792"/>
    <w:rsid w:val="009E0D64"/>
    <w:rsid w:val="009E121E"/>
    <w:rsid w:val="009E1378"/>
    <w:rsid w:val="009E1FB0"/>
    <w:rsid w:val="009E2711"/>
    <w:rsid w:val="009E2E21"/>
    <w:rsid w:val="009E2E2C"/>
    <w:rsid w:val="009E3060"/>
    <w:rsid w:val="009E331B"/>
    <w:rsid w:val="009E3371"/>
    <w:rsid w:val="009E341F"/>
    <w:rsid w:val="009E3494"/>
    <w:rsid w:val="009E3670"/>
    <w:rsid w:val="009E3DD7"/>
    <w:rsid w:val="009E4C98"/>
    <w:rsid w:val="009E4E50"/>
    <w:rsid w:val="009E510E"/>
    <w:rsid w:val="009E5D9C"/>
    <w:rsid w:val="009E66EC"/>
    <w:rsid w:val="009E6AB7"/>
    <w:rsid w:val="009E6CF7"/>
    <w:rsid w:val="009E70ED"/>
    <w:rsid w:val="009E7123"/>
    <w:rsid w:val="009E7154"/>
    <w:rsid w:val="009E7228"/>
    <w:rsid w:val="009E7688"/>
    <w:rsid w:val="009E785A"/>
    <w:rsid w:val="009E7E9B"/>
    <w:rsid w:val="009F0AFA"/>
    <w:rsid w:val="009F0B4D"/>
    <w:rsid w:val="009F1768"/>
    <w:rsid w:val="009F1B55"/>
    <w:rsid w:val="009F1EEA"/>
    <w:rsid w:val="009F27B5"/>
    <w:rsid w:val="009F289D"/>
    <w:rsid w:val="009F2B45"/>
    <w:rsid w:val="009F3262"/>
    <w:rsid w:val="009F3738"/>
    <w:rsid w:val="009F39A5"/>
    <w:rsid w:val="009F3E48"/>
    <w:rsid w:val="009F4723"/>
    <w:rsid w:val="009F4E35"/>
    <w:rsid w:val="009F4F16"/>
    <w:rsid w:val="009F54B6"/>
    <w:rsid w:val="009F5A7D"/>
    <w:rsid w:val="009F5CCF"/>
    <w:rsid w:val="009F5E19"/>
    <w:rsid w:val="009F6481"/>
    <w:rsid w:val="009F650C"/>
    <w:rsid w:val="009F660B"/>
    <w:rsid w:val="009F6658"/>
    <w:rsid w:val="009F6899"/>
    <w:rsid w:val="009F699E"/>
    <w:rsid w:val="009F6C60"/>
    <w:rsid w:val="009F6EE0"/>
    <w:rsid w:val="009F7A8B"/>
    <w:rsid w:val="009F7BD0"/>
    <w:rsid w:val="009F7D60"/>
    <w:rsid w:val="009F7E58"/>
    <w:rsid w:val="00A000E1"/>
    <w:rsid w:val="00A00162"/>
    <w:rsid w:val="00A00F00"/>
    <w:rsid w:val="00A013A6"/>
    <w:rsid w:val="00A01759"/>
    <w:rsid w:val="00A02732"/>
    <w:rsid w:val="00A02E7C"/>
    <w:rsid w:val="00A02F6E"/>
    <w:rsid w:val="00A02F90"/>
    <w:rsid w:val="00A03461"/>
    <w:rsid w:val="00A0356A"/>
    <w:rsid w:val="00A039E6"/>
    <w:rsid w:val="00A03E7D"/>
    <w:rsid w:val="00A042AB"/>
    <w:rsid w:val="00A046F5"/>
    <w:rsid w:val="00A04AB1"/>
    <w:rsid w:val="00A055E4"/>
    <w:rsid w:val="00A05832"/>
    <w:rsid w:val="00A05A18"/>
    <w:rsid w:val="00A05A95"/>
    <w:rsid w:val="00A060C9"/>
    <w:rsid w:val="00A06370"/>
    <w:rsid w:val="00A067A0"/>
    <w:rsid w:val="00A06D5F"/>
    <w:rsid w:val="00A06D97"/>
    <w:rsid w:val="00A06E09"/>
    <w:rsid w:val="00A0727F"/>
    <w:rsid w:val="00A075FD"/>
    <w:rsid w:val="00A07B75"/>
    <w:rsid w:val="00A07F4A"/>
    <w:rsid w:val="00A10DA9"/>
    <w:rsid w:val="00A11065"/>
    <w:rsid w:val="00A11933"/>
    <w:rsid w:val="00A12726"/>
    <w:rsid w:val="00A127B8"/>
    <w:rsid w:val="00A1289F"/>
    <w:rsid w:val="00A12DB9"/>
    <w:rsid w:val="00A12EF2"/>
    <w:rsid w:val="00A13024"/>
    <w:rsid w:val="00A1313E"/>
    <w:rsid w:val="00A13284"/>
    <w:rsid w:val="00A13531"/>
    <w:rsid w:val="00A136C7"/>
    <w:rsid w:val="00A13C77"/>
    <w:rsid w:val="00A13D30"/>
    <w:rsid w:val="00A13D73"/>
    <w:rsid w:val="00A142B4"/>
    <w:rsid w:val="00A14CCF"/>
    <w:rsid w:val="00A15D17"/>
    <w:rsid w:val="00A1613C"/>
    <w:rsid w:val="00A1676A"/>
    <w:rsid w:val="00A172CD"/>
    <w:rsid w:val="00A17C1F"/>
    <w:rsid w:val="00A17F30"/>
    <w:rsid w:val="00A200E2"/>
    <w:rsid w:val="00A202D4"/>
    <w:rsid w:val="00A204CD"/>
    <w:rsid w:val="00A20DDA"/>
    <w:rsid w:val="00A2102D"/>
    <w:rsid w:val="00A211FB"/>
    <w:rsid w:val="00A21FC6"/>
    <w:rsid w:val="00A22143"/>
    <w:rsid w:val="00A221C9"/>
    <w:rsid w:val="00A221DB"/>
    <w:rsid w:val="00A23065"/>
    <w:rsid w:val="00A23645"/>
    <w:rsid w:val="00A23F00"/>
    <w:rsid w:val="00A2426A"/>
    <w:rsid w:val="00A24D8C"/>
    <w:rsid w:val="00A25191"/>
    <w:rsid w:val="00A2593D"/>
    <w:rsid w:val="00A25CD7"/>
    <w:rsid w:val="00A271C6"/>
    <w:rsid w:val="00A27572"/>
    <w:rsid w:val="00A2785D"/>
    <w:rsid w:val="00A27A60"/>
    <w:rsid w:val="00A27B59"/>
    <w:rsid w:val="00A27C8C"/>
    <w:rsid w:val="00A30411"/>
    <w:rsid w:val="00A307C9"/>
    <w:rsid w:val="00A30E5D"/>
    <w:rsid w:val="00A30ED0"/>
    <w:rsid w:val="00A316C3"/>
    <w:rsid w:val="00A318E3"/>
    <w:rsid w:val="00A31A09"/>
    <w:rsid w:val="00A31C73"/>
    <w:rsid w:val="00A325E3"/>
    <w:rsid w:val="00A325F6"/>
    <w:rsid w:val="00A32808"/>
    <w:rsid w:val="00A328AB"/>
    <w:rsid w:val="00A32B4A"/>
    <w:rsid w:val="00A32B68"/>
    <w:rsid w:val="00A33106"/>
    <w:rsid w:val="00A33AE6"/>
    <w:rsid w:val="00A33D02"/>
    <w:rsid w:val="00A33F51"/>
    <w:rsid w:val="00A3430F"/>
    <w:rsid w:val="00A34553"/>
    <w:rsid w:val="00A3504E"/>
    <w:rsid w:val="00A350AB"/>
    <w:rsid w:val="00A353FF"/>
    <w:rsid w:val="00A35863"/>
    <w:rsid w:val="00A35AC8"/>
    <w:rsid w:val="00A35E7E"/>
    <w:rsid w:val="00A360E1"/>
    <w:rsid w:val="00A36A65"/>
    <w:rsid w:val="00A36E1D"/>
    <w:rsid w:val="00A374B4"/>
    <w:rsid w:val="00A374D7"/>
    <w:rsid w:val="00A37921"/>
    <w:rsid w:val="00A37DF2"/>
    <w:rsid w:val="00A40406"/>
    <w:rsid w:val="00A40B26"/>
    <w:rsid w:val="00A41435"/>
    <w:rsid w:val="00A41816"/>
    <w:rsid w:val="00A41A3E"/>
    <w:rsid w:val="00A41C29"/>
    <w:rsid w:val="00A429AF"/>
    <w:rsid w:val="00A42CB0"/>
    <w:rsid w:val="00A42FDD"/>
    <w:rsid w:val="00A43517"/>
    <w:rsid w:val="00A43979"/>
    <w:rsid w:val="00A43C7B"/>
    <w:rsid w:val="00A43D5A"/>
    <w:rsid w:val="00A43F66"/>
    <w:rsid w:val="00A43F92"/>
    <w:rsid w:val="00A43FE9"/>
    <w:rsid w:val="00A4449D"/>
    <w:rsid w:val="00A44688"/>
    <w:rsid w:val="00A448E6"/>
    <w:rsid w:val="00A44C2A"/>
    <w:rsid w:val="00A44D10"/>
    <w:rsid w:val="00A44F15"/>
    <w:rsid w:val="00A45023"/>
    <w:rsid w:val="00A451D7"/>
    <w:rsid w:val="00A45D34"/>
    <w:rsid w:val="00A4634F"/>
    <w:rsid w:val="00A46705"/>
    <w:rsid w:val="00A468AD"/>
    <w:rsid w:val="00A469CE"/>
    <w:rsid w:val="00A46A6C"/>
    <w:rsid w:val="00A471A9"/>
    <w:rsid w:val="00A501C4"/>
    <w:rsid w:val="00A504E1"/>
    <w:rsid w:val="00A505DA"/>
    <w:rsid w:val="00A50FA7"/>
    <w:rsid w:val="00A5248E"/>
    <w:rsid w:val="00A524C3"/>
    <w:rsid w:val="00A52DFF"/>
    <w:rsid w:val="00A52F89"/>
    <w:rsid w:val="00A53A67"/>
    <w:rsid w:val="00A542FB"/>
    <w:rsid w:val="00A543A0"/>
    <w:rsid w:val="00A54957"/>
    <w:rsid w:val="00A54A6D"/>
    <w:rsid w:val="00A54CB1"/>
    <w:rsid w:val="00A5505A"/>
    <w:rsid w:val="00A55071"/>
    <w:rsid w:val="00A55612"/>
    <w:rsid w:val="00A5598A"/>
    <w:rsid w:val="00A55B6A"/>
    <w:rsid w:val="00A56942"/>
    <w:rsid w:val="00A57179"/>
    <w:rsid w:val="00A57441"/>
    <w:rsid w:val="00A600BD"/>
    <w:rsid w:val="00A60360"/>
    <w:rsid w:val="00A6070E"/>
    <w:rsid w:val="00A60A53"/>
    <w:rsid w:val="00A60FCB"/>
    <w:rsid w:val="00A610BA"/>
    <w:rsid w:val="00A612C9"/>
    <w:rsid w:val="00A61D43"/>
    <w:rsid w:val="00A61E4C"/>
    <w:rsid w:val="00A61EB9"/>
    <w:rsid w:val="00A6207A"/>
    <w:rsid w:val="00A628DE"/>
    <w:rsid w:val="00A62B0D"/>
    <w:rsid w:val="00A62C92"/>
    <w:rsid w:val="00A62DEF"/>
    <w:rsid w:val="00A63251"/>
    <w:rsid w:val="00A63309"/>
    <w:rsid w:val="00A6357C"/>
    <w:rsid w:val="00A63F7B"/>
    <w:rsid w:val="00A644EB"/>
    <w:rsid w:val="00A64BBD"/>
    <w:rsid w:val="00A64D9E"/>
    <w:rsid w:val="00A65625"/>
    <w:rsid w:val="00A6576D"/>
    <w:rsid w:val="00A65B30"/>
    <w:rsid w:val="00A65C29"/>
    <w:rsid w:val="00A661B8"/>
    <w:rsid w:val="00A6631F"/>
    <w:rsid w:val="00A6688A"/>
    <w:rsid w:val="00A66BEC"/>
    <w:rsid w:val="00A67041"/>
    <w:rsid w:val="00A67257"/>
    <w:rsid w:val="00A67507"/>
    <w:rsid w:val="00A678E6"/>
    <w:rsid w:val="00A67B27"/>
    <w:rsid w:val="00A70462"/>
    <w:rsid w:val="00A70F2F"/>
    <w:rsid w:val="00A70F4C"/>
    <w:rsid w:val="00A7112C"/>
    <w:rsid w:val="00A71CAE"/>
    <w:rsid w:val="00A7279D"/>
    <w:rsid w:val="00A727D1"/>
    <w:rsid w:val="00A72AB7"/>
    <w:rsid w:val="00A7376D"/>
    <w:rsid w:val="00A737E9"/>
    <w:rsid w:val="00A73C91"/>
    <w:rsid w:val="00A74324"/>
    <w:rsid w:val="00A74486"/>
    <w:rsid w:val="00A7496A"/>
    <w:rsid w:val="00A75CAD"/>
    <w:rsid w:val="00A760BA"/>
    <w:rsid w:val="00A7619A"/>
    <w:rsid w:val="00A7678D"/>
    <w:rsid w:val="00A76994"/>
    <w:rsid w:val="00A77D83"/>
    <w:rsid w:val="00A8019D"/>
    <w:rsid w:val="00A8019F"/>
    <w:rsid w:val="00A808D6"/>
    <w:rsid w:val="00A80AAA"/>
    <w:rsid w:val="00A81881"/>
    <w:rsid w:val="00A81BF8"/>
    <w:rsid w:val="00A81C0C"/>
    <w:rsid w:val="00A81C47"/>
    <w:rsid w:val="00A8241B"/>
    <w:rsid w:val="00A83231"/>
    <w:rsid w:val="00A83692"/>
    <w:rsid w:val="00A83906"/>
    <w:rsid w:val="00A83A0A"/>
    <w:rsid w:val="00A84A56"/>
    <w:rsid w:val="00A84BD0"/>
    <w:rsid w:val="00A84F73"/>
    <w:rsid w:val="00A85358"/>
    <w:rsid w:val="00A85B3E"/>
    <w:rsid w:val="00A85DE5"/>
    <w:rsid w:val="00A86A57"/>
    <w:rsid w:val="00A86ECE"/>
    <w:rsid w:val="00A8724C"/>
    <w:rsid w:val="00A87343"/>
    <w:rsid w:val="00A8759D"/>
    <w:rsid w:val="00A87C72"/>
    <w:rsid w:val="00A87ED9"/>
    <w:rsid w:val="00A9015A"/>
    <w:rsid w:val="00A90AE7"/>
    <w:rsid w:val="00A913CB"/>
    <w:rsid w:val="00A92515"/>
    <w:rsid w:val="00A9273F"/>
    <w:rsid w:val="00A9309F"/>
    <w:rsid w:val="00A938D2"/>
    <w:rsid w:val="00A93930"/>
    <w:rsid w:val="00A93C39"/>
    <w:rsid w:val="00A93C76"/>
    <w:rsid w:val="00A93ECD"/>
    <w:rsid w:val="00A946EB"/>
    <w:rsid w:val="00A950C0"/>
    <w:rsid w:val="00A95B4F"/>
    <w:rsid w:val="00A95C95"/>
    <w:rsid w:val="00A95DD4"/>
    <w:rsid w:val="00A96B30"/>
    <w:rsid w:val="00A96FF5"/>
    <w:rsid w:val="00A97164"/>
    <w:rsid w:val="00A9745A"/>
    <w:rsid w:val="00A97517"/>
    <w:rsid w:val="00A97828"/>
    <w:rsid w:val="00A97C47"/>
    <w:rsid w:val="00AA03AD"/>
    <w:rsid w:val="00AA0B88"/>
    <w:rsid w:val="00AA0BDF"/>
    <w:rsid w:val="00AA103C"/>
    <w:rsid w:val="00AA16AB"/>
    <w:rsid w:val="00AA1854"/>
    <w:rsid w:val="00AA1B34"/>
    <w:rsid w:val="00AA2B65"/>
    <w:rsid w:val="00AA3350"/>
    <w:rsid w:val="00AA350F"/>
    <w:rsid w:val="00AA38B3"/>
    <w:rsid w:val="00AA4058"/>
    <w:rsid w:val="00AA47D4"/>
    <w:rsid w:val="00AA4F34"/>
    <w:rsid w:val="00AA507F"/>
    <w:rsid w:val="00AA57BA"/>
    <w:rsid w:val="00AA5F02"/>
    <w:rsid w:val="00AA6832"/>
    <w:rsid w:val="00AA6966"/>
    <w:rsid w:val="00AA6ADB"/>
    <w:rsid w:val="00AA6DDE"/>
    <w:rsid w:val="00AA72B8"/>
    <w:rsid w:val="00AA73F0"/>
    <w:rsid w:val="00AA7EB6"/>
    <w:rsid w:val="00AB0340"/>
    <w:rsid w:val="00AB097B"/>
    <w:rsid w:val="00AB1335"/>
    <w:rsid w:val="00AB13BE"/>
    <w:rsid w:val="00AB17FB"/>
    <w:rsid w:val="00AB1A12"/>
    <w:rsid w:val="00AB2621"/>
    <w:rsid w:val="00AB27B0"/>
    <w:rsid w:val="00AB2C57"/>
    <w:rsid w:val="00AB2F0E"/>
    <w:rsid w:val="00AB3876"/>
    <w:rsid w:val="00AB3BCB"/>
    <w:rsid w:val="00AB3E2F"/>
    <w:rsid w:val="00AB4C74"/>
    <w:rsid w:val="00AB4C76"/>
    <w:rsid w:val="00AB4DEF"/>
    <w:rsid w:val="00AB528A"/>
    <w:rsid w:val="00AB5752"/>
    <w:rsid w:val="00AB616B"/>
    <w:rsid w:val="00AB6216"/>
    <w:rsid w:val="00AB68D3"/>
    <w:rsid w:val="00AB6C91"/>
    <w:rsid w:val="00AB6E42"/>
    <w:rsid w:val="00AB78D2"/>
    <w:rsid w:val="00AB7E1A"/>
    <w:rsid w:val="00AC0462"/>
    <w:rsid w:val="00AC0920"/>
    <w:rsid w:val="00AC10C3"/>
    <w:rsid w:val="00AC1399"/>
    <w:rsid w:val="00AC1575"/>
    <w:rsid w:val="00AC15F7"/>
    <w:rsid w:val="00AC1DD4"/>
    <w:rsid w:val="00AC1E13"/>
    <w:rsid w:val="00AC1E36"/>
    <w:rsid w:val="00AC2331"/>
    <w:rsid w:val="00AC2702"/>
    <w:rsid w:val="00AC2A24"/>
    <w:rsid w:val="00AC2AB9"/>
    <w:rsid w:val="00AC2B3C"/>
    <w:rsid w:val="00AC2E5A"/>
    <w:rsid w:val="00AC3475"/>
    <w:rsid w:val="00AC34C9"/>
    <w:rsid w:val="00AC36BB"/>
    <w:rsid w:val="00AC3766"/>
    <w:rsid w:val="00AC436C"/>
    <w:rsid w:val="00AC4816"/>
    <w:rsid w:val="00AC5047"/>
    <w:rsid w:val="00AC564D"/>
    <w:rsid w:val="00AC5DD6"/>
    <w:rsid w:val="00AC623F"/>
    <w:rsid w:val="00AC7241"/>
    <w:rsid w:val="00AC7392"/>
    <w:rsid w:val="00AD0059"/>
    <w:rsid w:val="00AD016E"/>
    <w:rsid w:val="00AD0612"/>
    <w:rsid w:val="00AD0B96"/>
    <w:rsid w:val="00AD0DB7"/>
    <w:rsid w:val="00AD104A"/>
    <w:rsid w:val="00AD112C"/>
    <w:rsid w:val="00AD1280"/>
    <w:rsid w:val="00AD34A9"/>
    <w:rsid w:val="00AD3951"/>
    <w:rsid w:val="00AD420F"/>
    <w:rsid w:val="00AD437C"/>
    <w:rsid w:val="00AD4494"/>
    <w:rsid w:val="00AD4ACD"/>
    <w:rsid w:val="00AD4E54"/>
    <w:rsid w:val="00AD5A57"/>
    <w:rsid w:val="00AD5CB5"/>
    <w:rsid w:val="00AD5D13"/>
    <w:rsid w:val="00AD5EA8"/>
    <w:rsid w:val="00AD7001"/>
    <w:rsid w:val="00AD7389"/>
    <w:rsid w:val="00AD7411"/>
    <w:rsid w:val="00AD793F"/>
    <w:rsid w:val="00AD7B53"/>
    <w:rsid w:val="00AD7BB5"/>
    <w:rsid w:val="00AD7DA3"/>
    <w:rsid w:val="00AE0D31"/>
    <w:rsid w:val="00AE0E28"/>
    <w:rsid w:val="00AE205A"/>
    <w:rsid w:val="00AE222C"/>
    <w:rsid w:val="00AE2AB4"/>
    <w:rsid w:val="00AE32E6"/>
    <w:rsid w:val="00AE36EB"/>
    <w:rsid w:val="00AE397D"/>
    <w:rsid w:val="00AE3AFE"/>
    <w:rsid w:val="00AE42E0"/>
    <w:rsid w:val="00AE4E6A"/>
    <w:rsid w:val="00AE545B"/>
    <w:rsid w:val="00AE6480"/>
    <w:rsid w:val="00AE6613"/>
    <w:rsid w:val="00AE6F0C"/>
    <w:rsid w:val="00AE6FB5"/>
    <w:rsid w:val="00AE7B63"/>
    <w:rsid w:val="00AE7FA2"/>
    <w:rsid w:val="00AF004D"/>
    <w:rsid w:val="00AF09B4"/>
    <w:rsid w:val="00AF1158"/>
    <w:rsid w:val="00AF13C0"/>
    <w:rsid w:val="00AF14C0"/>
    <w:rsid w:val="00AF17DC"/>
    <w:rsid w:val="00AF1C4E"/>
    <w:rsid w:val="00AF271E"/>
    <w:rsid w:val="00AF28F5"/>
    <w:rsid w:val="00AF30A6"/>
    <w:rsid w:val="00AF40C7"/>
    <w:rsid w:val="00AF46A5"/>
    <w:rsid w:val="00AF4CDC"/>
    <w:rsid w:val="00AF4E36"/>
    <w:rsid w:val="00AF505F"/>
    <w:rsid w:val="00AF5094"/>
    <w:rsid w:val="00AF5D66"/>
    <w:rsid w:val="00AF5EEA"/>
    <w:rsid w:val="00AF721E"/>
    <w:rsid w:val="00AF77C4"/>
    <w:rsid w:val="00AF7A11"/>
    <w:rsid w:val="00AF7F39"/>
    <w:rsid w:val="00B0032C"/>
    <w:rsid w:val="00B00825"/>
    <w:rsid w:val="00B00925"/>
    <w:rsid w:val="00B01639"/>
    <w:rsid w:val="00B017F8"/>
    <w:rsid w:val="00B02262"/>
    <w:rsid w:val="00B03DCE"/>
    <w:rsid w:val="00B03F47"/>
    <w:rsid w:val="00B04559"/>
    <w:rsid w:val="00B0467F"/>
    <w:rsid w:val="00B04EFE"/>
    <w:rsid w:val="00B05195"/>
    <w:rsid w:val="00B05789"/>
    <w:rsid w:val="00B05F20"/>
    <w:rsid w:val="00B05FBF"/>
    <w:rsid w:val="00B06033"/>
    <w:rsid w:val="00B06074"/>
    <w:rsid w:val="00B060F4"/>
    <w:rsid w:val="00B068A3"/>
    <w:rsid w:val="00B06D5F"/>
    <w:rsid w:val="00B06EB4"/>
    <w:rsid w:val="00B0701A"/>
    <w:rsid w:val="00B07086"/>
    <w:rsid w:val="00B072E1"/>
    <w:rsid w:val="00B076D0"/>
    <w:rsid w:val="00B078F5"/>
    <w:rsid w:val="00B07B43"/>
    <w:rsid w:val="00B10BAA"/>
    <w:rsid w:val="00B1153D"/>
    <w:rsid w:val="00B123BF"/>
    <w:rsid w:val="00B124BB"/>
    <w:rsid w:val="00B12606"/>
    <w:rsid w:val="00B127FC"/>
    <w:rsid w:val="00B13299"/>
    <w:rsid w:val="00B137F1"/>
    <w:rsid w:val="00B137F5"/>
    <w:rsid w:val="00B13AFA"/>
    <w:rsid w:val="00B13B84"/>
    <w:rsid w:val="00B13D7F"/>
    <w:rsid w:val="00B13DC1"/>
    <w:rsid w:val="00B13DC4"/>
    <w:rsid w:val="00B14133"/>
    <w:rsid w:val="00B14261"/>
    <w:rsid w:val="00B159EE"/>
    <w:rsid w:val="00B16071"/>
    <w:rsid w:val="00B1682E"/>
    <w:rsid w:val="00B168FF"/>
    <w:rsid w:val="00B17061"/>
    <w:rsid w:val="00B17E5C"/>
    <w:rsid w:val="00B202EA"/>
    <w:rsid w:val="00B20916"/>
    <w:rsid w:val="00B20A69"/>
    <w:rsid w:val="00B20F3E"/>
    <w:rsid w:val="00B21432"/>
    <w:rsid w:val="00B21A84"/>
    <w:rsid w:val="00B21B97"/>
    <w:rsid w:val="00B21D72"/>
    <w:rsid w:val="00B21F7D"/>
    <w:rsid w:val="00B221A1"/>
    <w:rsid w:val="00B22404"/>
    <w:rsid w:val="00B224F8"/>
    <w:rsid w:val="00B2299C"/>
    <w:rsid w:val="00B22DB7"/>
    <w:rsid w:val="00B23384"/>
    <w:rsid w:val="00B23666"/>
    <w:rsid w:val="00B245A9"/>
    <w:rsid w:val="00B24AC7"/>
    <w:rsid w:val="00B250BC"/>
    <w:rsid w:val="00B2516B"/>
    <w:rsid w:val="00B256A1"/>
    <w:rsid w:val="00B25842"/>
    <w:rsid w:val="00B25F66"/>
    <w:rsid w:val="00B260F0"/>
    <w:rsid w:val="00B26502"/>
    <w:rsid w:val="00B26561"/>
    <w:rsid w:val="00B265F1"/>
    <w:rsid w:val="00B26705"/>
    <w:rsid w:val="00B26762"/>
    <w:rsid w:val="00B26C5B"/>
    <w:rsid w:val="00B27159"/>
    <w:rsid w:val="00B27858"/>
    <w:rsid w:val="00B27B88"/>
    <w:rsid w:val="00B27C5C"/>
    <w:rsid w:val="00B27F9C"/>
    <w:rsid w:val="00B3035A"/>
    <w:rsid w:val="00B30C5A"/>
    <w:rsid w:val="00B30DB7"/>
    <w:rsid w:val="00B30DF2"/>
    <w:rsid w:val="00B312BA"/>
    <w:rsid w:val="00B31A1B"/>
    <w:rsid w:val="00B31E91"/>
    <w:rsid w:val="00B32159"/>
    <w:rsid w:val="00B32321"/>
    <w:rsid w:val="00B3246E"/>
    <w:rsid w:val="00B331F5"/>
    <w:rsid w:val="00B333D8"/>
    <w:rsid w:val="00B35838"/>
    <w:rsid w:val="00B36077"/>
    <w:rsid w:val="00B36129"/>
    <w:rsid w:val="00B36744"/>
    <w:rsid w:val="00B3773C"/>
    <w:rsid w:val="00B3797E"/>
    <w:rsid w:val="00B37D72"/>
    <w:rsid w:val="00B37E69"/>
    <w:rsid w:val="00B40305"/>
    <w:rsid w:val="00B40DD9"/>
    <w:rsid w:val="00B40E53"/>
    <w:rsid w:val="00B41021"/>
    <w:rsid w:val="00B41433"/>
    <w:rsid w:val="00B4176A"/>
    <w:rsid w:val="00B417CD"/>
    <w:rsid w:val="00B41B51"/>
    <w:rsid w:val="00B41BA8"/>
    <w:rsid w:val="00B42128"/>
    <w:rsid w:val="00B42398"/>
    <w:rsid w:val="00B43277"/>
    <w:rsid w:val="00B43CA6"/>
    <w:rsid w:val="00B44392"/>
    <w:rsid w:val="00B44B48"/>
    <w:rsid w:val="00B44D69"/>
    <w:rsid w:val="00B44F4F"/>
    <w:rsid w:val="00B45452"/>
    <w:rsid w:val="00B4553C"/>
    <w:rsid w:val="00B46884"/>
    <w:rsid w:val="00B46D9E"/>
    <w:rsid w:val="00B470BF"/>
    <w:rsid w:val="00B47153"/>
    <w:rsid w:val="00B47FD4"/>
    <w:rsid w:val="00B519D2"/>
    <w:rsid w:val="00B519ED"/>
    <w:rsid w:val="00B51B7C"/>
    <w:rsid w:val="00B5244C"/>
    <w:rsid w:val="00B5295E"/>
    <w:rsid w:val="00B5310E"/>
    <w:rsid w:val="00B532D4"/>
    <w:rsid w:val="00B534B0"/>
    <w:rsid w:val="00B53894"/>
    <w:rsid w:val="00B53B26"/>
    <w:rsid w:val="00B53CF5"/>
    <w:rsid w:val="00B54CCC"/>
    <w:rsid w:val="00B54CFA"/>
    <w:rsid w:val="00B5528B"/>
    <w:rsid w:val="00B55527"/>
    <w:rsid w:val="00B55AC9"/>
    <w:rsid w:val="00B55D0B"/>
    <w:rsid w:val="00B55E9D"/>
    <w:rsid w:val="00B55F39"/>
    <w:rsid w:val="00B56520"/>
    <w:rsid w:val="00B60306"/>
    <w:rsid w:val="00B6031E"/>
    <w:rsid w:val="00B6055E"/>
    <w:rsid w:val="00B61093"/>
    <w:rsid w:val="00B611C9"/>
    <w:rsid w:val="00B616A7"/>
    <w:rsid w:val="00B61FF3"/>
    <w:rsid w:val="00B6361A"/>
    <w:rsid w:val="00B63B25"/>
    <w:rsid w:val="00B63B29"/>
    <w:rsid w:val="00B63E92"/>
    <w:rsid w:val="00B6442F"/>
    <w:rsid w:val="00B64850"/>
    <w:rsid w:val="00B64B0A"/>
    <w:rsid w:val="00B65666"/>
    <w:rsid w:val="00B660C0"/>
    <w:rsid w:val="00B66321"/>
    <w:rsid w:val="00B663A1"/>
    <w:rsid w:val="00B6657A"/>
    <w:rsid w:val="00B668CE"/>
    <w:rsid w:val="00B66BD8"/>
    <w:rsid w:val="00B66DDF"/>
    <w:rsid w:val="00B67BE3"/>
    <w:rsid w:val="00B67EBF"/>
    <w:rsid w:val="00B7090F"/>
    <w:rsid w:val="00B70BF6"/>
    <w:rsid w:val="00B70FA7"/>
    <w:rsid w:val="00B715E7"/>
    <w:rsid w:val="00B71B6C"/>
    <w:rsid w:val="00B721AF"/>
    <w:rsid w:val="00B7270C"/>
    <w:rsid w:val="00B72C9E"/>
    <w:rsid w:val="00B730B5"/>
    <w:rsid w:val="00B73265"/>
    <w:rsid w:val="00B733C5"/>
    <w:rsid w:val="00B73A99"/>
    <w:rsid w:val="00B741B3"/>
    <w:rsid w:val="00B745CF"/>
    <w:rsid w:val="00B7490D"/>
    <w:rsid w:val="00B75334"/>
    <w:rsid w:val="00B755D4"/>
    <w:rsid w:val="00B76221"/>
    <w:rsid w:val="00B76802"/>
    <w:rsid w:val="00B769E1"/>
    <w:rsid w:val="00B770A5"/>
    <w:rsid w:val="00B775A5"/>
    <w:rsid w:val="00B777A6"/>
    <w:rsid w:val="00B77DF6"/>
    <w:rsid w:val="00B77E44"/>
    <w:rsid w:val="00B77F51"/>
    <w:rsid w:val="00B8002A"/>
    <w:rsid w:val="00B80253"/>
    <w:rsid w:val="00B80455"/>
    <w:rsid w:val="00B80E6E"/>
    <w:rsid w:val="00B80F60"/>
    <w:rsid w:val="00B8102A"/>
    <w:rsid w:val="00B816E3"/>
    <w:rsid w:val="00B81793"/>
    <w:rsid w:val="00B81E99"/>
    <w:rsid w:val="00B82263"/>
    <w:rsid w:val="00B82B29"/>
    <w:rsid w:val="00B82E87"/>
    <w:rsid w:val="00B8381A"/>
    <w:rsid w:val="00B8402F"/>
    <w:rsid w:val="00B84A85"/>
    <w:rsid w:val="00B859F6"/>
    <w:rsid w:val="00B85F09"/>
    <w:rsid w:val="00B8638C"/>
    <w:rsid w:val="00B86513"/>
    <w:rsid w:val="00B86921"/>
    <w:rsid w:val="00B8692C"/>
    <w:rsid w:val="00B86C00"/>
    <w:rsid w:val="00B87543"/>
    <w:rsid w:val="00B879BA"/>
    <w:rsid w:val="00B87F83"/>
    <w:rsid w:val="00B90391"/>
    <w:rsid w:val="00B9098F"/>
    <w:rsid w:val="00B910DE"/>
    <w:rsid w:val="00B91127"/>
    <w:rsid w:val="00B911F8"/>
    <w:rsid w:val="00B915DC"/>
    <w:rsid w:val="00B91744"/>
    <w:rsid w:val="00B91AF1"/>
    <w:rsid w:val="00B930AF"/>
    <w:rsid w:val="00B93714"/>
    <w:rsid w:val="00B93B64"/>
    <w:rsid w:val="00B9435C"/>
    <w:rsid w:val="00B951A9"/>
    <w:rsid w:val="00B9544F"/>
    <w:rsid w:val="00B95E40"/>
    <w:rsid w:val="00B960F4"/>
    <w:rsid w:val="00B96A83"/>
    <w:rsid w:val="00B96D38"/>
    <w:rsid w:val="00B96D9C"/>
    <w:rsid w:val="00B96FFE"/>
    <w:rsid w:val="00B97064"/>
    <w:rsid w:val="00B972CC"/>
    <w:rsid w:val="00B974C1"/>
    <w:rsid w:val="00B9763D"/>
    <w:rsid w:val="00B976DF"/>
    <w:rsid w:val="00B97B51"/>
    <w:rsid w:val="00BA0427"/>
    <w:rsid w:val="00BA0732"/>
    <w:rsid w:val="00BA0BF0"/>
    <w:rsid w:val="00BA0FC6"/>
    <w:rsid w:val="00BA1F77"/>
    <w:rsid w:val="00BA23A4"/>
    <w:rsid w:val="00BA2CA9"/>
    <w:rsid w:val="00BA2EC7"/>
    <w:rsid w:val="00BA2F27"/>
    <w:rsid w:val="00BA31B1"/>
    <w:rsid w:val="00BA33B9"/>
    <w:rsid w:val="00BA39B3"/>
    <w:rsid w:val="00BA3F93"/>
    <w:rsid w:val="00BA42D5"/>
    <w:rsid w:val="00BA4871"/>
    <w:rsid w:val="00BA4D64"/>
    <w:rsid w:val="00BA5097"/>
    <w:rsid w:val="00BA5712"/>
    <w:rsid w:val="00BA5FB9"/>
    <w:rsid w:val="00BA6A50"/>
    <w:rsid w:val="00BA7283"/>
    <w:rsid w:val="00BA7508"/>
    <w:rsid w:val="00BA7A67"/>
    <w:rsid w:val="00BA7A8D"/>
    <w:rsid w:val="00BA7AF8"/>
    <w:rsid w:val="00BB00C5"/>
    <w:rsid w:val="00BB0B4D"/>
    <w:rsid w:val="00BB0C6C"/>
    <w:rsid w:val="00BB1294"/>
    <w:rsid w:val="00BB130A"/>
    <w:rsid w:val="00BB133F"/>
    <w:rsid w:val="00BB20A0"/>
    <w:rsid w:val="00BB2784"/>
    <w:rsid w:val="00BB28FF"/>
    <w:rsid w:val="00BB2D5B"/>
    <w:rsid w:val="00BB2D66"/>
    <w:rsid w:val="00BB31AE"/>
    <w:rsid w:val="00BB440C"/>
    <w:rsid w:val="00BB4DB9"/>
    <w:rsid w:val="00BB7E98"/>
    <w:rsid w:val="00BB7F58"/>
    <w:rsid w:val="00BC0256"/>
    <w:rsid w:val="00BC04C1"/>
    <w:rsid w:val="00BC069A"/>
    <w:rsid w:val="00BC09B9"/>
    <w:rsid w:val="00BC0AD6"/>
    <w:rsid w:val="00BC0B3C"/>
    <w:rsid w:val="00BC0CCD"/>
    <w:rsid w:val="00BC0D37"/>
    <w:rsid w:val="00BC0EF8"/>
    <w:rsid w:val="00BC12FD"/>
    <w:rsid w:val="00BC1D9A"/>
    <w:rsid w:val="00BC1E15"/>
    <w:rsid w:val="00BC1EDC"/>
    <w:rsid w:val="00BC245B"/>
    <w:rsid w:val="00BC299F"/>
    <w:rsid w:val="00BC2B91"/>
    <w:rsid w:val="00BC2D9C"/>
    <w:rsid w:val="00BC2F4B"/>
    <w:rsid w:val="00BC3F75"/>
    <w:rsid w:val="00BC3FEA"/>
    <w:rsid w:val="00BC546A"/>
    <w:rsid w:val="00BC56A6"/>
    <w:rsid w:val="00BC56EC"/>
    <w:rsid w:val="00BC596C"/>
    <w:rsid w:val="00BC5BE3"/>
    <w:rsid w:val="00BC5DB8"/>
    <w:rsid w:val="00BC68A2"/>
    <w:rsid w:val="00BC6B00"/>
    <w:rsid w:val="00BC7028"/>
    <w:rsid w:val="00BC7029"/>
    <w:rsid w:val="00BD0068"/>
    <w:rsid w:val="00BD0645"/>
    <w:rsid w:val="00BD0F63"/>
    <w:rsid w:val="00BD1C53"/>
    <w:rsid w:val="00BD25F0"/>
    <w:rsid w:val="00BD286C"/>
    <w:rsid w:val="00BD2D89"/>
    <w:rsid w:val="00BD2E20"/>
    <w:rsid w:val="00BD30E1"/>
    <w:rsid w:val="00BD31B8"/>
    <w:rsid w:val="00BD361C"/>
    <w:rsid w:val="00BD372E"/>
    <w:rsid w:val="00BD3BB1"/>
    <w:rsid w:val="00BD46FD"/>
    <w:rsid w:val="00BD55E9"/>
    <w:rsid w:val="00BD5927"/>
    <w:rsid w:val="00BD68B0"/>
    <w:rsid w:val="00BD6CF9"/>
    <w:rsid w:val="00BD6D4A"/>
    <w:rsid w:val="00BD762D"/>
    <w:rsid w:val="00BD76FF"/>
    <w:rsid w:val="00BD7BCA"/>
    <w:rsid w:val="00BD7C07"/>
    <w:rsid w:val="00BD7FE5"/>
    <w:rsid w:val="00BE04ED"/>
    <w:rsid w:val="00BE1A73"/>
    <w:rsid w:val="00BE1C36"/>
    <w:rsid w:val="00BE21DA"/>
    <w:rsid w:val="00BE2220"/>
    <w:rsid w:val="00BE2511"/>
    <w:rsid w:val="00BE2567"/>
    <w:rsid w:val="00BE265D"/>
    <w:rsid w:val="00BE27D5"/>
    <w:rsid w:val="00BE3438"/>
    <w:rsid w:val="00BE3925"/>
    <w:rsid w:val="00BE3DD0"/>
    <w:rsid w:val="00BE41D7"/>
    <w:rsid w:val="00BE556C"/>
    <w:rsid w:val="00BE5AE5"/>
    <w:rsid w:val="00BE5CD8"/>
    <w:rsid w:val="00BE5F98"/>
    <w:rsid w:val="00BE60BE"/>
    <w:rsid w:val="00BE7193"/>
    <w:rsid w:val="00BE7B73"/>
    <w:rsid w:val="00BE7F23"/>
    <w:rsid w:val="00BF0AB0"/>
    <w:rsid w:val="00BF0ADC"/>
    <w:rsid w:val="00BF0EF9"/>
    <w:rsid w:val="00BF1003"/>
    <w:rsid w:val="00BF181E"/>
    <w:rsid w:val="00BF1F45"/>
    <w:rsid w:val="00BF1F77"/>
    <w:rsid w:val="00BF2503"/>
    <w:rsid w:val="00BF2926"/>
    <w:rsid w:val="00BF2A17"/>
    <w:rsid w:val="00BF30EA"/>
    <w:rsid w:val="00BF383A"/>
    <w:rsid w:val="00BF39C5"/>
    <w:rsid w:val="00BF3AE3"/>
    <w:rsid w:val="00BF41C3"/>
    <w:rsid w:val="00BF462E"/>
    <w:rsid w:val="00BF46E6"/>
    <w:rsid w:val="00BF491E"/>
    <w:rsid w:val="00BF4C5A"/>
    <w:rsid w:val="00BF4D1D"/>
    <w:rsid w:val="00BF54C4"/>
    <w:rsid w:val="00BF5BCD"/>
    <w:rsid w:val="00BF5C9F"/>
    <w:rsid w:val="00BF5D30"/>
    <w:rsid w:val="00BF615F"/>
    <w:rsid w:val="00BF628E"/>
    <w:rsid w:val="00BF64CE"/>
    <w:rsid w:val="00BF75E5"/>
    <w:rsid w:val="00BF77F2"/>
    <w:rsid w:val="00BF7807"/>
    <w:rsid w:val="00BF7F30"/>
    <w:rsid w:val="00C000C8"/>
    <w:rsid w:val="00C00111"/>
    <w:rsid w:val="00C006AF"/>
    <w:rsid w:val="00C00DC6"/>
    <w:rsid w:val="00C00F44"/>
    <w:rsid w:val="00C012CD"/>
    <w:rsid w:val="00C01548"/>
    <w:rsid w:val="00C0180B"/>
    <w:rsid w:val="00C02900"/>
    <w:rsid w:val="00C03455"/>
    <w:rsid w:val="00C03483"/>
    <w:rsid w:val="00C036F4"/>
    <w:rsid w:val="00C03908"/>
    <w:rsid w:val="00C03EDB"/>
    <w:rsid w:val="00C044F3"/>
    <w:rsid w:val="00C079C3"/>
    <w:rsid w:val="00C079DE"/>
    <w:rsid w:val="00C111C9"/>
    <w:rsid w:val="00C11BEE"/>
    <w:rsid w:val="00C11E92"/>
    <w:rsid w:val="00C12C8E"/>
    <w:rsid w:val="00C12CCD"/>
    <w:rsid w:val="00C13B94"/>
    <w:rsid w:val="00C14F3F"/>
    <w:rsid w:val="00C15203"/>
    <w:rsid w:val="00C15498"/>
    <w:rsid w:val="00C161A9"/>
    <w:rsid w:val="00C16D84"/>
    <w:rsid w:val="00C17142"/>
    <w:rsid w:val="00C174C3"/>
    <w:rsid w:val="00C17DDE"/>
    <w:rsid w:val="00C17E4E"/>
    <w:rsid w:val="00C20C2E"/>
    <w:rsid w:val="00C20ECA"/>
    <w:rsid w:val="00C21532"/>
    <w:rsid w:val="00C21843"/>
    <w:rsid w:val="00C218CD"/>
    <w:rsid w:val="00C21F1C"/>
    <w:rsid w:val="00C22AC7"/>
    <w:rsid w:val="00C22DA4"/>
    <w:rsid w:val="00C22F65"/>
    <w:rsid w:val="00C23A39"/>
    <w:rsid w:val="00C23ABD"/>
    <w:rsid w:val="00C23BFB"/>
    <w:rsid w:val="00C23E41"/>
    <w:rsid w:val="00C23EB2"/>
    <w:rsid w:val="00C243C8"/>
    <w:rsid w:val="00C244F4"/>
    <w:rsid w:val="00C24566"/>
    <w:rsid w:val="00C24582"/>
    <w:rsid w:val="00C25855"/>
    <w:rsid w:val="00C25C5A"/>
    <w:rsid w:val="00C262D7"/>
    <w:rsid w:val="00C26363"/>
    <w:rsid w:val="00C263AB"/>
    <w:rsid w:val="00C26CC0"/>
    <w:rsid w:val="00C26DAF"/>
    <w:rsid w:val="00C26DD0"/>
    <w:rsid w:val="00C2702B"/>
    <w:rsid w:val="00C270B0"/>
    <w:rsid w:val="00C27199"/>
    <w:rsid w:val="00C30753"/>
    <w:rsid w:val="00C308E6"/>
    <w:rsid w:val="00C30C33"/>
    <w:rsid w:val="00C311AA"/>
    <w:rsid w:val="00C31791"/>
    <w:rsid w:val="00C31C9F"/>
    <w:rsid w:val="00C33121"/>
    <w:rsid w:val="00C33457"/>
    <w:rsid w:val="00C335B7"/>
    <w:rsid w:val="00C335FC"/>
    <w:rsid w:val="00C3380F"/>
    <w:rsid w:val="00C33970"/>
    <w:rsid w:val="00C33D9B"/>
    <w:rsid w:val="00C33E85"/>
    <w:rsid w:val="00C3406D"/>
    <w:rsid w:val="00C341B4"/>
    <w:rsid w:val="00C34A6F"/>
    <w:rsid w:val="00C35117"/>
    <w:rsid w:val="00C354BB"/>
    <w:rsid w:val="00C35E2D"/>
    <w:rsid w:val="00C361A4"/>
    <w:rsid w:val="00C3717B"/>
    <w:rsid w:val="00C3725B"/>
    <w:rsid w:val="00C3729A"/>
    <w:rsid w:val="00C37314"/>
    <w:rsid w:val="00C37C03"/>
    <w:rsid w:val="00C37F79"/>
    <w:rsid w:val="00C408DC"/>
    <w:rsid w:val="00C410AE"/>
    <w:rsid w:val="00C41938"/>
    <w:rsid w:val="00C41939"/>
    <w:rsid w:val="00C41D80"/>
    <w:rsid w:val="00C4223F"/>
    <w:rsid w:val="00C42C69"/>
    <w:rsid w:val="00C438BA"/>
    <w:rsid w:val="00C451D5"/>
    <w:rsid w:val="00C45A85"/>
    <w:rsid w:val="00C4669A"/>
    <w:rsid w:val="00C47567"/>
    <w:rsid w:val="00C479C2"/>
    <w:rsid w:val="00C515E2"/>
    <w:rsid w:val="00C51AB6"/>
    <w:rsid w:val="00C526E3"/>
    <w:rsid w:val="00C52BB7"/>
    <w:rsid w:val="00C52C63"/>
    <w:rsid w:val="00C534BA"/>
    <w:rsid w:val="00C534CF"/>
    <w:rsid w:val="00C53640"/>
    <w:rsid w:val="00C5373F"/>
    <w:rsid w:val="00C53E33"/>
    <w:rsid w:val="00C540CC"/>
    <w:rsid w:val="00C54530"/>
    <w:rsid w:val="00C54A43"/>
    <w:rsid w:val="00C54EAA"/>
    <w:rsid w:val="00C552BB"/>
    <w:rsid w:val="00C5696A"/>
    <w:rsid w:val="00C56DD4"/>
    <w:rsid w:val="00C572B0"/>
    <w:rsid w:val="00C574C4"/>
    <w:rsid w:val="00C57724"/>
    <w:rsid w:val="00C60A23"/>
    <w:rsid w:val="00C60DF6"/>
    <w:rsid w:val="00C6140F"/>
    <w:rsid w:val="00C61D0B"/>
    <w:rsid w:val="00C62163"/>
    <w:rsid w:val="00C630F4"/>
    <w:rsid w:val="00C63480"/>
    <w:rsid w:val="00C63604"/>
    <w:rsid w:val="00C63838"/>
    <w:rsid w:val="00C64775"/>
    <w:rsid w:val="00C653D9"/>
    <w:rsid w:val="00C656D3"/>
    <w:rsid w:val="00C65B4C"/>
    <w:rsid w:val="00C65C1A"/>
    <w:rsid w:val="00C6633A"/>
    <w:rsid w:val="00C66389"/>
    <w:rsid w:val="00C66B4B"/>
    <w:rsid w:val="00C66D49"/>
    <w:rsid w:val="00C6715A"/>
    <w:rsid w:val="00C677E7"/>
    <w:rsid w:val="00C67DD6"/>
    <w:rsid w:val="00C70362"/>
    <w:rsid w:val="00C7160E"/>
    <w:rsid w:val="00C71C4A"/>
    <w:rsid w:val="00C72125"/>
    <w:rsid w:val="00C722B0"/>
    <w:rsid w:val="00C7266E"/>
    <w:rsid w:val="00C73D3D"/>
    <w:rsid w:val="00C740B0"/>
    <w:rsid w:val="00C74C01"/>
    <w:rsid w:val="00C75767"/>
    <w:rsid w:val="00C76540"/>
    <w:rsid w:val="00C7672B"/>
    <w:rsid w:val="00C76763"/>
    <w:rsid w:val="00C76816"/>
    <w:rsid w:val="00C76ADC"/>
    <w:rsid w:val="00C76DDF"/>
    <w:rsid w:val="00C7793F"/>
    <w:rsid w:val="00C77C85"/>
    <w:rsid w:val="00C8026B"/>
    <w:rsid w:val="00C80599"/>
    <w:rsid w:val="00C8067D"/>
    <w:rsid w:val="00C812A0"/>
    <w:rsid w:val="00C81472"/>
    <w:rsid w:val="00C8151C"/>
    <w:rsid w:val="00C81EB1"/>
    <w:rsid w:val="00C825F1"/>
    <w:rsid w:val="00C82D0D"/>
    <w:rsid w:val="00C83888"/>
    <w:rsid w:val="00C83A69"/>
    <w:rsid w:val="00C83E1F"/>
    <w:rsid w:val="00C8460C"/>
    <w:rsid w:val="00C8475B"/>
    <w:rsid w:val="00C8481F"/>
    <w:rsid w:val="00C8492A"/>
    <w:rsid w:val="00C84DF5"/>
    <w:rsid w:val="00C85196"/>
    <w:rsid w:val="00C853F2"/>
    <w:rsid w:val="00C85991"/>
    <w:rsid w:val="00C866BC"/>
    <w:rsid w:val="00C86ADF"/>
    <w:rsid w:val="00C872B6"/>
    <w:rsid w:val="00C87A2F"/>
    <w:rsid w:val="00C87F03"/>
    <w:rsid w:val="00C90372"/>
    <w:rsid w:val="00C90807"/>
    <w:rsid w:val="00C90F36"/>
    <w:rsid w:val="00C912A2"/>
    <w:rsid w:val="00C91427"/>
    <w:rsid w:val="00C9192D"/>
    <w:rsid w:val="00C91D4F"/>
    <w:rsid w:val="00C926C1"/>
    <w:rsid w:val="00C92F89"/>
    <w:rsid w:val="00C931CD"/>
    <w:rsid w:val="00C93F28"/>
    <w:rsid w:val="00C94356"/>
    <w:rsid w:val="00C94641"/>
    <w:rsid w:val="00C94FA6"/>
    <w:rsid w:val="00C958B6"/>
    <w:rsid w:val="00C95F4C"/>
    <w:rsid w:val="00C968F6"/>
    <w:rsid w:val="00C96965"/>
    <w:rsid w:val="00C96AC7"/>
    <w:rsid w:val="00C96B24"/>
    <w:rsid w:val="00C97780"/>
    <w:rsid w:val="00C97B6A"/>
    <w:rsid w:val="00CA0EA4"/>
    <w:rsid w:val="00CA1018"/>
    <w:rsid w:val="00CA11CA"/>
    <w:rsid w:val="00CA136C"/>
    <w:rsid w:val="00CA1CB8"/>
    <w:rsid w:val="00CA2593"/>
    <w:rsid w:val="00CA276B"/>
    <w:rsid w:val="00CA31E8"/>
    <w:rsid w:val="00CA3851"/>
    <w:rsid w:val="00CA3B81"/>
    <w:rsid w:val="00CA4231"/>
    <w:rsid w:val="00CA43A9"/>
    <w:rsid w:val="00CA46D3"/>
    <w:rsid w:val="00CA479C"/>
    <w:rsid w:val="00CA4841"/>
    <w:rsid w:val="00CA52F0"/>
    <w:rsid w:val="00CA5736"/>
    <w:rsid w:val="00CA5787"/>
    <w:rsid w:val="00CA5A6C"/>
    <w:rsid w:val="00CA5D0C"/>
    <w:rsid w:val="00CA5F67"/>
    <w:rsid w:val="00CA6192"/>
    <w:rsid w:val="00CA63B4"/>
    <w:rsid w:val="00CA64E9"/>
    <w:rsid w:val="00CA6837"/>
    <w:rsid w:val="00CA7145"/>
    <w:rsid w:val="00CA731E"/>
    <w:rsid w:val="00CA7436"/>
    <w:rsid w:val="00CA76A6"/>
    <w:rsid w:val="00CA789C"/>
    <w:rsid w:val="00CA7942"/>
    <w:rsid w:val="00CA7E97"/>
    <w:rsid w:val="00CB06AF"/>
    <w:rsid w:val="00CB0A60"/>
    <w:rsid w:val="00CB1416"/>
    <w:rsid w:val="00CB15A1"/>
    <w:rsid w:val="00CB1D48"/>
    <w:rsid w:val="00CB1F01"/>
    <w:rsid w:val="00CB2107"/>
    <w:rsid w:val="00CB2320"/>
    <w:rsid w:val="00CB262C"/>
    <w:rsid w:val="00CB2881"/>
    <w:rsid w:val="00CB2D32"/>
    <w:rsid w:val="00CB303C"/>
    <w:rsid w:val="00CB356D"/>
    <w:rsid w:val="00CB35A1"/>
    <w:rsid w:val="00CB3658"/>
    <w:rsid w:val="00CB3904"/>
    <w:rsid w:val="00CB3B12"/>
    <w:rsid w:val="00CB3E21"/>
    <w:rsid w:val="00CB3E45"/>
    <w:rsid w:val="00CB4C25"/>
    <w:rsid w:val="00CB4F4C"/>
    <w:rsid w:val="00CB57F8"/>
    <w:rsid w:val="00CB5B67"/>
    <w:rsid w:val="00CB6D03"/>
    <w:rsid w:val="00CB7620"/>
    <w:rsid w:val="00CB7813"/>
    <w:rsid w:val="00CB783C"/>
    <w:rsid w:val="00CB7ACB"/>
    <w:rsid w:val="00CB7CB5"/>
    <w:rsid w:val="00CC0B2F"/>
    <w:rsid w:val="00CC0C06"/>
    <w:rsid w:val="00CC1E00"/>
    <w:rsid w:val="00CC2F77"/>
    <w:rsid w:val="00CC33F0"/>
    <w:rsid w:val="00CC3D00"/>
    <w:rsid w:val="00CC3D03"/>
    <w:rsid w:val="00CC3D92"/>
    <w:rsid w:val="00CC4051"/>
    <w:rsid w:val="00CC4DE6"/>
    <w:rsid w:val="00CC52B2"/>
    <w:rsid w:val="00CC594B"/>
    <w:rsid w:val="00CC5D5A"/>
    <w:rsid w:val="00CC6064"/>
    <w:rsid w:val="00CC61B2"/>
    <w:rsid w:val="00CC6313"/>
    <w:rsid w:val="00CC659F"/>
    <w:rsid w:val="00CC6D5B"/>
    <w:rsid w:val="00CC736C"/>
    <w:rsid w:val="00CC766C"/>
    <w:rsid w:val="00CC7772"/>
    <w:rsid w:val="00CC789B"/>
    <w:rsid w:val="00CC7DA4"/>
    <w:rsid w:val="00CD02E2"/>
    <w:rsid w:val="00CD050B"/>
    <w:rsid w:val="00CD05AC"/>
    <w:rsid w:val="00CD0D97"/>
    <w:rsid w:val="00CD1060"/>
    <w:rsid w:val="00CD11DF"/>
    <w:rsid w:val="00CD13B7"/>
    <w:rsid w:val="00CD1636"/>
    <w:rsid w:val="00CD1918"/>
    <w:rsid w:val="00CD199F"/>
    <w:rsid w:val="00CD1A48"/>
    <w:rsid w:val="00CD1F7B"/>
    <w:rsid w:val="00CD2016"/>
    <w:rsid w:val="00CD2544"/>
    <w:rsid w:val="00CD297C"/>
    <w:rsid w:val="00CD2CC9"/>
    <w:rsid w:val="00CD2F86"/>
    <w:rsid w:val="00CD3D8D"/>
    <w:rsid w:val="00CD3E22"/>
    <w:rsid w:val="00CD3E60"/>
    <w:rsid w:val="00CD4099"/>
    <w:rsid w:val="00CD40F3"/>
    <w:rsid w:val="00CD45AF"/>
    <w:rsid w:val="00CD4868"/>
    <w:rsid w:val="00CD4962"/>
    <w:rsid w:val="00CD4CA5"/>
    <w:rsid w:val="00CD4DC8"/>
    <w:rsid w:val="00CD5080"/>
    <w:rsid w:val="00CD5240"/>
    <w:rsid w:val="00CD531F"/>
    <w:rsid w:val="00CD5898"/>
    <w:rsid w:val="00CD5AB7"/>
    <w:rsid w:val="00CD62C0"/>
    <w:rsid w:val="00CD75CC"/>
    <w:rsid w:val="00CD7954"/>
    <w:rsid w:val="00CD7F91"/>
    <w:rsid w:val="00CE0619"/>
    <w:rsid w:val="00CE0B35"/>
    <w:rsid w:val="00CE0B9A"/>
    <w:rsid w:val="00CE0D42"/>
    <w:rsid w:val="00CE0E75"/>
    <w:rsid w:val="00CE0F6F"/>
    <w:rsid w:val="00CE1915"/>
    <w:rsid w:val="00CE1C54"/>
    <w:rsid w:val="00CE1E49"/>
    <w:rsid w:val="00CE1FCF"/>
    <w:rsid w:val="00CE24FF"/>
    <w:rsid w:val="00CE2926"/>
    <w:rsid w:val="00CE2C92"/>
    <w:rsid w:val="00CE2D36"/>
    <w:rsid w:val="00CE3ADB"/>
    <w:rsid w:val="00CE3F9B"/>
    <w:rsid w:val="00CE40CB"/>
    <w:rsid w:val="00CE4D27"/>
    <w:rsid w:val="00CE4DAD"/>
    <w:rsid w:val="00CE51D1"/>
    <w:rsid w:val="00CE59D3"/>
    <w:rsid w:val="00CE695F"/>
    <w:rsid w:val="00CE6980"/>
    <w:rsid w:val="00CE6ADF"/>
    <w:rsid w:val="00CE6B51"/>
    <w:rsid w:val="00CE6E2E"/>
    <w:rsid w:val="00CE70B2"/>
    <w:rsid w:val="00CE7429"/>
    <w:rsid w:val="00CE7597"/>
    <w:rsid w:val="00CE76DC"/>
    <w:rsid w:val="00CE7DCB"/>
    <w:rsid w:val="00CF0830"/>
    <w:rsid w:val="00CF0DC7"/>
    <w:rsid w:val="00CF1AE2"/>
    <w:rsid w:val="00CF3596"/>
    <w:rsid w:val="00CF36A7"/>
    <w:rsid w:val="00CF406A"/>
    <w:rsid w:val="00CF492B"/>
    <w:rsid w:val="00CF49EB"/>
    <w:rsid w:val="00CF49F2"/>
    <w:rsid w:val="00CF5CAA"/>
    <w:rsid w:val="00CF66C0"/>
    <w:rsid w:val="00CF67B8"/>
    <w:rsid w:val="00CF68AF"/>
    <w:rsid w:val="00CF6CE0"/>
    <w:rsid w:val="00CF6D77"/>
    <w:rsid w:val="00CF7E81"/>
    <w:rsid w:val="00CF7E9C"/>
    <w:rsid w:val="00D00189"/>
    <w:rsid w:val="00D00391"/>
    <w:rsid w:val="00D00701"/>
    <w:rsid w:val="00D00852"/>
    <w:rsid w:val="00D012D5"/>
    <w:rsid w:val="00D020A2"/>
    <w:rsid w:val="00D026DF"/>
    <w:rsid w:val="00D02B3B"/>
    <w:rsid w:val="00D031C5"/>
    <w:rsid w:val="00D032A0"/>
    <w:rsid w:val="00D03470"/>
    <w:rsid w:val="00D034F7"/>
    <w:rsid w:val="00D0351E"/>
    <w:rsid w:val="00D03A70"/>
    <w:rsid w:val="00D042A9"/>
    <w:rsid w:val="00D0469C"/>
    <w:rsid w:val="00D04E9F"/>
    <w:rsid w:val="00D04F7A"/>
    <w:rsid w:val="00D05B5A"/>
    <w:rsid w:val="00D06A8E"/>
    <w:rsid w:val="00D06BD1"/>
    <w:rsid w:val="00D06EB4"/>
    <w:rsid w:val="00D06EDE"/>
    <w:rsid w:val="00D07658"/>
    <w:rsid w:val="00D07BE3"/>
    <w:rsid w:val="00D07F8F"/>
    <w:rsid w:val="00D102C8"/>
    <w:rsid w:val="00D10626"/>
    <w:rsid w:val="00D114B3"/>
    <w:rsid w:val="00D118CA"/>
    <w:rsid w:val="00D12029"/>
    <w:rsid w:val="00D12971"/>
    <w:rsid w:val="00D13022"/>
    <w:rsid w:val="00D13A8E"/>
    <w:rsid w:val="00D13BF6"/>
    <w:rsid w:val="00D1445C"/>
    <w:rsid w:val="00D149B1"/>
    <w:rsid w:val="00D149B7"/>
    <w:rsid w:val="00D154CC"/>
    <w:rsid w:val="00D15513"/>
    <w:rsid w:val="00D15768"/>
    <w:rsid w:val="00D15949"/>
    <w:rsid w:val="00D16110"/>
    <w:rsid w:val="00D16BD3"/>
    <w:rsid w:val="00D16D00"/>
    <w:rsid w:val="00D17173"/>
    <w:rsid w:val="00D172B1"/>
    <w:rsid w:val="00D1768C"/>
    <w:rsid w:val="00D176A3"/>
    <w:rsid w:val="00D17CD1"/>
    <w:rsid w:val="00D202F3"/>
    <w:rsid w:val="00D205B6"/>
    <w:rsid w:val="00D20846"/>
    <w:rsid w:val="00D209A7"/>
    <w:rsid w:val="00D20E62"/>
    <w:rsid w:val="00D21357"/>
    <w:rsid w:val="00D21B44"/>
    <w:rsid w:val="00D21BB6"/>
    <w:rsid w:val="00D220CE"/>
    <w:rsid w:val="00D226B6"/>
    <w:rsid w:val="00D22A51"/>
    <w:rsid w:val="00D22D65"/>
    <w:rsid w:val="00D234D7"/>
    <w:rsid w:val="00D23AEE"/>
    <w:rsid w:val="00D23AEF"/>
    <w:rsid w:val="00D23CE5"/>
    <w:rsid w:val="00D2445C"/>
    <w:rsid w:val="00D2448A"/>
    <w:rsid w:val="00D248B0"/>
    <w:rsid w:val="00D24B18"/>
    <w:rsid w:val="00D24CEC"/>
    <w:rsid w:val="00D24DCF"/>
    <w:rsid w:val="00D255B7"/>
    <w:rsid w:val="00D25613"/>
    <w:rsid w:val="00D2587C"/>
    <w:rsid w:val="00D258B0"/>
    <w:rsid w:val="00D25D20"/>
    <w:rsid w:val="00D25FB2"/>
    <w:rsid w:val="00D26404"/>
    <w:rsid w:val="00D26479"/>
    <w:rsid w:val="00D264A0"/>
    <w:rsid w:val="00D26B43"/>
    <w:rsid w:val="00D26D31"/>
    <w:rsid w:val="00D27A34"/>
    <w:rsid w:val="00D30719"/>
    <w:rsid w:val="00D30984"/>
    <w:rsid w:val="00D30DF5"/>
    <w:rsid w:val="00D3173F"/>
    <w:rsid w:val="00D31943"/>
    <w:rsid w:val="00D31B97"/>
    <w:rsid w:val="00D31DE0"/>
    <w:rsid w:val="00D31DF0"/>
    <w:rsid w:val="00D32554"/>
    <w:rsid w:val="00D32F93"/>
    <w:rsid w:val="00D32FD3"/>
    <w:rsid w:val="00D32FE1"/>
    <w:rsid w:val="00D333CE"/>
    <w:rsid w:val="00D333EA"/>
    <w:rsid w:val="00D337B7"/>
    <w:rsid w:val="00D33F4A"/>
    <w:rsid w:val="00D3440A"/>
    <w:rsid w:val="00D344B5"/>
    <w:rsid w:val="00D35313"/>
    <w:rsid w:val="00D3570C"/>
    <w:rsid w:val="00D35947"/>
    <w:rsid w:val="00D359C6"/>
    <w:rsid w:val="00D3601D"/>
    <w:rsid w:val="00D36201"/>
    <w:rsid w:val="00D3646A"/>
    <w:rsid w:val="00D36F7B"/>
    <w:rsid w:val="00D36FAC"/>
    <w:rsid w:val="00D36FB4"/>
    <w:rsid w:val="00D37078"/>
    <w:rsid w:val="00D3790C"/>
    <w:rsid w:val="00D37AA2"/>
    <w:rsid w:val="00D4090E"/>
    <w:rsid w:val="00D41AC1"/>
    <w:rsid w:val="00D424E8"/>
    <w:rsid w:val="00D425A3"/>
    <w:rsid w:val="00D4265B"/>
    <w:rsid w:val="00D4282C"/>
    <w:rsid w:val="00D42E4F"/>
    <w:rsid w:val="00D42EEC"/>
    <w:rsid w:val="00D4314D"/>
    <w:rsid w:val="00D43AD5"/>
    <w:rsid w:val="00D44106"/>
    <w:rsid w:val="00D441D1"/>
    <w:rsid w:val="00D44503"/>
    <w:rsid w:val="00D44DAF"/>
    <w:rsid w:val="00D452F4"/>
    <w:rsid w:val="00D45475"/>
    <w:rsid w:val="00D45983"/>
    <w:rsid w:val="00D45A14"/>
    <w:rsid w:val="00D460CD"/>
    <w:rsid w:val="00D464DC"/>
    <w:rsid w:val="00D474C0"/>
    <w:rsid w:val="00D47611"/>
    <w:rsid w:val="00D479D9"/>
    <w:rsid w:val="00D47B7D"/>
    <w:rsid w:val="00D50352"/>
    <w:rsid w:val="00D503B4"/>
    <w:rsid w:val="00D505AB"/>
    <w:rsid w:val="00D5075A"/>
    <w:rsid w:val="00D5092A"/>
    <w:rsid w:val="00D50A75"/>
    <w:rsid w:val="00D50AF2"/>
    <w:rsid w:val="00D50DBB"/>
    <w:rsid w:val="00D5117A"/>
    <w:rsid w:val="00D512D0"/>
    <w:rsid w:val="00D51722"/>
    <w:rsid w:val="00D51B17"/>
    <w:rsid w:val="00D52F05"/>
    <w:rsid w:val="00D532D0"/>
    <w:rsid w:val="00D54790"/>
    <w:rsid w:val="00D55067"/>
    <w:rsid w:val="00D55677"/>
    <w:rsid w:val="00D55FB1"/>
    <w:rsid w:val="00D56471"/>
    <w:rsid w:val="00D564ED"/>
    <w:rsid w:val="00D5653F"/>
    <w:rsid w:val="00D568A3"/>
    <w:rsid w:val="00D56999"/>
    <w:rsid w:val="00D56EA9"/>
    <w:rsid w:val="00D56F3F"/>
    <w:rsid w:val="00D571A1"/>
    <w:rsid w:val="00D57454"/>
    <w:rsid w:val="00D574AD"/>
    <w:rsid w:val="00D57546"/>
    <w:rsid w:val="00D57CC7"/>
    <w:rsid w:val="00D57EFC"/>
    <w:rsid w:val="00D60B6A"/>
    <w:rsid w:val="00D61640"/>
    <w:rsid w:val="00D61682"/>
    <w:rsid w:val="00D61962"/>
    <w:rsid w:val="00D619BA"/>
    <w:rsid w:val="00D61D26"/>
    <w:rsid w:val="00D63B95"/>
    <w:rsid w:val="00D63BC8"/>
    <w:rsid w:val="00D64467"/>
    <w:rsid w:val="00D64623"/>
    <w:rsid w:val="00D64A78"/>
    <w:rsid w:val="00D64AA8"/>
    <w:rsid w:val="00D64DA9"/>
    <w:rsid w:val="00D6529A"/>
    <w:rsid w:val="00D6535C"/>
    <w:rsid w:val="00D65786"/>
    <w:rsid w:val="00D65801"/>
    <w:rsid w:val="00D6580B"/>
    <w:rsid w:val="00D65CDB"/>
    <w:rsid w:val="00D66278"/>
    <w:rsid w:val="00D66B45"/>
    <w:rsid w:val="00D66F49"/>
    <w:rsid w:val="00D678FD"/>
    <w:rsid w:val="00D70111"/>
    <w:rsid w:val="00D7059D"/>
    <w:rsid w:val="00D70CC3"/>
    <w:rsid w:val="00D713BE"/>
    <w:rsid w:val="00D7151F"/>
    <w:rsid w:val="00D71679"/>
    <w:rsid w:val="00D718E2"/>
    <w:rsid w:val="00D72185"/>
    <w:rsid w:val="00D729B6"/>
    <w:rsid w:val="00D7480D"/>
    <w:rsid w:val="00D75345"/>
    <w:rsid w:val="00D75854"/>
    <w:rsid w:val="00D75897"/>
    <w:rsid w:val="00D75BB8"/>
    <w:rsid w:val="00D76236"/>
    <w:rsid w:val="00D76401"/>
    <w:rsid w:val="00D7647A"/>
    <w:rsid w:val="00D76917"/>
    <w:rsid w:val="00D776C5"/>
    <w:rsid w:val="00D778CE"/>
    <w:rsid w:val="00D804BF"/>
    <w:rsid w:val="00D805A3"/>
    <w:rsid w:val="00D80B8B"/>
    <w:rsid w:val="00D810F4"/>
    <w:rsid w:val="00D81B88"/>
    <w:rsid w:val="00D82100"/>
    <w:rsid w:val="00D822CA"/>
    <w:rsid w:val="00D82312"/>
    <w:rsid w:val="00D82320"/>
    <w:rsid w:val="00D8237B"/>
    <w:rsid w:val="00D823DB"/>
    <w:rsid w:val="00D82678"/>
    <w:rsid w:val="00D8271C"/>
    <w:rsid w:val="00D828DB"/>
    <w:rsid w:val="00D82908"/>
    <w:rsid w:val="00D82938"/>
    <w:rsid w:val="00D82C80"/>
    <w:rsid w:val="00D82D98"/>
    <w:rsid w:val="00D8300D"/>
    <w:rsid w:val="00D84711"/>
    <w:rsid w:val="00D84821"/>
    <w:rsid w:val="00D84B1E"/>
    <w:rsid w:val="00D858B1"/>
    <w:rsid w:val="00D85F18"/>
    <w:rsid w:val="00D86184"/>
    <w:rsid w:val="00D8649C"/>
    <w:rsid w:val="00D8673F"/>
    <w:rsid w:val="00D86BAD"/>
    <w:rsid w:val="00D86D10"/>
    <w:rsid w:val="00D86E71"/>
    <w:rsid w:val="00D87AF8"/>
    <w:rsid w:val="00D87BDC"/>
    <w:rsid w:val="00D87D86"/>
    <w:rsid w:val="00D87E0C"/>
    <w:rsid w:val="00D904C6"/>
    <w:rsid w:val="00D90CDD"/>
    <w:rsid w:val="00D91479"/>
    <w:rsid w:val="00D91C23"/>
    <w:rsid w:val="00D91FED"/>
    <w:rsid w:val="00D9253B"/>
    <w:rsid w:val="00D93DF3"/>
    <w:rsid w:val="00D9440A"/>
    <w:rsid w:val="00D9451E"/>
    <w:rsid w:val="00D9470D"/>
    <w:rsid w:val="00D94D28"/>
    <w:rsid w:val="00D94F3C"/>
    <w:rsid w:val="00D956EE"/>
    <w:rsid w:val="00D95A47"/>
    <w:rsid w:val="00D95EC3"/>
    <w:rsid w:val="00D960BD"/>
    <w:rsid w:val="00D962EC"/>
    <w:rsid w:val="00D96645"/>
    <w:rsid w:val="00D96937"/>
    <w:rsid w:val="00D96A76"/>
    <w:rsid w:val="00D96E50"/>
    <w:rsid w:val="00D971E0"/>
    <w:rsid w:val="00D97433"/>
    <w:rsid w:val="00D97C5D"/>
    <w:rsid w:val="00DA0323"/>
    <w:rsid w:val="00DA04D3"/>
    <w:rsid w:val="00DA04DF"/>
    <w:rsid w:val="00DA0AC5"/>
    <w:rsid w:val="00DA11B7"/>
    <w:rsid w:val="00DA1BA1"/>
    <w:rsid w:val="00DA23AB"/>
    <w:rsid w:val="00DA25B0"/>
    <w:rsid w:val="00DA2BBD"/>
    <w:rsid w:val="00DA389F"/>
    <w:rsid w:val="00DA39BC"/>
    <w:rsid w:val="00DA3A59"/>
    <w:rsid w:val="00DA44CF"/>
    <w:rsid w:val="00DA48C7"/>
    <w:rsid w:val="00DA4DED"/>
    <w:rsid w:val="00DA5203"/>
    <w:rsid w:val="00DA5C53"/>
    <w:rsid w:val="00DA5F5F"/>
    <w:rsid w:val="00DA6024"/>
    <w:rsid w:val="00DA6150"/>
    <w:rsid w:val="00DA66F0"/>
    <w:rsid w:val="00DA7165"/>
    <w:rsid w:val="00DA7F57"/>
    <w:rsid w:val="00DB0012"/>
    <w:rsid w:val="00DB00A0"/>
    <w:rsid w:val="00DB015A"/>
    <w:rsid w:val="00DB04C4"/>
    <w:rsid w:val="00DB066A"/>
    <w:rsid w:val="00DB0F11"/>
    <w:rsid w:val="00DB1520"/>
    <w:rsid w:val="00DB1841"/>
    <w:rsid w:val="00DB1ABB"/>
    <w:rsid w:val="00DB1D6D"/>
    <w:rsid w:val="00DB2382"/>
    <w:rsid w:val="00DB2F30"/>
    <w:rsid w:val="00DB3D7C"/>
    <w:rsid w:val="00DB3E08"/>
    <w:rsid w:val="00DB451E"/>
    <w:rsid w:val="00DB476E"/>
    <w:rsid w:val="00DB5608"/>
    <w:rsid w:val="00DB56F5"/>
    <w:rsid w:val="00DB62AF"/>
    <w:rsid w:val="00DB673A"/>
    <w:rsid w:val="00DB7D44"/>
    <w:rsid w:val="00DB7E19"/>
    <w:rsid w:val="00DC0017"/>
    <w:rsid w:val="00DC01DE"/>
    <w:rsid w:val="00DC0404"/>
    <w:rsid w:val="00DC0907"/>
    <w:rsid w:val="00DC0C7F"/>
    <w:rsid w:val="00DC1045"/>
    <w:rsid w:val="00DC133B"/>
    <w:rsid w:val="00DC14E0"/>
    <w:rsid w:val="00DC165D"/>
    <w:rsid w:val="00DC19A3"/>
    <w:rsid w:val="00DC19B0"/>
    <w:rsid w:val="00DC2295"/>
    <w:rsid w:val="00DC24E8"/>
    <w:rsid w:val="00DC2A29"/>
    <w:rsid w:val="00DC36C9"/>
    <w:rsid w:val="00DC3D81"/>
    <w:rsid w:val="00DC491A"/>
    <w:rsid w:val="00DC601E"/>
    <w:rsid w:val="00DC61F3"/>
    <w:rsid w:val="00DC6F85"/>
    <w:rsid w:val="00DC71F8"/>
    <w:rsid w:val="00DC72F8"/>
    <w:rsid w:val="00DC7919"/>
    <w:rsid w:val="00DC7BA3"/>
    <w:rsid w:val="00DC7DA5"/>
    <w:rsid w:val="00DD0B86"/>
    <w:rsid w:val="00DD1422"/>
    <w:rsid w:val="00DD1463"/>
    <w:rsid w:val="00DD18A6"/>
    <w:rsid w:val="00DD1949"/>
    <w:rsid w:val="00DD21E1"/>
    <w:rsid w:val="00DD261B"/>
    <w:rsid w:val="00DD261E"/>
    <w:rsid w:val="00DD2AC6"/>
    <w:rsid w:val="00DD2C8F"/>
    <w:rsid w:val="00DD348B"/>
    <w:rsid w:val="00DD3865"/>
    <w:rsid w:val="00DD3C54"/>
    <w:rsid w:val="00DD3C7D"/>
    <w:rsid w:val="00DD45D4"/>
    <w:rsid w:val="00DD489F"/>
    <w:rsid w:val="00DD4A21"/>
    <w:rsid w:val="00DD5343"/>
    <w:rsid w:val="00DD5A7E"/>
    <w:rsid w:val="00DD6159"/>
    <w:rsid w:val="00DD6C14"/>
    <w:rsid w:val="00DD6CEB"/>
    <w:rsid w:val="00DD6DAB"/>
    <w:rsid w:val="00DD6FE9"/>
    <w:rsid w:val="00DD71D0"/>
    <w:rsid w:val="00DD71D8"/>
    <w:rsid w:val="00DD724C"/>
    <w:rsid w:val="00DD733B"/>
    <w:rsid w:val="00DD77EA"/>
    <w:rsid w:val="00DD785A"/>
    <w:rsid w:val="00DE02AF"/>
    <w:rsid w:val="00DE03AF"/>
    <w:rsid w:val="00DE0C86"/>
    <w:rsid w:val="00DE0CC4"/>
    <w:rsid w:val="00DE42EA"/>
    <w:rsid w:val="00DE42FC"/>
    <w:rsid w:val="00DE4BDF"/>
    <w:rsid w:val="00DE4F61"/>
    <w:rsid w:val="00DE66F5"/>
    <w:rsid w:val="00DE6874"/>
    <w:rsid w:val="00DE6B30"/>
    <w:rsid w:val="00DE6D70"/>
    <w:rsid w:val="00DE7866"/>
    <w:rsid w:val="00DE7AA4"/>
    <w:rsid w:val="00DE7FF1"/>
    <w:rsid w:val="00DF006A"/>
    <w:rsid w:val="00DF0844"/>
    <w:rsid w:val="00DF0B87"/>
    <w:rsid w:val="00DF0F72"/>
    <w:rsid w:val="00DF1556"/>
    <w:rsid w:val="00DF16C0"/>
    <w:rsid w:val="00DF1745"/>
    <w:rsid w:val="00DF1D6F"/>
    <w:rsid w:val="00DF1F60"/>
    <w:rsid w:val="00DF2238"/>
    <w:rsid w:val="00DF2600"/>
    <w:rsid w:val="00DF26FF"/>
    <w:rsid w:val="00DF27C3"/>
    <w:rsid w:val="00DF2F37"/>
    <w:rsid w:val="00DF301B"/>
    <w:rsid w:val="00DF375F"/>
    <w:rsid w:val="00DF3960"/>
    <w:rsid w:val="00DF3B40"/>
    <w:rsid w:val="00DF3D5A"/>
    <w:rsid w:val="00DF410D"/>
    <w:rsid w:val="00DF432A"/>
    <w:rsid w:val="00DF4468"/>
    <w:rsid w:val="00DF470B"/>
    <w:rsid w:val="00DF5355"/>
    <w:rsid w:val="00DF5412"/>
    <w:rsid w:val="00DF5984"/>
    <w:rsid w:val="00DF5DF2"/>
    <w:rsid w:val="00DF66CB"/>
    <w:rsid w:val="00DF6A35"/>
    <w:rsid w:val="00DF6D1E"/>
    <w:rsid w:val="00DF7020"/>
    <w:rsid w:val="00DF70C3"/>
    <w:rsid w:val="00DF7501"/>
    <w:rsid w:val="00DF78AA"/>
    <w:rsid w:val="00DF7934"/>
    <w:rsid w:val="00DF7F8F"/>
    <w:rsid w:val="00E001CE"/>
    <w:rsid w:val="00E005DC"/>
    <w:rsid w:val="00E00C7E"/>
    <w:rsid w:val="00E017DD"/>
    <w:rsid w:val="00E01C21"/>
    <w:rsid w:val="00E020F7"/>
    <w:rsid w:val="00E026E1"/>
    <w:rsid w:val="00E02E82"/>
    <w:rsid w:val="00E035EC"/>
    <w:rsid w:val="00E03CA4"/>
    <w:rsid w:val="00E03D42"/>
    <w:rsid w:val="00E03E51"/>
    <w:rsid w:val="00E0402B"/>
    <w:rsid w:val="00E04249"/>
    <w:rsid w:val="00E043E5"/>
    <w:rsid w:val="00E045BF"/>
    <w:rsid w:val="00E046C6"/>
    <w:rsid w:val="00E047A5"/>
    <w:rsid w:val="00E04818"/>
    <w:rsid w:val="00E04A1D"/>
    <w:rsid w:val="00E04F68"/>
    <w:rsid w:val="00E05036"/>
    <w:rsid w:val="00E051CE"/>
    <w:rsid w:val="00E052C2"/>
    <w:rsid w:val="00E05553"/>
    <w:rsid w:val="00E057F7"/>
    <w:rsid w:val="00E06167"/>
    <w:rsid w:val="00E06285"/>
    <w:rsid w:val="00E06619"/>
    <w:rsid w:val="00E066AD"/>
    <w:rsid w:val="00E0685E"/>
    <w:rsid w:val="00E0711D"/>
    <w:rsid w:val="00E07969"/>
    <w:rsid w:val="00E07DD3"/>
    <w:rsid w:val="00E07F9C"/>
    <w:rsid w:val="00E10B56"/>
    <w:rsid w:val="00E11497"/>
    <w:rsid w:val="00E11F3E"/>
    <w:rsid w:val="00E11F41"/>
    <w:rsid w:val="00E11F6E"/>
    <w:rsid w:val="00E12306"/>
    <w:rsid w:val="00E124BD"/>
    <w:rsid w:val="00E137D4"/>
    <w:rsid w:val="00E13A85"/>
    <w:rsid w:val="00E14106"/>
    <w:rsid w:val="00E141C1"/>
    <w:rsid w:val="00E1483C"/>
    <w:rsid w:val="00E14B39"/>
    <w:rsid w:val="00E14D9E"/>
    <w:rsid w:val="00E14F90"/>
    <w:rsid w:val="00E1511F"/>
    <w:rsid w:val="00E1568A"/>
    <w:rsid w:val="00E15AA2"/>
    <w:rsid w:val="00E165AD"/>
    <w:rsid w:val="00E165E3"/>
    <w:rsid w:val="00E171C7"/>
    <w:rsid w:val="00E17B0F"/>
    <w:rsid w:val="00E17D42"/>
    <w:rsid w:val="00E20003"/>
    <w:rsid w:val="00E200F5"/>
    <w:rsid w:val="00E2034D"/>
    <w:rsid w:val="00E21B10"/>
    <w:rsid w:val="00E21FD9"/>
    <w:rsid w:val="00E221C2"/>
    <w:rsid w:val="00E222D4"/>
    <w:rsid w:val="00E22366"/>
    <w:rsid w:val="00E225DC"/>
    <w:rsid w:val="00E22FDD"/>
    <w:rsid w:val="00E23F14"/>
    <w:rsid w:val="00E241C3"/>
    <w:rsid w:val="00E24430"/>
    <w:rsid w:val="00E24555"/>
    <w:rsid w:val="00E24969"/>
    <w:rsid w:val="00E24BFF"/>
    <w:rsid w:val="00E25609"/>
    <w:rsid w:val="00E25E3F"/>
    <w:rsid w:val="00E25F63"/>
    <w:rsid w:val="00E264C4"/>
    <w:rsid w:val="00E26896"/>
    <w:rsid w:val="00E275BE"/>
    <w:rsid w:val="00E27CCD"/>
    <w:rsid w:val="00E307FD"/>
    <w:rsid w:val="00E30899"/>
    <w:rsid w:val="00E30D8F"/>
    <w:rsid w:val="00E31FD0"/>
    <w:rsid w:val="00E3287B"/>
    <w:rsid w:val="00E32F59"/>
    <w:rsid w:val="00E330A5"/>
    <w:rsid w:val="00E33393"/>
    <w:rsid w:val="00E33930"/>
    <w:rsid w:val="00E3407A"/>
    <w:rsid w:val="00E340C2"/>
    <w:rsid w:val="00E345F1"/>
    <w:rsid w:val="00E3494E"/>
    <w:rsid w:val="00E34A7D"/>
    <w:rsid w:val="00E34CE3"/>
    <w:rsid w:val="00E34F24"/>
    <w:rsid w:val="00E3527A"/>
    <w:rsid w:val="00E3576E"/>
    <w:rsid w:val="00E35873"/>
    <w:rsid w:val="00E35BF4"/>
    <w:rsid w:val="00E36A47"/>
    <w:rsid w:val="00E36AF0"/>
    <w:rsid w:val="00E36B48"/>
    <w:rsid w:val="00E3792D"/>
    <w:rsid w:val="00E37C65"/>
    <w:rsid w:val="00E40261"/>
    <w:rsid w:val="00E4032C"/>
    <w:rsid w:val="00E4036B"/>
    <w:rsid w:val="00E40967"/>
    <w:rsid w:val="00E40D65"/>
    <w:rsid w:val="00E40DE8"/>
    <w:rsid w:val="00E418A3"/>
    <w:rsid w:val="00E41B8C"/>
    <w:rsid w:val="00E422CB"/>
    <w:rsid w:val="00E4287B"/>
    <w:rsid w:val="00E42938"/>
    <w:rsid w:val="00E42A34"/>
    <w:rsid w:val="00E42DC8"/>
    <w:rsid w:val="00E432CF"/>
    <w:rsid w:val="00E4339C"/>
    <w:rsid w:val="00E43460"/>
    <w:rsid w:val="00E43494"/>
    <w:rsid w:val="00E43EC0"/>
    <w:rsid w:val="00E441A9"/>
    <w:rsid w:val="00E44463"/>
    <w:rsid w:val="00E44558"/>
    <w:rsid w:val="00E45090"/>
    <w:rsid w:val="00E4510E"/>
    <w:rsid w:val="00E4568A"/>
    <w:rsid w:val="00E45893"/>
    <w:rsid w:val="00E459F6"/>
    <w:rsid w:val="00E45F16"/>
    <w:rsid w:val="00E45F8F"/>
    <w:rsid w:val="00E469CD"/>
    <w:rsid w:val="00E4751E"/>
    <w:rsid w:val="00E47BB7"/>
    <w:rsid w:val="00E50200"/>
    <w:rsid w:val="00E504F1"/>
    <w:rsid w:val="00E5062C"/>
    <w:rsid w:val="00E50A6C"/>
    <w:rsid w:val="00E50C02"/>
    <w:rsid w:val="00E50F93"/>
    <w:rsid w:val="00E515B9"/>
    <w:rsid w:val="00E51A70"/>
    <w:rsid w:val="00E5228A"/>
    <w:rsid w:val="00E52410"/>
    <w:rsid w:val="00E52CD8"/>
    <w:rsid w:val="00E530BF"/>
    <w:rsid w:val="00E5335A"/>
    <w:rsid w:val="00E5357D"/>
    <w:rsid w:val="00E54212"/>
    <w:rsid w:val="00E54423"/>
    <w:rsid w:val="00E54760"/>
    <w:rsid w:val="00E5505D"/>
    <w:rsid w:val="00E5547D"/>
    <w:rsid w:val="00E55592"/>
    <w:rsid w:val="00E556AB"/>
    <w:rsid w:val="00E5596E"/>
    <w:rsid w:val="00E560DF"/>
    <w:rsid w:val="00E56108"/>
    <w:rsid w:val="00E56414"/>
    <w:rsid w:val="00E56722"/>
    <w:rsid w:val="00E568B4"/>
    <w:rsid w:val="00E56B9C"/>
    <w:rsid w:val="00E571B4"/>
    <w:rsid w:val="00E57482"/>
    <w:rsid w:val="00E574CA"/>
    <w:rsid w:val="00E578B5"/>
    <w:rsid w:val="00E57904"/>
    <w:rsid w:val="00E6004C"/>
    <w:rsid w:val="00E600F1"/>
    <w:rsid w:val="00E61552"/>
    <w:rsid w:val="00E6191E"/>
    <w:rsid w:val="00E61D8F"/>
    <w:rsid w:val="00E6225D"/>
    <w:rsid w:val="00E623BC"/>
    <w:rsid w:val="00E62B4B"/>
    <w:rsid w:val="00E631C9"/>
    <w:rsid w:val="00E63222"/>
    <w:rsid w:val="00E6387F"/>
    <w:rsid w:val="00E63954"/>
    <w:rsid w:val="00E63CFE"/>
    <w:rsid w:val="00E63E6B"/>
    <w:rsid w:val="00E63F03"/>
    <w:rsid w:val="00E65070"/>
    <w:rsid w:val="00E659E0"/>
    <w:rsid w:val="00E66418"/>
    <w:rsid w:val="00E66618"/>
    <w:rsid w:val="00E66786"/>
    <w:rsid w:val="00E671F5"/>
    <w:rsid w:val="00E67247"/>
    <w:rsid w:val="00E67675"/>
    <w:rsid w:val="00E67B1C"/>
    <w:rsid w:val="00E70887"/>
    <w:rsid w:val="00E7089F"/>
    <w:rsid w:val="00E708B5"/>
    <w:rsid w:val="00E70B59"/>
    <w:rsid w:val="00E70CFB"/>
    <w:rsid w:val="00E718AF"/>
    <w:rsid w:val="00E718D6"/>
    <w:rsid w:val="00E71AE4"/>
    <w:rsid w:val="00E71CE9"/>
    <w:rsid w:val="00E71F85"/>
    <w:rsid w:val="00E72151"/>
    <w:rsid w:val="00E72432"/>
    <w:rsid w:val="00E72855"/>
    <w:rsid w:val="00E72A0C"/>
    <w:rsid w:val="00E73098"/>
    <w:rsid w:val="00E73365"/>
    <w:rsid w:val="00E73E95"/>
    <w:rsid w:val="00E740AB"/>
    <w:rsid w:val="00E740FB"/>
    <w:rsid w:val="00E74590"/>
    <w:rsid w:val="00E7470C"/>
    <w:rsid w:val="00E748C7"/>
    <w:rsid w:val="00E74B38"/>
    <w:rsid w:val="00E74FE2"/>
    <w:rsid w:val="00E75137"/>
    <w:rsid w:val="00E752E9"/>
    <w:rsid w:val="00E75452"/>
    <w:rsid w:val="00E763AF"/>
    <w:rsid w:val="00E769C5"/>
    <w:rsid w:val="00E76BF2"/>
    <w:rsid w:val="00E76D1A"/>
    <w:rsid w:val="00E771B4"/>
    <w:rsid w:val="00E7739B"/>
    <w:rsid w:val="00E77450"/>
    <w:rsid w:val="00E777D9"/>
    <w:rsid w:val="00E77F76"/>
    <w:rsid w:val="00E80D30"/>
    <w:rsid w:val="00E817CF"/>
    <w:rsid w:val="00E81D9F"/>
    <w:rsid w:val="00E81FB9"/>
    <w:rsid w:val="00E82841"/>
    <w:rsid w:val="00E82B95"/>
    <w:rsid w:val="00E82EA6"/>
    <w:rsid w:val="00E83FBF"/>
    <w:rsid w:val="00E846FC"/>
    <w:rsid w:val="00E84779"/>
    <w:rsid w:val="00E847E4"/>
    <w:rsid w:val="00E84A6E"/>
    <w:rsid w:val="00E84FDC"/>
    <w:rsid w:val="00E85DA7"/>
    <w:rsid w:val="00E86C4F"/>
    <w:rsid w:val="00E86E60"/>
    <w:rsid w:val="00E86F5B"/>
    <w:rsid w:val="00E87EC5"/>
    <w:rsid w:val="00E9011B"/>
    <w:rsid w:val="00E908BE"/>
    <w:rsid w:val="00E90F5D"/>
    <w:rsid w:val="00E912AC"/>
    <w:rsid w:val="00E9137B"/>
    <w:rsid w:val="00E9275F"/>
    <w:rsid w:val="00E92E77"/>
    <w:rsid w:val="00E9333E"/>
    <w:rsid w:val="00E9366A"/>
    <w:rsid w:val="00E93AA4"/>
    <w:rsid w:val="00E94145"/>
    <w:rsid w:val="00E94C2E"/>
    <w:rsid w:val="00E9526D"/>
    <w:rsid w:val="00E95398"/>
    <w:rsid w:val="00E95552"/>
    <w:rsid w:val="00E95AC0"/>
    <w:rsid w:val="00E95FDE"/>
    <w:rsid w:val="00E9632E"/>
    <w:rsid w:val="00E96792"/>
    <w:rsid w:val="00E96F14"/>
    <w:rsid w:val="00E970A0"/>
    <w:rsid w:val="00E9719B"/>
    <w:rsid w:val="00E97422"/>
    <w:rsid w:val="00E978F9"/>
    <w:rsid w:val="00E9794D"/>
    <w:rsid w:val="00E979CC"/>
    <w:rsid w:val="00E97A25"/>
    <w:rsid w:val="00EA0290"/>
    <w:rsid w:val="00EA052A"/>
    <w:rsid w:val="00EA0AC2"/>
    <w:rsid w:val="00EA0BD1"/>
    <w:rsid w:val="00EA0C25"/>
    <w:rsid w:val="00EA14F1"/>
    <w:rsid w:val="00EA1C97"/>
    <w:rsid w:val="00EA1F38"/>
    <w:rsid w:val="00EA2A13"/>
    <w:rsid w:val="00EA2A83"/>
    <w:rsid w:val="00EA41CA"/>
    <w:rsid w:val="00EA45F4"/>
    <w:rsid w:val="00EA4692"/>
    <w:rsid w:val="00EA46CD"/>
    <w:rsid w:val="00EA4858"/>
    <w:rsid w:val="00EA4CA1"/>
    <w:rsid w:val="00EA5838"/>
    <w:rsid w:val="00EA5E31"/>
    <w:rsid w:val="00EA6447"/>
    <w:rsid w:val="00EA666F"/>
    <w:rsid w:val="00EA6840"/>
    <w:rsid w:val="00EA69C2"/>
    <w:rsid w:val="00EA6BD2"/>
    <w:rsid w:val="00EA7771"/>
    <w:rsid w:val="00EA7961"/>
    <w:rsid w:val="00EB0C8C"/>
    <w:rsid w:val="00EB1252"/>
    <w:rsid w:val="00EB2604"/>
    <w:rsid w:val="00EB2766"/>
    <w:rsid w:val="00EB2D35"/>
    <w:rsid w:val="00EB3529"/>
    <w:rsid w:val="00EB357C"/>
    <w:rsid w:val="00EB37E9"/>
    <w:rsid w:val="00EB39A2"/>
    <w:rsid w:val="00EB39C2"/>
    <w:rsid w:val="00EB3A94"/>
    <w:rsid w:val="00EB3F10"/>
    <w:rsid w:val="00EB4017"/>
    <w:rsid w:val="00EB45F3"/>
    <w:rsid w:val="00EB4D29"/>
    <w:rsid w:val="00EB4E79"/>
    <w:rsid w:val="00EB51E7"/>
    <w:rsid w:val="00EB54C5"/>
    <w:rsid w:val="00EB6183"/>
    <w:rsid w:val="00EB72E4"/>
    <w:rsid w:val="00EB7DB8"/>
    <w:rsid w:val="00EC0500"/>
    <w:rsid w:val="00EC0D95"/>
    <w:rsid w:val="00EC0E85"/>
    <w:rsid w:val="00EC12A5"/>
    <w:rsid w:val="00EC14DB"/>
    <w:rsid w:val="00EC1DFC"/>
    <w:rsid w:val="00EC238A"/>
    <w:rsid w:val="00EC2409"/>
    <w:rsid w:val="00EC26BC"/>
    <w:rsid w:val="00EC2FF5"/>
    <w:rsid w:val="00EC314F"/>
    <w:rsid w:val="00EC3383"/>
    <w:rsid w:val="00EC3745"/>
    <w:rsid w:val="00EC39C2"/>
    <w:rsid w:val="00EC4241"/>
    <w:rsid w:val="00EC429A"/>
    <w:rsid w:val="00EC4361"/>
    <w:rsid w:val="00EC4618"/>
    <w:rsid w:val="00EC4A95"/>
    <w:rsid w:val="00EC5289"/>
    <w:rsid w:val="00EC6ADB"/>
    <w:rsid w:val="00EC6C33"/>
    <w:rsid w:val="00EC6ECE"/>
    <w:rsid w:val="00EC7035"/>
    <w:rsid w:val="00EC704B"/>
    <w:rsid w:val="00EC779B"/>
    <w:rsid w:val="00EC7839"/>
    <w:rsid w:val="00EC7B38"/>
    <w:rsid w:val="00EC7C96"/>
    <w:rsid w:val="00ED003E"/>
    <w:rsid w:val="00ED0760"/>
    <w:rsid w:val="00ED09F5"/>
    <w:rsid w:val="00ED15BA"/>
    <w:rsid w:val="00ED1643"/>
    <w:rsid w:val="00ED1802"/>
    <w:rsid w:val="00ED1D52"/>
    <w:rsid w:val="00ED217A"/>
    <w:rsid w:val="00ED238C"/>
    <w:rsid w:val="00ED2638"/>
    <w:rsid w:val="00ED29E7"/>
    <w:rsid w:val="00ED2D2A"/>
    <w:rsid w:val="00ED3586"/>
    <w:rsid w:val="00ED35BB"/>
    <w:rsid w:val="00ED3BD6"/>
    <w:rsid w:val="00ED435D"/>
    <w:rsid w:val="00ED5061"/>
    <w:rsid w:val="00ED52BB"/>
    <w:rsid w:val="00ED66D8"/>
    <w:rsid w:val="00ED69C8"/>
    <w:rsid w:val="00ED6B0B"/>
    <w:rsid w:val="00ED6C59"/>
    <w:rsid w:val="00ED7238"/>
    <w:rsid w:val="00ED730E"/>
    <w:rsid w:val="00ED7B69"/>
    <w:rsid w:val="00ED7FC0"/>
    <w:rsid w:val="00EE0382"/>
    <w:rsid w:val="00EE0389"/>
    <w:rsid w:val="00EE05E5"/>
    <w:rsid w:val="00EE0A44"/>
    <w:rsid w:val="00EE0B81"/>
    <w:rsid w:val="00EE0CA9"/>
    <w:rsid w:val="00EE0DD4"/>
    <w:rsid w:val="00EE14EC"/>
    <w:rsid w:val="00EE1AEF"/>
    <w:rsid w:val="00EE1E0F"/>
    <w:rsid w:val="00EE1E9A"/>
    <w:rsid w:val="00EE2AB8"/>
    <w:rsid w:val="00EE33B8"/>
    <w:rsid w:val="00EE39E8"/>
    <w:rsid w:val="00EE4B33"/>
    <w:rsid w:val="00EE502F"/>
    <w:rsid w:val="00EE505A"/>
    <w:rsid w:val="00EE54E9"/>
    <w:rsid w:val="00EE5DA8"/>
    <w:rsid w:val="00EE62F6"/>
    <w:rsid w:val="00EE6C22"/>
    <w:rsid w:val="00EE780C"/>
    <w:rsid w:val="00EE7E7F"/>
    <w:rsid w:val="00EF0081"/>
    <w:rsid w:val="00EF01CD"/>
    <w:rsid w:val="00EF0753"/>
    <w:rsid w:val="00EF08B6"/>
    <w:rsid w:val="00EF135E"/>
    <w:rsid w:val="00EF14CF"/>
    <w:rsid w:val="00EF1D90"/>
    <w:rsid w:val="00EF3754"/>
    <w:rsid w:val="00EF3B78"/>
    <w:rsid w:val="00EF3C0A"/>
    <w:rsid w:val="00EF4691"/>
    <w:rsid w:val="00EF5199"/>
    <w:rsid w:val="00EF53B8"/>
    <w:rsid w:val="00EF57D6"/>
    <w:rsid w:val="00EF58DA"/>
    <w:rsid w:val="00EF5996"/>
    <w:rsid w:val="00EF5B66"/>
    <w:rsid w:val="00EF6F8D"/>
    <w:rsid w:val="00EF7740"/>
    <w:rsid w:val="00EF7A98"/>
    <w:rsid w:val="00EF7E6B"/>
    <w:rsid w:val="00F004F9"/>
    <w:rsid w:val="00F005CB"/>
    <w:rsid w:val="00F00D22"/>
    <w:rsid w:val="00F00D62"/>
    <w:rsid w:val="00F00F7A"/>
    <w:rsid w:val="00F0121A"/>
    <w:rsid w:val="00F01543"/>
    <w:rsid w:val="00F01874"/>
    <w:rsid w:val="00F01CB5"/>
    <w:rsid w:val="00F0228C"/>
    <w:rsid w:val="00F02307"/>
    <w:rsid w:val="00F0243F"/>
    <w:rsid w:val="00F02823"/>
    <w:rsid w:val="00F038CB"/>
    <w:rsid w:val="00F04D9B"/>
    <w:rsid w:val="00F055F8"/>
    <w:rsid w:val="00F05792"/>
    <w:rsid w:val="00F057E7"/>
    <w:rsid w:val="00F05873"/>
    <w:rsid w:val="00F06038"/>
    <w:rsid w:val="00F0633C"/>
    <w:rsid w:val="00F066C4"/>
    <w:rsid w:val="00F06CEE"/>
    <w:rsid w:val="00F078BC"/>
    <w:rsid w:val="00F07D68"/>
    <w:rsid w:val="00F1002D"/>
    <w:rsid w:val="00F10308"/>
    <w:rsid w:val="00F110F3"/>
    <w:rsid w:val="00F112C3"/>
    <w:rsid w:val="00F11F96"/>
    <w:rsid w:val="00F1252A"/>
    <w:rsid w:val="00F12945"/>
    <w:rsid w:val="00F12E02"/>
    <w:rsid w:val="00F1325A"/>
    <w:rsid w:val="00F135D3"/>
    <w:rsid w:val="00F1395E"/>
    <w:rsid w:val="00F14DD6"/>
    <w:rsid w:val="00F15481"/>
    <w:rsid w:val="00F15882"/>
    <w:rsid w:val="00F1589E"/>
    <w:rsid w:val="00F15A8D"/>
    <w:rsid w:val="00F15E38"/>
    <w:rsid w:val="00F16B9A"/>
    <w:rsid w:val="00F16CB2"/>
    <w:rsid w:val="00F17042"/>
    <w:rsid w:val="00F17260"/>
    <w:rsid w:val="00F17D7C"/>
    <w:rsid w:val="00F17F8A"/>
    <w:rsid w:val="00F2019E"/>
    <w:rsid w:val="00F20FCF"/>
    <w:rsid w:val="00F21260"/>
    <w:rsid w:val="00F215B6"/>
    <w:rsid w:val="00F21A6D"/>
    <w:rsid w:val="00F21CB9"/>
    <w:rsid w:val="00F224C1"/>
    <w:rsid w:val="00F2279E"/>
    <w:rsid w:val="00F22F99"/>
    <w:rsid w:val="00F2304A"/>
    <w:rsid w:val="00F23109"/>
    <w:rsid w:val="00F23684"/>
    <w:rsid w:val="00F23B9C"/>
    <w:rsid w:val="00F23D9A"/>
    <w:rsid w:val="00F23F43"/>
    <w:rsid w:val="00F24BEF"/>
    <w:rsid w:val="00F253F1"/>
    <w:rsid w:val="00F25739"/>
    <w:rsid w:val="00F26203"/>
    <w:rsid w:val="00F2633A"/>
    <w:rsid w:val="00F26D62"/>
    <w:rsid w:val="00F272CD"/>
    <w:rsid w:val="00F2732F"/>
    <w:rsid w:val="00F279C6"/>
    <w:rsid w:val="00F27DDE"/>
    <w:rsid w:val="00F302DF"/>
    <w:rsid w:val="00F305C7"/>
    <w:rsid w:val="00F308D9"/>
    <w:rsid w:val="00F30EAC"/>
    <w:rsid w:val="00F3120E"/>
    <w:rsid w:val="00F31262"/>
    <w:rsid w:val="00F31B3B"/>
    <w:rsid w:val="00F31B60"/>
    <w:rsid w:val="00F32091"/>
    <w:rsid w:val="00F32394"/>
    <w:rsid w:val="00F33026"/>
    <w:rsid w:val="00F332CE"/>
    <w:rsid w:val="00F335EF"/>
    <w:rsid w:val="00F33B9E"/>
    <w:rsid w:val="00F34218"/>
    <w:rsid w:val="00F345F3"/>
    <w:rsid w:val="00F34FFA"/>
    <w:rsid w:val="00F350C9"/>
    <w:rsid w:val="00F3608D"/>
    <w:rsid w:val="00F364B5"/>
    <w:rsid w:val="00F36D51"/>
    <w:rsid w:val="00F373E0"/>
    <w:rsid w:val="00F375E5"/>
    <w:rsid w:val="00F376D2"/>
    <w:rsid w:val="00F37ACE"/>
    <w:rsid w:val="00F37E1A"/>
    <w:rsid w:val="00F40637"/>
    <w:rsid w:val="00F4106A"/>
    <w:rsid w:val="00F41113"/>
    <w:rsid w:val="00F41288"/>
    <w:rsid w:val="00F415D8"/>
    <w:rsid w:val="00F41A24"/>
    <w:rsid w:val="00F41E73"/>
    <w:rsid w:val="00F42226"/>
    <w:rsid w:val="00F42DEA"/>
    <w:rsid w:val="00F42E51"/>
    <w:rsid w:val="00F42F96"/>
    <w:rsid w:val="00F4376C"/>
    <w:rsid w:val="00F43DD4"/>
    <w:rsid w:val="00F43E24"/>
    <w:rsid w:val="00F44833"/>
    <w:rsid w:val="00F44E8F"/>
    <w:rsid w:val="00F44F55"/>
    <w:rsid w:val="00F45035"/>
    <w:rsid w:val="00F453B1"/>
    <w:rsid w:val="00F456DF"/>
    <w:rsid w:val="00F459E3"/>
    <w:rsid w:val="00F45C69"/>
    <w:rsid w:val="00F462EA"/>
    <w:rsid w:val="00F46442"/>
    <w:rsid w:val="00F47242"/>
    <w:rsid w:val="00F47244"/>
    <w:rsid w:val="00F47503"/>
    <w:rsid w:val="00F47CE5"/>
    <w:rsid w:val="00F47E00"/>
    <w:rsid w:val="00F5030E"/>
    <w:rsid w:val="00F503B9"/>
    <w:rsid w:val="00F506C6"/>
    <w:rsid w:val="00F5110D"/>
    <w:rsid w:val="00F51FE5"/>
    <w:rsid w:val="00F523B5"/>
    <w:rsid w:val="00F52775"/>
    <w:rsid w:val="00F52AFA"/>
    <w:rsid w:val="00F52DCC"/>
    <w:rsid w:val="00F53B79"/>
    <w:rsid w:val="00F54243"/>
    <w:rsid w:val="00F54597"/>
    <w:rsid w:val="00F54CF9"/>
    <w:rsid w:val="00F55104"/>
    <w:rsid w:val="00F5513C"/>
    <w:rsid w:val="00F5537C"/>
    <w:rsid w:val="00F55E08"/>
    <w:rsid w:val="00F56129"/>
    <w:rsid w:val="00F57042"/>
    <w:rsid w:val="00F57224"/>
    <w:rsid w:val="00F57936"/>
    <w:rsid w:val="00F57C05"/>
    <w:rsid w:val="00F57EF4"/>
    <w:rsid w:val="00F57FEE"/>
    <w:rsid w:val="00F60582"/>
    <w:rsid w:val="00F60EDC"/>
    <w:rsid w:val="00F61219"/>
    <w:rsid w:val="00F61979"/>
    <w:rsid w:val="00F61B62"/>
    <w:rsid w:val="00F61C22"/>
    <w:rsid w:val="00F62102"/>
    <w:rsid w:val="00F6264A"/>
    <w:rsid w:val="00F6278B"/>
    <w:rsid w:val="00F62C13"/>
    <w:rsid w:val="00F62C41"/>
    <w:rsid w:val="00F630FC"/>
    <w:rsid w:val="00F6335D"/>
    <w:rsid w:val="00F6350B"/>
    <w:rsid w:val="00F63A37"/>
    <w:rsid w:val="00F63CC1"/>
    <w:rsid w:val="00F640E4"/>
    <w:rsid w:val="00F64367"/>
    <w:rsid w:val="00F65130"/>
    <w:rsid w:val="00F662F8"/>
    <w:rsid w:val="00F66300"/>
    <w:rsid w:val="00F668F6"/>
    <w:rsid w:val="00F670B8"/>
    <w:rsid w:val="00F6710B"/>
    <w:rsid w:val="00F6723B"/>
    <w:rsid w:val="00F67BFF"/>
    <w:rsid w:val="00F67CE0"/>
    <w:rsid w:val="00F67DF5"/>
    <w:rsid w:val="00F67E41"/>
    <w:rsid w:val="00F67ECD"/>
    <w:rsid w:val="00F7003F"/>
    <w:rsid w:val="00F701F0"/>
    <w:rsid w:val="00F7062F"/>
    <w:rsid w:val="00F710CE"/>
    <w:rsid w:val="00F7160D"/>
    <w:rsid w:val="00F71BAC"/>
    <w:rsid w:val="00F71CD9"/>
    <w:rsid w:val="00F7264B"/>
    <w:rsid w:val="00F72F88"/>
    <w:rsid w:val="00F736A3"/>
    <w:rsid w:val="00F73B06"/>
    <w:rsid w:val="00F74055"/>
    <w:rsid w:val="00F742C3"/>
    <w:rsid w:val="00F74E7F"/>
    <w:rsid w:val="00F75568"/>
    <w:rsid w:val="00F76394"/>
    <w:rsid w:val="00F76CB1"/>
    <w:rsid w:val="00F76FB9"/>
    <w:rsid w:val="00F77294"/>
    <w:rsid w:val="00F7782D"/>
    <w:rsid w:val="00F77A75"/>
    <w:rsid w:val="00F77F5A"/>
    <w:rsid w:val="00F804E3"/>
    <w:rsid w:val="00F80683"/>
    <w:rsid w:val="00F80E84"/>
    <w:rsid w:val="00F810DC"/>
    <w:rsid w:val="00F82203"/>
    <w:rsid w:val="00F82B69"/>
    <w:rsid w:val="00F82DDE"/>
    <w:rsid w:val="00F82DEB"/>
    <w:rsid w:val="00F82DFE"/>
    <w:rsid w:val="00F836EB"/>
    <w:rsid w:val="00F83EE1"/>
    <w:rsid w:val="00F83F94"/>
    <w:rsid w:val="00F8427A"/>
    <w:rsid w:val="00F8478F"/>
    <w:rsid w:val="00F847D9"/>
    <w:rsid w:val="00F84968"/>
    <w:rsid w:val="00F851A5"/>
    <w:rsid w:val="00F861CF"/>
    <w:rsid w:val="00F86BA0"/>
    <w:rsid w:val="00F8708F"/>
    <w:rsid w:val="00F87A5F"/>
    <w:rsid w:val="00F87FC0"/>
    <w:rsid w:val="00F90092"/>
    <w:rsid w:val="00F902B5"/>
    <w:rsid w:val="00F908EE"/>
    <w:rsid w:val="00F90A59"/>
    <w:rsid w:val="00F90CE3"/>
    <w:rsid w:val="00F9136B"/>
    <w:rsid w:val="00F91506"/>
    <w:rsid w:val="00F9192E"/>
    <w:rsid w:val="00F9194A"/>
    <w:rsid w:val="00F9199D"/>
    <w:rsid w:val="00F91B27"/>
    <w:rsid w:val="00F91C2B"/>
    <w:rsid w:val="00F91D87"/>
    <w:rsid w:val="00F92397"/>
    <w:rsid w:val="00F92846"/>
    <w:rsid w:val="00F92FC4"/>
    <w:rsid w:val="00F93465"/>
    <w:rsid w:val="00F9362D"/>
    <w:rsid w:val="00F93664"/>
    <w:rsid w:val="00F9383F"/>
    <w:rsid w:val="00F944CA"/>
    <w:rsid w:val="00F94E05"/>
    <w:rsid w:val="00F95109"/>
    <w:rsid w:val="00F95972"/>
    <w:rsid w:val="00F96593"/>
    <w:rsid w:val="00F96C80"/>
    <w:rsid w:val="00F96D89"/>
    <w:rsid w:val="00F9732D"/>
    <w:rsid w:val="00F9776D"/>
    <w:rsid w:val="00F979C1"/>
    <w:rsid w:val="00FA036C"/>
    <w:rsid w:val="00FA0C6B"/>
    <w:rsid w:val="00FA1C95"/>
    <w:rsid w:val="00FA2110"/>
    <w:rsid w:val="00FA25BD"/>
    <w:rsid w:val="00FA281A"/>
    <w:rsid w:val="00FA2DA2"/>
    <w:rsid w:val="00FA3ADA"/>
    <w:rsid w:val="00FA3CC2"/>
    <w:rsid w:val="00FA3DDA"/>
    <w:rsid w:val="00FA3F53"/>
    <w:rsid w:val="00FA453E"/>
    <w:rsid w:val="00FA4AFD"/>
    <w:rsid w:val="00FA4CB2"/>
    <w:rsid w:val="00FA5344"/>
    <w:rsid w:val="00FA55C0"/>
    <w:rsid w:val="00FA56E2"/>
    <w:rsid w:val="00FA5BB4"/>
    <w:rsid w:val="00FA64E7"/>
    <w:rsid w:val="00FA6841"/>
    <w:rsid w:val="00FA6E92"/>
    <w:rsid w:val="00FA770C"/>
    <w:rsid w:val="00FA780A"/>
    <w:rsid w:val="00FA7B6F"/>
    <w:rsid w:val="00FB096D"/>
    <w:rsid w:val="00FB0D82"/>
    <w:rsid w:val="00FB1820"/>
    <w:rsid w:val="00FB1BA0"/>
    <w:rsid w:val="00FB1C95"/>
    <w:rsid w:val="00FB3543"/>
    <w:rsid w:val="00FB381E"/>
    <w:rsid w:val="00FB39E2"/>
    <w:rsid w:val="00FB3D41"/>
    <w:rsid w:val="00FB5858"/>
    <w:rsid w:val="00FB58BA"/>
    <w:rsid w:val="00FB5D49"/>
    <w:rsid w:val="00FB74E7"/>
    <w:rsid w:val="00FB7D53"/>
    <w:rsid w:val="00FC0035"/>
    <w:rsid w:val="00FC1127"/>
    <w:rsid w:val="00FC140B"/>
    <w:rsid w:val="00FC1E6C"/>
    <w:rsid w:val="00FC1EA6"/>
    <w:rsid w:val="00FC2A54"/>
    <w:rsid w:val="00FC2D99"/>
    <w:rsid w:val="00FC32B8"/>
    <w:rsid w:val="00FC38C6"/>
    <w:rsid w:val="00FC38D8"/>
    <w:rsid w:val="00FC3C1C"/>
    <w:rsid w:val="00FC44C2"/>
    <w:rsid w:val="00FC50DC"/>
    <w:rsid w:val="00FC5552"/>
    <w:rsid w:val="00FC5B64"/>
    <w:rsid w:val="00FC6108"/>
    <w:rsid w:val="00FC672E"/>
    <w:rsid w:val="00FC6811"/>
    <w:rsid w:val="00FC6914"/>
    <w:rsid w:val="00FC6A57"/>
    <w:rsid w:val="00FC6C07"/>
    <w:rsid w:val="00FC761F"/>
    <w:rsid w:val="00FD0715"/>
    <w:rsid w:val="00FD0A5E"/>
    <w:rsid w:val="00FD1639"/>
    <w:rsid w:val="00FD18B9"/>
    <w:rsid w:val="00FD1B83"/>
    <w:rsid w:val="00FD26F8"/>
    <w:rsid w:val="00FD291C"/>
    <w:rsid w:val="00FD2AB7"/>
    <w:rsid w:val="00FD2FAE"/>
    <w:rsid w:val="00FD2FF7"/>
    <w:rsid w:val="00FD3F63"/>
    <w:rsid w:val="00FD468F"/>
    <w:rsid w:val="00FD55FC"/>
    <w:rsid w:val="00FD60A0"/>
    <w:rsid w:val="00FD6ABE"/>
    <w:rsid w:val="00FD6B98"/>
    <w:rsid w:val="00FD707A"/>
    <w:rsid w:val="00FD72C4"/>
    <w:rsid w:val="00FD7324"/>
    <w:rsid w:val="00FD7662"/>
    <w:rsid w:val="00FD7B1B"/>
    <w:rsid w:val="00FD7CF5"/>
    <w:rsid w:val="00FD7E5C"/>
    <w:rsid w:val="00FE0649"/>
    <w:rsid w:val="00FE090C"/>
    <w:rsid w:val="00FE091E"/>
    <w:rsid w:val="00FE0FE0"/>
    <w:rsid w:val="00FE1046"/>
    <w:rsid w:val="00FE1D08"/>
    <w:rsid w:val="00FE1E2B"/>
    <w:rsid w:val="00FE1F4A"/>
    <w:rsid w:val="00FE24FE"/>
    <w:rsid w:val="00FE27F5"/>
    <w:rsid w:val="00FE3309"/>
    <w:rsid w:val="00FE34BE"/>
    <w:rsid w:val="00FE393F"/>
    <w:rsid w:val="00FE3EE0"/>
    <w:rsid w:val="00FE44C1"/>
    <w:rsid w:val="00FE4C48"/>
    <w:rsid w:val="00FE4CCE"/>
    <w:rsid w:val="00FE4E33"/>
    <w:rsid w:val="00FE5456"/>
    <w:rsid w:val="00FE5E8A"/>
    <w:rsid w:val="00FE6533"/>
    <w:rsid w:val="00FE6FB8"/>
    <w:rsid w:val="00FE7492"/>
    <w:rsid w:val="00FE76D8"/>
    <w:rsid w:val="00FE7B1D"/>
    <w:rsid w:val="00FE7D78"/>
    <w:rsid w:val="00FE7E1E"/>
    <w:rsid w:val="00FF02DB"/>
    <w:rsid w:val="00FF079B"/>
    <w:rsid w:val="00FF0BF6"/>
    <w:rsid w:val="00FF0C66"/>
    <w:rsid w:val="00FF0EA1"/>
    <w:rsid w:val="00FF107B"/>
    <w:rsid w:val="00FF1247"/>
    <w:rsid w:val="00FF1343"/>
    <w:rsid w:val="00FF1378"/>
    <w:rsid w:val="00FF1696"/>
    <w:rsid w:val="00FF1949"/>
    <w:rsid w:val="00FF1CAF"/>
    <w:rsid w:val="00FF2072"/>
    <w:rsid w:val="00FF3773"/>
    <w:rsid w:val="00FF397B"/>
    <w:rsid w:val="00FF4283"/>
    <w:rsid w:val="00FF44AB"/>
    <w:rsid w:val="00FF4B9C"/>
    <w:rsid w:val="00FF5209"/>
    <w:rsid w:val="00FF5615"/>
    <w:rsid w:val="00FF5A00"/>
    <w:rsid w:val="00FF5EF1"/>
    <w:rsid w:val="00FF6124"/>
    <w:rsid w:val="00FF6738"/>
    <w:rsid w:val="00FF67F2"/>
    <w:rsid w:val="00FF6C4E"/>
    <w:rsid w:val="00FF6D57"/>
    <w:rsid w:val="00FF6D82"/>
    <w:rsid w:val="00FF6F90"/>
    <w:rsid w:val="00FF7E50"/>
    <w:rsid w:val="013C246A"/>
    <w:rsid w:val="014A14D6"/>
    <w:rsid w:val="01761461"/>
    <w:rsid w:val="0179527E"/>
    <w:rsid w:val="017A0B78"/>
    <w:rsid w:val="01CF0D89"/>
    <w:rsid w:val="020D657A"/>
    <w:rsid w:val="0223236F"/>
    <w:rsid w:val="022624E7"/>
    <w:rsid w:val="02287C7B"/>
    <w:rsid w:val="02952C5E"/>
    <w:rsid w:val="02BC242F"/>
    <w:rsid w:val="02D3157B"/>
    <w:rsid w:val="02E02F52"/>
    <w:rsid w:val="02E465FD"/>
    <w:rsid w:val="02FB5F01"/>
    <w:rsid w:val="03555A65"/>
    <w:rsid w:val="039A1E78"/>
    <w:rsid w:val="03CA0201"/>
    <w:rsid w:val="04250D9C"/>
    <w:rsid w:val="046E5030"/>
    <w:rsid w:val="047C774D"/>
    <w:rsid w:val="048C54B6"/>
    <w:rsid w:val="049B596F"/>
    <w:rsid w:val="04A103A3"/>
    <w:rsid w:val="04CC1D57"/>
    <w:rsid w:val="05105453"/>
    <w:rsid w:val="053A2227"/>
    <w:rsid w:val="054878AC"/>
    <w:rsid w:val="059A5C98"/>
    <w:rsid w:val="05E41A1D"/>
    <w:rsid w:val="0652373C"/>
    <w:rsid w:val="065B4DA2"/>
    <w:rsid w:val="06636FB2"/>
    <w:rsid w:val="06644482"/>
    <w:rsid w:val="0683733C"/>
    <w:rsid w:val="06A64F55"/>
    <w:rsid w:val="06B55198"/>
    <w:rsid w:val="06C66471"/>
    <w:rsid w:val="07041C7C"/>
    <w:rsid w:val="071C0D73"/>
    <w:rsid w:val="07222102"/>
    <w:rsid w:val="073B6441"/>
    <w:rsid w:val="07D97889"/>
    <w:rsid w:val="07F461D2"/>
    <w:rsid w:val="082C7E82"/>
    <w:rsid w:val="089B2A84"/>
    <w:rsid w:val="08AB319A"/>
    <w:rsid w:val="092142EF"/>
    <w:rsid w:val="09525099"/>
    <w:rsid w:val="09774987"/>
    <w:rsid w:val="097F26F2"/>
    <w:rsid w:val="098131DD"/>
    <w:rsid w:val="09B8437B"/>
    <w:rsid w:val="0A294445"/>
    <w:rsid w:val="0A391C3C"/>
    <w:rsid w:val="0A456833"/>
    <w:rsid w:val="0A4A27DE"/>
    <w:rsid w:val="0AC345EC"/>
    <w:rsid w:val="0AC54D37"/>
    <w:rsid w:val="0B544A8F"/>
    <w:rsid w:val="0B5A4560"/>
    <w:rsid w:val="0B952081"/>
    <w:rsid w:val="0B960351"/>
    <w:rsid w:val="0C867A32"/>
    <w:rsid w:val="0C936BC5"/>
    <w:rsid w:val="0CB8497B"/>
    <w:rsid w:val="0CF555B7"/>
    <w:rsid w:val="0CF57E91"/>
    <w:rsid w:val="0CF75B15"/>
    <w:rsid w:val="0D305579"/>
    <w:rsid w:val="0D5867A2"/>
    <w:rsid w:val="0D5B47C8"/>
    <w:rsid w:val="0DB25FD8"/>
    <w:rsid w:val="0E152D6F"/>
    <w:rsid w:val="0E7A1107"/>
    <w:rsid w:val="0ECD60CB"/>
    <w:rsid w:val="0ED87C76"/>
    <w:rsid w:val="0EE53CAA"/>
    <w:rsid w:val="0F342827"/>
    <w:rsid w:val="0F630EB1"/>
    <w:rsid w:val="0F6A1754"/>
    <w:rsid w:val="0F6B6962"/>
    <w:rsid w:val="0FBE2456"/>
    <w:rsid w:val="0FBF030D"/>
    <w:rsid w:val="0FCF7A0F"/>
    <w:rsid w:val="0FE443F8"/>
    <w:rsid w:val="0FE53F92"/>
    <w:rsid w:val="0FED5C57"/>
    <w:rsid w:val="10075607"/>
    <w:rsid w:val="101501AD"/>
    <w:rsid w:val="102953CE"/>
    <w:rsid w:val="104F30DB"/>
    <w:rsid w:val="106F0518"/>
    <w:rsid w:val="10807302"/>
    <w:rsid w:val="1083627A"/>
    <w:rsid w:val="113349F9"/>
    <w:rsid w:val="113C00B7"/>
    <w:rsid w:val="116515C8"/>
    <w:rsid w:val="11CF2F85"/>
    <w:rsid w:val="11EE5EEA"/>
    <w:rsid w:val="12284C92"/>
    <w:rsid w:val="129E4D82"/>
    <w:rsid w:val="12AC31BF"/>
    <w:rsid w:val="12D84F2E"/>
    <w:rsid w:val="12D940DE"/>
    <w:rsid w:val="12F6691D"/>
    <w:rsid w:val="1303121D"/>
    <w:rsid w:val="13555C66"/>
    <w:rsid w:val="1379754E"/>
    <w:rsid w:val="137E6702"/>
    <w:rsid w:val="139B3968"/>
    <w:rsid w:val="13AA0314"/>
    <w:rsid w:val="13BE6177"/>
    <w:rsid w:val="13BF31B2"/>
    <w:rsid w:val="13BF47FD"/>
    <w:rsid w:val="13FA2E27"/>
    <w:rsid w:val="14382F65"/>
    <w:rsid w:val="143E2EE3"/>
    <w:rsid w:val="14787805"/>
    <w:rsid w:val="1486741F"/>
    <w:rsid w:val="149B570F"/>
    <w:rsid w:val="14A012B1"/>
    <w:rsid w:val="14E13D7A"/>
    <w:rsid w:val="15320AA9"/>
    <w:rsid w:val="15D31197"/>
    <w:rsid w:val="15D46D50"/>
    <w:rsid w:val="15D84585"/>
    <w:rsid w:val="15F34711"/>
    <w:rsid w:val="16077093"/>
    <w:rsid w:val="160F7CF5"/>
    <w:rsid w:val="16143C3C"/>
    <w:rsid w:val="162166CB"/>
    <w:rsid w:val="164A3D54"/>
    <w:rsid w:val="16B40898"/>
    <w:rsid w:val="16C17241"/>
    <w:rsid w:val="16C968FB"/>
    <w:rsid w:val="1705493D"/>
    <w:rsid w:val="1736653A"/>
    <w:rsid w:val="176951FD"/>
    <w:rsid w:val="177A699D"/>
    <w:rsid w:val="17A1683C"/>
    <w:rsid w:val="17B46CFB"/>
    <w:rsid w:val="17D8243D"/>
    <w:rsid w:val="18367024"/>
    <w:rsid w:val="18381BC6"/>
    <w:rsid w:val="185F0EA1"/>
    <w:rsid w:val="18624A54"/>
    <w:rsid w:val="18851D55"/>
    <w:rsid w:val="18987D5A"/>
    <w:rsid w:val="18AC43B5"/>
    <w:rsid w:val="18C13618"/>
    <w:rsid w:val="18F460C2"/>
    <w:rsid w:val="19051B6A"/>
    <w:rsid w:val="19150E7F"/>
    <w:rsid w:val="193E287A"/>
    <w:rsid w:val="19622356"/>
    <w:rsid w:val="19802244"/>
    <w:rsid w:val="198028E2"/>
    <w:rsid w:val="19930475"/>
    <w:rsid w:val="19BF6E5F"/>
    <w:rsid w:val="19E1230A"/>
    <w:rsid w:val="1A352354"/>
    <w:rsid w:val="1A47372A"/>
    <w:rsid w:val="1A79218D"/>
    <w:rsid w:val="1A7D03A7"/>
    <w:rsid w:val="1B3452EB"/>
    <w:rsid w:val="1B7930C6"/>
    <w:rsid w:val="1B8013F7"/>
    <w:rsid w:val="1B9B0E19"/>
    <w:rsid w:val="1BB13295"/>
    <w:rsid w:val="1BB9498B"/>
    <w:rsid w:val="1BDC4942"/>
    <w:rsid w:val="1C2E32EC"/>
    <w:rsid w:val="1C424981"/>
    <w:rsid w:val="1C8431EB"/>
    <w:rsid w:val="1C8F12C8"/>
    <w:rsid w:val="1C9A707C"/>
    <w:rsid w:val="1CF63BC0"/>
    <w:rsid w:val="1D2A5330"/>
    <w:rsid w:val="1D72244E"/>
    <w:rsid w:val="1D8A5E16"/>
    <w:rsid w:val="1D93318F"/>
    <w:rsid w:val="1D9F3C04"/>
    <w:rsid w:val="1DB91B5D"/>
    <w:rsid w:val="1DF61EC7"/>
    <w:rsid w:val="1DFC3698"/>
    <w:rsid w:val="1E0647C5"/>
    <w:rsid w:val="1EB070A6"/>
    <w:rsid w:val="1EBF46A7"/>
    <w:rsid w:val="1F157ADB"/>
    <w:rsid w:val="1F200154"/>
    <w:rsid w:val="1F417171"/>
    <w:rsid w:val="1F582468"/>
    <w:rsid w:val="1F621C78"/>
    <w:rsid w:val="1F8C2A73"/>
    <w:rsid w:val="1FB231D9"/>
    <w:rsid w:val="1FB36144"/>
    <w:rsid w:val="1FBF1CE9"/>
    <w:rsid w:val="1FCD2AA2"/>
    <w:rsid w:val="200B7C2C"/>
    <w:rsid w:val="20567506"/>
    <w:rsid w:val="205A2A93"/>
    <w:rsid w:val="209854B7"/>
    <w:rsid w:val="21396E8B"/>
    <w:rsid w:val="21EF7359"/>
    <w:rsid w:val="22206454"/>
    <w:rsid w:val="22241AE3"/>
    <w:rsid w:val="22360C22"/>
    <w:rsid w:val="22397D58"/>
    <w:rsid w:val="225B3EBB"/>
    <w:rsid w:val="22832D4C"/>
    <w:rsid w:val="22920A1B"/>
    <w:rsid w:val="22DB0789"/>
    <w:rsid w:val="2307194D"/>
    <w:rsid w:val="231F117D"/>
    <w:rsid w:val="234500A6"/>
    <w:rsid w:val="23640EA6"/>
    <w:rsid w:val="23966838"/>
    <w:rsid w:val="23CA2319"/>
    <w:rsid w:val="23F24EDE"/>
    <w:rsid w:val="24352EBB"/>
    <w:rsid w:val="246B212F"/>
    <w:rsid w:val="247C0254"/>
    <w:rsid w:val="247D1529"/>
    <w:rsid w:val="24CF1C15"/>
    <w:rsid w:val="24E85830"/>
    <w:rsid w:val="24EC7CE0"/>
    <w:rsid w:val="2500391B"/>
    <w:rsid w:val="25043B62"/>
    <w:rsid w:val="25295B12"/>
    <w:rsid w:val="252A328F"/>
    <w:rsid w:val="25503253"/>
    <w:rsid w:val="25787F96"/>
    <w:rsid w:val="25CF3ED6"/>
    <w:rsid w:val="25D725DE"/>
    <w:rsid w:val="261A6219"/>
    <w:rsid w:val="26341C2C"/>
    <w:rsid w:val="263961BD"/>
    <w:rsid w:val="2666008D"/>
    <w:rsid w:val="26A52B1C"/>
    <w:rsid w:val="26E21CEE"/>
    <w:rsid w:val="271B62DA"/>
    <w:rsid w:val="272938E6"/>
    <w:rsid w:val="273713E4"/>
    <w:rsid w:val="27436592"/>
    <w:rsid w:val="274769D1"/>
    <w:rsid w:val="27545B4C"/>
    <w:rsid w:val="278B7DC4"/>
    <w:rsid w:val="27BD3A55"/>
    <w:rsid w:val="27E06830"/>
    <w:rsid w:val="27F62548"/>
    <w:rsid w:val="28056DA0"/>
    <w:rsid w:val="28245882"/>
    <w:rsid w:val="282E0A77"/>
    <w:rsid w:val="283261F1"/>
    <w:rsid w:val="284B2E0F"/>
    <w:rsid w:val="28987C75"/>
    <w:rsid w:val="28C719C7"/>
    <w:rsid w:val="28DF440F"/>
    <w:rsid w:val="2908745E"/>
    <w:rsid w:val="29D84B76"/>
    <w:rsid w:val="29F83574"/>
    <w:rsid w:val="2A10518F"/>
    <w:rsid w:val="2A1262DA"/>
    <w:rsid w:val="2A1C3B9F"/>
    <w:rsid w:val="2A367F13"/>
    <w:rsid w:val="2A3E6D57"/>
    <w:rsid w:val="2A4009B3"/>
    <w:rsid w:val="2A6571D9"/>
    <w:rsid w:val="2AA077A9"/>
    <w:rsid w:val="2AA1765E"/>
    <w:rsid w:val="2AF459E0"/>
    <w:rsid w:val="2B9F589A"/>
    <w:rsid w:val="2BBE286E"/>
    <w:rsid w:val="2BFD78DC"/>
    <w:rsid w:val="2C7F52AD"/>
    <w:rsid w:val="2CE4003B"/>
    <w:rsid w:val="2D5B7F98"/>
    <w:rsid w:val="2D8868B3"/>
    <w:rsid w:val="2D957CF5"/>
    <w:rsid w:val="2DDD37EA"/>
    <w:rsid w:val="2DEF2F2B"/>
    <w:rsid w:val="2DF13843"/>
    <w:rsid w:val="2E0E500A"/>
    <w:rsid w:val="2E5B7E19"/>
    <w:rsid w:val="2E8C4181"/>
    <w:rsid w:val="2EED766F"/>
    <w:rsid w:val="2EFE144D"/>
    <w:rsid w:val="2F1D3524"/>
    <w:rsid w:val="2FD72080"/>
    <w:rsid w:val="301E35DD"/>
    <w:rsid w:val="30AA4E20"/>
    <w:rsid w:val="30B5232B"/>
    <w:rsid w:val="30B74C4B"/>
    <w:rsid w:val="30F93D50"/>
    <w:rsid w:val="314F1BC2"/>
    <w:rsid w:val="31666628"/>
    <w:rsid w:val="3172765E"/>
    <w:rsid w:val="31E30425"/>
    <w:rsid w:val="31ED4B77"/>
    <w:rsid w:val="321E1D1F"/>
    <w:rsid w:val="32430FFB"/>
    <w:rsid w:val="32EE2BF6"/>
    <w:rsid w:val="3302471C"/>
    <w:rsid w:val="33613FFE"/>
    <w:rsid w:val="336143E6"/>
    <w:rsid w:val="337445BC"/>
    <w:rsid w:val="33AD7074"/>
    <w:rsid w:val="33F702EF"/>
    <w:rsid w:val="33FC19A6"/>
    <w:rsid w:val="340E19B7"/>
    <w:rsid w:val="343507A7"/>
    <w:rsid w:val="34692E8B"/>
    <w:rsid w:val="34886BFB"/>
    <w:rsid w:val="348C6C89"/>
    <w:rsid w:val="34957CEA"/>
    <w:rsid w:val="34B55906"/>
    <w:rsid w:val="34E75972"/>
    <w:rsid w:val="34EF4842"/>
    <w:rsid w:val="34F66FC6"/>
    <w:rsid w:val="3518676F"/>
    <w:rsid w:val="3537548D"/>
    <w:rsid w:val="35594B75"/>
    <w:rsid w:val="3576279B"/>
    <w:rsid w:val="357A2DF7"/>
    <w:rsid w:val="35A41BC7"/>
    <w:rsid w:val="35C70A00"/>
    <w:rsid w:val="35E37C57"/>
    <w:rsid w:val="36080591"/>
    <w:rsid w:val="36320DCE"/>
    <w:rsid w:val="364A067C"/>
    <w:rsid w:val="36940077"/>
    <w:rsid w:val="36993E75"/>
    <w:rsid w:val="36D3445E"/>
    <w:rsid w:val="37075C97"/>
    <w:rsid w:val="37182A56"/>
    <w:rsid w:val="37297BEE"/>
    <w:rsid w:val="374B13F0"/>
    <w:rsid w:val="3756191A"/>
    <w:rsid w:val="37623CD1"/>
    <w:rsid w:val="37671737"/>
    <w:rsid w:val="379A18B5"/>
    <w:rsid w:val="37B704C1"/>
    <w:rsid w:val="37D75647"/>
    <w:rsid w:val="37DB681C"/>
    <w:rsid w:val="38017E84"/>
    <w:rsid w:val="38141101"/>
    <w:rsid w:val="38233460"/>
    <w:rsid w:val="384C15E7"/>
    <w:rsid w:val="3862042D"/>
    <w:rsid w:val="38C01602"/>
    <w:rsid w:val="39243B3D"/>
    <w:rsid w:val="396B3311"/>
    <w:rsid w:val="39706D97"/>
    <w:rsid w:val="39A14223"/>
    <w:rsid w:val="39A828A4"/>
    <w:rsid w:val="39E24842"/>
    <w:rsid w:val="3A0E1EEE"/>
    <w:rsid w:val="3A346490"/>
    <w:rsid w:val="3A8B1791"/>
    <w:rsid w:val="3AC56C4A"/>
    <w:rsid w:val="3AE73B09"/>
    <w:rsid w:val="3AF12E62"/>
    <w:rsid w:val="3B217D32"/>
    <w:rsid w:val="3B244DFF"/>
    <w:rsid w:val="3B6B584A"/>
    <w:rsid w:val="3B88197A"/>
    <w:rsid w:val="3BBA103F"/>
    <w:rsid w:val="3C3A3BC9"/>
    <w:rsid w:val="3CC2593E"/>
    <w:rsid w:val="3D1433A2"/>
    <w:rsid w:val="3D29758D"/>
    <w:rsid w:val="3D55526F"/>
    <w:rsid w:val="3D93125D"/>
    <w:rsid w:val="3D941B11"/>
    <w:rsid w:val="3D9C2ADA"/>
    <w:rsid w:val="3D9D11C2"/>
    <w:rsid w:val="3DAD0409"/>
    <w:rsid w:val="3DC93E69"/>
    <w:rsid w:val="3E2724E7"/>
    <w:rsid w:val="3E27676D"/>
    <w:rsid w:val="3E795988"/>
    <w:rsid w:val="3E907376"/>
    <w:rsid w:val="3EA476C2"/>
    <w:rsid w:val="3ECB4852"/>
    <w:rsid w:val="3EDE3CCE"/>
    <w:rsid w:val="3F177A97"/>
    <w:rsid w:val="3F213F04"/>
    <w:rsid w:val="3F421D64"/>
    <w:rsid w:val="3F951D52"/>
    <w:rsid w:val="3FAE21A9"/>
    <w:rsid w:val="3FC901E2"/>
    <w:rsid w:val="40C1415E"/>
    <w:rsid w:val="4101561F"/>
    <w:rsid w:val="410D3D4D"/>
    <w:rsid w:val="41112B20"/>
    <w:rsid w:val="41150C03"/>
    <w:rsid w:val="41377EA7"/>
    <w:rsid w:val="413F78B7"/>
    <w:rsid w:val="41405083"/>
    <w:rsid w:val="415914C1"/>
    <w:rsid w:val="41766CF7"/>
    <w:rsid w:val="418677AA"/>
    <w:rsid w:val="41B25855"/>
    <w:rsid w:val="41BC374E"/>
    <w:rsid w:val="41C90103"/>
    <w:rsid w:val="429B3FD5"/>
    <w:rsid w:val="42BE6082"/>
    <w:rsid w:val="42C62596"/>
    <w:rsid w:val="434846C3"/>
    <w:rsid w:val="434B078A"/>
    <w:rsid w:val="438870AF"/>
    <w:rsid w:val="43A279BA"/>
    <w:rsid w:val="43BA2B9E"/>
    <w:rsid w:val="43C31F9B"/>
    <w:rsid w:val="43E80323"/>
    <w:rsid w:val="43EA6644"/>
    <w:rsid w:val="43FA5FE2"/>
    <w:rsid w:val="44322D4A"/>
    <w:rsid w:val="444A6219"/>
    <w:rsid w:val="44C64D54"/>
    <w:rsid w:val="44D779CD"/>
    <w:rsid w:val="44DC3C69"/>
    <w:rsid w:val="44F77F05"/>
    <w:rsid w:val="45856946"/>
    <w:rsid w:val="45A84FC2"/>
    <w:rsid w:val="45D8555E"/>
    <w:rsid w:val="45F770E7"/>
    <w:rsid w:val="463351B6"/>
    <w:rsid w:val="469D4D26"/>
    <w:rsid w:val="46AB6703"/>
    <w:rsid w:val="46BC589A"/>
    <w:rsid w:val="4736312B"/>
    <w:rsid w:val="476602F6"/>
    <w:rsid w:val="47700D63"/>
    <w:rsid w:val="478F0B12"/>
    <w:rsid w:val="47A869D1"/>
    <w:rsid w:val="47AC1243"/>
    <w:rsid w:val="47C02B27"/>
    <w:rsid w:val="47C031D6"/>
    <w:rsid w:val="47FF5F01"/>
    <w:rsid w:val="481B23A3"/>
    <w:rsid w:val="485B2011"/>
    <w:rsid w:val="48602451"/>
    <w:rsid w:val="4866760A"/>
    <w:rsid w:val="489F24E0"/>
    <w:rsid w:val="48AC1C02"/>
    <w:rsid w:val="4948005A"/>
    <w:rsid w:val="498E6BA8"/>
    <w:rsid w:val="49AE1FB3"/>
    <w:rsid w:val="49D74501"/>
    <w:rsid w:val="4A3634C7"/>
    <w:rsid w:val="4A3B4A5C"/>
    <w:rsid w:val="4A565917"/>
    <w:rsid w:val="4A946440"/>
    <w:rsid w:val="4AAB53E3"/>
    <w:rsid w:val="4AEF36A5"/>
    <w:rsid w:val="4AF306B5"/>
    <w:rsid w:val="4B4F4DB1"/>
    <w:rsid w:val="4B972E39"/>
    <w:rsid w:val="4BDA4326"/>
    <w:rsid w:val="4C5C1A2A"/>
    <w:rsid w:val="4C8B5BC6"/>
    <w:rsid w:val="4D081D6E"/>
    <w:rsid w:val="4D3B0DF4"/>
    <w:rsid w:val="4D497A62"/>
    <w:rsid w:val="4D4B661B"/>
    <w:rsid w:val="4D4C3002"/>
    <w:rsid w:val="4D5214EF"/>
    <w:rsid w:val="4D79052A"/>
    <w:rsid w:val="4D7E0E31"/>
    <w:rsid w:val="4DD82969"/>
    <w:rsid w:val="4E025A20"/>
    <w:rsid w:val="4E4C43BA"/>
    <w:rsid w:val="4E7B0D91"/>
    <w:rsid w:val="4E997359"/>
    <w:rsid w:val="4ED92F65"/>
    <w:rsid w:val="4F0D3938"/>
    <w:rsid w:val="4F3E57BE"/>
    <w:rsid w:val="4F46001C"/>
    <w:rsid w:val="4F766E4A"/>
    <w:rsid w:val="4FFF6735"/>
    <w:rsid w:val="50224539"/>
    <w:rsid w:val="503B7ECA"/>
    <w:rsid w:val="50562373"/>
    <w:rsid w:val="50D15CF8"/>
    <w:rsid w:val="51122012"/>
    <w:rsid w:val="512962D7"/>
    <w:rsid w:val="51501312"/>
    <w:rsid w:val="518D4B89"/>
    <w:rsid w:val="519059F2"/>
    <w:rsid w:val="51A72DA3"/>
    <w:rsid w:val="51D718C7"/>
    <w:rsid w:val="51FB0B52"/>
    <w:rsid w:val="52CF44B9"/>
    <w:rsid w:val="52E863D3"/>
    <w:rsid w:val="532A2A4A"/>
    <w:rsid w:val="53622C10"/>
    <w:rsid w:val="536426E8"/>
    <w:rsid w:val="537340B4"/>
    <w:rsid w:val="53C71634"/>
    <w:rsid w:val="5459778E"/>
    <w:rsid w:val="547D2C1A"/>
    <w:rsid w:val="54D83366"/>
    <w:rsid w:val="54F324F8"/>
    <w:rsid w:val="55381ED8"/>
    <w:rsid w:val="5543788A"/>
    <w:rsid w:val="554F18E1"/>
    <w:rsid w:val="558E2590"/>
    <w:rsid w:val="55EE58B3"/>
    <w:rsid w:val="563E7AA9"/>
    <w:rsid w:val="568850AA"/>
    <w:rsid w:val="56C25B6C"/>
    <w:rsid w:val="56F22E81"/>
    <w:rsid w:val="57140367"/>
    <w:rsid w:val="57154464"/>
    <w:rsid w:val="57313F33"/>
    <w:rsid w:val="575D6106"/>
    <w:rsid w:val="57A35F14"/>
    <w:rsid w:val="57B9772B"/>
    <w:rsid w:val="57C32112"/>
    <w:rsid w:val="5805272B"/>
    <w:rsid w:val="58107DBF"/>
    <w:rsid w:val="58207C04"/>
    <w:rsid w:val="585A4F2F"/>
    <w:rsid w:val="58B4208E"/>
    <w:rsid w:val="595765E7"/>
    <w:rsid w:val="597638E0"/>
    <w:rsid w:val="59A05FAE"/>
    <w:rsid w:val="59A349B6"/>
    <w:rsid w:val="59C97EB4"/>
    <w:rsid w:val="59CB2704"/>
    <w:rsid w:val="59E1204C"/>
    <w:rsid w:val="5A025F92"/>
    <w:rsid w:val="5A0A04CC"/>
    <w:rsid w:val="5B1F079D"/>
    <w:rsid w:val="5B526733"/>
    <w:rsid w:val="5B562F03"/>
    <w:rsid w:val="5B5F03A4"/>
    <w:rsid w:val="5B8A1310"/>
    <w:rsid w:val="5BF1122A"/>
    <w:rsid w:val="5C080114"/>
    <w:rsid w:val="5C12295F"/>
    <w:rsid w:val="5C283EC9"/>
    <w:rsid w:val="5C405F77"/>
    <w:rsid w:val="5C437174"/>
    <w:rsid w:val="5C9F30C9"/>
    <w:rsid w:val="5D0E7222"/>
    <w:rsid w:val="5D51434E"/>
    <w:rsid w:val="5DB71AE2"/>
    <w:rsid w:val="5DC23EA0"/>
    <w:rsid w:val="5DC866D4"/>
    <w:rsid w:val="5E50108F"/>
    <w:rsid w:val="5E9860A7"/>
    <w:rsid w:val="5EDB4749"/>
    <w:rsid w:val="5EF01CA8"/>
    <w:rsid w:val="5EF64B7B"/>
    <w:rsid w:val="5F2416FD"/>
    <w:rsid w:val="5F29531B"/>
    <w:rsid w:val="5F2D2C93"/>
    <w:rsid w:val="5F324694"/>
    <w:rsid w:val="5F636DCE"/>
    <w:rsid w:val="5F9F09A1"/>
    <w:rsid w:val="5FD737D1"/>
    <w:rsid w:val="603077A1"/>
    <w:rsid w:val="606968D4"/>
    <w:rsid w:val="607A764D"/>
    <w:rsid w:val="60940868"/>
    <w:rsid w:val="60A26FD1"/>
    <w:rsid w:val="60A47149"/>
    <w:rsid w:val="60DA6DED"/>
    <w:rsid w:val="61031871"/>
    <w:rsid w:val="612B7408"/>
    <w:rsid w:val="617B7D81"/>
    <w:rsid w:val="61A90EE7"/>
    <w:rsid w:val="61B70402"/>
    <w:rsid w:val="61FB55A6"/>
    <w:rsid w:val="62032B48"/>
    <w:rsid w:val="620A534B"/>
    <w:rsid w:val="623C4832"/>
    <w:rsid w:val="62610F56"/>
    <w:rsid w:val="628462D0"/>
    <w:rsid w:val="62A611DF"/>
    <w:rsid w:val="62EE44E7"/>
    <w:rsid w:val="62F6602C"/>
    <w:rsid w:val="630B0D25"/>
    <w:rsid w:val="63377F97"/>
    <w:rsid w:val="633B5253"/>
    <w:rsid w:val="639D576F"/>
    <w:rsid w:val="63C85E98"/>
    <w:rsid w:val="63EC3E4B"/>
    <w:rsid w:val="6402249F"/>
    <w:rsid w:val="644D16E1"/>
    <w:rsid w:val="648D6455"/>
    <w:rsid w:val="64A62BA0"/>
    <w:rsid w:val="65261C11"/>
    <w:rsid w:val="652660BF"/>
    <w:rsid w:val="65711400"/>
    <w:rsid w:val="65742EC7"/>
    <w:rsid w:val="6580369E"/>
    <w:rsid w:val="65931376"/>
    <w:rsid w:val="65BA00FE"/>
    <w:rsid w:val="65DF3F95"/>
    <w:rsid w:val="65FC516D"/>
    <w:rsid w:val="660E7CE2"/>
    <w:rsid w:val="666351EC"/>
    <w:rsid w:val="666D68AF"/>
    <w:rsid w:val="66BC66AA"/>
    <w:rsid w:val="66C8504F"/>
    <w:rsid w:val="66CC3556"/>
    <w:rsid w:val="66E638C0"/>
    <w:rsid w:val="66E95763"/>
    <w:rsid w:val="67180AF8"/>
    <w:rsid w:val="676C20F3"/>
    <w:rsid w:val="676C45F3"/>
    <w:rsid w:val="67801DCE"/>
    <w:rsid w:val="67F53618"/>
    <w:rsid w:val="6804655B"/>
    <w:rsid w:val="6820733F"/>
    <w:rsid w:val="68210EBB"/>
    <w:rsid w:val="6826190D"/>
    <w:rsid w:val="686F0AF0"/>
    <w:rsid w:val="688C4126"/>
    <w:rsid w:val="68942A10"/>
    <w:rsid w:val="68F42334"/>
    <w:rsid w:val="691B590A"/>
    <w:rsid w:val="69423AFE"/>
    <w:rsid w:val="694D30F2"/>
    <w:rsid w:val="69572F2E"/>
    <w:rsid w:val="69631A3C"/>
    <w:rsid w:val="697F4AA5"/>
    <w:rsid w:val="69F13A07"/>
    <w:rsid w:val="69F45E5D"/>
    <w:rsid w:val="6A366934"/>
    <w:rsid w:val="6A44239D"/>
    <w:rsid w:val="6A4721BE"/>
    <w:rsid w:val="6A75300F"/>
    <w:rsid w:val="6A970A54"/>
    <w:rsid w:val="6AA735D6"/>
    <w:rsid w:val="6B2D5DC9"/>
    <w:rsid w:val="6B38327E"/>
    <w:rsid w:val="6B3E69F2"/>
    <w:rsid w:val="6B481FF8"/>
    <w:rsid w:val="6B6E6329"/>
    <w:rsid w:val="6BF665EC"/>
    <w:rsid w:val="6C3A66BC"/>
    <w:rsid w:val="6C7D68DC"/>
    <w:rsid w:val="6CAF1D3C"/>
    <w:rsid w:val="6CD40BF2"/>
    <w:rsid w:val="6CE030B0"/>
    <w:rsid w:val="6CF556F7"/>
    <w:rsid w:val="6D4A4A10"/>
    <w:rsid w:val="6D4B6130"/>
    <w:rsid w:val="6D6E4F1D"/>
    <w:rsid w:val="6DA00AD4"/>
    <w:rsid w:val="6DB14A8F"/>
    <w:rsid w:val="6DB9605E"/>
    <w:rsid w:val="6E2200E3"/>
    <w:rsid w:val="6E9D1680"/>
    <w:rsid w:val="6EB0094B"/>
    <w:rsid w:val="6F0F1435"/>
    <w:rsid w:val="6F1B4E65"/>
    <w:rsid w:val="6F2C2BA0"/>
    <w:rsid w:val="6F2E3093"/>
    <w:rsid w:val="6F4162E7"/>
    <w:rsid w:val="6F5953DE"/>
    <w:rsid w:val="6F8259ED"/>
    <w:rsid w:val="6FB30265"/>
    <w:rsid w:val="6FD459CC"/>
    <w:rsid w:val="7054775D"/>
    <w:rsid w:val="7056191E"/>
    <w:rsid w:val="706A6637"/>
    <w:rsid w:val="70B22023"/>
    <w:rsid w:val="70D43718"/>
    <w:rsid w:val="70D91188"/>
    <w:rsid w:val="70DC4260"/>
    <w:rsid w:val="70E22E6B"/>
    <w:rsid w:val="70E44F58"/>
    <w:rsid w:val="70EC5FE7"/>
    <w:rsid w:val="70FE623D"/>
    <w:rsid w:val="71265794"/>
    <w:rsid w:val="714176D5"/>
    <w:rsid w:val="71645191"/>
    <w:rsid w:val="717007BD"/>
    <w:rsid w:val="719F6A56"/>
    <w:rsid w:val="71A1306D"/>
    <w:rsid w:val="71DF7A75"/>
    <w:rsid w:val="720D24B0"/>
    <w:rsid w:val="7270708A"/>
    <w:rsid w:val="72802C82"/>
    <w:rsid w:val="72AC7F1B"/>
    <w:rsid w:val="72E451C2"/>
    <w:rsid w:val="72E804B1"/>
    <w:rsid w:val="73047407"/>
    <w:rsid w:val="73055543"/>
    <w:rsid w:val="73284FC8"/>
    <w:rsid w:val="738E367E"/>
    <w:rsid w:val="73C60B68"/>
    <w:rsid w:val="73DB1B03"/>
    <w:rsid w:val="73DB4206"/>
    <w:rsid w:val="73FE2B4F"/>
    <w:rsid w:val="743069AD"/>
    <w:rsid w:val="744D62DD"/>
    <w:rsid w:val="747F1A52"/>
    <w:rsid w:val="74984A16"/>
    <w:rsid w:val="74C01A5C"/>
    <w:rsid w:val="74C57302"/>
    <w:rsid w:val="74F636CF"/>
    <w:rsid w:val="75426428"/>
    <w:rsid w:val="755F19C7"/>
    <w:rsid w:val="75604BFB"/>
    <w:rsid w:val="757F4F2B"/>
    <w:rsid w:val="75F36C04"/>
    <w:rsid w:val="75F6664F"/>
    <w:rsid w:val="76CA0970"/>
    <w:rsid w:val="7702635B"/>
    <w:rsid w:val="771856CB"/>
    <w:rsid w:val="77694336"/>
    <w:rsid w:val="778D79A7"/>
    <w:rsid w:val="77A1279F"/>
    <w:rsid w:val="781E0E99"/>
    <w:rsid w:val="7829682B"/>
    <w:rsid w:val="782A0E50"/>
    <w:rsid w:val="785E75C1"/>
    <w:rsid w:val="78C54F61"/>
    <w:rsid w:val="78FB178A"/>
    <w:rsid w:val="792720A9"/>
    <w:rsid w:val="79870D9A"/>
    <w:rsid w:val="79AB2CDA"/>
    <w:rsid w:val="79B570A3"/>
    <w:rsid w:val="7A195DA1"/>
    <w:rsid w:val="7A700510"/>
    <w:rsid w:val="7A9E639B"/>
    <w:rsid w:val="7AA240DD"/>
    <w:rsid w:val="7AA4300F"/>
    <w:rsid w:val="7AA76D5B"/>
    <w:rsid w:val="7AAB7433"/>
    <w:rsid w:val="7AF01424"/>
    <w:rsid w:val="7B162D99"/>
    <w:rsid w:val="7B2D1921"/>
    <w:rsid w:val="7B3F44E4"/>
    <w:rsid w:val="7B7E4979"/>
    <w:rsid w:val="7B896DFB"/>
    <w:rsid w:val="7BCB1412"/>
    <w:rsid w:val="7BEE05A2"/>
    <w:rsid w:val="7BF3017A"/>
    <w:rsid w:val="7C0132AF"/>
    <w:rsid w:val="7C2C6727"/>
    <w:rsid w:val="7CD15B82"/>
    <w:rsid w:val="7CD73DE6"/>
    <w:rsid w:val="7CDF4D92"/>
    <w:rsid w:val="7CED7B6F"/>
    <w:rsid w:val="7D757DAE"/>
    <w:rsid w:val="7D7F24B4"/>
    <w:rsid w:val="7D7F72F7"/>
    <w:rsid w:val="7D951EC0"/>
    <w:rsid w:val="7DC9372F"/>
    <w:rsid w:val="7E09208C"/>
    <w:rsid w:val="7E236173"/>
    <w:rsid w:val="7E497A3C"/>
    <w:rsid w:val="7E7328E3"/>
    <w:rsid w:val="7ECC79AF"/>
    <w:rsid w:val="7ED5043F"/>
    <w:rsid w:val="7F2A28F3"/>
    <w:rsid w:val="7F62550F"/>
    <w:rsid w:val="7F9867FF"/>
    <w:rsid w:val="7F9972B4"/>
    <w:rsid w:val="7FBA5628"/>
    <w:rsid w:val="7FC37164"/>
    <w:rsid w:val="7FD0295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keepNext/>
      <w:keepLines/>
      <w:spacing w:before="240" w:after="240" w:line="240" w:lineRule="atLeast"/>
      <w:outlineLvl w:val="0"/>
    </w:pPr>
    <w:rPr>
      <w:rFonts w:eastAsia="黑体"/>
      <w:bCs/>
      <w:kern w:val="44"/>
      <w:sz w:val="24"/>
      <w:szCs w:val="44"/>
    </w:rPr>
  </w:style>
  <w:style w:type="paragraph" w:styleId="3">
    <w:name w:val="heading 2"/>
    <w:basedOn w:val="1"/>
    <w:next w:val="4"/>
    <w:link w:val="58"/>
    <w:qFormat/>
    <w:uiPriority w:val="0"/>
    <w:pPr>
      <w:keepNext/>
      <w:keepLines/>
      <w:spacing w:before="260" w:after="260" w:line="480" w:lineRule="exact"/>
      <w:jc w:val="center"/>
      <w:outlineLvl w:val="1"/>
    </w:pPr>
    <w:rPr>
      <w:rFonts w:ascii="宋体" w:hAnsi="宋体" w:eastAsia="黑体"/>
      <w:bCs/>
      <w:i/>
      <w:iCs/>
      <w:sz w:val="24"/>
      <w:szCs w:val="20"/>
    </w:rPr>
  </w:style>
  <w:style w:type="paragraph" w:styleId="5">
    <w:name w:val="heading 3"/>
    <w:basedOn w:val="1"/>
    <w:next w:val="4"/>
    <w:link w:val="62"/>
    <w:qFormat/>
    <w:uiPriority w:val="0"/>
    <w:pPr>
      <w:keepNext/>
      <w:keepLines/>
      <w:widowControl/>
      <w:spacing w:before="120" w:after="120" w:line="360" w:lineRule="auto"/>
      <w:jc w:val="center"/>
      <w:outlineLvl w:val="2"/>
    </w:pPr>
    <w:rPr>
      <w:b/>
      <w:kern w:val="0"/>
      <w:sz w:val="32"/>
      <w:szCs w:val="20"/>
    </w:rPr>
  </w:style>
  <w:style w:type="paragraph" w:styleId="6">
    <w:name w:val="heading 4"/>
    <w:basedOn w:val="1"/>
    <w:next w:val="4"/>
    <w:qFormat/>
    <w:uiPriority w:val="0"/>
    <w:pPr>
      <w:keepNext/>
      <w:adjustRightInd w:val="0"/>
      <w:spacing w:line="420" w:lineRule="atLeast"/>
      <w:ind w:firstLine="454"/>
      <w:jc w:val="center"/>
      <w:textAlignment w:val="baseline"/>
      <w:outlineLvl w:val="3"/>
    </w:pPr>
    <w:rPr>
      <w:i/>
      <w:kern w:val="0"/>
      <w:szCs w:val="20"/>
    </w:rPr>
  </w:style>
  <w:style w:type="paragraph" w:styleId="7">
    <w:name w:val="heading 6"/>
    <w:basedOn w:val="1"/>
    <w:next w:val="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1">
    <w:name w:val="Default Paragraph Font"/>
    <w:semiHidden/>
    <w:qFormat/>
    <w:uiPriority w:val="0"/>
  </w:style>
  <w:style w:type="table" w:default="1" w:styleId="39">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11">
    <w:name w:val="toc 7"/>
    <w:basedOn w:val="1"/>
    <w:next w:val="1"/>
    <w:unhideWhenUsed/>
    <w:qFormat/>
    <w:uiPriority w:val="39"/>
    <w:pPr>
      <w:ind w:left="2520" w:leftChars="1200"/>
    </w:pPr>
    <w:rPr>
      <w:rFonts w:ascii="Calibri" w:hAnsi="Calibri" w:eastAsia="宋体" w:cs="Times New Roman"/>
      <w:szCs w:val="22"/>
    </w:rPr>
  </w:style>
  <w:style w:type="paragraph" w:styleId="12">
    <w:name w:val="caption"/>
    <w:basedOn w:val="1"/>
    <w:next w:val="1"/>
    <w:qFormat/>
    <w:uiPriority w:val="0"/>
    <w:rPr>
      <w:rFonts w:ascii="Arial" w:hAnsi="Arial" w:eastAsia="黑体" w:cs="Arial"/>
      <w:sz w:val="20"/>
      <w:szCs w:val="20"/>
    </w:rPr>
  </w:style>
  <w:style w:type="paragraph" w:styleId="13">
    <w:name w:val="Document Map"/>
    <w:basedOn w:val="1"/>
    <w:link w:val="56"/>
    <w:qFormat/>
    <w:uiPriority w:val="0"/>
    <w:rPr>
      <w:rFonts w:ascii="宋体"/>
      <w:sz w:val="18"/>
      <w:szCs w:val="18"/>
    </w:rPr>
  </w:style>
  <w:style w:type="paragraph" w:styleId="14">
    <w:name w:val="annotation text"/>
    <w:basedOn w:val="1"/>
    <w:link w:val="50"/>
    <w:qFormat/>
    <w:uiPriority w:val="0"/>
    <w:pPr>
      <w:jc w:val="left"/>
    </w:pPr>
  </w:style>
  <w:style w:type="paragraph" w:styleId="15">
    <w:name w:val="Body Text 3"/>
    <w:basedOn w:val="1"/>
    <w:link w:val="48"/>
    <w:qFormat/>
    <w:uiPriority w:val="0"/>
    <w:rPr>
      <w:rFonts w:ascii="宋体"/>
      <w:sz w:val="24"/>
      <w:szCs w:val="20"/>
    </w:rPr>
  </w:style>
  <w:style w:type="paragraph" w:styleId="16">
    <w:name w:val="Body Text"/>
    <w:basedOn w:val="1"/>
    <w:qFormat/>
    <w:uiPriority w:val="0"/>
    <w:pPr>
      <w:spacing w:after="120"/>
    </w:pPr>
  </w:style>
  <w:style w:type="paragraph" w:styleId="17">
    <w:name w:val="Body Text Indent"/>
    <w:basedOn w:val="1"/>
    <w:qFormat/>
    <w:uiPriority w:val="0"/>
    <w:pPr>
      <w:spacing w:after="120"/>
      <w:ind w:left="420" w:leftChars="200"/>
    </w:pPr>
  </w:style>
  <w:style w:type="paragraph" w:styleId="18">
    <w:name w:val="toc 5"/>
    <w:basedOn w:val="1"/>
    <w:next w:val="1"/>
    <w:unhideWhenUsed/>
    <w:qFormat/>
    <w:uiPriority w:val="39"/>
    <w:pPr>
      <w:ind w:left="1680" w:leftChars="800"/>
    </w:pPr>
    <w:rPr>
      <w:rFonts w:ascii="Calibri" w:hAnsi="Calibri" w:eastAsia="宋体" w:cs="Times New Roman"/>
      <w:szCs w:val="22"/>
    </w:rPr>
  </w:style>
  <w:style w:type="paragraph" w:styleId="19">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20">
    <w:name w:val="Plain Text"/>
    <w:basedOn w:val="1"/>
    <w:link w:val="55"/>
    <w:qFormat/>
    <w:uiPriority w:val="0"/>
    <w:rPr>
      <w:rFonts w:ascii="宋体" w:hAnsi="Courier New"/>
      <w:szCs w:val="20"/>
    </w:rPr>
  </w:style>
  <w:style w:type="paragraph" w:styleId="21">
    <w:name w:val="toc 8"/>
    <w:basedOn w:val="1"/>
    <w:next w:val="1"/>
    <w:unhideWhenUsed/>
    <w:qFormat/>
    <w:uiPriority w:val="39"/>
    <w:pPr>
      <w:ind w:left="2940" w:leftChars="1400"/>
    </w:pPr>
    <w:rPr>
      <w:rFonts w:ascii="Calibri" w:hAnsi="Calibri" w:eastAsia="宋体" w:cs="Times New Roman"/>
      <w:szCs w:val="22"/>
    </w:rPr>
  </w:style>
  <w:style w:type="paragraph" w:styleId="22">
    <w:name w:val="Date"/>
    <w:basedOn w:val="1"/>
    <w:next w:val="1"/>
    <w:qFormat/>
    <w:uiPriority w:val="0"/>
    <w:rPr>
      <w:sz w:val="24"/>
      <w:szCs w:val="20"/>
    </w:rPr>
  </w:style>
  <w:style w:type="paragraph" w:styleId="23">
    <w:name w:val="Body Text Indent 2"/>
    <w:basedOn w:val="1"/>
    <w:qFormat/>
    <w:uiPriority w:val="0"/>
    <w:pPr>
      <w:spacing w:line="500" w:lineRule="exact"/>
      <w:ind w:firstLine="540" w:firstLineChars="200"/>
    </w:pPr>
    <w:rPr>
      <w:rFonts w:ascii="宋体" w:hAnsi="宋体"/>
      <w:sz w:val="27"/>
      <w:szCs w:val="27"/>
    </w:rPr>
  </w:style>
  <w:style w:type="paragraph" w:styleId="24">
    <w:name w:val="endnote text"/>
    <w:basedOn w:val="1"/>
    <w:semiHidden/>
    <w:qFormat/>
    <w:uiPriority w:val="0"/>
    <w:pPr>
      <w:snapToGrid w:val="0"/>
      <w:jc w:val="left"/>
    </w:pPr>
  </w:style>
  <w:style w:type="paragraph" w:styleId="25">
    <w:name w:val="Balloon Text"/>
    <w:basedOn w:val="1"/>
    <w:semiHidden/>
    <w:qFormat/>
    <w:uiPriority w:val="0"/>
    <w:rPr>
      <w:sz w:val="18"/>
      <w:szCs w:val="18"/>
    </w:rPr>
  </w:style>
  <w:style w:type="paragraph" w:styleId="26">
    <w:name w:val="footer"/>
    <w:basedOn w:val="1"/>
    <w:link w:val="51"/>
    <w:qFormat/>
    <w:uiPriority w:val="0"/>
    <w:pPr>
      <w:tabs>
        <w:tab w:val="center" w:pos="4153"/>
        <w:tab w:val="right" w:pos="8306"/>
      </w:tabs>
      <w:snapToGrid w:val="0"/>
      <w:jc w:val="left"/>
    </w:pPr>
    <w:rPr>
      <w:sz w:val="18"/>
      <w:szCs w:val="18"/>
    </w:rPr>
  </w:style>
  <w:style w:type="paragraph" w:styleId="27">
    <w:name w:val="header"/>
    <w:basedOn w:val="1"/>
    <w:link w:val="65"/>
    <w:qFormat/>
    <w:uiPriority w:val="0"/>
    <w:pPr>
      <w:tabs>
        <w:tab w:val="center" w:pos="4153"/>
        <w:tab w:val="right" w:pos="8306"/>
      </w:tabs>
      <w:snapToGrid w:val="0"/>
      <w:jc w:val="center"/>
    </w:pPr>
    <w:rPr>
      <w:sz w:val="18"/>
      <w:szCs w:val="18"/>
    </w:rPr>
  </w:style>
  <w:style w:type="paragraph" w:styleId="28">
    <w:name w:val="toc 1"/>
    <w:basedOn w:val="1"/>
    <w:next w:val="1"/>
    <w:qFormat/>
    <w:uiPriority w:val="39"/>
    <w:pPr>
      <w:tabs>
        <w:tab w:val="left" w:pos="425"/>
        <w:tab w:val="right" w:leader="dot" w:pos="8805"/>
      </w:tabs>
      <w:spacing w:line="440" w:lineRule="exact"/>
      <w:jc w:val="center"/>
    </w:pPr>
    <w:rPr>
      <w:color w:val="000000"/>
      <w:sz w:val="20"/>
      <w:szCs w:val="20"/>
    </w:rPr>
  </w:style>
  <w:style w:type="paragraph" w:styleId="29">
    <w:name w:val="toc 4"/>
    <w:basedOn w:val="1"/>
    <w:next w:val="1"/>
    <w:unhideWhenUsed/>
    <w:qFormat/>
    <w:uiPriority w:val="39"/>
    <w:pPr>
      <w:ind w:left="1260" w:leftChars="600"/>
    </w:pPr>
    <w:rPr>
      <w:rFonts w:ascii="Calibri" w:hAnsi="Calibri" w:eastAsia="宋体" w:cs="Times New Roman"/>
      <w:szCs w:val="22"/>
    </w:rPr>
  </w:style>
  <w:style w:type="paragraph" w:styleId="30">
    <w:name w:val="footnote text"/>
    <w:basedOn w:val="1"/>
    <w:link w:val="57"/>
    <w:qFormat/>
    <w:uiPriority w:val="0"/>
    <w:pPr>
      <w:adjustRightInd w:val="0"/>
      <w:snapToGrid w:val="0"/>
      <w:spacing w:line="420" w:lineRule="atLeast"/>
      <w:ind w:firstLine="454"/>
      <w:jc w:val="left"/>
      <w:textAlignment w:val="baseline"/>
    </w:pPr>
    <w:rPr>
      <w:kern w:val="0"/>
      <w:sz w:val="18"/>
      <w:szCs w:val="20"/>
    </w:rPr>
  </w:style>
  <w:style w:type="paragraph" w:styleId="31">
    <w:name w:val="toc 6"/>
    <w:basedOn w:val="1"/>
    <w:next w:val="1"/>
    <w:unhideWhenUsed/>
    <w:qFormat/>
    <w:uiPriority w:val="39"/>
    <w:pPr>
      <w:ind w:left="2100" w:leftChars="1000"/>
    </w:pPr>
    <w:rPr>
      <w:rFonts w:ascii="Calibri" w:hAnsi="Calibri" w:eastAsia="宋体" w:cs="Times New Roman"/>
      <w:szCs w:val="22"/>
    </w:rPr>
  </w:style>
  <w:style w:type="paragraph" w:styleId="32">
    <w:name w:val="Body Text Indent 3"/>
    <w:basedOn w:val="1"/>
    <w:qFormat/>
    <w:uiPriority w:val="0"/>
    <w:pPr>
      <w:spacing w:after="120"/>
      <w:ind w:left="420" w:leftChars="200"/>
    </w:pPr>
    <w:rPr>
      <w:sz w:val="16"/>
      <w:szCs w:val="16"/>
    </w:rPr>
  </w:style>
  <w:style w:type="paragraph" w:styleId="33">
    <w:name w:val="toc 2"/>
    <w:basedOn w:val="1"/>
    <w:next w:val="1"/>
    <w:qFormat/>
    <w:uiPriority w:val="39"/>
    <w:pPr>
      <w:ind w:left="420" w:leftChars="200"/>
    </w:pPr>
  </w:style>
  <w:style w:type="paragraph" w:styleId="34">
    <w:name w:val="toc 9"/>
    <w:basedOn w:val="1"/>
    <w:next w:val="1"/>
    <w:unhideWhenUsed/>
    <w:qFormat/>
    <w:uiPriority w:val="39"/>
    <w:pPr>
      <w:ind w:left="3360" w:leftChars="1600"/>
    </w:pPr>
    <w:rPr>
      <w:rFonts w:ascii="Calibri" w:hAnsi="Calibri" w:eastAsia="宋体" w:cs="Times New Roman"/>
      <w:szCs w:val="22"/>
    </w:rPr>
  </w:style>
  <w:style w:type="paragraph" w:styleId="35">
    <w:name w:val="Body Text 2"/>
    <w:basedOn w:val="1"/>
    <w:qFormat/>
    <w:uiPriority w:val="0"/>
    <w:pPr>
      <w:spacing w:after="120" w:line="480" w:lineRule="auto"/>
    </w:pPr>
  </w:style>
  <w:style w:type="paragraph" w:styleId="36">
    <w:name w:val="index 1"/>
    <w:basedOn w:val="1"/>
    <w:next w:val="1"/>
    <w:semiHidden/>
    <w:qFormat/>
    <w:uiPriority w:val="0"/>
    <w:pPr>
      <w:spacing w:line="220" w:lineRule="exact"/>
      <w:jc w:val="center"/>
    </w:pPr>
    <w:rPr>
      <w:rFonts w:ascii="仿宋_GB2312" w:eastAsia="仿宋_GB2312"/>
      <w:szCs w:val="21"/>
    </w:rPr>
  </w:style>
  <w:style w:type="paragraph" w:styleId="37">
    <w:name w:val="Title"/>
    <w:basedOn w:val="1"/>
    <w:link w:val="53"/>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4"/>
    <w:next w:val="14"/>
    <w:link w:val="49"/>
    <w:qFormat/>
    <w:uiPriority w:val="0"/>
    <w:rPr>
      <w:b/>
      <w:bCs/>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endnote reference"/>
    <w:semiHidden/>
    <w:qFormat/>
    <w:uiPriority w:val="0"/>
    <w:rPr>
      <w:vertAlign w:val="superscript"/>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Hyperlink"/>
    <w:qFormat/>
    <w:uiPriority w:val="99"/>
    <w:rPr>
      <w:color w:val="0000FF"/>
      <w:u w:val="single"/>
    </w:rPr>
  </w:style>
  <w:style w:type="character" w:styleId="46">
    <w:name w:val="annotation reference"/>
    <w:qFormat/>
    <w:uiPriority w:val="0"/>
    <w:rPr>
      <w:sz w:val="21"/>
      <w:szCs w:val="21"/>
    </w:rPr>
  </w:style>
  <w:style w:type="character" w:styleId="47">
    <w:name w:val="footnote reference"/>
    <w:qFormat/>
    <w:uiPriority w:val="0"/>
    <w:rPr>
      <w:vertAlign w:val="superscript"/>
    </w:rPr>
  </w:style>
  <w:style w:type="character" w:customStyle="1" w:styleId="48">
    <w:name w:val="正文文本 3 Char"/>
    <w:basedOn w:val="41"/>
    <w:link w:val="15"/>
    <w:qFormat/>
    <w:uiPriority w:val="0"/>
    <w:rPr>
      <w:rFonts w:ascii="宋体"/>
      <w:kern w:val="2"/>
      <w:sz w:val="24"/>
    </w:rPr>
  </w:style>
  <w:style w:type="character" w:customStyle="1" w:styleId="49">
    <w:name w:val="批注主题 Char"/>
    <w:link w:val="38"/>
    <w:qFormat/>
    <w:uiPriority w:val="0"/>
    <w:rPr>
      <w:b/>
      <w:bCs/>
      <w:kern w:val="2"/>
      <w:sz w:val="21"/>
      <w:szCs w:val="24"/>
    </w:rPr>
  </w:style>
  <w:style w:type="character" w:customStyle="1" w:styleId="50">
    <w:name w:val="批注文字 Char"/>
    <w:basedOn w:val="41"/>
    <w:link w:val="14"/>
    <w:qFormat/>
    <w:uiPriority w:val="0"/>
    <w:rPr>
      <w:kern w:val="2"/>
      <w:sz w:val="21"/>
      <w:szCs w:val="24"/>
    </w:rPr>
  </w:style>
  <w:style w:type="character" w:customStyle="1" w:styleId="51">
    <w:name w:val="页脚 Char"/>
    <w:link w:val="26"/>
    <w:qFormat/>
    <w:uiPriority w:val="0"/>
    <w:rPr>
      <w:rFonts w:eastAsia="宋体"/>
      <w:kern w:val="2"/>
      <w:sz w:val="18"/>
      <w:szCs w:val="18"/>
      <w:lang w:val="en-US" w:eastAsia="zh-CN" w:bidi="ar-SA"/>
    </w:rPr>
  </w:style>
  <w:style w:type="character" w:customStyle="1" w:styleId="52">
    <w:name w:val="font161"/>
    <w:qFormat/>
    <w:uiPriority w:val="0"/>
    <w:rPr>
      <w:b/>
      <w:bCs/>
      <w:sz w:val="32"/>
      <w:szCs w:val="32"/>
    </w:rPr>
  </w:style>
  <w:style w:type="character" w:customStyle="1" w:styleId="53">
    <w:name w:val="标题 Char"/>
    <w:link w:val="37"/>
    <w:qFormat/>
    <w:uiPriority w:val="0"/>
    <w:rPr>
      <w:rFonts w:ascii="Arial" w:hAnsi="Arial" w:eastAsia="宋体"/>
      <w:b/>
      <w:sz w:val="32"/>
      <w:lang w:val="en-US" w:eastAsia="zh-CN" w:bidi="ar-SA"/>
    </w:rPr>
  </w:style>
  <w:style w:type="character" w:customStyle="1" w:styleId="54">
    <w:name w:val="数字"/>
    <w:qFormat/>
    <w:uiPriority w:val="0"/>
    <w:rPr>
      <w:rFonts w:eastAsia="黑体"/>
      <w:b/>
      <w:sz w:val="21"/>
    </w:rPr>
  </w:style>
  <w:style w:type="character" w:customStyle="1" w:styleId="55">
    <w:name w:val="纯文本 Char"/>
    <w:link w:val="20"/>
    <w:qFormat/>
    <w:uiPriority w:val="0"/>
    <w:rPr>
      <w:rFonts w:ascii="宋体" w:hAnsi="Courier New" w:eastAsia="宋体"/>
      <w:kern w:val="2"/>
      <w:sz w:val="21"/>
      <w:lang w:val="en-US" w:eastAsia="zh-CN" w:bidi="ar-SA"/>
    </w:rPr>
  </w:style>
  <w:style w:type="character" w:customStyle="1" w:styleId="56">
    <w:name w:val="文档结构图 Char"/>
    <w:link w:val="13"/>
    <w:qFormat/>
    <w:uiPriority w:val="0"/>
    <w:rPr>
      <w:rFonts w:ascii="宋体"/>
      <w:kern w:val="2"/>
      <w:sz w:val="18"/>
      <w:szCs w:val="18"/>
    </w:rPr>
  </w:style>
  <w:style w:type="character" w:customStyle="1" w:styleId="57">
    <w:name w:val="脚注文本 Char"/>
    <w:link w:val="30"/>
    <w:qFormat/>
    <w:uiPriority w:val="0"/>
    <w:rPr>
      <w:sz w:val="18"/>
    </w:rPr>
  </w:style>
  <w:style w:type="character" w:customStyle="1" w:styleId="58">
    <w:name w:val="标题 2 Char"/>
    <w:link w:val="3"/>
    <w:qFormat/>
    <w:uiPriority w:val="0"/>
    <w:rPr>
      <w:rFonts w:ascii="宋体" w:hAnsi="宋体" w:eastAsia="黑体"/>
      <w:bCs/>
      <w:i/>
      <w:iCs/>
      <w:kern w:val="2"/>
      <w:sz w:val="24"/>
    </w:rPr>
  </w:style>
  <w:style w:type="character" w:customStyle="1" w:styleId="59">
    <w:name w:val="H001 Char"/>
    <w:link w:val="60"/>
    <w:qFormat/>
    <w:uiPriority w:val="0"/>
    <w:rPr>
      <w:rFonts w:eastAsia="黑体"/>
      <w:bCs/>
      <w:kern w:val="44"/>
      <w:sz w:val="24"/>
      <w:szCs w:val="44"/>
    </w:rPr>
  </w:style>
  <w:style w:type="paragraph" w:customStyle="1" w:styleId="60">
    <w:name w:val="H001"/>
    <w:basedOn w:val="2"/>
    <w:link w:val="59"/>
    <w:qFormat/>
    <w:uiPriority w:val="0"/>
    <w:pPr>
      <w:spacing w:before="240" w:after="240" w:line="240" w:lineRule="exact"/>
    </w:pPr>
    <w:rPr>
      <w:rFonts w:eastAsia="黑体"/>
      <w:sz w:val="24"/>
    </w:rPr>
  </w:style>
  <w:style w:type="character" w:customStyle="1" w:styleId="61">
    <w:name w:val="脚注文本 字符1"/>
    <w:semiHidden/>
    <w:qFormat/>
    <w:locked/>
    <w:uiPriority w:val="0"/>
    <w:rPr>
      <w:kern w:val="2"/>
      <w:sz w:val="18"/>
      <w:szCs w:val="18"/>
    </w:rPr>
  </w:style>
  <w:style w:type="character" w:customStyle="1" w:styleId="62">
    <w:name w:val="标题 3 Char"/>
    <w:link w:val="5"/>
    <w:qFormat/>
    <w:uiPriority w:val="0"/>
    <w:rPr>
      <w:b/>
      <w:sz w:val="32"/>
    </w:rPr>
  </w:style>
  <w:style w:type="character" w:customStyle="1" w:styleId="63">
    <w:name w:val="标题 1 Char"/>
    <w:link w:val="2"/>
    <w:qFormat/>
    <w:uiPriority w:val="0"/>
    <w:rPr>
      <w:rFonts w:eastAsia="黑体"/>
      <w:bCs/>
      <w:kern w:val="44"/>
      <w:sz w:val="24"/>
      <w:szCs w:val="44"/>
    </w:rPr>
  </w:style>
  <w:style w:type="character" w:customStyle="1" w:styleId="64">
    <w:name w:val="未处理的提及"/>
    <w:unhideWhenUsed/>
    <w:qFormat/>
    <w:uiPriority w:val="99"/>
    <w:rPr>
      <w:color w:val="808080"/>
      <w:shd w:val="clear" w:color="auto" w:fill="E6E6E6"/>
    </w:rPr>
  </w:style>
  <w:style w:type="character" w:customStyle="1" w:styleId="65">
    <w:name w:val="页眉 Char"/>
    <w:basedOn w:val="41"/>
    <w:link w:val="27"/>
    <w:qFormat/>
    <w:uiPriority w:val="0"/>
    <w:rPr>
      <w:kern w:val="2"/>
      <w:sz w:val="18"/>
      <w:szCs w:val="18"/>
    </w:rPr>
  </w:style>
  <w:style w:type="paragraph" w:customStyle="1" w:styleId="66">
    <w:name w:val="2"/>
    <w:basedOn w:val="1"/>
    <w:qFormat/>
    <w:uiPriority w:val="0"/>
    <w:pPr>
      <w:adjustRightInd w:val="0"/>
      <w:spacing w:line="420" w:lineRule="atLeast"/>
      <w:ind w:left="1134" w:hanging="227"/>
      <w:textAlignment w:val="baseline"/>
    </w:pPr>
    <w:rPr>
      <w:kern w:val="0"/>
      <w:szCs w:val="20"/>
    </w:rPr>
  </w:style>
  <w:style w:type="paragraph" w:customStyle="1" w:styleId="67">
    <w:name w:val="表格2"/>
    <w:basedOn w:val="1"/>
    <w:qFormat/>
    <w:uiPriority w:val="0"/>
    <w:pPr>
      <w:adjustRightInd w:val="0"/>
      <w:spacing w:line="420" w:lineRule="atLeast"/>
      <w:ind w:left="284" w:firstLine="454"/>
      <w:textAlignment w:val="baseline"/>
    </w:pPr>
    <w:rPr>
      <w:kern w:val="0"/>
      <w:szCs w:val="20"/>
    </w:rPr>
  </w:style>
  <w:style w:type="paragraph" w:customStyle="1" w:styleId="68">
    <w:name w:val="表格6"/>
    <w:basedOn w:val="69"/>
    <w:qFormat/>
    <w:uiPriority w:val="0"/>
    <w:pPr>
      <w:ind w:left="737" w:firstLine="0"/>
    </w:pPr>
  </w:style>
  <w:style w:type="paragraph" w:customStyle="1" w:styleId="69">
    <w:name w:val="表格5"/>
    <w:basedOn w:val="67"/>
    <w:qFormat/>
    <w:uiPriority w:val="0"/>
    <w:pPr>
      <w:ind w:left="1021" w:hanging="284"/>
    </w:pPr>
    <w:rPr>
      <w:rFonts w:ascii="宋体"/>
    </w:rPr>
  </w:style>
  <w:style w:type="paragraph" w:customStyle="1" w:styleId="70">
    <w:name w:val=" Char Char Char"/>
    <w:basedOn w:val="1"/>
    <w:qFormat/>
    <w:uiPriority w:val="0"/>
    <w:rPr>
      <w:szCs w:val="20"/>
    </w:rPr>
  </w:style>
  <w:style w:type="paragraph" w:customStyle="1" w:styleId="71">
    <w:name w:val="af15hichaf0dbchf15cgrid"/>
    <w:qFormat/>
    <w:uiPriority w:val="0"/>
    <w:pPr>
      <w:widowControl w:val="0"/>
      <w:tabs>
        <w:tab w:val="center" w:pos="4320"/>
        <w:tab w:val="right" w:pos="8640"/>
      </w:tabs>
      <w:adjustRightInd w:val="0"/>
      <w:spacing w:line="315" w:lineRule="atLeast"/>
      <w:jc w:val="both"/>
      <w:textAlignment w:val="baseline"/>
    </w:pPr>
    <w:rPr>
      <w:rFonts w:ascii="宋体" w:hAnsi="Times New Roman" w:eastAsia="宋体" w:cs="Times New Roman"/>
      <w:sz w:val="21"/>
      <w:lang w:val="en-US" w:eastAsia="zh-CN" w:bidi="ar-SA"/>
    </w:rPr>
  </w:style>
  <w:style w:type="paragraph" w:customStyle="1" w:styleId="72">
    <w:name w:val="表格3"/>
    <w:basedOn w:val="1"/>
    <w:qFormat/>
    <w:uiPriority w:val="0"/>
    <w:pPr>
      <w:adjustRightInd w:val="0"/>
      <w:spacing w:line="420" w:lineRule="atLeast"/>
      <w:textAlignment w:val="baseline"/>
    </w:pPr>
    <w:rPr>
      <w:rFonts w:eastAsia="楷体"/>
      <w:kern w:val="0"/>
      <w:szCs w:val="20"/>
    </w:rPr>
  </w:style>
  <w:style w:type="paragraph" w:customStyle="1" w:styleId="73">
    <w:name w:val="表中"/>
    <w:basedOn w:val="1"/>
    <w:qFormat/>
    <w:uiPriority w:val="0"/>
    <w:pPr>
      <w:adjustRightInd w:val="0"/>
      <w:spacing w:line="360" w:lineRule="atLeast"/>
      <w:jc w:val="center"/>
      <w:textAlignment w:val="baseline"/>
    </w:pPr>
    <w:rPr>
      <w:kern w:val="0"/>
      <w:szCs w:val="20"/>
    </w:rPr>
  </w:style>
  <w:style w:type="paragraph" w:customStyle="1" w:styleId="74">
    <w:name w:val="表格4"/>
    <w:basedOn w:val="1"/>
    <w:qFormat/>
    <w:uiPriority w:val="0"/>
    <w:pPr>
      <w:adjustRightInd w:val="0"/>
      <w:spacing w:line="420" w:lineRule="atLeast"/>
      <w:ind w:left="1021"/>
      <w:textAlignment w:val="baseline"/>
    </w:pPr>
    <w:rPr>
      <w:kern w:val="0"/>
      <w:szCs w:val="20"/>
    </w:rPr>
  </w:style>
  <w:style w:type="paragraph" w:customStyle="1" w:styleId="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6">
    <w:name w:val="1"/>
    <w:basedOn w:val="1"/>
    <w:next w:val="1"/>
    <w:qFormat/>
    <w:uiPriority w:val="0"/>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表格"/>
    <w:basedOn w:val="1"/>
    <w:qFormat/>
    <w:uiPriority w:val="0"/>
    <w:pPr>
      <w:jc w:val="center"/>
      <w:textAlignment w:val="center"/>
    </w:pPr>
    <w:rPr>
      <w:rFonts w:ascii="华文细黑" w:hAnsi="华文细黑"/>
      <w:kern w:val="0"/>
      <w:szCs w:val="20"/>
    </w:rPr>
  </w:style>
  <w:style w:type="paragraph" w:customStyle="1" w:styleId="79">
    <w:name w:val="表格方字"/>
    <w:basedOn w:val="1"/>
    <w:qFormat/>
    <w:uiPriority w:val="0"/>
    <w:pPr>
      <w:adjustRightInd w:val="0"/>
      <w:spacing w:before="60" w:after="60" w:line="420" w:lineRule="atLeast"/>
      <w:jc w:val="left"/>
      <w:textAlignment w:val="baseline"/>
    </w:pPr>
    <w:rPr>
      <w:kern w:val="0"/>
      <w:szCs w:val="20"/>
    </w:rPr>
  </w:style>
  <w:style w:type="paragraph" w:customStyle="1" w:styleId="80">
    <w:name w:val="表头"/>
    <w:basedOn w:val="79"/>
    <w:qFormat/>
    <w:uiPriority w:val="0"/>
    <w:rPr>
      <w:rFonts w:ascii="黑体" w:eastAsia="黑体"/>
      <w:b/>
    </w:rPr>
  </w:style>
  <w:style w:type="paragraph" w:customStyle="1" w:styleId="81">
    <w:name w:val="表格1"/>
    <w:basedOn w:val="1"/>
    <w:qFormat/>
    <w:uiPriority w:val="0"/>
    <w:pPr>
      <w:adjustRightInd w:val="0"/>
      <w:spacing w:line="420" w:lineRule="atLeast"/>
      <w:ind w:left="284"/>
      <w:textAlignment w:val="baseline"/>
    </w:pPr>
    <w:rPr>
      <w:kern w:val="0"/>
      <w:szCs w:val="20"/>
    </w:rPr>
  </w:style>
  <w:style w:type="paragraph" w:customStyle="1" w:styleId="82">
    <w:name w:val=" Char Char Char Char Char Char"/>
    <w:basedOn w:val="1"/>
    <w:qFormat/>
    <w:uiPriority w:val="0"/>
  </w:style>
  <w:style w:type="paragraph" w:customStyle="1" w:styleId="83">
    <w:name w:val=" Char"/>
    <w:basedOn w:val="1"/>
    <w:qFormat/>
    <w:uiPriority w:val="0"/>
  </w:style>
  <w:style w:type="paragraph" w:customStyle="1" w:styleId="84">
    <w:name w:val=" Char1"/>
    <w:basedOn w:val="1"/>
    <w:qFormat/>
    <w:uiPriority w:val="0"/>
  </w:style>
  <w:style w:type="paragraph" w:customStyle="1" w:styleId="85">
    <w:name w:val="Char"/>
    <w:basedOn w:val="1"/>
    <w:qFormat/>
    <w:uiPriority w:val="0"/>
  </w:style>
  <w:style w:type="paragraph" w:customStyle="1" w:styleId="86">
    <w:name w:val=" Char Char Char Char Char Char Char Char Char Char Char Char Char Char Char Char Char Char1 Char Char Char Char"/>
    <w:basedOn w:val="1"/>
    <w:qFormat/>
    <w:uiPriority w:val="0"/>
  </w:style>
  <w:style w:type="paragraph" w:customStyle="1" w:styleId="87">
    <w:name w:val="_Style 86"/>
    <w:semiHidden/>
    <w:qFormat/>
    <w:uiPriority w:val="99"/>
    <w:rPr>
      <w:rFonts w:ascii="Times New Roman" w:hAnsi="Times New Roman" w:eastAsia="宋体" w:cs="Times New Roman"/>
      <w:kern w:val="2"/>
      <w:sz w:val="21"/>
      <w:szCs w:val="24"/>
      <w:lang w:val="en-US" w:eastAsia="zh-CN" w:bidi="ar-SA"/>
    </w:rPr>
  </w:style>
  <w:style w:type="paragraph" w:customStyle="1" w:styleId="88">
    <w:name w:val="_Style 87"/>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89">
    <w:name w:val="Char Char Char"/>
    <w:basedOn w:val="1"/>
    <w:qFormat/>
    <w:uiPriority w:val="0"/>
    <w:rPr>
      <w:szCs w:val="20"/>
    </w:rPr>
  </w:style>
  <w:style w:type="paragraph" w:customStyle="1" w:styleId="90">
    <w:name w:val="WPSOffice手动目录 1"/>
    <w:qFormat/>
    <w:uiPriority w:val="0"/>
    <w:pPr>
      <w:ind w:leftChars="0"/>
    </w:pPr>
    <w:rPr>
      <w:rFonts w:ascii="Times New Roman" w:hAnsi="Times New Roman" w:eastAsia="宋体" w:cs="Times New Roman"/>
      <w:sz w:val="20"/>
      <w:szCs w:val="20"/>
    </w:rPr>
  </w:style>
  <w:style w:type="paragraph" w:customStyle="1" w:styleId="91">
    <w:name w:val="WPSOffice手动目录 3"/>
    <w:qFormat/>
    <w:uiPriority w:val="0"/>
    <w:pPr>
      <w:ind w:leftChars="400"/>
    </w:pPr>
    <w:rPr>
      <w:rFonts w:ascii="Times New Roman" w:hAnsi="Times New Roman" w:eastAsia="宋体" w:cs="Times New Roman"/>
      <w:sz w:val="20"/>
      <w:szCs w:val="20"/>
    </w:rPr>
  </w:style>
  <w:style w:type="paragraph" w:customStyle="1" w:styleId="92">
    <w:name w:val="WPSOffice手动目录 2"/>
    <w:qFormat/>
    <w:uiPriority w:val="0"/>
    <w:pPr>
      <w:ind w:leftChars="200"/>
    </w:pPr>
    <w:rPr>
      <w:rFonts w:ascii="Times New Roman" w:hAnsi="Times New Roman" w:eastAsia="宋体" w:cs="Times New Roman"/>
      <w:sz w:val="20"/>
      <w:szCs w:val="20"/>
    </w:rPr>
  </w:style>
  <w:style w:type="paragraph" w:customStyle="1" w:styleId="93">
    <w:name w:val="Table Text"/>
    <w:basedOn w:val="1"/>
    <w:semiHidden/>
    <w:qFormat/>
    <w:uiPriority w:val="0"/>
    <w:rPr>
      <w:rFonts w:ascii="宋体" w:hAnsi="宋体" w:eastAsia="宋体" w:cs="宋体"/>
      <w:sz w:val="24"/>
      <w:szCs w:val="24"/>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Table Paragraph"/>
    <w:basedOn w:val="1"/>
    <w:autoRedefine/>
    <w:qFormat/>
    <w:uiPriority w:val="1"/>
  </w:style>
  <w:style w:type="paragraph" w:styleId="96">
    <w:name w:val="List Paragraph"/>
    <w:basedOn w:val="1"/>
    <w:qFormat/>
    <w:uiPriority w:val="34"/>
    <w:pPr>
      <w:ind w:firstLine="420" w:firstLineChars="200"/>
    </w:pPr>
  </w:style>
  <w:style w:type="paragraph" w:customStyle="1" w:styleId="97">
    <w:name w:val="样式4"/>
    <w:basedOn w:val="20"/>
    <w:qFormat/>
    <w:uiPriority w:val="0"/>
    <w:pPr>
      <w:spacing w:line="480" w:lineRule="exact"/>
      <w:ind w:firstLine="200" w:firstLineChars="200"/>
    </w:pPr>
    <w:rPr>
      <w:rFonts w:hAnsi="宋体"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3.xml"/><Relationship Id="rId7" Type="http://schemas.openxmlformats.org/officeDocument/2006/relationships/footer" Target="footer2.xml"/><Relationship Id="rId6" Type="http://schemas.openxmlformats.org/officeDocument/2006/relationships/footer" Target="footer1.xml"/><Relationship Id="rId53" Type="http://schemas.openxmlformats.org/officeDocument/2006/relationships/fontTable" Target="fontTable.xml"/><Relationship Id="rId52" Type="http://schemas.openxmlformats.org/officeDocument/2006/relationships/customXml" Target="../customXml/item2.xml"/><Relationship Id="rId51" Type="http://schemas.openxmlformats.org/officeDocument/2006/relationships/numbering" Target="numbering.xml"/><Relationship Id="rId50" Type="http://schemas.openxmlformats.org/officeDocument/2006/relationships/customXml" Target="../customXml/item1.xml"/><Relationship Id="rId5" Type="http://schemas.openxmlformats.org/officeDocument/2006/relationships/header" Target="header2.xml"/><Relationship Id="rId49" Type="http://schemas.openxmlformats.org/officeDocument/2006/relationships/image" Target="media/image1.png"/><Relationship Id="rId48" Type="http://schemas.openxmlformats.org/officeDocument/2006/relationships/theme" Target="theme/theme1.xml"/><Relationship Id="rId47" Type="http://schemas.openxmlformats.org/officeDocument/2006/relationships/footer" Target="footer24.xml"/><Relationship Id="rId46" Type="http://schemas.openxmlformats.org/officeDocument/2006/relationships/footer" Target="footer23.xml"/><Relationship Id="rId45" Type="http://schemas.openxmlformats.org/officeDocument/2006/relationships/header" Target="header20.xml"/><Relationship Id="rId44" Type="http://schemas.openxmlformats.org/officeDocument/2006/relationships/header" Target="header19.xml"/><Relationship Id="rId43" Type="http://schemas.openxmlformats.org/officeDocument/2006/relationships/footer" Target="footer22.xml"/><Relationship Id="rId42" Type="http://schemas.openxmlformats.org/officeDocument/2006/relationships/footer" Target="footer21.xml"/><Relationship Id="rId41" Type="http://schemas.openxmlformats.org/officeDocument/2006/relationships/header" Target="header18.xml"/><Relationship Id="rId40" Type="http://schemas.openxmlformats.org/officeDocument/2006/relationships/header" Target="header17.xml"/><Relationship Id="rId4" Type="http://schemas.openxmlformats.org/officeDocument/2006/relationships/header" Target="header1.xml"/><Relationship Id="rId39" Type="http://schemas.openxmlformats.org/officeDocument/2006/relationships/footer" Target="footer20.xml"/><Relationship Id="rId38" Type="http://schemas.openxmlformats.org/officeDocument/2006/relationships/header" Target="header16.xml"/><Relationship Id="rId37" Type="http://schemas.openxmlformats.org/officeDocument/2006/relationships/footer" Target="footer19.xml"/><Relationship Id="rId36" Type="http://schemas.openxmlformats.org/officeDocument/2006/relationships/footer" Target="footer18.xml"/><Relationship Id="rId35" Type="http://schemas.openxmlformats.org/officeDocument/2006/relationships/footer" Target="footer17.xml"/><Relationship Id="rId34" Type="http://schemas.openxmlformats.org/officeDocument/2006/relationships/header" Target="header15.xml"/><Relationship Id="rId33" Type="http://schemas.openxmlformats.org/officeDocument/2006/relationships/header" Target="header14.xml"/><Relationship Id="rId32" Type="http://schemas.openxmlformats.org/officeDocument/2006/relationships/footer" Target="footer16.xml"/><Relationship Id="rId31" Type="http://schemas.openxmlformats.org/officeDocument/2006/relationships/header" Target="header13.xml"/><Relationship Id="rId30" Type="http://schemas.openxmlformats.org/officeDocument/2006/relationships/footer" Target="footer15.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2.xml"/><Relationship Id="rId27" Type="http://schemas.openxmlformats.org/officeDocument/2006/relationships/header" Target="header11.xml"/><Relationship Id="rId26" Type="http://schemas.openxmlformats.org/officeDocument/2006/relationships/footer" Target="footer13.xml"/><Relationship Id="rId25" Type="http://schemas.openxmlformats.org/officeDocument/2006/relationships/footer" Target="footer12.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e6933027-b61c-47bc-8151-63180e022caf</errorID>
      <errorWord>(</errorWord>
      <group>L1_Format</group>
      <groupName>格式问题</groupName>
      <ability>L2_HalfPunc_CN</ability>
      <abilityName>全半角问题</abilityName>
      <candidateList>
        <item>（</item>
      </candidateList>
      <explain>文本全半角错误。</explain>
      <paraID> 19DAEB4</paraID>
      <start>83</start>
      <end>84</end>
      <status>modified</status>
      <modifiedWord>（</modifiedWord>
      <trackRevisions>false</trackRevisions>
    </reviewItem>
    <reviewItem>
      <errorID>2528e1e0-c4a9-49e3-8648-03d9cb6bfe84</errorID>
      <errorWord>)</errorWord>
      <group>L1_Format</group>
      <groupName>格式问题</groupName>
      <ability>L2_HalfPunc_CN</ability>
      <abilityName>全半角问题</abilityName>
      <candidateList>
        <item>）</item>
      </candidateList>
      <explain>文本全半角错误。</explain>
      <paraID> 19DAEB4</paraID>
      <start>88</start>
      <end>89</end>
      <status>modified</status>
      <modifiedWord>）</modifiedWord>
      <trackRevisions>false</trackRevisions>
    </reviewItem>
    <reviewItem>
      <errorID>2f30bd70-0477-4508-a330-fab6cbff7913</errorID>
      <errorWord>2026年09月30日</errorWord>
      <group>L1_Knowledge</group>
      <groupName>知识性问题</groupName>
      <ability>L2_Time</ability>
      <abilityName>日期时间</abilityName>
      <candidateList>
        <item>2026年9月30日</item>
      </candidateList>
      <explain>根据日常书写习惯，月份一般会省略前导零。</explain>
      <paraID>507AE6D3</paraID>
      <start>10</start>
      <end>20</end>
      <status>modified</status>
      <modifiedWord>2026年9月30日</modifiedWord>
      <trackRevisions>false</trackRevisions>
    </reviewItem>
    <reviewItem>
      <errorID>505980c7-0e89-448a-9137-02cc6eac5e5f</errorID>
      <errorWord>(</errorWord>
      <group>L1_Format</group>
      <groupName>格式问题</groupName>
      <ability>L2_HalfPunc_CN</ability>
      <abilityName>全半角问题</abilityName>
      <candidateList>
        <item>（</item>
      </candidateList>
      <explain>文本全半角错误。</explain>
      <paraID>34B24005</paraID>
      <start>14</start>
      <end>15</end>
      <status>modified</status>
      <modifiedWord>（</modifiedWord>
      <trackRevisions>false</trackRevisions>
    </reviewItem>
    <reviewItem>
      <errorID>cb91c727-fcaa-480f-96b3-c06c9b06156b</errorID>
      <errorWord>)</errorWord>
      <group>L1_Format</group>
      <groupName>格式问题</groupName>
      <ability>L2_HalfPunc_CN</ability>
      <abilityName>全半角问题</abilityName>
      <candidateList>
        <item>）</item>
      </candidateList>
      <explain>文本全半角错误。</explain>
      <paraID>34B24005</paraID>
      <start>27</start>
      <end>28</end>
      <status>modified</status>
      <modifiedWord>）</modifiedWord>
      <trackRevisions>false</trackRevisions>
    </reviewItem>
    <reviewItem>
      <errorID>30a0ef1e-4f00-4313-a2c0-0700a9963e5a</errorID>
      <errorWord>(</errorWord>
      <group>L1_Format</group>
      <groupName>格式问题</groupName>
      <ability>L2_HalfPunc_CN</ability>
      <abilityName>全半角问题</abilityName>
      <candidateList>
        <item>（</item>
      </candidateList>
      <explain>文本全半角错误。</explain>
      <paraID>34C80C3B</paraID>
      <start>90</start>
      <end>91</end>
      <status>modified</status>
      <modifiedWord>（</modifiedWord>
      <trackRevisions>false</trackRevisions>
    </reviewItem>
    <reviewItem>
      <errorID>fea3e4e8-8042-4312-8d92-ab21e55ca7e6</errorID>
      <errorWord>〔2025）3号</errorWord>
      <group>L1_Knowledge</group>
      <groupName>知识性问题</groupName>
      <ability>L2_Knowledge</ability>
      <abilityName>其他知识</abilityName>
      <candidateList>
        <item>〔2025〕3号</item>
      </candidateList>
      <explain>发文字号格式错误。</explain>
      <paraID>34C80C3B</paraID>
      <start>96</start>
      <end>104</end>
      <status>modified</status>
      <modifiedWord>〔2025〕3号</modifiedWord>
      <trackRevisions>false</trackRevisions>
    </reviewItem>
    <reviewItem>
      <errorID>888e83bd-2578-413b-a108-740226f843ef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34C80C3B</paraID>
      <start>104</start>
      <end>105</end>
      <status>ignored</status>
      <modifiedWord/>
      <trackRevisions>false</trackRevisions>
    </reviewItem>
    <reviewItem>
      <errorID>f7701d12-46ee-47c0-a6f4-bfeca5707dc2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50D7009D</paraID>
      <start>115</start>
      <end>116</end>
      <status>modified</status>
      <modifiedWord>—</modifiedWord>
      <trackRevisions>false</trackRevisions>
    </reviewItem>
    <reviewItem>
      <errorID>37381230-f923-4836-b05f-1eea01f1d9c1</errorID>
      <errorWord>：</errorWord>
      <group>L1_Format</group>
      <groupName>格式问题</groupName>
      <ability>L2_HalfPunc_CN</ability>
      <abilityName>全半角问题</abilityName>
      <candidateList>
        <item>:</item>
      </candidateList>
      <explain>文本全半角错误。</explain>
      <paraID>601F417E</paraID>
      <start>55</start>
      <end>56</end>
      <status>modified</status>
      <modifiedWord>:</modifiedWord>
      <trackRevisions>false</trackRevisions>
    </reviewItem>
    <reviewItem>
      <errorID>70f6eafa-719a-4dd4-9c74-b128945246cf</errorID>
      <errorWord>；</errorWord>
      <group>L1_Format</group>
      <groupName>格式问题</groupName>
      <ability>L2_HalfPunc_CN</ability>
      <abilityName>全半角问题</abilityName>
      <candidateList>
        <item>;</item>
      </candidateList>
      <explain>文本全半角错误。</explain>
      <paraID> C89A608</paraID>
      <start>119</start>
      <end>120</end>
      <status>modified</status>
      <modifiedWord>;</modifiedWord>
      <trackRevisions>false</trackRevisions>
    </reviewItem>
    <reviewItem>
      <errorID>d90ecaf1-9d27-460f-a511-caa3d00e2977</errorID>
      <errorWord>；</errorWord>
      <group>L1_Format</group>
      <groupName>格式问题</groupName>
      <ability>L2_HalfPunc_CN</ability>
      <abilityName>全半角问题</abilityName>
      <candidateList>
        <item>;</item>
      </candidateList>
      <explain>文本全半角错误。</explain>
      <paraID>5715BFFF</paraID>
      <start>121</start>
      <end>122</end>
      <status>modified</status>
      <modifiedWord>;</modifiedWord>
      <trackRevisions>false</trackRevisions>
    </reviewItem>
    <reviewItem>
      <errorID>3c722ce1-85e0-4cb1-b286-59317319d162</errorID>
      <errorWord>(</errorWord>
      <group>L1_Format</group>
      <groupName>格式问题</groupName>
      <ability>L2_HalfPunc_CN</ability>
      <abilityName>全半角问题</abilityName>
      <candidateList>
        <item>（</item>
      </candidateList>
      <explain>文本全半角错误。</explain>
      <paraID>664BA96A</paraID>
      <start>255</start>
      <end>256</end>
      <status>modified</status>
      <modifiedWord>（</modifiedWord>
      <trackRevisions>false</trackRevisions>
    </reviewItem>
    <reviewItem>
      <errorID>c7365a5e-4f4a-4d95-b6e5-e6084d2c5e74</errorID>
      <errorWord>)</errorWord>
      <group>L1_Format</group>
      <groupName>格式问题</groupName>
      <ability>L2_HalfPunc_CN</ability>
      <abilityName>全半角问题</abilityName>
      <candidateList>
        <item>）</item>
      </candidateList>
      <explain>文本全半角错误。</explain>
      <paraID>664BA96A</paraID>
      <start>283</start>
      <end>284</end>
      <status>modified</status>
      <modifiedWord>）</modifiedWord>
      <trackRevisions>false</trackRevisions>
    </reviewItem>
    <reviewItem>
      <errorID>8664008d-b1e7-4528-a322-d2be9b9f2796</errorID>
      <errorWord>接受</errorWord>
      <group>L1_Word</group>
      <groupName>字词问题</groupName>
      <ability>L2_Typo</ability>
      <abilityName>字词错误</abilityName>
      <candidateList>
        <item>接收</item>
      </candidateList>
      <explain>存在发音相同字词的误用。</explain>
      <paraID>13A73449</paraID>
      <start>10</start>
      <end>12</end>
      <status>modified</status>
      <modifiedWord>接收</modifiedWord>
      <trackRevisions>false</trackRevisions>
    </reviewItem>
    <reviewItem>
      <errorID>62438460-4be6-4755-b70a-2e0593716843</errorID>
      <errorWord>:</errorWord>
      <group>L1_Format</group>
      <groupName>格式问题</groupName>
      <ability>L2_HalfPunc_CN</ability>
      <abilityName>全半角问题</abilityName>
      <candidateList>
        <item>：</item>
      </candidateList>
      <explain>文本全半角错误。</explain>
      <paraID>5CDC95AE</paraID>
      <start>30</start>
      <end>31</end>
      <status>modified</status>
      <modifiedWord>：</modifiedWord>
      <trackRevisions>false</trackRevisions>
    </reviewItem>
    <reviewItem>
      <errorID>77921f9e-290f-489d-bdf4-ad9f03756ba4</errorID>
      <errorWord>:</errorWord>
      <group>L1_Format</group>
      <groupName>格式问题</groupName>
      <ability>L2_HalfPunc_CN</ability>
      <abilityName>全半角问题</abilityName>
      <candidateList>
        <item>：</item>
      </candidateList>
      <explain>文本全半角错误。</explain>
      <paraID>5CDC95AE</paraID>
      <start>92</start>
      <end>93</end>
      <status>modified</status>
      <modifiedWord>：</modifiedWord>
      <trackRevisions>false</trackRevisions>
    </reviewItem>
    <reviewItem>
      <errorID>828378b3-cabd-4e30-8b51-11567dd0584e</errorID>
      <errorWord>:</errorWord>
      <group>L1_Format</group>
      <groupName>格式问题</groupName>
      <ability>L2_HalfPunc_CN</ability>
      <abilityName>全半角问题</abilityName>
      <candidateList>
        <item>：</item>
      </candidateList>
      <explain>文本全半角错误。</explain>
      <paraID>62C4B7E9</paraID>
      <start>55</start>
      <end>56</end>
      <status>ignored</status>
      <modifiedWord/>
      <trackRevisions>false</trackRevisions>
    </reviewItem>
    <reviewItem>
      <errorID>64644991-26ca-41f1-9121-39bba25b7ec1</errorID>
      <errorWord>:</errorWord>
      <group>L1_Format</group>
      <groupName>格式问题</groupName>
      <ability>L2_HalfPunc_CN</ability>
      <abilityName>全半角问题</abilityName>
      <candidateList>
        <item>：</item>
      </candidateList>
      <explain>文本全半角错误。</explain>
      <paraID>62C4B7E9</paraID>
      <start>117</start>
      <end>118</end>
      <status>ignored</status>
      <modifiedWord/>
      <trackRevisions>false</trackRevisions>
    </reviewItem>
    <reviewItem>
      <errorID>8aedf643-765f-4633-9b0d-43bf2cef17c4</errorID>
      <errorWord>：？</errorWord>
      <group>L1_Punc</group>
      <groupName>标点问题</groupName>
      <ability>L2_Punc_CN</ability>
      <abilityName>标点符号问题</abilityName>
      <candidateList>
        <item>：</item>
      </candidateList>
      <explain/>
      <paraID>2FF4381C</paraID>
      <start>9</start>
      <end>10</end>
      <status>modified</status>
      <modifiedWord>：</modifiedWord>
      <trackRevisions>false</trackRevisions>
    </reviewItem>
    <reviewItem>
      <errorID>a990dd20-96bd-428f-a7b2-de641009ffce</errorID>
      <errorWord>(</errorWord>
      <group>L1_Format</group>
      <groupName>格式问题</groupName>
      <ability>L2_HalfPunc_CN</ability>
      <abilityName>全半角问题</abilityName>
      <candidateList>
        <item>（</item>
      </candidateList>
      <explain>文本全半角错误。</explain>
      <paraID>1B540D9F</paraID>
      <start>8</start>
      <end>9</end>
      <status>modified</status>
      <modifiedWord>（</modifiedWord>
      <trackRevisions>false</trackRevisions>
    </reviewItem>
    <reviewItem>
      <errorID>cd943e24-8564-4f24-83eb-ad4a4b9db146</errorID>
      <errorWord>)</errorWord>
      <group>L1_Format</group>
      <groupName>格式问题</groupName>
      <ability>L2_HalfPunc_CN</ability>
      <abilityName>全半角问题</abilityName>
      <candidateList>
        <item>）</item>
      </candidateList>
      <explain>文本全半角错误。</explain>
      <paraID>1B540D9F</paraID>
      <start>10</start>
      <end>11</end>
      <status>modified</status>
      <modifiedWord>）</modifiedWord>
      <trackRevisions>false</trackRevisions>
    </reviewItem>
    <reviewItem>
      <errorID>198ba748-62c9-4e5a-b1fa-db577ea71db7</errorID>
      <errorWord>(</errorWord>
      <group>L1_Format</group>
      <groupName>格式问题</groupName>
      <ability>L2_HalfPunc_CN</ability>
      <abilityName>全半角问题</abilityName>
      <candidateList>
        <item>（</item>
      </candidateList>
      <explain>文本全半角错误。</explain>
      <paraID>1B540D9F</paraID>
      <start>21</start>
      <end>22</end>
      <status>ignored</status>
      <modifiedWord/>
      <trackRevisions>false</trackRevisions>
    </reviewItem>
    <reviewItem>
      <errorID>8331d84e-31ed-4449-b861-aae94bd738c5</errorID>
      <errorWord>)</errorWord>
      <group>L1_Format</group>
      <groupName>格式问题</groupName>
      <ability>L2_HalfPunc_CN</ability>
      <abilityName>全半角问题</abilityName>
      <candidateList>
        <item>）</item>
      </candidateList>
      <explain>文本全半角错误。</explain>
      <paraID>1B540D9F</paraID>
      <start>23</start>
      <end>24</end>
      <status>ignored</status>
      <modifiedWord/>
      <trackRevisions>false</trackRevisions>
    </reviewItem>
    <reviewItem>
      <errorID>8917c76b-3019-4865-a7d2-612415386e68</errorID>
      <errorWord>)</errorWord>
      <group>L1_Format</group>
      <groupName>格式问题</groupName>
      <ability>L2_HalfPunc_CN</ability>
      <abilityName>全半角问题</abilityName>
      <candidateList>
        <item>）</item>
      </candidateList>
      <explain>文本全半角错误。</explain>
      <paraID>497AE33D</paraID>
      <start>89</start>
      <end>90</end>
      <status>ignored</status>
      <modifiedWord/>
      <trackRevisions>false</trackRevisions>
    </reviewItem>
    <reviewItem>
      <errorID>738d6f78-fcb8-4fd8-b8b1-6ba3f9512006</errorID>
      <errorWord>:</errorWord>
      <group>L1_Format</group>
      <groupName>格式问题</groupName>
      <ability>L2_HalfPunc_CN</ability>
      <abilityName>全半角问题</abilityName>
      <candidateList>
        <item>：</item>
      </candidateList>
      <explain>文本全半角错误。</explain>
      <paraID> 1AF28C0</paraID>
      <start>95</start>
      <end>96</end>
      <status>ignored</status>
      <modifiedWord/>
      <trackRevisions>false</trackRevisions>
    </reviewItem>
    <reviewItem>
      <errorID>3d851dab-e9ab-478b-806b-e7c2f6e9d00d</errorID>
      <errorWord>:</errorWord>
      <group>L1_Format</group>
      <groupName>格式问题</groupName>
      <ability>L2_HalfPunc_CN</ability>
      <abilityName>全半角问题</abilityName>
      <candidateList>
        <item>：</item>
      </candidateList>
      <explain>文本全半角错误。</explain>
      <paraID> 1AF28C0</paraID>
      <start>157</start>
      <end>158</end>
      <status>ignored</status>
      <modifiedWord/>
      <trackRevisions>false</trackRevisions>
    </reviewItem>
    <reviewItem>
      <errorID>2bcc3338-707c-46f6-ad62-e86e6e52d1e6</errorID>
      <errorWord>(</errorWord>
      <group>L1_Format</group>
      <groupName>格式问题</groupName>
      <ability>L2_HalfPunc_CN</ability>
      <abilityName>全半角问题</abilityName>
      <candidateList>
        <item>（</item>
      </candidateList>
      <explain>文本全半角错误。</explain>
      <paraID>2E62E0B5</paraID>
      <start>15</start>
      <end>16</end>
      <status>modified</status>
      <modifiedWord>（</modifiedWord>
      <trackRevisions>false</trackRevisions>
    </reviewItem>
    <reviewItem>
      <errorID>f7a6fa0e-4551-4210-aa26-ebda5d939efd</errorID>
      <errorWord>)</errorWord>
      <group>L1_Format</group>
      <groupName>格式问题</groupName>
      <ability>L2_HalfPunc_CN</ability>
      <abilityName>全半角问题</abilityName>
      <candidateList>
        <item>）</item>
      </candidateList>
      <explain>文本全半角错误。</explain>
      <paraID>2E62E0B5</paraID>
      <start>22</start>
      <end>23</end>
      <status>ignored</status>
      <modifiedWord/>
      <trackRevisions>false</trackRevisions>
    </reviewItem>
    <reviewItem>
      <errorID>847e9dba-6d23-4853-a6e6-3db3acb0e47a</errorID>
      <errorWord>间</errorWord>
      <group>L1_Word</group>
      <groupName>字词问题</groupName>
      <ability>L2_Typo</ability>
      <abilityName>字词错误</abilityName>
      <candidateList>
        <item>间内</item>
      </candidateList>
      <explain/>
      <paraID>4D6945F7</paraID>
      <start>41</start>
      <end>43</end>
      <status>modified</status>
      <modifiedWord>间内</modifiedWord>
      <trackRevisions>false</trackRevisions>
    </reviewItem>
    <reviewItem>
      <errorID>504e66a3-83fb-418c-825c-a945e1bcbf4c</errorID>
      <errorWord>间</errorWord>
      <group>L1_Word</group>
      <groupName>字词问题</groupName>
      <ability>L2_Typo</ability>
      <abilityName>字词错误</abilityName>
      <candidateList>
        <item>间内</item>
      </candidateList>
      <explain/>
      <paraID>57D3A74E</paraID>
      <start>41</start>
      <end>43</end>
      <status>modified</status>
      <modifiedWord>间内</modifiedWord>
      <trackRevisions>false</trackRevisions>
    </reviewItem>
    <reviewItem>
      <errorID>f94f79a9-36fb-4643-9db9-f0715fd1a1d2</errorID>
      <errorWord>招标投标法实施条例</errorWord>
      <group>L1_Knowledge</group>
      <groupName>知识性问题</groupName>
      <ability>L2_Knowledge</ability>
      <abilityName>其他知识</abilityName>
      <candidateList>
        <item>中华人民共和国招标投标法实施条例</item>
      </candidateList>
      <explain>当前法律法规名称使用简称，请注意是否应当使用全称。</explain>
      <paraID>73A6AA1C</paraID>
      <start>9</start>
      <end>25</end>
      <status>modified</status>
      <modifiedWord>中华人民共和国招标投标法实施条例</modifiedWord>
      <trackRevisions>false</trackRevisions>
    </reviewItem>
    <reviewItem>
      <errorID>6bc49eb0-5929-437f-8a0b-a1cebd22d5b3</errorID>
      <errorWord>法律、法规</errorWord>
      <group>L1_Word</group>
      <groupName>字词问题</groupName>
      <ability>L2_Typo</ability>
      <abilityName>字词错误</abilityName>
      <candidateList>
        <item>法律法规</item>
      </candidateList>
      <explain/>
      <paraID>2A58B3CB</paraID>
      <start>39</start>
      <end>43</end>
      <status>modified</status>
      <modifiedWord>法律法规</modifiedWord>
      <trackRevisions>false</trackRevisions>
    </reviewItem>
    <reviewItem>
      <errorID>c0a074be-afeb-453d-8f97-5d5728a5e75d</errorID>
      <errorWord>组织设计的编制</errorWord>
      <group>L1_Word</group>
      <groupName>字词问题</groupName>
      <ability>L2_Typo</ability>
      <abilityName>字词错误</abilityName>
      <candidateList>
        <item>组织设计编制</item>
      </candidateList>
      <explain/>
      <paraID>49C74215</paraID>
      <start>2</start>
      <end>9</end>
      <status>ignored</status>
      <modifiedWord/>
      <trackRevisions>false</trackRevisions>
    </reviewItem>
    <reviewItem>
      <errorID>61128081-43dd-4a06-8a7d-d912df12ad0a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7F7C1D77</paraID>
      <start>0</start>
      <end>2</end>
      <status>modified</status>
      <modifiedWord>1.</modifiedWord>
      <trackRevisions>false</trackRevisions>
    </reviewItem>
    <reviewItem>
      <errorID>7516cb01-a8ba-4eee-a0b5-0040f5d393e3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7A577B1B</paraID>
      <start>0</start>
      <end>2</end>
      <status>modified</status>
      <modifiedWord>2.</modifiedWord>
      <trackRevisions>false</trackRevisions>
    </reviewItem>
    <reviewItem>
      <errorID>dd51a8e7-85bf-41fa-883f-9b358421ee5e</errorID>
      <errorWord>(</errorWord>
      <group>L1_Format</group>
      <groupName>格式问题</groupName>
      <ability>L2_HalfPunc_CN</ability>
      <abilityName>全半角问题</abilityName>
      <candidateList>
        <item>（</item>
      </candidateList>
      <explain>文本全半角错误。</explain>
      <paraID> B4D7F9C</paraID>
      <start>8</start>
      <end>9</end>
      <status>modified</status>
      <modifiedWord>（</modifiedWord>
      <trackRevisions>false</trackRevisions>
    </reviewItem>
    <reviewItem>
      <errorID>823bfd0a-0e12-4fd2-95fe-21435f5cee58</errorID>
      <errorWord>)</errorWord>
      <group>L1_Format</group>
      <groupName>格式问题</groupName>
      <ability>L2_HalfPunc_CN</ability>
      <abilityName>全半角问题</abilityName>
      <candidateList>
        <item>）</item>
      </candidateList>
      <explain>文本全半角错误。</explain>
      <paraID> B4D7F9C</paraID>
      <start>13</start>
      <end>14</end>
      <status>modified</status>
      <modifiedWord>）</modifiedWord>
      <trackRevisions>false</trackRevisions>
    </reviewItem>
    <reviewItem>
      <errorID>4de5f365-2827-4b73-b1b7-62859ef703c2</errorID>
      <errorWord>(</errorWord>
      <group>L1_Format</group>
      <groupName>格式问题</groupName>
      <ability>L2_HalfPunc_CN</ability>
      <abilityName>全半角问题</abilityName>
      <candidateList>
        <item>（</item>
      </candidateList>
      <explain>文本全半角错误。</explain>
      <paraID> B4D7F9C</paraID>
      <start>26</start>
      <end>27</end>
      <status>modified</status>
      <modifiedWord>（</modifiedWord>
      <trackRevisions>false</trackRevisions>
    </reviewItem>
    <reviewItem>
      <errorID>0ff3b8cf-af5c-45c8-870f-5f022896d944</errorID>
      <errorWord>)</errorWord>
      <group>L1_Format</group>
      <groupName>格式问题</groupName>
      <ability>L2_HalfPunc_CN</ability>
      <abilityName>全半角问题</abilityName>
      <candidateList>
        <item>）</item>
      </candidateList>
      <explain>文本全半角错误。</explain>
      <paraID> B4D7F9C</paraID>
      <start>34</start>
      <end>35</end>
      <status>modified</status>
      <modifiedWord>）</modifiedWord>
      <trackRevisions>false</trackRevisions>
    </reviewItem>
    <reviewItem>
      <errorID>4e5bcac5-d89d-4fa1-9b2b-848b0bddda4d</errorID>
      <errorWord>&lt;</errorWord>
      <group>L1_Format</group>
      <groupName>格式问题</groupName>
      <ability>L2_HalfPunc_CN</ability>
      <abilityName>全半角问题</abilityName>
      <candidateList>
        <item>〈</item>
      </candidateList>
      <explain>文本全半角错误。</explain>
      <paraID>7646210B</paraID>
      <start>58</start>
      <end>59</end>
      <status>modified</status>
      <modifiedWord>〈</modifiedWord>
      <trackRevisions>false</trackRevisions>
    </reviewItem>
    <reviewItem>
      <errorID>d950e6cd-7f58-4d97-ae2b-0de8016e1f3a</errorID>
      <errorWord>&gt;的通知》</errorWord>
      <group>L1_Punc</group>
      <groupName>标点问题</groupName>
      <ability>L2_Punc_CN</ability>
      <abilityName>标点符号问题</abilityName>
      <candidateList>
        <item>〉的通知》</item>
      </candidateList>
      <explain/>
      <paraID>7646210B</paraID>
      <start>76</start>
      <end>81</end>
      <status>ignored</status>
      <modifiedWord/>
      <trackRevisions>false</trackRevisions>
    </reviewItem>
    <reviewItem>
      <errorID>9355f20d-66f9-40aa-9942-65104dc160dc</errorID>
      <errorWord>其它</errorWord>
      <group>L1_Word</group>
      <groupName>字词问题</groupName>
      <ability>L2_Alias</ability>
      <abilityName>也作/曾用词</abilityName>
      <candidateList>
        <item>其他</item>
      </candidateList>
      <explain>词汇[其它]为不规范表述或旧称，其规范书面表述为[其他]。</explain>
      <paraID>7646210B</paraID>
      <start>205</start>
      <end>207</end>
      <status>modified</status>
      <modifiedWord>其他</modifiedWord>
      <trackRevisions>false</trackRevisions>
    </reviewItem>
    <reviewItem>
      <errorID>dd0f6946-8627-4139-9378-272838681ae9</errorID>
      <errorWord>法律、法规</errorWord>
      <group>L1_Word</group>
      <groupName>字词问题</groupName>
      <ability>L2_Typo</ability>
      <abilityName>字词错误</abilityName>
      <candidateList>
        <item>法律法规</item>
      </candidateList>
      <explain/>
      <paraID>2DBBF034</paraID>
      <start>34</start>
      <end>38</end>
      <status>modified</status>
      <modifiedWord>法律法规</modifiedWord>
      <trackRevisions>false</trackRevisions>
    </reviewItem>
    <reviewItem>
      <errorID>cca38daf-8010-4033-b589-eee18f664f1a</errorID>
      <errorWord>法律、法规</errorWord>
      <group>L1_Word</group>
      <groupName>字词问题</groupName>
      <ability>L2_Typo</ability>
      <abilityName>字词错误</abilityName>
      <candidateList>
        <item>法律法规</item>
      </candidateList>
      <explain/>
      <paraID>5653C5DB</paraID>
      <start>26</start>
      <end>31</end>
      <status>unmodified</status>
      <modifiedWord/>
      <trackRevisions>false</trackRevisions>
    </reviewItem>
    <reviewItem>
      <errorID>9c5641de-baa0-474a-b676-e4f19a31c318</errorID>
      <errorWord>(</errorWord>
      <group>L1_Format</group>
      <groupName>格式问题</groupName>
      <ability>L2_HalfPunc_CN</ability>
      <abilityName>全半角问题</abilityName>
      <candidateList>
        <item>（</item>
      </candidateList>
      <explain>文本全半角错误。</explain>
      <paraID>5653C5DB</paraID>
      <start>119</start>
      <end>120</end>
      <status>modified</status>
      <modifiedWord>（</modifiedWord>
      <trackRevisions>false</trackRevisions>
    </reviewItem>
    <reviewItem>
      <errorID>b245ff2a-7d14-46d3-9db0-4fc280ea8bc2</errorID>
      <errorWord>),</errorWord>
      <group>L1_Format</group>
      <groupName>格式问题</groupName>
      <ability>L2_HalfPunc_CN</ability>
      <abilityName>全半角问题</abilityName>
      <candidateList>
        <item>），</item>
      </candidateList>
      <explain>文本全半角错误。</explain>
      <paraID>5653C5DB</paraID>
      <start>125</start>
      <end>127</end>
      <status>modified</status>
      <modifiedWord>），</modifiedWord>
      <trackRevisions>false</trackRevisions>
    </reviewItem>
    <reviewItem>
      <errorID>dd968dc4-d75b-49ca-8be0-0c9d54aa1057</errorID>
      <errorWord>(</errorWord>
      <group>L1_Format</group>
      <groupName>格式问题</groupName>
      <ability>L2_HalfPunc_CN</ability>
      <abilityName>全半角问题</abilityName>
      <candidateList>
        <item>（</item>
      </candidateList>
      <explain>文本全半角错误。</explain>
      <paraID>5653C5DB</paraID>
      <start>156</start>
      <end>157</end>
      <status>modified</status>
      <modifiedWord>（</modifiedWord>
      <trackRevisions>false</trackRevisions>
    </reviewItem>
    <reviewItem>
      <errorID>63bfae9e-0ce2-4bec-9d7e-e21a61623267</errorID>
      <errorWord>)</errorWord>
      <group>L1_Format</group>
      <groupName>格式问题</groupName>
      <ability>L2_HalfPunc_CN</ability>
      <abilityName>全半角问题</abilityName>
      <candidateList>
        <item>）</item>
      </candidateList>
      <explain>文本全半角错误。</explain>
      <paraID>5653C5DB</paraID>
      <start>160</start>
      <end>161</end>
      <status>modified</status>
      <modifiedWord>）</modifiedWord>
      <trackRevisions>false</trackRevisions>
    </reviewItem>
    <reviewItem>
      <errorID>6d7f3585-f494-486d-8fa0-69f2b20f9b56</errorID>
      <errorWord>(</errorWord>
      <group>L1_Format</group>
      <groupName>格式问题</groupName>
      <ability>L2_HalfPunc_CN</ability>
      <abilityName>全半角问题</abilityName>
      <candidateList>
        <item>（</item>
      </candidateList>
      <explain>文本全半角错误。</explain>
      <paraID>6BA6F5FD</paraID>
      <start>14</start>
      <end>15</end>
      <status>modified</status>
      <modifiedWord>（</modifiedWord>
      <trackRevisions>false</trackRevisions>
    </reviewItem>
    <reviewItem>
      <errorID>b18c3adb-b206-4721-bb6f-866670447ba7</errorID>
      <errorWord>)</errorWord>
      <group>L1_Format</group>
      <groupName>格式问题</groupName>
      <ability>L2_HalfPunc_CN</ability>
      <abilityName>全半角问题</abilityName>
      <candidateList>
        <item>）</item>
      </candidateList>
      <explain>文本全半角错误。</explain>
      <paraID>6BA6F5FD</paraID>
      <start>22</start>
      <end>23</end>
      <status>modified</status>
      <modifiedWord>）</modifiedWord>
      <trackRevisions>false</trackRevisions>
    </reviewItem>
    <reviewItem>
      <errorID>01be933d-2e21-4691-80c0-1890bcef5a21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6C73F4BF</paraID>
      <start>95</start>
      <end>98</end>
      <status>ignored</status>
      <modifiedWord/>
      <trackRevisions>false</trackRevisions>
    </reviewItem>
    <reviewItem>
      <errorID>3c01700b-328b-42a6-bcab-c320a2bba776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6C73F4BF</paraID>
      <start>226</start>
      <end>229</end>
      <status>ignored</status>
      <modifiedWord/>
      <trackRevisions>false</trackRevisions>
    </reviewItem>
    <reviewItem>
      <errorID>ca7cceeb-deab-4c4e-89f1-5d04f1c995b6</errorID>
      <errorWord>(</errorWord>
      <group>L1_Format</group>
      <groupName>格式问题</groupName>
      <ability>L2_HalfPunc_CN</ability>
      <abilityName>全半角问题</abilityName>
      <candidateList>
        <item>（</item>
      </candidateList>
      <explain>文本全半角错误。</explain>
      <paraID>76CEEB78</paraID>
      <start>33</start>
      <end>34</end>
      <status>modified</status>
      <modifiedWord>（</modifiedWord>
      <trackRevisions>false</trackRevisions>
    </reviewItem>
    <reviewItem>
      <errorID>872f6a44-310b-4cb1-8f27-69d83d7242ad</errorID>
      <errorWord>(2025)3号</errorWord>
      <group>L1_Knowledge</group>
      <groupName>知识性问题</groupName>
      <ability>L2_Knowledge</ability>
      <abilityName>其他知识</abilityName>
      <candidateList>
        <item>〔2025〕3号</item>
      </candidateList>
      <explain>发文字号格式错误。</explain>
      <paraID>76CEEB78</paraID>
      <start>39</start>
      <end>47</end>
      <status>modified</status>
      <modifiedWord>〔2025〕3号</modifiedWord>
      <trackRevisions>false</trackRevisions>
    </reviewItem>
    <reviewItem>
      <errorID>6d0b8a74-1742-4056-97b7-64140cc7d888</errorID>
      <errorWord>)</errorWord>
      <group>L1_Format</group>
      <groupName>格式问题</groupName>
      <ability>L2_HalfPunc_CN</ability>
      <abilityName>全半角问题</abilityName>
      <candidateList>
        <item>）</item>
      </candidateList>
      <explain>文本全半角错误。</explain>
      <paraID>76CEEB78</paraID>
      <start>47</start>
      <end>48</end>
      <status>modified</status>
      <modifiedWord>）</modifiedWord>
      <trackRevisions>false</trackRevisions>
    </reviewItem>
    <reviewItem>
      <errorID>fb52c1ec-0a2d-43e8-a42f-26557da1296c</errorID>
      <errorWord>按受</errorWord>
      <group>L1_Word</group>
      <groupName>字词问题</groupName>
      <ability>L2_Typo</ability>
      <abilityName>字词错误</abilityName>
      <candidateList>
        <item>接受</item>
      </candidateList>
      <explain/>
      <paraID>76CEEB78</paraID>
      <start>66</start>
      <end>68</end>
      <status>modified</status>
      <modifiedWord>接受</modifiedWord>
      <trackRevisions>false</trackRevisions>
    </reviewItem>
    <reviewItem>
      <errorID>b0d44084-67c1-4db0-b0f2-fa49869b2a89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11EC57BC</paraID>
      <start>43</start>
      <end>46</end>
      <status>ignored</status>
      <modifiedWord/>
      <trackRevisions>false</trackRevisions>
    </reviewItem>
    <reviewItem>
      <errorID>ee849990-8caf-4dd6-87a7-46ba763e69d0</errorID>
      <errorWord>,</errorWord>
      <group>L1_Format</group>
      <groupName>格式问题</groupName>
      <ability>L2_HalfPunc_CN</ability>
      <abilityName>全半角问题</abilityName>
      <candidateList>
        <item>，</item>
      </candidateList>
      <explain>文本全半角错误。</explain>
      <paraID>11EC57BC</paraID>
      <start>100</start>
      <end>101</end>
      <status>modified</status>
      <modifiedWord>，</modifiedWord>
      <trackRevisions>false</trackRevisions>
    </reviewItem>
    <reviewItem>
      <errorID>9fa8882f-a99e-4fd8-af3b-904c978b6532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18F4219B</paraID>
      <start>0</start>
      <end>3</end>
      <status>modified</status>
      <modifiedWord>（1）</modifiedWord>
      <trackRevisions>false</trackRevisions>
    </reviewItem>
    <reviewItem>
      <errorID>a4107d84-6749-4606-8718-bde6fdb24d85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7D762E89</paraID>
      <start>0</start>
      <end>3</end>
      <status>modified</status>
      <modifiedWord>（2）</modifiedWord>
      <trackRevisions>false</trackRevisions>
    </reviewItem>
    <reviewItem>
      <errorID>2ab0d345-690c-4f10-ade5-249eab947eae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402A422E</paraID>
      <start>0</start>
      <end>3</end>
      <status>modified</status>
      <modifiedWord>（3）</modifiedWord>
      <trackRevisions>false</trackRevisions>
    </reviewItem>
    <reviewItem>
      <errorID>75b00313-5714-4e59-bbf6-a19d061cd1e8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62624C71</paraID>
      <start>0</start>
      <end>3</end>
      <status>modified</status>
      <modifiedWord>（4）</modifiedWord>
      <trackRevisions>false</trackRevisions>
    </reviewItem>
    <reviewItem>
      <errorID>00ea8df3-f03d-4ecd-9674-7228d4ddf61e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21F6546C</paraID>
      <start>0</start>
      <end>3</end>
      <status>modified</status>
      <modifiedWord>（5）</modifiedWord>
      <trackRevisions>false</trackRevisions>
    </reviewItem>
    <reviewItem>
      <errorID>8b555b40-efb9-43d0-bc98-3cc9fc4f3099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20EE5930</paraID>
      <start>0</start>
      <end>3</end>
      <status>modified</status>
      <modifiedWord>（6）</modifiedWord>
      <trackRevisions>false</trackRevisions>
    </reviewItem>
    <reviewItem>
      <errorID>34e10462-29e3-4cd1-bde2-45db5cec145f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62662182</paraID>
      <start>20</start>
      <end>21</end>
      <status>ignored</status>
      <modifiedWord/>
      <trackRevisions>false</trackRevisions>
    </reviewItem>
    <reviewItem>
      <errorID>063b1a03-893f-4c8e-a17e-e728d674ca4f</errorID>
      <errorWord>[2002]1980号</errorWord>
      <group>L1_Knowledge</group>
      <groupName>知识性问题</groupName>
      <ability>L2_Knowledge</ability>
      <abilityName>其他知识</abilityName>
      <candidateList>
        <item>〔2002〕1980号</item>
      </candidateList>
      <explain>发文字号格式错误。</explain>
      <paraID>62662182</paraID>
      <start>24</start>
      <end>35</end>
      <status>modified</status>
      <modifiedWord>〔2002〕1980号</modifiedWord>
      <trackRevisions>false</trackRevisions>
    </reviewItem>
    <reviewItem>
      <errorID>4a975a8d-077a-4431-a2cc-eccaf6a07a70</errorID>
      <errorWord>[2003]857号</errorWord>
      <group>L1_Knowledge</group>
      <groupName>知识性问题</groupName>
      <ability>L2_Knowledge</ability>
      <abilityName>其他知识</abilityName>
      <candidateList>
        <item>〔2003〕857号</item>
      </candidateList>
      <explain>发文字号格式错误。</explain>
      <paraID>62662182</paraID>
      <start>41</start>
      <end>51</end>
      <status>modified</status>
      <modifiedWord>〔2003〕857号</modifiedWord>
      <trackRevisions>false</trackRevisions>
    </reviewItem>
    <reviewItem>
      <errorID>06522624-0d76-4ccd-b42d-0045a414d04a</errorID>
      <errorWord>）</errorWord>
      <group>L1_Word</group>
      <groupName>字词问题</groupName>
      <ability>L2_Typo</ability>
      <abilityName>字词错误</abilityName>
      <candidateList>
        <item>）和</item>
      </candidateList>
      <explain/>
      <paraID> 1F9350C</paraID>
      <start>101</start>
      <end>103</end>
      <status>modified</status>
      <modifiedWord>）和</modifiedWord>
      <trackRevisions>false</trackRevisions>
    </reviewItem>
    <reviewItem>
      <errorID>a6fcbbd5-bb87-4e67-bd8e-a060dbbd411e</errorID>
      <errorWord>:</errorWord>
      <group>L1_Format</group>
      <groupName>格式问题</groupName>
      <ability>L2_HalfPunc_CN</ability>
      <abilityName>全半角问题</abilityName>
      <candidateList>
        <item>：</item>
      </candidateList>
      <explain>文本全半角错误。</explain>
      <paraID> D0A69FD</paraID>
      <start>13</start>
      <end>14</end>
      <status>modified</status>
      <modifiedWord>：</modifiedWord>
      <trackRevisions>false</trackRevisions>
    </reviewItem>
    <reviewItem>
      <errorID>33db88e4-9604-4d25-8577-e1b631724b24</errorID>
      <errorWord>(</errorWord>
      <group>L1_Format</group>
      <groupName>格式问题</groupName>
      <ability>L2_HalfPunc_CN</ability>
      <abilityName>全半角问题</abilityName>
      <candidateList>
        <item>（</item>
      </candidateList>
      <explain>文本全半角错误。</explain>
      <paraID>220E19E1</paraID>
      <start>97</start>
      <end>98</end>
      <status>modified</status>
      <modifiedWord>（</modifiedWord>
      <trackRevisions>false</trackRevisions>
    </reviewItem>
    <reviewItem>
      <errorID>b48ca6f8-c41a-4ebe-b12c-a2dd796da48c</errorID>
      <errorWord>)</errorWord>
      <group>L1_Format</group>
      <groupName>格式问题</groupName>
      <ability>L2_HalfPunc_CN</ability>
      <abilityName>全半角问题</abilityName>
      <candidateList>
        <item>）</item>
      </candidateList>
      <explain>文本全半角错误。</explain>
      <paraID>220E19E1</paraID>
      <start>102</start>
      <end>103</end>
      <status>modified</status>
      <modifiedWord>）</modifiedWord>
      <trackRevisions>false</trackRevisions>
    </reviewItem>
    <reviewItem>
      <errorID>3449e973-c818-49fa-a07d-e9a50e5234c5</errorID>
      <errorWord>(</errorWord>
      <group>L1_Format</group>
      <groupName>格式问题</groupName>
      <ability>L2_HalfPunc_CN</ability>
      <abilityName>全半角问题</abilityName>
      <candidateList>
        <item>（</item>
      </candidateList>
      <explain>文本全半角错误。</explain>
      <paraID>3896DF7A</paraID>
      <start>12</start>
      <end>13</end>
      <status>modified</status>
      <modifiedWord>（</modifiedWord>
      <trackRevisions>false</trackRevisions>
    </reviewItem>
    <reviewItem>
      <errorID>9a0082cd-1f48-427a-a5c3-c43081c1f9c4</errorID>
      <errorWord>)</errorWord>
      <group>L1_Format</group>
      <groupName>格式问题</groupName>
      <ability>L2_HalfPunc_CN</ability>
      <abilityName>全半角问题</abilityName>
      <candidateList>
        <item>）</item>
      </candidateList>
      <explain>文本全半角错误。</explain>
      <paraID>3896DF7A</paraID>
      <start>20</start>
      <end>21</end>
      <status>modified</status>
      <modifiedWord>）</modifiedWord>
      <trackRevisions>false</trackRevisions>
    </reviewItem>
    <reviewItem>
      <errorID>85b2f419-7918-4e28-ab8c-82b9fbc23d9e</errorID>
      <errorWord>(</errorWord>
      <group>L1_Format</group>
      <groupName>格式问题</groupName>
      <ability>L2_HalfPunc_CN</ability>
      <abilityName>全半角问题</abilityName>
      <candidateList>
        <item>（</item>
      </candidateList>
      <explain>文本全半角错误。</explain>
      <paraID>3896DF7A</paraID>
      <start>60</start>
      <end>61</end>
      <status>unmodified</status>
      <modifiedWord/>
      <trackRevisions>false</trackRevisions>
    </reviewItem>
    <reviewItem>
      <errorID>91366f41-66f7-433e-a9b6-13bb0c8675e0</errorID>
      <errorWord>)</errorWord>
      <group>L1_Format</group>
      <groupName>格式问题</groupName>
      <ability>L2_HalfPunc_CN</ability>
      <abilityName>全半角问题</abilityName>
      <candidateList>
        <item>）</item>
      </candidateList>
      <explain>文本全半角错误。</explain>
      <paraID>3896DF7A</paraID>
      <start>78</start>
      <end>79</end>
      <status>unmodified</status>
      <modifiedWord/>
      <trackRevisions>false</trackRevisions>
    </reviewItem>
    <reviewItem>
      <errorID>67272c56-f859-4754-ad44-a2d141159202</errorID>
      <errorWord>(</errorWord>
      <group>L1_Format</group>
      <groupName>格式问题</groupName>
      <ability>L2_HalfPunc_CN</ability>
      <abilityName>全半角问题</abilityName>
      <candidateList>
        <item>（</item>
      </candidateList>
      <explain>文本全半角错误。</explain>
      <paraID>3896DF7A</paraID>
      <start>118</start>
      <end>119</end>
      <status>unmodified</status>
      <modifiedWord/>
      <trackRevisions>false</trackRevisions>
    </reviewItem>
    <reviewItem>
      <errorID>2beef14e-3e18-4f40-a029-fb3ba8657d28</errorID>
      <errorWord>(2011)114号</errorWord>
      <group>L1_Knowledge</group>
      <groupName>知识性问题</groupName>
      <ability>L2_Knowledge</ability>
      <abilityName>其他知识</abilityName>
      <candidateList>
        <item>〔2011〕114号</item>
      </candidateList>
      <explain>发文字号格式错误。</explain>
      <paraID>3896DF7A</paraID>
      <start>123</start>
      <end>133</end>
      <status>unmodified</status>
      <modifiedWord/>
      <trackRevisions>false</trackRevisions>
    </reviewItem>
    <reviewItem>
      <errorID>96ae490a-b9e8-4633-839d-2bbc22dbbc4a</errorID>
      <errorWord>)</errorWord>
      <group>L1_Format</group>
      <groupName>格式问题</groupName>
      <ability>L2_HalfPunc_CN</ability>
      <abilityName>全半角问题</abilityName>
      <candidateList>
        <item>）</item>
      </candidateList>
      <explain>文本全半角错误。</explain>
      <paraID>3896DF7A</paraID>
      <start>133</start>
      <end>134</end>
      <status>unmodified</status>
      <modifiedWord/>
      <trackRevisions>false</trackRevisions>
    </reviewItem>
    <reviewItem>
      <errorID>487052df-503f-4991-a16c-b7519d14f69b</errorID>
      <errorWord>(</errorWord>
      <group>L1_Format</group>
      <groupName>格式问题</groupName>
      <ability>L2_HalfPunc_CN</ability>
      <abilityName>全半角问题</abilityName>
      <candidateList>
        <item>（</item>
      </candidateList>
      <explain>文本全半角错误。</explain>
      <paraID>1B52F686</paraID>
      <start>66</start>
      <end>67</end>
      <status>ignored</status>
      <modifiedWord/>
      <trackRevisions>false</trackRevisions>
    </reviewItem>
    <reviewItem>
      <errorID>c26365c0-9f0f-4a68-9873-385c752d2ae0</errorID>
      <errorWord>)</errorWord>
      <group>L1_Format</group>
      <groupName>格式问题</groupName>
      <ability>L2_HalfPunc_CN</ability>
      <abilityName>全半角问题</abilityName>
      <candidateList>
        <item>）</item>
      </candidateList>
      <explain>文本全半角错误。</explain>
      <paraID>1B52F686</paraID>
      <start>72</start>
      <end>73</end>
      <status>ignored</status>
      <modifiedWord/>
      <trackRevisions>false</trackRevisions>
    </reviewItem>
    <reviewItem>
      <errorID>7bd0f497-13db-4679-9a51-85aa61d4931e</errorID>
      <errorWord>(</errorWord>
      <group>L1_Format</group>
      <groupName>格式问题</groupName>
      <ability>L2_HalfPunc_CN</ability>
      <abilityName>全半角问题</abilityName>
      <candidateList>
        <item>（</item>
      </candidateList>
      <explain>文本全半角错误。</explain>
      <paraID>1B52F686</paraID>
      <start>118</start>
      <end>119</end>
      <status>unmodified</status>
      <modifiedWord/>
      <trackRevisions>false</trackRevisions>
    </reviewItem>
    <reviewItem>
      <errorID>5ee0852c-864c-4a96-98ce-1593bfd6ca74</errorID>
      <errorWord>)</errorWord>
      <group>L1_Format</group>
      <groupName>格式问题</groupName>
      <ability>L2_HalfPunc_CN</ability>
      <abilityName>全半角问题</abilityName>
      <candidateList>
        <item>）</item>
      </candidateList>
      <explain>文本全半角错误。</explain>
      <paraID>1B52F686</paraID>
      <start>128</start>
      <end>129</end>
      <status>ignored</status>
      <modifiedWord/>
      <trackRevisions>false</trackRevisions>
    </reviewItem>
    <reviewItem>
      <errorID>bfdccce8-86fd-4b60-a1e1-0c6a55b48c83</errorID>
      <errorWord>(</errorWord>
      <group>L1_Format</group>
      <groupName>格式问题</groupName>
      <ability>L2_HalfPunc_CN</ability>
      <abilityName>全半角问题</abilityName>
      <candidateList>
        <item>（</item>
      </candidateList>
      <explain>文本全半角错误。</explain>
      <paraID>47362449</paraID>
      <start>25</start>
      <end>26</end>
      <status>ignored</status>
      <modifiedWord/>
      <trackRevisions>false</trackRevisions>
    </reviewItem>
    <reviewItem>
      <errorID>aefa554b-dfaa-4278-9899-692dfcda35ac</errorID>
      <errorWord>)</errorWord>
      <group>L1_Format</group>
      <groupName>格式问题</groupName>
      <ability>L2_HalfPunc_CN</ability>
      <abilityName>全半角问题</abilityName>
      <candidateList>
        <item>）</item>
      </candidateList>
      <explain>文本全半角错误。</explain>
      <paraID>47362449</paraID>
      <start>33</start>
      <end>34</end>
      <status>ignored</status>
      <modifiedWord/>
      <trackRevisions>false</trackRevisions>
    </reviewItem>
    <reviewItem>
      <errorID>936d409d-4cbd-439a-a39d-781439414e47</errorID>
      <errorWord>(</errorWord>
      <group>L1_Format</group>
      <groupName>格式问题</groupName>
      <ability>L2_HalfPunc_CN</ability>
      <abilityName>全半角问题</abilityName>
      <candidateList>
        <item>（</item>
      </candidateList>
      <explain>文本全半角错误。</explain>
      <paraID> 13564F2</paraID>
      <start>66</start>
      <end>67</end>
      <status>modified</status>
      <modifiedWord>（</modifiedWord>
      <trackRevisions>false</trackRevisions>
    </reviewItem>
    <reviewItem>
      <errorID>53d3c8dd-a0c9-4778-9b1c-a9b55cd76257</errorID>
      <errorWord>)</errorWord>
      <group>L1_Format</group>
      <groupName>格式问题</groupName>
      <ability>L2_HalfPunc_CN</ability>
      <abilityName>全半角问题</abilityName>
      <candidateList>
        <item>）</item>
      </candidateList>
      <explain>文本全半角错误。</explain>
      <paraID> 13564F2</paraID>
      <start>72</start>
      <end>73</end>
      <status>modified</status>
      <modifiedWord>）</modifiedWord>
      <trackRevisions>false</trackRevisions>
    </reviewItem>
    <reviewItem>
      <errorID>597a7939-c6fb-4ea6-8ca4-0a6a4529b42d</errorID>
      <errorWord>(</errorWord>
      <group>L1_Format</group>
      <groupName>格式问题</groupName>
      <ability>L2_HalfPunc_CN</ability>
      <abilityName>全半角问题</abilityName>
      <candidateList>
        <item>（</item>
      </candidateList>
      <explain>文本全半角错误。</explain>
      <paraID> 13564F2</paraID>
      <start>118</start>
      <end>119</end>
      <status>modified</status>
      <modifiedWord>（</modifiedWord>
      <trackRevisions>false</trackRevisions>
    </reviewItem>
    <reviewItem>
      <errorID>ca149b5f-20d2-471c-b26a-231d09cb4077</errorID>
      <errorWord>)</errorWord>
      <group>L1_Format</group>
      <groupName>格式问题</groupName>
      <ability>L2_HalfPunc_CN</ability>
      <abilityName>全半角问题</abilityName>
      <candidateList>
        <item>）</item>
      </candidateList>
      <explain>文本全半角错误。</explain>
      <paraID> 13564F2</paraID>
      <start>128</start>
      <end>129</end>
      <status>modified</status>
      <modifiedWord>）</modifiedWord>
      <trackRevisions>false</trackRevisions>
    </reviewItem>
    <reviewItem>
      <errorID>0cef5918-e0e8-4f9e-a601-390cf1ce035e</errorID>
      <errorWord>(</errorWord>
      <group>L1_Format</group>
      <groupName>格式问题</groupName>
      <ability>L2_HalfPunc_CN</ability>
      <abilityName>全半角问题</abilityName>
      <candidateList>
        <item>（</item>
      </candidateList>
      <explain>文本全半角错误。</explain>
      <paraID>63E09E51</paraID>
      <start>6</start>
      <end>7</end>
      <status>ignored</status>
      <modifiedWord/>
      <trackRevisions>false</trackRevisions>
    </reviewItem>
    <reviewItem>
      <errorID>c68d68c6-8886-4adc-bdc2-44e179a0adbc</errorID>
      <errorWord>)</errorWord>
      <group>L1_Format</group>
      <groupName>格式问题</groupName>
      <ability>L2_HalfPunc_CN</ability>
      <abilityName>全半角问题</abilityName>
      <candidateList>
        <item>）</item>
      </candidateList>
      <explain>文本全半角错误。</explain>
      <paraID>63E09E51</paraID>
      <start>31</start>
      <end>32</end>
      <status>ignored</status>
      <modifiedWord/>
      <trackRevisions>false</trackRevisions>
    </reviewItem>
    <reviewItem>
      <errorID>1bb088ef-ed6c-4011-baeb-388fda05f854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63E09E51</paraID>
      <start>64</start>
      <end>65</end>
      <status>ignored</status>
      <modifiedWord/>
      <trackRevisions>false</trackRevisions>
    </reviewItem>
    <reviewItem>
      <errorID>be3ea1b7-2e73-4184-ab6b-47197656ee53</errorID>
      <errorWord>位</errorWord>
      <group>L1_Word</group>
      <groupName>字词问题</groupName>
      <ability>L2_Typo</ability>
      <abilityName>字词错误</abilityName>
      <candidateList>
        <item>位公</item>
      </candidateList>
      <explain/>
      <paraID>643EFF4D</paraID>
      <start>19</start>
      <end>21</end>
      <status>modified</status>
      <modifiedWord>位公</modifiedWord>
      <trackRevisions>false</trackRevisions>
    </reviewItem>
    <reviewItem>
      <errorID>f3c4a034-5d82-42eb-ad54-6883136c67d1</errorID>
      <errorWord>(</errorWord>
      <group>L1_Format</group>
      <groupName>格式问题</groupName>
      <ability>L2_HalfPunc_CN</ability>
      <abilityName>全半角问题</abilityName>
      <candidateList>
        <item>（</item>
      </candidateList>
      <explain>文本全半角错误。</explain>
      <paraID>5C4C2BBE</paraID>
      <start>10</start>
      <end>11</end>
      <status>modified</status>
      <modifiedWord>（</modifiedWord>
      <trackRevisions>false</trackRevisions>
    </reviewItem>
    <reviewItem>
      <errorID>cbfcfe2c-ec13-4d15-b40f-0564e4776d55</errorID>
      <errorWord>)</errorWord>
      <group>L1_Format</group>
      <groupName>格式问题</groupName>
      <ability>L2_HalfPunc_CN</ability>
      <abilityName>全半角问题</abilityName>
      <candidateList>
        <item>）</item>
      </candidateList>
      <explain>文本全半角错误。</explain>
      <paraID>5C4C2BBE</paraID>
      <start>49</start>
      <end>50</end>
      <status>modified</status>
      <modifiedWord>）</modifiedWord>
      <trackRevisions>false</trackRevisions>
    </reviewItem>
    <reviewItem>
      <errorID>e952d01f-b4af-4b8b-b329-77f26a77fe15</errorID>
      <errorWord>(</errorWord>
      <group>L1_Format</group>
      <groupName>格式问题</groupName>
      <ability>L2_HalfPunc_CN</ability>
      <abilityName>全半角问题</abilityName>
      <candidateList>
        <item>（</item>
      </candidateList>
      <explain>文本全半角错误。</explain>
      <paraID>5C4C2BBE</paraID>
      <start>93</start>
      <end>94</end>
      <status>modified</status>
      <modifiedWord>（</modifiedWord>
      <trackRevisions>false</trackRevisions>
    </reviewItem>
    <reviewItem>
      <errorID>5fe97a61-da61-4dcb-a3b3-5b4898bdfc37</errorID>
      <errorWord>)</errorWord>
      <group>L1_Format</group>
      <groupName>格式问题</groupName>
      <ability>L2_HalfPunc_CN</ability>
      <abilityName>全半角问题</abilityName>
      <candidateList>
        <item>）</item>
      </candidateList>
      <explain>文本全半角错误。</explain>
      <paraID>5C4C2BBE</paraID>
      <start>113</start>
      <end>114</end>
      <status>modified</status>
      <modifiedWord>）</modifiedWord>
      <trackRevisions>false</trackRevisions>
    </reviewItem>
    <reviewItem>
      <errorID>944a77ee-1298-4cb9-8df5-a5e526734ac8</errorID>
      <errorWord>(</errorWord>
      <group>L1_Format</group>
      <groupName>格式问题</groupName>
      <ability>L2_HalfPunc_CN</ability>
      <abilityName>全半角问题</abilityName>
      <candidateList>
        <item>（</item>
      </candidateList>
      <explain>文本全半角错误。</explain>
      <paraID>5C4C2BBE</paraID>
      <start>142</start>
      <end>143</end>
      <status>modified</status>
      <modifiedWord>（</modifiedWord>
      <trackRevisions>false</trackRevisions>
    </reviewItem>
    <reviewItem>
      <errorID>2463de86-60ab-4759-9fd9-aa06ffb1466c</errorID>
      <errorWord>)</errorWord>
      <group>L1_Format</group>
      <groupName>格式问题</groupName>
      <ability>L2_HalfPunc_CN</ability>
      <abilityName>全半角问题</abilityName>
      <candidateList>
        <item>）</item>
      </candidateList>
      <explain>文本全半角错误。</explain>
      <paraID>5C4C2BBE</paraID>
      <start>156</start>
      <end>157</end>
      <status>modified</status>
      <modifiedWord>）</modifiedWord>
      <trackRevisions>false</trackRevisions>
    </reviewItem>
    <reviewItem>
      <errorID>1199fb2e-0d6d-49b9-b8cf-6ce75d3ab1a7</errorID>
      <errorWord>"</errorWord>
      <group>L1_Format</group>
      <groupName>格式问题</groupName>
      <ability>L2_HalfPunc_CN</ability>
      <abilityName>全半角问题</abilityName>
      <candidateList>
        <item>“</item>
      </candidateList>
      <explain>文本全半角错误。</explain>
      <paraID>5C4C2BBE</paraID>
      <start>218</start>
      <end>219</end>
      <status>modified</status>
      <modifiedWord>“</modifiedWord>
      <trackRevisions>false</trackRevisions>
    </reviewItem>
    <reviewItem>
      <errorID>817b636a-6fa2-4d44-b08e-0c69404c8ea7</errorID>
      <errorWord>"</errorWord>
      <group>L1_Format</group>
      <groupName>格式问题</groupName>
      <ability>L2_HalfPunc_CN</ability>
      <abilityName>全半角问题</abilityName>
      <candidateList>
        <item>”</item>
      </candidateList>
      <explain>文本全半角错误。</explain>
      <paraID>5C4C2BBE</paraID>
      <start>243</start>
      <end>244</end>
      <status>modified</status>
      <modifiedWord>”</modifiedWord>
      <trackRevisions>false</trackRevisions>
    </reviewItem>
    <reviewItem>
      <errorID>6f75d518-8bdc-4c6e-b570-8a31dc3461eb</errorID>
      <errorWord>(</errorWord>
      <group>L1_Format</group>
      <groupName>格式问题</groupName>
      <ability>L2_HalfPunc_CN</ability>
      <abilityName>全半角问题</abilityName>
      <candidateList>
        <item>（</item>
      </candidateList>
      <explain>文本全半角错误。</explain>
      <paraID>5956A76C</paraID>
      <start>62</start>
      <end>63</end>
      <status>modified</status>
      <modifiedWord>（</modifiedWord>
      <trackRevisions>false</trackRevisions>
    </reviewItem>
    <reviewItem>
      <errorID>86fe80c7-3e3a-4239-8065-0489406eaf59</errorID>
      <errorWord>)</errorWord>
      <group>L1_Format</group>
      <groupName>格式问题</groupName>
      <ability>L2_HalfPunc_CN</ability>
      <abilityName>全半角问题</abilityName>
      <candidateList>
        <item>）</item>
      </candidateList>
      <explain>文本全半角错误。</explain>
      <paraID>5956A76C</paraID>
      <start>68</start>
      <end>69</end>
      <status>modified</status>
      <modifiedWord>）</modifiedWord>
      <trackRevisions>false</trackRevisions>
    </reviewItem>
    <reviewItem>
      <errorID>59f1b226-0578-46ce-8c7c-9173804a2e1e</errorID>
      <errorWord>(</errorWord>
      <group>L1_Format</group>
      <groupName>格式问题</groupName>
      <ability>L2_HalfPunc_CN</ability>
      <abilityName>全半角问题</abilityName>
      <candidateList>
        <item>（</item>
      </candidateList>
      <explain>文本全半角错误。</explain>
      <paraID>5956A76C</paraID>
      <start>112</start>
      <end>113</end>
      <status>modified</status>
      <modifiedWord>（</modifiedWord>
      <trackRevisions>false</trackRevisions>
    </reviewItem>
    <reviewItem>
      <errorID>42a6119b-e00a-4be8-a5f7-fe655bdbe169</errorID>
      <errorWord>)</errorWord>
      <group>L1_Format</group>
      <groupName>格式问题</groupName>
      <ability>L2_HalfPunc_CN</ability>
      <abilityName>全半角问题</abilityName>
      <candidateList>
        <item>）</item>
      </candidateList>
      <explain>文本全半角错误。</explain>
      <paraID>5956A76C</paraID>
      <start>122</start>
      <end>123</end>
      <status>modified</status>
      <modifiedWord>）</modifiedWord>
      <trackRevisions>false</trackRevisions>
    </reviewItem>
    <reviewItem>
      <errorID>e829ab38-e5dd-40e8-bc50-e9c56d4a1313</errorID>
      <errorWord>法律、法规</errorWord>
      <group>L1_Word</group>
      <groupName>字词问题</groupName>
      <ability>L2_Typo</ability>
      <abilityName>字词错误</abilityName>
      <candidateList>
        <item>法律法规</item>
      </candidateList>
      <explain/>
      <paraID>4F7AFF11</paraID>
      <start>61</start>
      <end>66</end>
      <status>ignored</status>
      <modifiedWord/>
      <trackRevisions>false</trackRevisions>
    </reviewItem>
    <reviewItem>
      <errorID>879c7444-1ce9-4872-85b2-63a0c62c356a</errorID>
      <errorWord>，</errorWord>
      <group>L1_Word</group>
      <groupName>字词问题</groupName>
      <ability>L2_Typo</ability>
      <abilityName>字词错误</abilityName>
      <candidateList>
        <item>，在</item>
      </candidateList>
      <explain/>
      <paraID> E35A9F7</paraID>
      <start>45</start>
      <end>47</end>
      <status>modified</status>
      <modifiedWord>，在</modifiedWord>
      <trackRevisions>false</trackRevisions>
    </reviewItem>
    <reviewItem>
      <errorID>16f333db-4782-4db5-9844-7f748d6043d0</errorID>
      <errorWord>）为</errorWord>
      <group>L1_Word</group>
      <groupName>字词问题</groupName>
      <ability>L2_Typo</ability>
      <abilityName>字词错误</abilityName>
      <candidateList>
        <item>）</item>
      </candidateList>
      <explain/>
      <paraID>5E0D6E45</paraID>
      <start>2</start>
      <end>4</end>
      <status>unmodified</status>
      <modifiedWord/>
      <trackRevisions>false</trackRevisions>
    </reviewItem>
    <reviewItem>
      <errorID>ee4d8c72-11de-407b-8f24-706120d7cfc0</errorID>
      <errorWord>......</errorWord>
      <group>L1_Punc</group>
      <groupName>标点问题</groupName>
      <ability>L2_Punc_CN</ability>
      <abilityName>标点符号问题</abilityName>
      <candidateList>
        <item>……</item>
      </candidateList>
      <explain/>
      <paraID>463C3E04</paraID>
      <start>5</start>
      <end>11</end>
      <status>unmodified</status>
      <modifiedWord/>
      <trackRevisions>false</trackRevisions>
    </reviewItem>
    <reviewItem>
      <errorID>ab75f33e-d027-4c7c-84df-986f2ad52601</errorID>
      <errorWord>（</errorWord>
      <group>L1_Format</group>
      <groupName>格式问题</groupName>
      <ability>L2_HalfPunc_CN</ability>
      <abilityName>全半角问题</abilityName>
      <candidateList>
        <item>(</item>
      </candidateList>
      <explain>文本全半角错误。</explain>
      <paraID>5A21662E</paraID>
      <start>0</start>
      <end>1</end>
      <status>modified</status>
      <modifiedWord>(</modifiedWord>
      <trackRevisions>false</trackRevisions>
    </reviewItem>
    <reviewItem>
      <errorID>dd11898f-352b-4c60-b86d-6f3396a9307a</errorID>
      <errorWord>）</errorWord>
      <group>L1_Format</group>
      <groupName>格式问题</groupName>
      <ability>L2_HalfPunc_CN</ability>
      <abilityName>全半角问题</abilityName>
      <candidateList>
        <item>)</item>
      </candidateList>
      <explain>文本全半角错误。</explain>
      <paraID>5A21662E</paraID>
      <start>2</start>
      <end>3</end>
      <status>modified</status>
      <modifiedWord>)</modifiedWord>
      <trackRevisions>false</trackRevisions>
    </reviewItem>
    <reviewItem>
      <errorID>e53f87b8-755d-4692-a264-cf61f759b171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FC91171</paraID>
      <start>0</start>
      <end>2</end>
      <status>ignored</status>
      <modifiedWord/>
      <trackRevisions>false</trackRevisions>
    </reviewItem>
    <reviewItem>
      <errorID>5c34b665-4a11-4c4f-9275-d4c08d32f2af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40BC3446</paraID>
      <start>0</start>
      <end>2</end>
      <status>ignored</status>
      <modifiedWord/>
      <trackRevisions>false</trackRevisions>
    </reviewItem>
    <reviewItem>
      <errorID>651aaef0-7017-495d-9fff-38cc28178fb7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CB19EE0</paraID>
      <start>0</start>
      <end>2</end>
      <status>ignored</status>
      <modifiedWord/>
      <trackRevisions>false</trackRevisions>
    </reviewItem>
    <reviewItem>
      <errorID>9eccf46b-1773-4e4b-8792-13207ce7229c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4D50D95C</paraID>
      <start>0</start>
      <end>2</end>
      <status>ignored</status>
      <modifiedWord/>
      <trackRevisions>false</trackRevisions>
    </reviewItem>
    <reviewItem>
      <errorID>722282e8-e253-43f7-baad-3d1ea611e801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30F6B345</paraID>
      <start>0</start>
      <end>2</end>
      <status>ignored</status>
      <modifiedWord/>
      <trackRevisions>false</trackRevisions>
    </reviewItem>
    <reviewItem>
      <errorID>591789e8-dbd8-4ca7-ad67-b62c0f895728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20A8FE6C</paraID>
      <start>0</start>
      <end>2</end>
      <status>ignored</status>
      <modifiedWord/>
      <trackRevisions>false</trackRevisions>
    </reviewItem>
    <reviewItem>
      <errorID>30329ae8-c41e-48c2-914d-1ebe5622c6a8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775BDD6A</paraID>
      <start>0</start>
      <end>2</end>
      <status>ignored</status>
      <modifiedWord/>
      <trackRevisions>false</trackRevisions>
    </reviewItem>
    <reviewItem>
      <errorID>68e878d3-18ec-4f32-8134-0ccbcdd3e1e4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4190D3EE</paraID>
      <start>0</start>
      <end>2</end>
      <status>ignored</status>
      <modifiedWord/>
      <trackRevisions>false</trackRevisions>
    </reviewItem>
    <reviewItem>
      <errorID>472f5fdb-fbb0-4fda-9002-6ee3bcac1929</errorID>
      <errorWord>（</errorWord>
      <group>L1_Format</group>
      <groupName>格式问题</groupName>
      <ability>L2_HalfPunc_CN</ability>
      <abilityName>全半角问题</abilityName>
      <candidateList>
        <item>(</item>
      </candidateList>
      <explain>文本全半角错误。</explain>
      <paraID>58554F62</paraID>
      <start>34</start>
      <end>35</end>
      <status>ignored</status>
      <modifiedWord/>
      <trackRevisions>false</trackRevisions>
    </reviewItem>
    <reviewItem>
      <errorID>c42207bf-0178-4692-b27e-07142ab98e41</errorID>
      <errorWord>）</errorWord>
      <group>L1_Format</group>
      <groupName>格式问题</groupName>
      <ability>L2_HalfPunc_CN</ability>
      <abilityName>全半角问题</abilityName>
      <candidateList>
        <item>)</item>
      </candidateList>
      <explain>文本全半角错误。</explain>
      <paraID>58554F62</paraID>
      <start>59</start>
      <end>60</end>
      <status>ignored</status>
      <modifiedWord/>
      <trackRevisions>false</trackRevisions>
    </reviewItem>
    <reviewItem>
      <errorID>9bd82665-8925-4a5f-8c23-0ffcfa710e29</errorID>
      <errorWord>。</errorWord>
      <group>L1_Format</group>
      <groupName>格式问题</groupName>
      <ability>L2_HalfPunc_CN</ability>
      <abilityName>全半角问题</abilityName>
      <candidateList>
        <item>.</item>
      </candidateList>
      <explain>文本全半角错误。</explain>
      <paraID>58554F62</paraID>
      <start>157</start>
      <end>158</end>
      <status>ignored</status>
      <modifiedWord/>
      <trackRevisions>false</trackRevisions>
    </reviewItem>
    <reviewItem>
      <errorID>7ceaf5c1-05df-46f5-bd84-0d244ee47564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59471C32</paraID>
      <start>0</start>
      <end>2</end>
      <status>ignored</status>
      <modifiedWord/>
      <trackRevisions>false</trackRevisions>
    </reviewItem>
    <reviewItem>
      <errorID>c3510cbb-ae4a-445f-aab5-1b2eedf068e2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6133997D</paraID>
      <start>0</start>
      <end>2</end>
      <status>ignored</status>
      <modifiedWord/>
      <trackRevisions>false</trackRevisions>
    </reviewItem>
    <reviewItem>
      <errorID>7aae4373-a98a-4ecf-b003-02e4be5ec8c0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59337927</paraID>
      <start>0</start>
      <end>2</end>
      <status>ignored</status>
      <modifiedWord/>
      <trackRevisions>false</trackRevisions>
    </reviewItem>
    <reviewItem>
      <errorID>148a5c42-6f49-4c70-ac3f-378c9b6fa905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6F8BEA1</paraID>
      <start>0</start>
      <end>2</end>
      <status>ignored</status>
      <modifiedWord/>
      <trackRevisions>false</trackRevisions>
    </reviewItem>
    <reviewItem>
      <errorID>d639152e-e0a3-4700-b5e3-d002e62f148f</errorID>
      <errorWord>，</errorWord>
      <group>L1_Format</group>
      <groupName>格式问题</groupName>
      <ability>L2_HalfPunc_CN</ability>
      <abilityName>全半角问题</abilityName>
      <candidateList>
        <item>, </item>
      </candidateList>
      <explain>文本全半角错误。</explain>
      <paraID>43B801C5</paraID>
      <start>5</start>
      <end>6</end>
      <status>ignored</status>
      <modifiedWord/>
      <trackRevisions>false</trackRevisions>
    </reviewItem>
    <reviewItem>
      <errorID>a5844828-b6b2-49f5-8f7f-188b83840b33</errorID>
      <errorWord>。</errorWord>
      <group>L1_Format</group>
      <groupName>格式问题</groupName>
      <ability>L2_HalfPunc_CN</ability>
      <abilityName>全半角问题</abilityName>
      <candidateList>
        <item>.</item>
      </candidateList>
      <explain>文本全半角错误。</explain>
      <paraID>43B801C5</paraID>
      <start>11</start>
      <end>12</end>
      <status>ignored</status>
      <modifiedWord/>
      <trackRevisions>false</trackRevisions>
    </reviewItem>
    <reviewItem>
      <errorID>18bf7c77-627f-4a93-8129-67ab7a730fe6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709ED249</paraID>
      <start>0</start>
      <end>2</end>
      <status>unmodified</status>
      <modifiedWord/>
      <trackRevisions>false</trackRevisions>
    </reviewItem>
    <reviewItem>
      <errorID>e7cb4af8-24ed-404e-808f-6318c727f7f9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2703C571</paraID>
      <start>0</start>
      <end>2</end>
      <status>unmodified</status>
      <modifiedWord/>
      <trackRevisions>false</trackRevisions>
    </reviewItem>
    <reviewItem>
      <errorID>29b4ebde-7d9a-4886-98fe-1cac4d0d3e0f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209CC553</paraID>
      <start>0</start>
      <end>2</end>
      <status>ignored</status>
      <modifiedWord/>
      <trackRevisions>false</trackRevisions>
    </reviewItem>
    <reviewItem>
      <errorID>f3472138-f7ee-4646-8a80-28db31944b4a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2E673A84</paraID>
      <start>0</start>
      <end>2</end>
      <status>unmodified</status>
      <modifiedWord/>
      <trackRevisions>false</trackRevisions>
    </reviewItem>
    <reviewItem>
      <errorID>18887099-9ee3-4c7c-8551-976b053c786e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594C87F4</paraID>
      <start>0</start>
      <end>2</end>
      <status>unmodified</status>
      <modifiedWord/>
      <trackRevisions>false</trackRevisions>
    </reviewItem>
    <reviewItem>
      <errorID>e47e5a85-af13-456f-a17e-7de327d86fed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46E3CA30</paraID>
      <start>0</start>
      <end>2</end>
      <status>unmodified</status>
      <modifiedWord/>
      <trackRevisions>false</trackRevisions>
    </reviewItem>
    <reviewItem>
      <errorID>b0f7bd97-ee77-4fc5-9ad6-04487c798475</errorID>
      <errorWord>3、</errorWord>
      <group>L1_Format</group>
      <groupName>格式问题</groupName>
      <ability>L2_Ordinal</ability>
      <abilityName>序号格式</abilityName>
      <candidateList>
        <item>3.</item>
      </candidateList>
      <explain>当前序号格式不规范，建议修改为规范格式[3.]。</explain>
      <paraID>60052376</paraID>
      <start>0</start>
      <end>2</end>
      <status>unmodified</status>
      <modifiedWord/>
      <trackRevisions>false</trackRevisions>
    </reviewItem>
    <reviewItem>
      <errorID>b52c576d-b863-453b-b4cf-a3081565da8f</errorID>
      <errorWord>&gt;</errorWord>
      <group>L1_Format</group>
      <groupName>格式问题</groupName>
      <ability>L2_HalfPunc_CN</ability>
      <abilityName>全半角问题</abilityName>
      <candidateList>
        <item>〉</item>
      </candidateList>
      <explain>文本全半角错误。</explain>
      <paraID>4791B86A</paraID>
      <start>12</start>
      <end>13</end>
      <status>unmodified</status>
      <modifiedWord/>
      <trackRevisions>false</trackRevisions>
    </reviewItem>
    <reviewItem>
      <errorID>ba643d65-7403-4383-96fd-636f6e356e5c</errorID>
      <errorWord>为为</errorWord>
      <group>L1_Word</group>
      <groupName>字词问题</groupName>
      <ability>L2_Typo</ability>
      <abilityName>字词错误</abilityName>
      <candidateList>
        <item>为</item>
      </candidateList>
      <explain/>
      <paraID>397498B7</paraID>
      <start>7</start>
      <end>8</end>
      <status>modified</status>
      <modifiedWord>为</modifiedWord>
      <trackRevisions>false</trackRevisions>
    </reviewItem>
    <reviewItem>
      <errorID>01e19aea-242d-47d6-b1bf-05f785783a8b</errorID>
      <errorWord>职称证</errorWord>
      <group>L1_Word</group>
      <groupName>字词问题</groupName>
      <ability>L2_Typo</ability>
      <abilityName>字词错误</abilityName>
      <candidateList>
        <item>职称</item>
      </candidateList>
      <explain/>
      <paraID>397498B7</paraID>
      <start>108</start>
      <end>110</end>
      <status>modified</status>
      <modifiedWord>职称</modifiedWord>
      <trackRevisions>false</trackRevisions>
    </reviewItem>
    <reviewItem>
      <errorID>d2ccf9dd-9e92-463f-a580-d930d9e0eda8</errorID>
      <errorWord>地方法规</errorWord>
      <group>L1_Political</group>
      <groupName>政治性问题</groupName>
      <ability>L2_Unpolitical</ability>
      <abilityName>政治敏感错误</abilityName>
      <candidateList>
        <item>地方性法规</item>
      </candidateList>
      <explain/>
      <paraID>7D779A96</paraID>
      <start>40</start>
      <end>45</end>
      <status>modified</status>
      <modifiedWord>地方性法规</modifiedWord>
      <trackRevisions>false</trackRevisions>
    </reviewItem>
    <reviewItem>
      <errorID>48674f6a-dc36-4d07-a8b7-72ad8576d2c6</errorID>
      <errorWord>并盖单位章后</errorWord>
      <group>L1_Word</group>
      <groupName>字词问题</groupName>
      <ability>L2_Typo</ability>
      <abilityName>字词错误</abilityName>
      <candidateList>
        <item>并加盖单位章后</item>
      </candidateList>
      <explain/>
      <paraID>68C66E4C</paraID>
      <start>73</start>
      <end>80</end>
      <status>modified</status>
      <modifiedWord>并加盖单位章后</modifiedWord>
      <trackRevisions>false</trackRevisions>
    </reviewItem>
    <reviewItem>
      <errorID>2e4bd1e2-929f-47ed-89a1-36df64d4327e</errorID>
      <errorWord>权力</errorWord>
      <group>L1_Word</group>
      <groupName>字词问题</groupName>
      <ability>L2_Typo</ability>
      <abilityName>字词错误</abilityName>
      <candidateList>
        <item>权利</item>
      </candidateList>
      <explain/>
      <paraID> 980B84F</paraID>
      <start>23</start>
      <end>25</end>
      <status>unmodified</status>
      <modifiedWord/>
      <trackRevisions>false</trackRevisions>
    </reviewItem>
    <reviewItem>
      <errorID>5ea78e5a-64c0-4a5b-a136-4d914b0582a6</errorID>
      <errorWord>运入</errorWord>
      <group>L1_Word</group>
      <groupName>字词问题</groupName>
      <ability>L2_Typo</ability>
      <abilityName>字词错误</abilityName>
      <candidateList>
        <item>进入</item>
      </candidateList>
      <explain/>
      <paraID>3916FA3C</paraID>
      <start>5</start>
      <end>7</end>
      <status>unmodified</status>
      <modifiedWord/>
      <trackRevisions>false</trackRevisions>
    </reviewItem>
    <reviewItem>
      <errorID>5f667390-512b-471f-9a0b-e8a252886791</errorID>
      <errorWord>即时</errorWord>
      <group>L1_Word</group>
      <groupName>字词问题</groupName>
      <ability>L2_Typo</ability>
      <abilityName>字词错误</abilityName>
      <candidateList>
        <item>及时</item>
      </candidateList>
      <explain/>
      <paraID>670BBBB9</paraID>
      <start>30</start>
      <end>32</end>
      <status>unmodified</status>
      <modifiedWord/>
      <trackRevisions>false</trackRevisions>
    </reviewItem>
    <reviewItem>
      <errorID>fcdde5db-8c6a-40b9-beb1-eb5858ae2fe3</errorID>
      <errorWord>运入</errorWord>
      <group>L1_Word</group>
      <groupName>字词问题</groupName>
      <ability>L2_Typo</ability>
      <abilityName>字词错误</abilityName>
      <candidateList>
        <item>进入</item>
      </candidateList>
      <explain/>
      <paraID>2E8F8FC3</paraID>
      <start>14</start>
      <end>16</end>
      <status>unmodified</status>
      <modifiedWord/>
      <trackRevisions>false</trackRevisions>
    </reviewItem>
    <reviewItem>
      <errorID>5b625b73-c4b2-4eec-bffa-acbb36de7953</errorID>
      <errorWord>涵义</errorWord>
      <group>L1_Word</group>
      <groupName>字词问题</groupName>
      <ability>L2_Alias</ability>
      <abilityName>也作/曾用词</abilityName>
      <candidateList>
        <item>含义</item>
      </candidateList>
      <explain>词汇[涵义]为不规范表述或旧称，其规范书面表述为[含义]。</explain>
      <paraID>2AFDABC4</paraID>
      <start>33</start>
      <end>35</end>
      <status>unmodified</status>
      <modifiedWord/>
      <trackRevisions>false</trackRevisions>
    </reviewItem>
    <reviewItem>
      <errorID>8de3b4dc-12ef-4c75-9774-04ceb160bcf9</errorID>
      <errorWord>涵义</errorWord>
      <group>L1_Word</group>
      <groupName>字词问题</groupName>
      <ability>L2_Alias</ability>
      <abilityName>也作/曾用词</abilityName>
      <candidateList>
        <item>含义</item>
      </candidateList>
      <explain>词汇[涵义]为不规范表述或旧称，其规范书面表述为[含义]。</explain>
      <paraID>2AFDABC4</paraID>
      <start>79</start>
      <end>81</end>
      <status>unmodified</status>
      <modifiedWord/>
      <trackRevisions>false</trackRevisions>
    </reviewItem>
    <reviewItem>
      <errorID>8c297604-3da6-48f9-9c7e-61de872f1c19</errorID>
      <errorWord>,</errorWord>
      <group>L1_Format</group>
      <groupName>格式问题</groupName>
      <ability>L2_HalfPunc_CN</ability>
      <abilityName>全半角问题</abilityName>
      <candidateList>
        <item>，</item>
      </candidateList>
      <explain>文本全半角错误。</explain>
      <paraID>3C91A45E</paraID>
      <start>21</start>
      <end>22</end>
      <status>unmodified</status>
      <modifiedWord/>
      <trackRevisions>false</trackRevisions>
    </reviewItem>
    <reviewItem>
      <errorID>a1b2486f-a628-4fda-9443-91737a1b1b9e</errorID>
      <errorWord>,</errorWord>
      <group>L1_Format</group>
      <groupName>格式问题</groupName>
      <ability>L2_HalfPunc_CN</ability>
      <abilityName>全半角问题</abilityName>
      <candidateList>
        <item>，</item>
      </candidateList>
      <explain>文本全半角错误。</explain>
      <paraID>3C91A45E</paraID>
      <start>36</start>
      <end>37</end>
      <status>unmodified</status>
      <modifiedWord/>
      <trackRevisions>false</trackRevisions>
    </reviewItem>
    <reviewItem>
      <errorID>8196fe1c-a5dd-43ad-b4dc-9c0b17dab765</errorID>
      <errorWord>,</errorWord>
      <group>L1_Format</group>
      <groupName>格式问题</groupName>
      <ability>L2_HalfPunc_CN</ability>
      <abilityName>全半角问题</abilityName>
      <candidateList>
        <item>，</item>
      </candidateList>
      <explain>文本全半角错误。</explain>
      <paraID>6EA566BD</paraID>
      <start>36</start>
      <end>37</end>
      <status>unmodified</status>
      <modifiedWord/>
      <trackRevisions>false</trackRevisions>
    </reviewItem>
    <reviewItem>
      <errorID>57a82273-2faa-4622-b102-15493141dfa1</errorID>
      <errorWord>;</errorWord>
      <group>L1_Format</group>
      <groupName>格式问题</groupName>
      <ability>L2_HalfPunc_CN</ability>
      <abilityName>全半角问题</abilityName>
      <candidateList>
        <item>；</item>
      </candidateList>
      <explain>文本全半角错误。</explain>
      <paraID>6E6383E9</paraID>
      <start>11</start>
      <end>12</end>
      <status>unmodified</status>
      <modifiedWord/>
      <trackRevisions>false</trackRevisions>
    </reviewItem>
    <reviewItem>
      <errorID>6d6afc93-973d-43e1-bfca-3f855a9dc78d</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4A54BA56</paraID>
      <start>47</start>
      <end>51</end>
      <status>unmodified</status>
      <modifiedWord/>
      <trackRevisions>false</trackRevisions>
    </reviewItem>
    <reviewItem>
      <errorID>a1d3c583-686d-46fb-8110-0d61feacd944</errorID>
      <errorWord>作</errorWord>
      <group>L1_Word</group>
      <groupName>字词问题</groupName>
      <ability>L2_Typo</ability>
      <abilityName>字词错误</abilityName>
      <candidateList>
        <item>做</item>
      </candidateList>
      <explain>存在发音相同字词的误用。</explain>
      <paraID> 1C9D333</paraID>
      <start>47</start>
      <end>48</end>
      <status>unmodified</status>
      <modifiedWord/>
      <trackRevisions>false</trackRevisions>
    </reviewItem>
    <reviewItem>
      <errorID>08eb3752-ad60-492c-99fb-fca5f3d3e799</errorID>
      <errorWord>数</errorWord>
      <group>L1_Word</group>
      <groupName>字词问题</groupName>
      <ability>L2_Typo</ability>
      <abilityName>字词错误</abilityName>
      <candidateList>
        <item>数量</item>
      </candidateList>
      <explain/>
      <paraID>22F0A243</paraID>
      <start>130</start>
      <end>131</end>
      <status>unmodified</status>
      <modifiedWord/>
      <trackRevisions>false</trackRevisions>
    </reviewItem>
    <reviewItem>
      <errorID>9890e145-2a53-416c-8110-f347a1ca4041</errorID>
      <errorWord>缓发</errorWord>
      <group>L1_Word</group>
      <groupName>字词问题</groupName>
      <ability>L2_Typo</ability>
      <abilityName>字词错误</abilityName>
      <candidateList>
        <item>换发</item>
      </candidateList>
      <explain/>
      <paraID>1E15255D</paraID>
      <start>98</start>
      <end>100</end>
      <status>unmodified</status>
      <modifiedWord/>
      <trackRevisions>false</trackRevisions>
    </reviewItem>
    <reviewItem>
      <errorID>045e0ee2-592b-4696-8c78-b8b1b34be81e</errorID>
      <errorWord>作</errorWord>
      <group>L1_Word</group>
      <groupName>字词问题</groupName>
      <ability>L2_Typo</ability>
      <abilityName>字词错误</abilityName>
      <candidateList>
        <item>做</item>
      </candidateList>
      <explain/>
      <paraID>10474BB4</paraID>
      <start>57</start>
      <end>58</end>
      <status>unmodified</status>
      <modifiedWord/>
      <trackRevisions>false</trackRevisions>
    </reviewItem>
    <reviewItem>
      <errorID>52be3d7d-a58a-423a-89db-394b050dbf25</errorID>
      <errorWord>作</errorWord>
      <group>L1_Word</group>
      <groupName>字词问题</groupName>
      <ability>L2_Typo</ability>
      <abilityName>字词错误</abilityName>
      <candidateList>
        <item>做</item>
      </candidateList>
      <explain/>
      <paraID>10474BB4</paraID>
      <start>92</start>
      <end>93</end>
      <status>unmodified</status>
      <modifiedWord/>
      <trackRevisions>false</trackRevisions>
    </reviewItem>
    <reviewItem>
      <errorID>d58050e3-5132-4022-ad93-74f0c0a9a8ca</errorID>
      <errorWord>及其相关费用</errorWord>
      <group>L1_Word</group>
      <groupName>字词问题</groupName>
      <ability>L2_Typo</ability>
      <abilityName>字词错误</abilityName>
      <candidateList>
        <item>及相关费用</item>
      </candidateList>
      <explain/>
      <paraID>13F135E3</paraID>
      <start>32</start>
      <end>37</end>
      <status>modified</status>
      <modifiedWord>及相关费用</modifiedWord>
      <trackRevisions>false</trackRevisions>
    </reviewItem>
    <reviewItem>
      <errorID>04f452ee-2827-436c-87bb-3a8e561bd073</errorID>
      <errorWord>中发生争议</errorWord>
      <group>L1_Word</group>
      <groupName>字词问题</groupName>
      <ability>L2_Typo</ability>
      <abilityName>字词错误</abilityName>
      <candidateList>
        <item>过程中发生争议</item>
      </candidateList>
      <explain/>
      <paraID>4958A106</paraID>
      <start>12</start>
      <end>17</end>
      <status>unmodified</status>
      <modifiedWord/>
      <trackRevisions>false</trackRevisions>
    </reviewItem>
    <reviewItem>
      <errorID>6e42744f-920e-424b-a719-90ec02a7f298</errorID>
      <errorWord>予</errorWord>
      <group>L1_Word</group>
      <groupName>字词问题</groupName>
      <ability>L2_Typo</ability>
      <abilityName>字词错误</abilityName>
      <candidateList>
        <item>予以</item>
      </candidateList>
      <explain/>
      <paraID> B941750</paraID>
      <start>174</start>
      <end>176</end>
      <status>modified</status>
      <modifiedWord>予以</modifiedWord>
      <trackRevisions>false</trackRevisions>
    </reviewItem>
    <reviewItem>
      <errorID>d161279c-4c45-4740-aa0b-3f9de5a84e4b</errorID>
      <errorWord>法律、法规</errorWord>
      <group>L1_Word</group>
      <groupName>字词问题</groupName>
      <ability>L2_Typo</ability>
      <abilityName>字词错误</abilityName>
      <candidateList>
        <item>法律法规</item>
      </candidateList>
      <explain/>
      <paraID> 9DAF8B8</paraID>
      <start>28</start>
      <end>33</end>
      <status>unmodified</status>
      <modifiedWord/>
      <trackRevisions>false</trackRevisions>
    </reviewItem>
    <reviewItem>
      <errorID>efa0eced-f6af-4cd4-9c4e-d9f24f470abd</errorID>
      <errorWord>民工</errorWord>
      <group>L1_Word</group>
      <groupName>字词问题</groupName>
      <ability>L2_Typo</ability>
      <abilityName>字词错误</abilityName>
      <candidateList>
        <item>农民工</item>
      </candidateList>
      <explain/>
      <paraID>1C7F3191</paraID>
      <start>74</start>
      <end>77</end>
      <status>modified</status>
      <modifiedWord>农民工</modifiedWord>
      <trackRevisions>false</trackRevisions>
    </reviewItem>
    <reviewItem>
      <errorID>d0e0ec5a-e8ad-4479-8e27-ed3ca61226cb</errorID>
      <errorWord>的</errorWord>
      <group>L1_Word</group>
      <groupName>字词问题</groupName>
      <ability>L2_Typo</ability>
      <abilityName>字词错误</abilityName>
      <candidateList>
        <item>的农</item>
      </candidateList>
      <explain/>
      <paraID>6D24D49D</paraID>
      <start>106</start>
      <end>108</end>
      <status>modified</status>
      <modifiedWord>的农</modifiedWord>
      <trackRevisions>false</trackRevisions>
    </reviewItem>
    <reviewItem>
      <errorID>45a89708-cf04-4c53-8a6b-b6d383875b19</errorID>
      <errorWord>件</errorWord>
      <group>L1_Word</group>
      <groupName>字词问题</groupName>
      <ability>L2_Typo</ability>
      <abilityName>字词错误</abilityName>
      <candidateList>
        <item>件和</item>
      </candidateList>
      <explain/>
      <paraID>14F81A5E</paraID>
      <start>14</start>
      <end>16</end>
      <status>modified</status>
      <modifiedWord>件和</modifiedWord>
      <trackRevisions>false</trackRevisions>
    </reviewItem>
    <reviewItem>
      <errorID>b3c456be-17e9-43ca-a2db-b095c0a4b018</errorID>
      <errorWord>;</errorWord>
      <group>L1_Format</group>
      <groupName>格式问题</groupName>
      <ability>L2_HalfPunc_CN</ability>
      <abilityName>全半角问题</abilityName>
      <candidateList>
        <item>；</item>
      </candidateList>
      <explain>文本全半角错误。</explain>
      <paraID>7366BE00</paraID>
      <start>54</start>
      <end>55</end>
      <status>unmodified</status>
      <modifiedWord/>
      <trackRevisions>false</trackRevisions>
    </reviewItem>
    <reviewItem>
      <errorID>cd1d1b3b-4305-4ece-84da-f7035177379e</errorID>
      <errorWord>加入到</errorWord>
      <group>L1_Word</group>
      <groupName>字词问题</groupName>
      <ability>L2_Typo</ability>
      <abilityName>字词错误</abilityName>
      <candidateList>
        <item>加入</item>
      </candidateList>
      <explain/>
      <paraID>605DE770</paraID>
      <start>14</start>
      <end>17</end>
      <status>unmodified</status>
      <modifiedWord/>
      <trackRevisions>false</trackRevisions>
    </reviewItem>
    <reviewItem>
      <errorID>9a9c7b24-e728-4098-bf6b-d1e1d8ce8d73</errorID>
      <errorWord>总额</errorWord>
      <group>L1_Word</group>
      <groupName>字词问题</groupName>
      <ability>L2_Typo</ability>
      <abilityName>字词错误</abilityName>
      <candidateList>
        <item>总</item>
      </candidateList>
      <explain/>
      <paraID>23423479</paraID>
      <start>69</start>
      <end>71</end>
      <status>unmodified</status>
      <modifiedWord/>
      <trackRevisions>false</trackRevisions>
    </reviewItem>
    <reviewItem>
      <errorID>78707bd3-fbb3-44a2-b17e-92286be64632</errorID>
      <errorWord>参加党组织生活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词汇“参加党的组织生活”在特定场景下为固定表述形式，请确认此处的“参加党组织生活”是否存在不当。</explain>
      <paraID>2C15DFB9</paraID>
      <start>74</start>
      <end>81</end>
      <status>unmodified</status>
      <modifiedWord/>
      <trackRevisions>false</trackRevisions>
    </reviewItem>
    <reviewItem>
      <errorID>d2b2602f-3f04-4151-b1a5-c13fb88674fe</errorID>
      <errorWord>法律、法规</errorWord>
      <group>L1_Word</group>
      <groupName>字词问题</groupName>
      <ability>L2_Typo</ability>
      <abilityName>字词错误</abilityName>
      <candidateList>
        <item>法律法规</item>
      </candidateList>
      <explain/>
      <paraID>70D783F8</paraID>
      <start>38</start>
      <end>43</end>
      <status>unmodified</status>
      <modifiedWord/>
      <trackRevisions>false</trackRevisions>
    </reviewItem>
    <reviewItem>
      <errorID>6c23e235-20b7-4668-8e3b-bfb0b6352751</errorID>
      <errorWord>总额</errorWord>
      <group>L1_Word</group>
      <groupName>字词问题</groupName>
      <ability>L2_Typo</ability>
      <abilityName>字词错误</abilityName>
      <candidateList>
        <item>总</item>
      </candidateList>
      <explain/>
      <paraID>45D2CE2D</paraID>
      <start>195</start>
      <end>197</end>
      <status>unmodified</status>
      <modifiedWord/>
      <trackRevisions>false</trackRevisions>
    </reviewItem>
    <reviewItem>
      <errorID>57cebe0e-7593-47d6-a31c-320e4373e252</errorID>
      <errorWord>~</errorWord>
      <group>L1_Format</group>
      <groupName>格式问题</groupName>
      <ability>L2_HalfPunc_CN</ability>
      <abilityName>全半角问题</abilityName>
      <candidateList>
        <item>～</item>
      </candidateList>
      <explain>文本全半角错误。</explain>
      <paraID>60D7E787</paraID>
      <start>11</start>
      <end>12</end>
      <status>unmodified</status>
      <modifiedWord/>
      <trackRevisions>false</trackRevisions>
    </reviewItem>
    <reviewItem>
      <errorID>3e762f2e-c1af-48b2-8a95-4a98bb577c56</errorID>
      <errorWord>~</errorWord>
      <group>L1_Format</group>
      <groupName>格式问题</groupName>
      <ability>L2_HalfPunc_CN</ability>
      <abilityName>全半角问题</abilityName>
      <candidateList>
        <item>～</item>
      </candidateList>
      <explain>文本全半角错误。</explain>
      <paraID>1DE105C9</paraID>
      <start>11</start>
      <end>12</end>
      <status>unmodified</status>
      <modifiedWord/>
      <trackRevisions>false</trackRevisions>
    </reviewItem>
    <reviewItem>
      <errorID>5ba91dcc-d3f9-4dab-bcdb-c141ce7e0dec</errorID>
      <errorWord>中华人民共和国环境噪声污染防治法</errorWord>
      <group>L1_Knowledge</group>
      <groupName>知识性问题</groupName>
      <ability>L2_Knowledge</ability>
      <abilityName>其他知识</abilityName>
      <candidateList/>
      <explain>该法律于2018年12月29日由全国人民代表大会常务委员会制定，已于2022年6月5日废止，请注意检查引用是否正确。</explain>
      <paraID>4CEED212</paraID>
      <start>37</start>
      <end>53</end>
      <status>unmodified</status>
      <modifiedWord/>
      <trackRevisions>false</trackRevisions>
    </reviewItem>
    <reviewItem>
      <errorID>e10ef727-b8e3-4e99-9e31-5bb142e28be0</errorID>
      <errorWord>使用</errorWord>
      <group>L1_Grammar</group>
      <groupName>语法问题</groupName>
      <ability>L2_Grammar</ability>
      <abilityName>语法错误</abilityName>
      <candidateList>
        <item>采取</item>
      </candidateList>
      <explain>“使用～措施”搭配不当，建议修改为“采取～措施”。</explain>
      <paraID>4CEED212</paraID>
      <start>125</start>
      <end>127</end>
      <status>unmodified</status>
      <modifiedWord/>
      <trackRevisions>false</trackRevisions>
    </reviewItem>
    <reviewItem>
      <errorID>a2579a60-5f0e-428d-8969-9a06c1e23efb</errorID>
      <errorWord>：</errorWord>
      <group>L1_Word</group>
      <groupName>字词问题</groupName>
      <ability>L2_Typo</ability>
      <abilityName>字词错误</abilityName>
      <candidateList>
        <item>：在</item>
      </candidateList>
      <explain/>
      <paraID>3F820863</paraID>
      <start>25</start>
      <end>26</end>
      <status>unmodified</status>
      <modifiedWord/>
      <trackRevisions>false</trackRevisions>
    </reviewItem>
    <reviewItem>
      <errorID>f5ae49c4-6ba0-4561-968a-c0d67fbb7c26</errorID>
      <errorWord>雇用</errorWord>
      <group>L1_Word</group>
      <groupName>字词问题</groupName>
      <ability>L2_Typo</ability>
      <abilityName>字词错误</abilityName>
      <candidateList>
        <item>雇佣</item>
      </candidateList>
      <explain/>
      <paraID>1C15CDEC</paraID>
      <start>127</start>
      <end>129</end>
      <status>unmodified</status>
      <modifiedWord/>
      <trackRevisions>false</trackRevisions>
    </reviewItem>
    <reviewItem>
      <errorID>7b9cbb34-a7cf-4d4e-bad8-32dc0865384b</errorID>
      <errorWord>没</errorWord>
      <group>L1_Word</group>
      <groupName>字词问题</groupName>
      <ability>L2_Typo</ability>
      <abilityName>字词错误</abilityName>
      <candidateList>
        <item>没有</item>
      </candidateList>
      <explain/>
      <paraID>1AFE4F59</paraID>
      <start>82</start>
      <end>83</end>
      <status>unmodified</status>
      <modifiedWord/>
      <trackRevisions>false</trackRevisions>
    </reviewItem>
    <reviewItem>
      <errorID>8e54aea7-1e5d-409a-bb4b-b4cb10691074</errorID>
      <errorWord>：</errorWord>
      <group>L1_Word</group>
      <groupName>字词问题</groupName>
      <ability>L2_Typo</ability>
      <abilityName>字词错误</abilityName>
      <candidateList>
        <item>：在</item>
      </candidateList>
      <explain/>
      <paraID> D40EC11</paraID>
      <start>18</start>
      <end>19</end>
      <status>unmodified</status>
      <modifiedWord/>
      <trackRevisions>false</trackRevisions>
    </reviewItem>
    <reviewItem>
      <errorID>5614071e-1119-4aef-b396-54505a145286</errorID>
      <errorWord>~</errorWord>
      <group>L1_Format</group>
      <groupName>格式问题</groupName>
      <ability>L2_HalfPunc_CN</ability>
      <abilityName>全半角问题</abilityName>
      <candidateList>
        <item>～</item>
      </candidateList>
      <explain>文本全半角错误。</explain>
      <paraID> C296B40</paraID>
      <start>12</start>
      <end>13</end>
      <status>unmodified</status>
      <modifiedWord/>
      <trackRevisions>false</trackRevisions>
    </reviewItem>
    <reviewItem>
      <errorID>7bf40706-a7f2-48f4-99e9-77ac26d27265</errorID>
      <errorWord>施行</errorWord>
      <group>L1_Word</group>
      <groupName>字词问题</groupName>
      <ability>L2_Typo</ability>
      <abilityName>字词错误</abilityName>
      <candidateList>
        <item>实行</item>
      </candidateList>
      <explain>存在发音相同字词的误用。</explain>
      <paraID>5C9427E3</paraID>
      <start>11</start>
      <end>13</end>
      <status>unmodified</status>
      <modifiedWord/>
      <trackRevisions>false</trackRevisions>
    </reviewItem>
    <reviewItem>
      <errorID>9fc4c918-a77c-48fb-b4c2-26dd1f277ffc</errorID>
      <errorWord>法律、法规</errorWord>
      <group>L1_Word</group>
      <groupName>字词问题</groupName>
      <ability>L2_Typo</ability>
      <abilityName>字词错误</abilityName>
      <candidateList>
        <item>法律法规</item>
      </candidateList>
      <explain/>
      <paraID>15267736</paraID>
      <start>66</start>
      <end>71</end>
      <status>unmodified</status>
      <modifiedWord/>
      <trackRevisions>false</trackRevisions>
    </reviewItem>
    <reviewItem>
      <errorID>2f2170e5-7301-4ae7-87f4-9bb0fd738091</errorID>
      <errorWord>施行</errorWord>
      <group>L1_Word</group>
      <groupName>字词问题</groupName>
      <ability>L2_Typo</ability>
      <abilityName>字词错误</abilityName>
      <candidateList>
        <item>实行</item>
      </candidateList>
      <explain/>
      <paraID>2C11CE4A</paraID>
      <start>68</start>
      <end>70</end>
      <status>unmodified</status>
      <modifiedWord/>
      <trackRevisions>false</trackRevisions>
    </reviewItem>
    <reviewItem>
      <errorID>d86af119-7477-4c0f-af4f-da4ec2c6a9b3</errorID>
      <errorWord>检</errorWord>
      <group>L1_Word</group>
      <groupName>字词问题</groupName>
      <ability>L2_Typo</ability>
      <abilityName>字词错误</abilityName>
      <candidateList>
        <item>检查</item>
      </candidateList>
      <explain/>
      <paraID>2C11CE4A</paraID>
      <start>79</start>
      <end>80</end>
      <status>unmodified</status>
      <modifiedWord/>
      <trackRevisions>false</trackRevisions>
    </reviewItem>
    <reviewItem>
      <errorID>75119034-9770-4bc2-844c-a77ee4549dbd</errorID>
      <errorWord>工程质量负</errorWord>
      <group>L1_Word</group>
      <groupName>字词问题</groupName>
      <ability>L2_Typo</ability>
      <abilityName>字词错误</abilityName>
      <candidateList>
        <item>工程质量负有</item>
      </candidateList>
      <explain/>
      <paraID>49AD94A4</paraID>
      <start>26</start>
      <end>31</end>
      <status>unmodified</status>
      <modifiedWord/>
      <trackRevisions>false</trackRevisions>
    </reviewItem>
    <reviewItem>
      <errorID>b539fa02-bb17-4ac0-bbf1-2d1a57dda6ee</errorID>
      <errorWord>雇用</errorWord>
      <group>L1_Word</group>
      <groupName>字词问题</groupName>
      <ability>L2_Typo</ability>
      <abilityName>字词错误</abilityName>
      <candidateList>
        <item>雇佣</item>
      </candidateList>
      <explain/>
      <paraID>72BF0DB4</paraID>
      <start>29</start>
      <end>31</end>
      <status>unmodified</status>
      <modifiedWord/>
      <trackRevisions>false</trackRevisions>
    </reviewItem>
    <reviewItem>
      <errorID>c3f35d1a-c98d-432b-8f4c-be30414bab76</errorID>
      <errorWord>总额</errorWord>
      <group>L1_Word</group>
      <groupName>字词问题</groupName>
      <ability>L2_Typo</ability>
      <abilityName>字词错误</abilityName>
      <candidateList>
        <item>总</item>
      </candidateList>
      <explain/>
      <paraID>27B05F70</paraID>
      <start>22</start>
      <end>24</end>
      <status>unmodified</status>
      <modifiedWord/>
      <trackRevisions>false</trackRevisions>
    </reviewItem>
    <reviewItem>
      <errorID>3a463c55-c66d-4083-9698-32a59260338c</errorID>
      <errorWord>总额</errorWord>
      <group>L1_Word</group>
      <groupName>字词问题</groupName>
      <ability>L2_Typo</ability>
      <abilityName>字词错误</abilityName>
      <candidateList>
        <item>总</item>
      </candidateList>
      <explain/>
      <paraID>1F8E154B</paraID>
      <start>61</start>
      <end>63</end>
      <status>unmodified</status>
      <modifiedWord/>
      <trackRevisions>false</trackRevisions>
    </reviewItem>
    <reviewItem>
      <errorID>c741e217-3697-4ee4-82f3-ff84fc361513</errorID>
      <errorWord>雇用</errorWord>
      <group>L1_Word</group>
      <groupName>字词问题</groupName>
      <ability>L2_Typo</ability>
      <abilityName>字词错误</abilityName>
      <candidateList>
        <item>雇佣</item>
      </candidateList>
      <explain>存在发音相同字词的误用。</explain>
      <paraID>639CA438</paraID>
      <start>26</start>
      <end>28</end>
      <status>unmodified</status>
      <modifiedWord/>
      <trackRevisions>false</trackRevisions>
    </reviewItem>
    <reviewItem>
      <errorID>691f2869-9f61-4b17-ab36-7510791a834e</errorID>
      <errorWord>~</errorWord>
      <group>L1_Format</group>
      <groupName>格式问题</groupName>
      <ability>L2_HalfPunc_CN</ability>
      <abilityName>全半角问题</abilityName>
      <candidateList>
        <item>～</item>
      </candidateList>
      <explain>文本全半角错误。</explain>
      <paraID>3A6DC12B</paraID>
      <start>108</start>
      <end>109</end>
      <status>unmodified</status>
      <modifiedWord/>
      <trackRevisions>false</trackRevisions>
    </reviewItem>
    <reviewItem>
      <errorID>4b96dc2e-8446-4297-ad68-007b66fa5027</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58F3DA54</paraID>
      <start>30</start>
      <end>34</end>
      <status>unmodified</status>
      <modifiedWord/>
      <trackRevisions>false</trackRevisions>
    </reviewItem>
    <reviewItem>
      <errorID>22e5d43a-0d91-41d6-b9c1-bbfbf05a4ed3</errorID>
      <errorWord>提交给</errorWord>
      <group>L1_Word</group>
      <groupName>字词问题</groupName>
      <ability>L2_Typo</ability>
      <abilityName>字词错误</abilityName>
      <candidateList>
        <item>提交</item>
      </candidateList>
      <explain/>
      <paraID>14D1155C</paraID>
      <start>39</start>
      <end>42</end>
      <status>unmodified</status>
      <modifiedWord/>
      <trackRevisions>false</trackRevisions>
    </reviewItem>
    <reviewItem>
      <errorID>51a46fbb-f00d-48ef-8f22-d19f056b4e42</errorID>
      <errorWord>总额</errorWord>
      <group>L1_Word</group>
      <groupName>字词问题</groupName>
      <ability>L2_Typo</ability>
      <abilityName>字词错误</abilityName>
      <candidateList>
        <item>总</item>
      </candidateList>
      <explain/>
      <paraID>5022D9BF</paraID>
      <start>67</start>
      <end>69</end>
      <status>unmodified</status>
      <modifiedWord/>
      <trackRevisions>false</trackRevisions>
    </reviewItem>
    <reviewItem>
      <errorID>46937bbd-3976-4cc7-9291-e88c7b45de47</errorID>
      <errorWord>总额</errorWord>
      <group>L1_Word</group>
      <groupName>字词问题</groupName>
      <ability>L2_Typo</ability>
      <abilityName>字词错误</abilityName>
      <candidateList>
        <item>总</item>
      </candidateList>
      <explain/>
      <paraID>3DDF0D5C</paraID>
      <start>82</start>
      <end>84</end>
      <status>unmodified</status>
      <modifiedWord/>
      <trackRevisions>false</trackRevisions>
    </reviewItem>
    <reviewItem>
      <errorID>130f279e-53d9-4823-acaa-f7130c6859aa</errorID>
      <errorWord>(</errorWord>
      <group>L1_Format</group>
      <groupName>格式问题</groupName>
      <ability>L2_HalfPunc_CN</ability>
      <abilityName>全半角问题</abilityName>
      <candidateList>
        <item>（</item>
      </candidateList>
      <explain>文本全半角错误。</explain>
      <paraID>337BEAA7</paraID>
      <start>6</start>
      <end>7</end>
      <status>unmodified</status>
      <modifiedWord/>
      <trackRevisions>false</trackRevisions>
    </reviewItem>
    <reviewItem>
      <errorID>b15b2188-ef07-4c81-86d7-5c2162ccb611</errorID>
      <errorWord>)</errorWord>
      <group>L1_Format</group>
      <groupName>格式问题</groupName>
      <ability>L2_HalfPunc_CN</ability>
      <abilityName>全半角问题</abilityName>
      <candidateList>
        <item>）</item>
      </candidateList>
      <explain>文本全半角错误。</explain>
      <paraID>337BEAA7</paraID>
      <start>33</start>
      <end>34</end>
      <status>unmodified</status>
      <modifiedWord/>
      <trackRevisions>false</trackRevisions>
    </reviewItem>
    <reviewItem>
      <errorID>dae3e2fc-0a87-4c18-bc53-32ff1ab9cc8a</errorID>
      <errorWord>(</errorWord>
      <group>L1_Format</group>
      <groupName>格式问题</groupName>
      <ability>L2_HalfPunc_CN</ability>
      <abilityName>全半角问题</abilityName>
      <candidateList>
        <item>（</item>
      </candidateList>
      <explain>文本全半角错误。</explain>
      <paraID>46B5AE07</paraID>
      <start>42</start>
      <end>43</end>
      <status>unmodified</status>
      <modifiedWord/>
      <trackRevisions>false</trackRevisions>
    </reviewItem>
    <reviewItem>
      <errorID>06564070-aba5-42ec-8b40-9fffcd86045e</errorID>
      <errorWord>)</errorWord>
      <group>L1_Format</group>
      <groupName>格式问题</groupName>
      <ability>L2_HalfPunc_CN</ability>
      <abilityName>全半角问题</abilityName>
      <candidateList>
        <item>）</item>
      </candidateList>
      <explain>文本全半角错误。</explain>
      <paraID>46B5AE07</paraID>
      <start>50</start>
      <end>51</end>
      <status>unmodified</status>
      <modifiedWord/>
      <trackRevisions>false</trackRevisions>
    </reviewItem>
    <reviewItem>
      <errorID>9d7e261e-3554-438d-852e-0dd45571c935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67A1B11A</paraID>
      <start>37</start>
      <end>40</end>
      <status>unmodified</status>
      <modifiedWord/>
      <trackRevisions>false</trackRevisions>
    </reviewItem>
    <reviewItem>
      <errorID>676bc41d-0a75-4bb0-b86b-9c344dc99f9d</errorID>
      <errorWord>(</errorWord>
      <group>L1_Format</group>
      <groupName>格式问题</groupName>
      <ability>L2_HalfPunc_CN</ability>
      <abilityName>全半角问题</abilityName>
      <candidateList>
        <item>（</item>
      </candidateList>
      <explain>文本全半角错误。</explain>
      <paraID>67A1B11A</paraID>
      <start>125</start>
      <end>126</end>
      <status>ignored</status>
      <modifiedWord/>
      <trackRevisions>false</trackRevisions>
    </reviewItem>
    <reviewItem>
      <errorID>266ef9f8-8c82-4317-a650-3ab6a824fdd1</errorID>
      <errorWord>)</errorWord>
      <group>L1_Format</group>
      <groupName>格式问题</groupName>
      <ability>L2_HalfPunc_CN</ability>
      <abilityName>全半角问题</abilityName>
      <candidateList>
        <item>）</item>
      </candidateList>
      <explain>文本全半角错误。</explain>
      <paraID>67A1B11A</paraID>
      <start>128</start>
      <end>129</end>
      <status>unmodified</status>
      <modifiedWord/>
      <trackRevisions>false</trackRevisions>
    </reviewItem>
    <reviewItem>
      <errorID>ca3f3b64-87a4-468e-91bb-9a2083f2e3d4</errorID>
      <errorWord>(</errorWord>
      <group>L1_Format</group>
      <groupName>格式问题</groupName>
      <ability>L2_HalfPunc_CN</ability>
      <abilityName>全半角问题</abilityName>
      <candidateList>
        <item>（</item>
      </candidateList>
      <explain>文本全半角错误。</explain>
      <paraID>67A1B11A</paraID>
      <start>153</start>
      <end>154</end>
      <status>unmodified</status>
      <modifiedWord/>
      <trackRevisions>false</trackRevisions>
    </reviewItem>
    <reviewItem>
      <errorID>f213ff3b-49d4-4934-813e-72a6737460e0</errorID>
      <errorWord>)</errorWord>
      <group>L1_Format</group>
      <groupName>格式问题</groupName>
      <ability>L2_HalfPunc_CN</ability>
      <abilityName>全半角问题</abilityName>
      <candidateList>
        <item>）</item>
      </candidateList>
      <explain>文本全半角错误。</explain>
      <paraID>67A1B11A</paraID>
      <start>156</start>
      <end>157</end>
      <status>unmodified</status>
      <modifiedWord/>
      <trackRevisions>false</trackRevisions>
    </reviewItem>
    <reviewItem>
      <errorID>8efc00f7-4fb3-4736-ab34-82e8e7324341</errorID>
      <errorWord>(</errorWord>
      <group>L1_Format</group>
      <groupName>格式问题</groupName>
      <ability>L2_HalfPunc_CN</ability>
      <abilityName>全半角问题</abilityName>
      <candidateList>
        <item>（</item>
      </candidateList>
      <explain>文本全半角错误。</explain>
      <paraID>1348122A</paraID>
      <start>9</start>
      <end>10</end>
      <status>unmodified</status>
      <modifiedWord/>
      <trackRevisions>false</trackRevisions>
    </reviewItem>
    <reviewItem>
      <errorID>78411ac2-154e-404f-93d8-cd95a5fc7f5a</errorID>
      <errorWord>)</errorWord>
      <group>L1_Format</group>
      <groupName>格式问题</groupName>
      <ability>L2_HalfPunc_CN</ability>
      <abilityName>全半角问题</abilityName>
      <candidateList>
        <item>）</item>
      </candidateList>
      <explain>文本全半角错误。</explain>
      <paraID>1348122A</paraID>
      <start>12</start>
      <end>13</end>
      <status>unmodified</status>
      <modifiedWord/>
      <trackRevisions>false</trackRevisions>
    </reviewItem>
    <reviewItem>
      <errorID>04ec97ee-f45d-4fc2-b9da-26d2708f784b</errorID>
      <errorWord>,</errorWord>
      <group>L1_Format</group>
      <groupName>格式问题</groupName>
      <ability>L2_HalfPunc_CN</ability>
      <abilityName>全半角问题</abilityName>
      <candidateList>
        <item>，</item>
      </candidateList>
      <explain>文本全半角错误。</explain>
      <paraID>12BA922F</paraID>
      <start>26</start>
      <end>27</end>
      <status>unmodified</status>
      <modifiedWord/>
      <trackRevisions>false</trackRevisions>
    </reviewItem>
    <reviewItem>
      <errorID>3fa1ab3b-2988-4a85-9845-85a87a6cb6dc</errorID>
      <errorWord>(</errorWord>
      <group>L1_Format</group>
      <groupName>格式问题</groupName>
      <ability>L2_HalfPunc_CN</ability>
      <abilityName>全半角问题</abilityName>
      <candidateList>
        <item>（</item>
      </candidateList>
      <explain>文本全半角错误。</explain>
      <paraID>12BA922F</paraID>
      <start>33</start>
      <end>34</end>
      <status>unmodified</status>
      <modifiedWord/>
      <trackRevisions>false</trackRevisions>
    </reviewItem>
    <reviewItem>
      <errorID>e7513bcb-a0db-4e2c-ae5e-3621197518de</errorID>
      <errorWord>)</errorWord>
      <group>L1_Format</group>
      <groupName>格式问题</groupName>
      <ability>L2_HalfPunc_CN</ability>
      <abilityName>全半角问题</abilityName>
      <candidateList>
        <item>）</item>
      </candidateList>
      <explain>文本全半角错误。</explain>
      <paraID>12BA922F</paraID>
      <start>35</start>
      <end>36</end>
      <status>unmodified</status>
      <modifiedWord/>
      <trackRevisions>false</trackRevisions>
    </reviewItem>
    <reviewItem>
      <errorID>63ed7098-00a8-4766-907a-6db27aa410a9</errorID>
      <errorWord>"</errorWord>
      <group>L1_Format</group>
      <groupName>格式问题</groupName>
      <ability>L2_HalfPunc_CN</ability>
      <abilityName>全半角问题</abilityName>
      <candidateList>
        <item>“</item>
      </candidateList>
      <explain>文本全半角错误。</explain>
      <paraID>12BA922F</paraID>
      <start>58</start>
      <end>59</end>
      <status>unmodified</status>
      <modifiedWord/>
      <trackRevisions>false</trackRevisions>
    </reviewItem>
    <reviewItem>
      <errorID>1b7e1dfe-9d75-4a66-bb29-83d748cf19e3</errorID>
      <errorWord>"</errorWord>
      <group>L1_Format</group>
      <groupName>格式问题</groupName>
      <ability>L2_HalfPunc_CN</ability>
      <abilityName>全半角问题</abilityName>
      <candidateList>
        <item>”</item>
      </candidateList>
      <explain>文本全半角错误。</explain>
      <paraID>12BA922F</paraID>
      <start>63</start>
      <end>64</end>
      <status>unmodified</status>
      <modifiedWord/>
      <trackRevisions>false</trackRevisions>
    </reviewItem>
    <reviewItem>
      <errorID>4e0a0e06-bf96-45e8-91d3-a46dfe8af837</errorID>
      <errorWord>"</errorWord>
      <group>L1_Format</group>
      <groupName>格式问题</groupName>
      <ability>L2_HalfPunc_CN</ability>
      <abilityName>全半角问题</abilityName>
      <candidateList>
        <item>“</item>
      </candidateList>
      <explain>文本全半角错误。</explain>
      <paraID>55578EBE</paraID>
      <start>18</start>
      <end>19</end>
      <status>unmodified</status>
      <modifiedWord/>
      <trackRevisions>false</trackRevisions>
    </reviewItem>
    <reviewItem>
      <errorID>05ed810c-4007-463e-a7a9-37f2b6005c72</errorID>
      <errorWord>"</errorWord>
      <group>L1_Format</group>
      <groupName>格式问题</groupName>
      <ability>L2_HalfPunc_CN</ability>
      <abilityName>全半角问题</abilityName>
      <candidateList>
        <item>”</item>
      </candidateList>
      <explain>文本全半角错误。</explain>
      <paraID>55578EBE</paraID>
      <start>21</start>
      <end>22</end>
      <status>unmodified</status>
      <modifiedWord/>
      <trackRevisions>false</trackRevisions>
    </reviewItem>
    <reviewItem>
      <errorID>12259f19-5b25-407f-a196-d650578357e1</errorID>
      <errorWord>,</errorWord>
      <group>L1_Format</group>
      <groupName>格式问题</groupName>
      <ability>L2_HalfPunc_CN</ability>
      <abilityName>全半角问题</abilityName>
      <candidateList>
        <item>，</item>
      </candidateList>
      <explain>文本全半角错误。</explain>
      <paraID>55578EBE</paraID>
      <start>22</start>
      <end>23</end>
      <status>unmodified</status>
      <modifiedWord/>
      <trackRevisions>false</trackRevisions>
    </reviewItem>
    <reviewItem>
      <errorID>1ccce337-d4b5-4fa0-be28-e08d9118e4e5</errorID>
      <errorWord>(</errorWord>
      <group>L1_Format</group>
      <groupName>格式问题</groupName>
      <ability>L2_HalfPunc_CN</ability>
      <abilityName>全半角问题</abilityName>
      <candidateList>
        <item>（</item>
      </candidateList>
      <explain>文本全半角错误。</explain>
      <paraID>55578EBE</paraID>
      <start>29</start>
      <end>30</end>
      <status>unmodified</status>
      <modifiedWord/>
      <trackRevisions>false</trackRevisions>
    </reviewItem>
    <reviewItem>
      <errorID>35305dd1-0504-44aa-b6ba-d2e9180c2f35</errorID>
      <errorWord>)</errorWord>
      <group>L1_Format</group>
      <groupName>格式问题</groupName>
      <ability>L2_HalfPunc_CN</ability>
      <abilityName>全半角问题</abilityName>
      <candidateList>
        <item>）</item>
      </candidateList>
      <explain>文本全半角错误。</explain>
      <paraID>55578EBE</paraID>
      <start>31</start>
      <end>32</end>
      <status>unmodified</status>
      <modifiedWord/>
      <trackRevisions>false</trackRevisions>
    </reviewItem>
    <reviewItem>
      <errorID>964db047-0edf-42ab-9c3b-3f284c052c25</errorID>
      <errorWord>,</errorWord>
      <group>L1_Format</group>
      <groupName>格式问题</groupName>
      <ability>L2_HalfPunc_CN</ability>
      <abilityName>全半角问题</abilityName>
      <candidateList>
        <item>，</item>
      </candidateList>
      <explain>文本全半角错误。</explain>
      <paraID>26B22F62</paraID>
      <start>26</start>
      <end>27</end>
      <status>unmodified</status>
      <modifiedWord/>
      <trackRevisions>false</trackRevisions>
    </reviewItem>
    <reviewItem>
      <errorID>df337e65-e9e6-433f-b6e1-047257e768fb</errorID>
      <errorWord>(</errorWord>
      <group>L1_Format</group>
      <groupName>格式问题</groupName>
      <ability>L2_HalfPunc_CN</ability>
      <abilityName>全半角问题</abilityName>
      <candidateList>
        <item>（</item>
      </candidateList>
      <explain>文本全半角错误。</explain>
      <paraID>26B22F62</paraID>
      <start>33</start>
      <end>34</end>
      <status>unmodified</status>
      <modifiedWord/>
      <trackRevisions>false</trackRevisions>
    </reviewItem>
    <reviewItem>
      <errorID>7d5c2618-0b39-4ba3-b8b0-3b301db14bc6</errorID>
      <errorWord>)</errorWord>
      <group>L1_Format</group>
      <groupName>格式问题</groupName>
      <ability>L2_HalfPunc_CN</ability>
      <abilityName>全半角问题</abilityName>
      <candidateList>
        <item>）</item>
      </candidateList>
      <explain>文本全半角错误。</explain>
      <paraID>26B22F62</paraID>
      <start>35</start>
      <end>36</end>
      <status>unmodified</status>
      <modifiedWord/>
      <trackRevisions>false</trackRevisions>
    </reviewItem>
    <reviewItem>
      <errorID>0ae75cee-e245-4a18-9dd8-b9d61587cbc5</errorID>
      <errorWord>"</errorWord>
      <group>L1_Format</group>
      <groupName>格式问题</groupName>
      <ability>L2_HalfPunc_CN</ability>
      <abilityName>全半角问题</abilityName>
      <candidateList>
        <item>“</item>
      </candidateList>
      <explain>文本全半角错误。</explain>
      <paraID>26B22F62</paraID>
      <start>58</start>
      <end>59</end>
      <status>unmodified</status>
      <modifiedWord/>
      <trackRevisions>false</trackRevisions>
    </reviewItem>
    <reviewItem>
      <errorID>636e5899-e779-40ac-852e-06c61affc3a8</errorID>
      <errorWord>"</errorWord>
      <group>L1_Format</group>
      <groupName>格式问题</groupName>
      <ability>L2_HalfPunc_CN</ability>
      <abilityName>全半角问题</abilityName>
      <candidateList>
        <item>”</item>
      </candidateList>
      <explain>文本全半角错误。</explain>
      <paraID>26B22F62</paraID>
      <start>63</start>
      <end>64</end>
      <status>unmodified</status>
      <modifiedWord/>
      <trackRevisions>false</trackRevisions>
    </reviewItem>
    <reviewItem>
      <errorID>ac6382d5-6472-4d1b-b377-89960437e8d9</errorID>
      <errorWord>,</errorWord>
      <group>L1_Format</group>
      <groupName>格式问题</groupName>
      <ability>L2_HalfPunc_CN</ability>
      <abilityName>全半角问题</abilityName>
      <candidateList>
        <item>，</item>
      </candidateList>
      <explain>文本全半角错误。</explain>
      <paraID>4A5B2A22</paraID>
      <start>30</start>
      <end>31</end>
      <status>unmodified</status>
      <modifiedWord/>
      <trackRevisions>false</trackRevisions>
    </reviewItem>
    <reviewItem>
      <errorID>99d489ab-b8a5-4250-9cde-c813e04199ac</errorID>
      <errorWord>(</errorWord>
      <group>L1_Format</group>
      <groupName>格式问题</groupName>
      <ability>L2_HalfPunc_CN</ability>
      <abilityName>全半角问题</abilityName>
      <candidateList>
        <item>（</item>
      </candidateList>
      <explain>文本全半角错误。</explain>
      <paraID>4A5B2A22</paraID>
      <start>37</start>
      <end>38</end>
      <status>unmodified</status>
      <modifiedWord/>
      <trackRevisions>false</trackRevisions>
    </reviewItem>
    <reviewItem>
      <errorID>e468dfc3-44cc-4807-ae09-d36de3a4d3f4</errorID>
      <errorWord>)</errorWord>
      <group>L1_Format</group>
      <groupName>格式问题</groupName>
      <ability>L2_HalfPunc_CN</ability>
      <abilityName>全半角问题</abilityName>
      <candidateList>
        <item>）</item>
      </candidateList>
      <explain>文本全半角错误。</explain>
      <paraID>4A5B2A22</paraID>
      <start>39</start>
      <end>40</end>
      <status>unmodified</status>
      <modifiedWord/>
      <trackRevisions>false</trackRevisions>
    </reviewItem>
    <reviewItem>
      <errorID>4cc190e1-843f-41f8-b5d1-0df74f3e3bd0</errorID>
      <errorWord>"</errorWord>
      <group>L1_Format</group>
      <groupName>格式问题</groupName>
      <ability>L2_HalfPunc_CN</ability>
      <abilityName>全半角问题</abilityName>
      <candidateList>
        <item>“</item>
      </candidateList>
      <explain>文本全半角错误。</explain>
      <paraID>4A5B2A22</paraID>
      <start>64</start>
      <end>65</end>
      <status>unmodified</status>
      <modifiedWord/>
      <trackRevisions>false</trackRevisions>
    </reviewItem>
    <reviewItem>
      <errorID>b66cf242-4cd4-4c14-93b7-82aa7698f981</errorID>
      <errorWord>"</errorWord>
      <group>L1_Format</group>
      <groupName>格式问题</groupName>
      <ability>L2_HalfPunc_CN</ability>
      <abilityName>全半角问题</abilityName>
      <candidateList>
        <item>”</item>
      </candidateList>
      <explain>文本全半角错误。</explain>
      <paraID>4A5B2A22</paraID>
      <start>71</start>
      <end>72</end>
      <status>unmodified</status>
      <modifiedWord/>
      <trackRevisions>false</trackRevisions>
    </reviewItem>
    <reviewItem>
      <errorID>a459c6c9-9f40-46d1-944f-864ba1ceca4d</errorID>
      <errorWord>(</errorWord>
      <group>L1_Format</group>
      <groupName>格式问题</groupName>
      <ability>L2_HalfPunc_CN</ability>
      <abilityName>全半角问题</abilityName>
      <candidateList>
        <item>（</item>
      </candidateList>
      <explain>文本全半角错误。</explain>
      <paraID>6A560BF6</paraID>
      <start>20</start>
      <end>21</end>
      <status>unmodified</status>
      <modifiedWord/>
      <trackRevisions>false</trackRevisions>
    </reviewItem>
    <reviewItem>
      <errorID>476cceb8-f89c-4a5f-b24f-d7bb1f069ea4</errorID>
      <errorWord>)</errorWord>
      <group>L1_Format</group>
      <groupName>格式问题</groupName>
      <ability>L2_HalfPunc_CN</ability>
      <abilityName>全半角问题</abilityName>
      <candidateList>
        <item>）</item>
      </candidateList>
      <explain>文本全半角错误。</explain>
      <paraID>6A560BF6</paraID>
      <start>28</start>
      <end>29</end>
      <status>unmodified</status>
      <modifiedWord/>
      <trackRevisions>false</trackRevisions>
    </reviewItem>
    <reviewItem>
      <errorID>347edd7d-a3ba-4078-ac96-590f6a6a6cdf</errorID>
      <errorWord>(</errorWord>
      <group>L1_Format</group>
      <groupName>格式问题</groupName>
      <ability>L2_HalfPunc_CN</ability>
      <abilityName>全半角问题</abilityName>
      <candidateList>
        <item>（</item>
      </candidateList>
      <explain>文本全半角错误。</explain>
      <paraID>230B120A</paraID>
      <start>64</start>
      <end>65</end>
      <status>unmodified</status>
      <modifiedWord/>
      <trackRevisions>false</trackRevisions>
    </reviewItem>
    <reviewItem>
      <errorID>87c5af9a-751c-417b-add0-f5f6e7dc0f0a</errorID>
      <errorWord>)</errorWord>
      <group>L1_Format</group>
      <groupName>格式问题</groupName>
      <ability>L2_HalfPunc_CN</ability>
      <abilityName>全半角问题</abilityName>
      <candidateList>
        <item>）</item>
      </candidateList>
      <explain>文本全半角错误。</explain>
      <paraID>230B120A</paraID>
      <start>70</start>
      <end>71</end>
      <status>unmodified</status>
      <modifiedWord/>
      <trackRevisions>false</trackRevisions>
    </reviewItem>
    <reviewItem>
      <errorID>c440cd5c-668b-4a54-b6a0-71b90db0e854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691C0E3D</paraID>
      <start>0</start>
      <end>3</end>
      <status>unmodified</status>
      <modifiedWord/>
      <trackRevisions>false</trackRevisions>
    </reviewItem>
    <reviewItem>
      <errorID>eb91c9dd-5375-4189-85e7-fa7a857aa7d0</errorID>
      <errorWord>管理法</errorWord>
      <group>L1_Word</group>
      <groupName>字词问题</groupName>
      <ability>L2_Typo</ability>
      <abilityName>字词错误</abilityName>
      <candidateList>
        <item>管理</item>
      </candidateList>
      <explain/>
      <paraID>13804586</paraID>
      <start>74</start>
      <end>77</end>
      <status>unmodified</status>
      <modifiedWord/>
      <trackRevisions>false</trackRevisions>
    </reviewItem>
    <reviewItem>
      <errorID>bbd3cc1c-849e-4299-b8eb-1ce85d39c181</errorID>
      <errorWord>(</errorWord>
      <group>L1_Format</group>
      <groupName>格式问题</groupName>
      <ability>L2_HalfPunc_CN</ability>
      <abilityName>全半角问题</abilityName>
      <candidateList>
        <item>（</item>
      </candidateList>
      <explain>文本全半角错误。</explain>
      <paraID> 3E53259</paraID>
      <start>31</start>
      <end>32</end>
      <status>unmodified</status>
      <modifiedWord/>
      <trackRevisions>false</trackRevisions>
    </reviewItem>
    <reviewItem>
      <errorID>9620fabb-f009-4191-9017-9ea780dcb31a</errorID>
      <errorWord>)</errorWord>
      <group>L1_Format</group>
      <groupName>格式问题</groupName>
      <ability>L2_HalfPunc_CN</ability>
      <abilityName>全半角问题</abilityName>
      <candidateList>
        <item>）</item>
      </candidateList>
      <explain>文本全半角错误。</explain>
      <paraID> 3E53259</paraID>
      <start>42</start>
      <end>43</end>
      <status>unmodified</status>
      <modifiedWord/>
      <trackRevisions>false</trackRevisions>
    </reviewItem>
    <reviewItem>
      <errorID>da3d44a0-ddda-4727-8499-84faca532775</errorID>
      <errorWord>(</errorWord>
      <group>L1_Format</group>
      <groupName>格式问题</groupName>
      <ability>L2_HalfPunc_CN</ability>
      <abilityName>全半角问题</abilityName>
      <candidateList>
        <item>（</item>
      </candidateList>
      <explain>文本全半角错误。</explain>
      <paraID> 3E53259</paraID>
      <start>62</start>
      <end>63</end>
      <status>unmodified</status>
      <modifiedWord/>
      <trackRevisions>false</trackRevisions>
    </reviewItem>
    <reviewItem>
      <errorID>48fcc350-ec3d-4751-9dcd-90d92ca95bf6</errorID>
      <errorWord>(2021)65号</errorWord>
      <group>L1_Knowledge</group>
      <groupName>知识性问题</groupName>
      <ability>L2_Knowledge</ability>
      <abilityName>其他知识</abilityName>
      <candidateList>
        <item>〔2021〕65号</item>
      </candidateList>
      <explain>发文字号格式错误。</explain>
      <paraID> 3E53259</paraID>
      <start>67</start>
      <end>76</end>
      <status>modified</status>
      <modifiedWord>〔2021〕65号</modifiedWord>
      <trackRevisions>false</trackRevisions>
    </reviewItem>
    <reviewItem>
      <errorID>e095470b-46ed-4bf1-a24f-e5fef2e28f18</errorID>
      <errorWord>)</errorWord>
      <group>L1_Format</group>
      <groupName>格式问题</groupName>
      <ability>L2_HalfPunc_CN</ability>
      <abilityName>全半角问题</abilityName>
      <candidateList>
        <item>）</item>
      </candidateList>
      <explain>文本全半角错误。</explain>
      <paraID> 3E53259</paraID>
      <start>76</start>
      <end>77</end>
      <status>unmodified</status>
      <modifiedWord/>
      <trackRevisions>false</trackRevisions>
    </reviewItem>
    <reviewItem>
      <errorID>57edd946-7e21-4931-bb9d-46fd5db53ecd</errorID>
      <errorWord>(</errorWord>
      <group>L1_Format</group>
      <groupName>格式问题</groupName>
      <ability>L2_HalfPunc_CN</ability>
      <abilityName>全半角问题</abilityName>
      <candidateList>
        <item>（</item>
      </candidateList>
      <explain>文本全半角错误。</explain>
      <paraID> 3E53259</paraID>
      <start>104</start>
      <end>105</end>
      <status>unmodified</status>
      <modifiedWord/>
      <trackRevisions>false</trackRevisions>
    </reviewItem>
    <reviewItem>
      <errorID>43cf9f7a-4b10-472a-8cd7-0e317c7eba56</errorID>
      <errorWord>)</errorWord>
      <group>L1_Format</group>
      <groupName>格式问题</groupName>
      <ability>L2_HalfPunc_CN</ability>
      <abilityName>全半角问题</abilityName>
      <candidateList>
        <item>）</item>
      </candidateList>
      <explain>文本全半角错误。</explain>
      <paraID> 3E53259</paraID>
      <start>119</start>
      <end>120</end>
      <status>unmodified</status>
      <modifiedWord/>
      <trackRevisions>false</trackRevisions>
    </reviewItem>
    <reviewItem>
      <errorID>ca41aece-e0ec-445d-b36f-b366627cc358</errorID>
      <errorWord>(</errorWord>
      <group>L1_Format</group>
      <groupName>格式问题</groupName>
      <ability>L2_HalfPunc_CN</ability>
      <abilityName>全半角问题</abilityName>
      <candidateList>
        <item>（</item>
      </candidateList>
      <explain>文本全半角错误。</explain>
      <paraID> 3E53259</paraID>
      <start>141</start>
      <end>142</end>
      <status>unmodified</status>
      <modifiedWord/>
      <trackRevisions>false</trackRevisions>
    </reviewItem>
    <reviewItem>
      <errorID>9b8348c3-493e-4d3b-9c1d-c97958f4b974</errorID>
      <errorWord>)</errorWord>
      <group>L1_Format</group>
      <groupName>格式问题</groupName>
      <ability>L2_HalfPunc_CN</ability>
      <abilityName>全半角问题</abilityName>
      <candidateList>
        <item>）</item>
      </candidateList>
      <explain>文本全半角错误。</explain>
      <paraID> 3E53259</paraID>
      <start>154</start>
      <end>155</end>
      <status>unmodified</status>
      <modifiedWord/>
      <trackRevisions>false</trackRevisions>
    </reviewItem>
    <reviewItem>
      <errorID>d963a0dc-ea89-4805-8e49-f52bc0f82406</errorID>
      <errorWord>(</errorWord>
      <group>L1_Format</group>
      <groupName>格式问题</groupName>
      <ability>L2_HalfPunc_CN</ability>
      <abilityName>全半角问题</abilityName>
      <candidateList>
        <item>（</item>
      </candidateList>
      <explain>文本全半角错误。</explain>
      <paraID> 3E53259</paraID>
      <start>186</start>
      <end>187</end>
      <status>unmodified</status>
      <modifiedWord/>
      <trackRevisions>false</trackRevisions>
    </reviewItem>
    <reviewItem>
      <errorID>8bf3abf8-fdf4-4644-9335-3db7fe5cd38c</errorID>
      <errorWord>〔2021) 31号</errorWord>
      <group>L1_Knowledge</group>
      <groupName>知识性问题</groupName>
      <ability>L2_Knowledge</ability>
      <abilityName>其他知识</abilityName>
      <candidateList>
        <item>〔2021〕31号</item>
      </candidateList>
      <explain>发文字号格式错误。</explain>
      <paraID> 3E53259</paraID>
      <start>190</start>
      <end>200</end>
      <status>unmodified</status>
      <modifiedWord/>
      <trackRevisions>false</trackRevisions>
    </reviewItem>
    <reviewItem>
      <errorID>dc813248-bafc-463a-a712-dee6aa64cfc9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3E53259</paraID>
      <start>200</start>
      <end>201</end>
      <status>unmodified</status>
      <modifiedWord/>
      <trackRevisions>false</trackRevisions>
    </reviewItem>
    <reviewItem>
      <errorID>99108308-13e4-46b6-9ccf-0d78d3f03ca3</errorID>
      <errorWord>(</errorWord>
      <group>L1_Format</group>
      <groupName>格式问题</groupName>
      <ability>L2_HalfPunc_CN</ability>
      <abilityName>全半角问题</abilityName>
      <candidateList>
        <item>（</item>
      </candidateList>
      <explain>文本全半角错误。</explain>
      <paraID> 3E53259</paraID>
      <start>225</start>
      <end>226</end>
      <status>unmodified</status>
      <modifiedWord/>
      <trackRevisions>false</trackRevisions>
    </reviewItem>
    <reviewItem>
      <errorID>d046a2ac-c699-4471-b09c-ad8a05f9acb6</errorID>
      <errorWord>〔2022)5号</errorWord>
      <group>L1_Knowledge</group>
      <groupName>知识性问题</groupName>
      <ability>L2_Knowledge</ability>
      <abilityName>其他知识</abilityName>
      <candidateList>
        <item>〔2022〕5号</item>
      </candidateList>
      <explain>发文字号格式错误。</explain>
      <paraID> 3E53259</paraID>
      <start>229</start>
      <end>237</end>
      <status>modified</status>
      <modifiedWord>〔2022〕5号</modifiedWord>
      <trackRevisions>false</trackRevisions>
    </reviewItem>
    <reviewItem>
      <errorID>2a70be10-db12-4b19-975a-0679b11511a3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3E53259</paraID>
      <start>237</start>
      <end>238</end>
      <status>unmodified</status>
      <modifiedWord/>
      <trackRevisions>false</trackRevisions>
    </reviewItem>
    <reviewItem>
      <errorID>51954f06-45e3-4f39-8821-e713ffb4d707</errorID>
      <errorWord>(</errorWord>
      <group>L1_Format</group>
      <groupName>格式问题</groupName>
      <ability>L2_HalfPunc_CN</ability>
      <abilityName>全半角问题</abilityName>
      <candidateList>
        <item>（</item>
      </candidateList>
      <explain>文本全半角错误。</explain>
      <paraID>4337D575</paraID>
      <start>5</start>
      <end>6</end>
      <status>unmodified</status>
      <modifiedWord/>
      <trackRevisions>false</trackRevisions>
    </reviewItem>
    <reviewItem>
      <errorID>dbebb3f8-c7ec-4cd2-bacd-b567a857577d</errorID>
      <errorWord>)</errorWord>
      <group>L1_Format</group>
      <groupName>格式问题</groupName>
      <ability>L2_HalfPunc_CN</ability>
      <abilityName>全半角问题</abilityName>
      <candidateList>
        <item>）</item>
      </candidateList>
      <explain>文本全半角错误。</explain>
      <paraID>4337D575</paraID>
      <start>12</start>
      <end>13</end>
      <status>unmodified</status>
      <modifiedWord/>
      <trackRevisions>false</trackRevisions>
    </reviewItem>
    <reviewItem>
      <errorID>4415f15a-a714-4fe6-b690-ee14fdb8884c</errorID>
      <errorWord>(</errorWord>
      <group>L1_Format</group>
      <groupName>格式问题</groupName>
      <ability>L2_HalfPunc_CN</ability>
      <abilityName>全半角问题</abilityName>
      <candidateList>
        <item>（</item>
      </candidateList>
      <explain>文本全半角错误。</explain>
      <paraID>4337D575</paraID>
      <start>81</start>
      <end>82</end>
      <status>unmodified</status>
      <modifiedWord/>
      <trackRevisions>false</trackRevisions>
    </reviewItem>
    <reviewItem>
      <errorID>16d0daa6-b1ab-4a7e-8fb6-5773736535d0</errorID>
      <errorWord>)</errorWord>
      <group>L1_Format</group>
      <groupName>格式问题</groupName>
      <ability>L2_HalfPunc_CN</ability>
      <abilityName>全半角问题</abilityName>
      <candidateList>
        <item>）</item>
      </candidateList>
      <explain>文本全半角错误。</explain>
      <paraID>4337D575</paraID>
      <start>88</start>
      <end>89</end>
      <status>unmodified</status>
      <modifiedWord/>
      <trackRevisions>false</trackRevisions>
    </reviewItem>
    <reviewItem>
      <errorID>ea935925-ffa4-4d73-abc0-9a09f4c237f1</errorID>
      <errorWord>(</errorWord>
      <group>L1_Format</group>
      <groupName>格式问题</groupName>
      <ability>L2_HalfPunc_CN</ability>
      <abilityName>全半角问题</abilityName>
      <candidateList>
        <item>（</item>
      </candidateList>
      <explain>文本全半角错误。</explain>
      <paraID>642F607F</paraID>
      <start>5</start>
      <end>6</end>
      <status>unmodified</status>
      <modifiedWord/>
      <trackRevisions>false</trackRevisions>
    </reviewItem>
    <reviewItem>
      <errorID>6e308dd6-abaf-4cc8-a296-3a3d31d35b79</errorID>
      <errorWord>)</errorWord>
      <group>L1_Format</group>
      <groupName>格式问题</groupName>
      <ability>L2_HalfPunc_CN</ability>
      <abilityName>全半角问题</abilityName>
      <candidateList>
        <item>）</item>
      </candidateList>
      <explain>文本全半角错误。</explain>
      <paraID>642F607F</paraID>
      <start>12</start>
      <end>13</end>
      <status>unmodified</status>
      <modifiedWord/>
      <trackRevisions>false</trackRevisions>
    </reviewItem>
    <reviewItem>
      <errorID>d4c20862-2fc8-4cfe-b557-c37896e7465b</errorID>
      <errorWord>(</errorWord>
      <group>L1_Format</group>
      <groupName>格式问题</groupName>
      <ability>L2_HalfPunc_CN</ability>
      <abilityName>全半角问题</abilityName>
      <candidateList>
        <item>（</item>
      </candidateList>
      <explain>文本全半角错误。</explain>
      <paraID>642F607F</paraID>
      <start>56</start>
      <end>57</end>
      <status>unmodified</status>
      <modifiedWord/>
      <trackRevisions>false</trackRevisions>
    </reviewItem>
    <reviewItem>
      <errorID>76091ce0-f36b-4ea5-b918-45eedd842b1d</errorID>
      <errorWord>)</errorWord>
      <group>L1_Format</group>
      <groupName>格式问题</groupName>
      <ability>L2_HalfPunc_CN</ability>
      <abilityName>全半角问题</abilityName>
      <candidateList>
        <item>）</item>
      </candidateList>
      <explain>文本全半角错误。</explain>
      <paraID>642F607F</paraID>
      <start>59</start>
      <end>60</end>
      <status>unmodified</status>
      <modifiedWord/>
      <trackRevisions>false</trackRevisions>
    </reviewItem>
    <reviewItem>
      <errorID>e53c8726-74b5-496f-8d9a-2ea47314fe81</errorID>
      <errorWord>(</errorWord>
      <group>L1_Format</group>
      <groupName>格式问题</groupName>
      <ability>L2_HalfPunc_CN</ability>
      <abilityName>全半角问题</abilityName>
      <candidateList>
        <item>（</item>
      </candidateList>
      <explain>文本全半角错误。</explain>
      <paraID>642F607F</paraID>
      <start>77</start>
      <end>78</end>
      <status>unmodified</status>
      <modifiedWord/>
      <trackRevisions>false</trackRevisions>
    </reviewItem>
    <reviewItem>
      <errorID>a926bd43-af39-4780-b9a9-303ca25c2390</errorID>
      <errorWord>)</errorWord>
      <group>L1_Format</group>
      <groupName>格式问题</groupName>
      <ability>L2_HalfPunc_CN</ability>
      <abilityName>全半角问题</abilityName>
      <candidateList>
        <item>）</item>
      </candidateList>
      <explain>文本全半角错误。</explain>
      <paraID>642F607F</paraID>
      <start>84</start>
      <end>85</end>
      <status>unmodified</status>
      <modifiedWord/>
      <trackRevisions>false</trackRevisions>
    </reviewItem>
    <reviewItem>
      <errorID>d174cba3-f989-48f8-a85a-3d2e793c9a50</errorID>
      <errorWord>(</errorWord>
      <group>L1_Format</group>
      <groupName>格式问题</groupName>
      <ability>L2_HalfPunc_CN</ability>
      <abilityName>全半角问题</abilityName>
      <candidateList>
        <item>（</item>
      </candidateList>
      <explain>文本全半角错误。</explain>
      <paraID>63867A25</paraID>
      <start>5</start>
      <end>6</end>
      <status>unmodified</status>
      <modifiedWord/>
      <trackRevisions>false</trackRevisions>
    </reviewItem>
    <reviewItem>
      <errorID>260cdc95-ed63-4c52-8319-e4faf61db0e5</errorID>
      <errorWord>)</errorWord>
      <group>L1_Format</group>
      <groupName>格式问题</groupName>
      <ability>L2_HalfPunc_CN</ability>
      <abilityName>全半角问题</abilityName>
      <candidateList>
        <item>）</item>
      </candidateList>
      <explain>文本全半角错误。</explain>
      <paraID>63867A25</paraID>
      <start>8</start>
      <end>9</end>
      <status>unmodified</status>
      <modifiedWord/>
      <trackRevisions>false</trackRevisions>
    </reviewItem>
    <reviewItem>
      <errorID>06d1de38-46e3-4148-8876-e83e53e0ca62</errorID>
      <errorWord>等的有关规定</errorWord>
      <group>L1_Word</group>
      <groupName>字词问题</groupName>
      <ability>L2_Typo</ability>
      <abilityName>字词错误</abilityName>
      <candidateList>
        <item>等有关规定</item>
      </candidateList>
      <explain/>
      <paraID>313BD47A</paraID>
      <start>38</start>
      <end>44</end>
      <status>unmodified</status>
      <modifiedWord/>
      <trackRevisions>false</trackRevisions>
    </reviewItem>
    <reviewItem>
      <errorID>67a14376-5d65-440c-8ae1-dd51c5b65f6d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74148C1F</paraID>
      <start>66</start>
      <end>69</end>
      <status>unmodified</status>
      <modifiedWord/>
      <trackRevisions>false</trackRevisions>
    </reviewItem>
    <reviewItem>
      <errorID>70ceb36a-9348-47cb-a9ca-fcef1162089c</errorID>
      <errorWord>(</errorWord>
      <group>L1_Format</group>
      <groupName>格式问题</groupName>
      <ability>L2_HalfPunc_CN</ability>
      <abilityName>全半角问题</abilityName>
      <candidateList>
        <item>（</item>
      </candidateList>
      <explain>文本全半角错误。</explain>
      <paraID>72B39711</paraID>
      <start>18</start>
      <end>19</end>
      <status>unmodified</status>
      <modifiedWord/>
      <trackRevisions>false</trackRevisions>
    </reviewItem>
    <reviewItem>
      <errorID>0efc6122-4ce9-4d7b-b190-5e450c733c7c</errorID>
      <errorWord>)</errorWord>
      <group>L1_Format</group>
      <groupName>格式问题</groupName>
      <ability>L2_HalfPunc_CN</ability>
      <abilityName>全半角问题</abilityName>
      <candidateList>
        <item>）</item>
      </candidateList>
      <explain>文本全半角错误。</explain>
      <paraID>72B39711</paraID>
      <start>22</start>
      <end>23</end>
      <status>unmodified</status>
      <modifiedWord/>
      <trackRevisions>false</trackRevisions>
    </reviewItem>
    <reviewItem>
      <errorID>4f692b05-338a-43b2-b79c-68c4ff40d5f4</errorID>
      <errorWord>(</errorWord>
      <group>L1_Format</group>
      <groupName>格式问题</groupName>
      <ability>L2_HalfPunc_CN</ability>
      <abilityName>全半角问题</abilityName>
      <candidateList>
        <item>（</item>
      </candidateList>
      <explain>文本全半角错误。</explain>
      <paraID>72B39711</paraID>
      <start>60</start>
      <end>61</end>
      <status>unmodified</status>
      <modifiedWord/>
      <trackRevisions>false</trackRevisions>
    </reviewItem>
    <reviewItem>
      <errorID>a0ffe40b-af3e-4420-8c7c-7b3aeeb16989</errorID>
      <errorWord>),</errorWord>
      <group>L1_Format</group>
      <groupName>格式问题</groupName>
      <ability>L2_HalfPunc_CN</ability>
      <abilityName>全半角问题</abilityName>
      <candidateList>
        <item>），</item>
      </candidateList>
      <explain>文本全半角错误。</explain>
      <paraID>72B39711</paraID>
      <start>66</start>
      <end>68</end>
      <status>unmodified</status>
      <modifiedWord/>
      <trackRevisions>false</trackRevisions>
    </reviewItem>
    <reviewItem>
      <errorID>73bacc4c-aaa4-483b-aa79-96a7e3b40bc9</errorID>
      <errorWord>(</errorWord>
      <group>L1_Format</group>
      <groupName>格式问题</groupName>
      <ability>L2_HalfPunc_CN</ability>
      <abilityName>全半角问题</abilityName>
      <candidateList>
        <item>（</item>
      </candidateList>
      <explain>文本全半角错误。</explain>
      <paraID>72B39711</paraID>
      <start>72</start>
      <end>73</end>
      <status>unmodified</status>
      <modifiedWord/>
      <trackRevisions>false</trackRevisions>
    </reviewItem>
    <reviewItem>
      <errorID>27c67634-4b8a-4c5c-acf1-0538034f8a37</errorID>
      <errorWord>)</errorWord>
      <group>L1_Format</group>
      <groupName>格式问题</groupName>
      <ability>L2_HalfPunc_CN</ability>
      <abilityName>全半角问题</abilityName>
      <candidateList>
        <item>）</item>
      </candidateList>
      <explain>文本全半角错误。</explain>
      <paraID>72B39711</paraID>
      <start>76</start>
      <end>77</end>
      <status>unmodified</status>
      <modifiedWord/>
      <trackRevisions>false</trackRevisions>
    </reviewItem>
    <reviewItem>
      <errorID>736254b4-3eef-4757-aca2-8bbca6576df7</errorID>
      <errorWord>(</errorWord>
      <group>L1_Format</group>
      <groupName>格式问题</groupName>
      <ability>L2_HalfPunc_CN</ability>
      <abilityName>全半角问题</abilityName>
      <candidateList>
        <item>（</item>
      </candidateList>
      <explain>文本全半角错误。</explain>
      <paraID> DE07B1C</paraID>
      <start>12</start>
      <end>13</end>
      <status>unmodified</status>
      <modifiedWord/>
      <trackRevisions>false</trackRevisions>
    </reviewItem>
    <reviewItem>
      <errorID>6ea2375c-cd0c-4f0a-8d20-f0bfa6956eec</errorID>
      <errorWord>)</errorWord>
      <group>L1_Format</group>
      <groupName>格式问题</groupName>
      <ability>L2_HalfPunc_CN</ability>
      <abilityName>全半角问题</abilityName>
      <candidateList>
        <item>）</item>
      </candidateList>
      <explain>文本全半角错误。</explain>
      <paraID> DE07B1C</paraID>
      <start>18</start>
      <end>19</end>
      <status>unmodified</status>
      <modifiedWord/>
      <trackRevisions>false</trackRevisions>
    </reviewItem>
    <reviewItem>
      <errorID>bb5258d3-d33a-4548-92b7-95a80e2f8133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2911AA42</paraID>
      <start>0</start>
      <end>3</end>
      <status>unmodified</status>
      <modifiedWord/>
      <trackRevisions>false</trackRevisions>
    </reviewItem>
    <reviewItem>
      <errorID>7bca3351-90cb-458e-a8a7-89bc2bf7ac61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7E589BC3</paraID>
      <start>0</start>
      <end>3</end>
      <status>unmodified</status>
      <modifiedWord/>
      <trackRevisions>false</trackRevisions>
    </reviewItem>
    <reviewItem>
      <errorID>2933127f-8ddc-4e19-a8a1-49340e3ebaed</errorID>
      <errorWord>(</errorWord>
      <group>L1_Format</group>
      <groupName>格式问题</groupName>
      <ability>L2_HalfPunc_CN</ability>
      <abilityName>全半角问题</abilityName>
      <candidateList>
        <item>（</item>
      </candidateList>
      <explain>文本全半角错误。</explain>
      <paraID>7E589BC3</paraID>
      <start>32</start>
      <end>33</end>
      <status>unmodified</status>
      <modifiedWord/>
      <trackRevisions>false</trackRevisions>
    </reviewItem>
    <reviewItem>
      <errorID>2971172f-b53c-43ae-b036-81bddee2ea85</errorID>
      <errorWord>)</errorWord>
      <group>L1_Format</group>
      <groupName>格式问题</groupName>
      <ability>L2_HalfPunc_CN</ability>
      <abilityName>全半角问题</abilityName>
      <candidateList>
        <item>）</item>
      </candidateList>
      <explain>文本全半角错误。</explain>
      <paraID>7E589BC3</paraID>
      <start>40</start>
      <end>41</end>
      <status>unmodified</status>
      <modifiedWord/>
      <trackRevisions>false</trackRevisions>
    </reviewItem>
    <reviewItem>
      <errorID>d9d83590-25a3-4d79-927b-f38b6658d1a1</errorID>
      <errorWord>(</errorWord>
      <group>L1_Format</group>
      <groupName>格式问题</groupName>
      <ability>L2_HalfPunc_CN</ability>
      <abilityName>全半角问题</abilityName>
      <candidateList>
        <item>（</item>
      </candidateList>
      <explain>文本全半角错误。</explain>
      <paraID>7E589BC3</paraID>
      <start>79</start>
      <end>80</end>
      <status>unmodified</status>
      <modifiedWord/>
      <trackRevisions>false</trackRevisions>
    </reviewItem>
    <reviewItem>
      <errorID>c386efdb-fa14-464f-a585-439a85f98878</errorID>
      <errorWord>)</errorWord>
      <group>L1_Format</group>
      <groupName>格式问题</groupName>
      <ability>L2_HalfPunc_CN</ability>
      <abilityName>全半角问题</abilityName>
      <candidateList>
        <item>）</item>
      </candidateList>
      <explain>文本全半角错误。</explain>
      <paraID>7E589BC3</paraID>
      <start>85</start>
      <end>86</end>
      <status>unmodified</status>
      <modifiedWord/>
      <trackRevisions>false</trackRevisions>
    </reviewItem>
    <reviewItem>
      <errorID>77cbafae-813e-4615-986f-2e63259af39a</errorID>
      <errorWord>(</errorWord>
      <group>L1_Format</group>
      <groupName>格式问题</groupName>
      <ability>L2_HalfPunc_CN</ability>
      <abilityName>全半角问题</abilityName>
      <candidateList>
        <item>（</item>
      </candidateList>
      <explain>文本全半角错误。</explain>
      <paraID>7E589BC3</paraID>
      <start>135</start>
      <end>136</end>
      <status>unmodified</status>
      <modifiedWord/>
      <trackRevisions>false</trackRevisions>
    </reviewItem>
    <reviewItem>
      <errorID>1f332af7-975b-400e-837a-64b89599fd66</errorID>
      <errorWord>)</errorWord>
      <group>L1_Format</group>
      <groupName>格式问题</groupName>
      <ability>L2_HalfPunc_CN</ability>
      <abilityName>全半角问题</abilityName>
      <candidateList>
        <item>）</item>
      </candidateList>
      <explain>文本全半角错误。</explain>
      <paraID>7E589BC3</paraID>
      <start>141</start>
      <end>142</end>
      <status>unmodified</status>
      <modifiedWord/>
      <trackRevisions>false</trackRevisions>
    </reviewItem>
    <reviewItem>
      <errorID>b9010530-4e3e-4aa1-a0ad-0c4d7186d66e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1F83887F</paraID>
      <start>0</start>
      <end>3</end>
      <status>unmodified</status>
      <modifiedWord/>
      <trackRevisions>false</trackRevisions>
    </reviewItem>
    <reviewItem>
      <errorID>22109813-c6e8-49ff-b73a-bcaff0374f18</errorID>
      <errorWord>(</errorWord>
      <group>L1_Format</group>
      <groupName>格式问题</groupName>
      <ability>L2_HalfPunc_CN</ability>
      <abilityName>全半角问题</abilityName>
      <candidateList>
        <item>（</item>
      </candidateList>
      <explain>文本全半角错误。</explain>
      <paraID>1F83887F</paraID>
      <start>51</start>
      <end>52</end>
      <status>unmodified</status>
      <modifiedWord/>
      <trackRevisions>false</trackRevisions>
    </reviewItem>
    <reviewItem>
      <errorID>c8327361-59b4-4aa7-acc1-81d1dff2061e</errorID>
      <errorWord>)</errorWord>
      <group>L1_Format</group>
      <groupName>格式问题</groupName>
      <ability>L2_HalfPunc_CN</ability>
      <abilityName>全半角问题</abilityName>
      <candidateList>
        <item>）</item>
      </candidateList>
      <explain>文本全半角错误。</explain>
      <paraID>1F83887F</paraID>
      <start>92</start>
      <end>93</end>
      <status>unmodified</status>
      <modifiedWord/>
      <trackRevisions>false</trackRevisions>
    </reviewItem>
    <reviewItem>
      <errorID>1ff24bf0-b5e8-4c6d-8f75-96ded4fa27e2</errorID>
      <errorWord>(</errorWord>
      <group>L1_Format</group>
      <groupName>格式问题</groupName>
      <ability>L2_HalfPunc_CN</ability>
      <abilityName>全半角问题</abilityName>
      <candidateList>
        <item>（</item>
      </candidateList>
      <explain>文本全半角错误。</explain>
      <paraID>1F83887F</paraID>
      <start>98</start>
      <end>99</end>
      <status>unmodified</status>
      <modifiedWord/>
      <trackRevisions>false</trackRevisions>
    </reviewItem>
    <reviewItem>
      <errorID>4fe63714-f2ea-4532-b6ff-20228e07683b</errorID>
      <errorWord>)</errorWord>
      <group>L1_Format</group>
      <groupName>格式问题</groupName>
      <ability>L2_HalfPunc_CN</ability>
      <abilityName>全半角问题</abilityName>
      <candidateList>
        <item>）</item>
      </candidateList>
      <explain>文本全半角错误。</explain>
      <paraID>1F83887F</paraID>
      <start>157</start>
      <end>158</end>
      <status>unmodified</status>
      <modifiedWord/>
      <trackRevisions>false</trackRevisions>
    </reviewItem>
    <reviewItem>
      <errorID>9db51747-6844-4131-91f1-9f0187ac2967</errorID>
      <errorWord>(</errorWord>
      <group>L1_Format</group>
      <groupName>格式问题</groupName>
      <ability>L2_HalfPunc_CN</ability>
      <abilityName>全半角问题</abilityName>
      <candidateList>
        <item>（</item>
      </candidateList>
      <explain>文本全半角错误。</explain>
      <paraID>1F83887F</paraID>
      <start>170</start>
      <end>171</end>
      <status>unmodified</status>
      <modifiedWord/>
      <trackRevisions>false</trackRevisions>
    </reviewItem>
    <reviewItem>
      <errorID>9e4ce64e-b384-49ee-9858-8ab6d9f2c206</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1F83887F</paraID>
      <start>211</start>
      <end>221</end>
      <status>modified</status>
      <modifiedWord>中华人民共和国劳动法</modifiedWord>
      <trackRevisions>false</trackRevisions>
    </reviewItem>
    <reviewItem>
      <errorID>492e6323-0e8e-4bab-a2d1-f815a4796b53</errorID>
      <errorWord>)</errorWord>
      <group>L1_Format</group>
      <groupName>格式问题</groupName>
      <ability>L2_HalfPunc_CN</ability>
      <abilityName>全半角问题</abilityName>
      <candidateList>
        <item>）</item>
      </candidateList>
      <explain>文本全半角错误。</explain>
      <paraID>1F83887F</paraID>
      <start>236</start>
      <end>237</end>
      <status>unmodified</status>
      <modifiedWord/>
      <trackRevisions>false</trackRevisions>
    </reviewItem>
    <reviewItem>
      <errorID>9efc696a-f24d-4c6b-a497-42fa47c20a77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5D1B0BD4</paraID>
      <start>0</start>
      <end>3</end>
      <status>unmodified</status>
      <modifiedWord/>
      <trackRevisions>false</trackRevisions>
    </reviewItem>
    <reviewItem>
      <errorID>34febb4f-b106-4430-b3d9-1ed2aa977c38</errorID>
      <errorWord>(</errorWord>
      <group>L1_Format</group>
      <groupName>格式问题</groupName>
      <ability>L2_HalfPunc_CN</ability>
      <abilityName>全半角问题</abilityName>
      <candidateList>
        <item>（</item>
      </candidateList>
      <explain>文本全半角错误。</explain>
      <paraID>5D1B0BD4</paraID>
      <start>10</start>
      <end>11</end>
      <status>unmodified</status>
      <modifiedWord/>
      <trackRevisions>false</trackRevisions>
    </reviewItem>
    <reviewItem>
      <errorID>7660eadd-5ccf-4ff1-833c-0ab73de95e7a</errorID>
      <errorWord>)</errorWord>
      <group>L1_Format</group>
      <groupName>格式问题</groupName>
      <ability>L2_HalfPunc_CN</ability>
      <abilityName>全半角问题</abilityName>
      <candidateList>
        <item>）</item>
      </candidateList>
      <explain>文本全半角错误。</explain>
      <paraID>5D1B0BD4</paraID>
      <start>16</start>
      <end>17</end>
      <status>unmodified</status>
      <modifiedWord/>
      <trackRevisions>false</trackRevisions>
    </reviewItem>
    <reviewItem>
      <errorID>ca6082f4-99db-4915-b802-0a57ed0854d4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26BBCAF1</paraID>
      <start>0</start>
      <end>3</end>
      <status>unmodified</status>
      <modifiedWord/>
      <trackRevisions>false</trackRevisions>
    </reviewItem>
    <reviewItem>
      <errorID>9a146b8d-2d46-4fbf-8c31-b477e5dcdcc8</errorID>
      <errorWord>(</errorWord>
      <group>L1_Format</group>
      <groupName>格式问题</groupName>
      <ability>L2_HalfPunc_CN</ability>
      <abilityName>全半角问题</abilityName>
      <candidateList>
        <item>（</item>
      </candidateList>
      <explain>文本全半角错误。</explain>
      <paraID>26BBCAF1</paraID>
      <start>6</start>
      <end>7</end>
      <status>unmodified</status>
      <modifiedWord/>
      <trackRevisions>false</trackRevisions>
    </reviewItem>
    <reviewItem>
      <errorID>cff76ea3-b511-4a8b-a87b-63fbe12ef86b</errorID>
      <errorWord>)</errorWord>
      <group>L1_Format</group>
      <groupName>格式问题</groupName>
      <ability>L2_HalfPunc_CN</ability>
      <abilityName>全半角问题</abilityName>
      <candidateList>
        <item>）</item>
      </candidateList>
      <explain>文本全半角错误。</explain>
      <paraID>26BBCAF1</paraID>
      <start>12</start>
      <end>13</end>
      <status>unmodified</status>
      <modifiedWord/>
      <trackRevisions>false</trackRevisions>
    </reviewItem>
    <reviewItem>
      <errorID>fa21b19a-d78f-4ae4-839a-d2ecef7b88dd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3C4D90FE</paraID>
      <start>0</start>
      <end>3</end>
      <status>unmodified</status>
      <modifiedWord/>
      <trackRevisions>false</trackRevisions>
    </reviewItem>
    <reviewItem>
      <errorID>613d240c-285a-4987-9229-b9cbceee692f</errorID>
      <errorWord>(</errorWord>
      <group>L1_Format</group>
      <groupName>格式问题</groupName>
      <ability>L2_HalfPunc_CN</ability>
      <abilityName>全半角问题</abilityName>
      <candidateList>
        <item>（</item>
      </candidateList>
      <explain>文本全半角错误。</explain>
      <paraID> D0A431D</paraID>
      <start>19</start>
      <end>20</end>
      <status>unmodified</status>
      <modifiedWord/>
      <trackRevisions>false</trackRevisions>
    </reviewItem>
    <reviewItem>
      <errorID>85979cbc-a6b4-4c2a-b0e7-00348748e006</errorID>
      <errorWord>)</errorWord>
      <group>L1_Format</group>
      <groupName>格式问题</groupName>
      <ability>L2_HalfPunc_CN</ability>
      <abilityName>全半角问题</abilityName>
      <candidateList>
        <item>）</item>
      </candidateList>
      <explain>文本全半角错误。</explain>
      <paraID> D0A431D</paraID>
      <start>60</start>
      <end>61</end>
      <status>unmodified</status>
      <modifiedWord/>
      <trackRevisions>false</trackRevisions>
    </reviewItem>
    <reviewItem>
      <errorID>b781d4be-a550-4f67-aaec-9f1a9a143e54</errorID>
      <errorWord>法律、法规</errorWord>
      <group>L1_Word</group>
      <groupName>字词问题</groupName>
      <ability>L2_Typo</ability>
      <abilityName>字词错误</abilityName>
      <candidateList>
        <item>法律法规</item>
      </candidateList>
      <explain/>
      <paraID>16CCB584</paraID>
      <start>2</start>
      <end>7</end>
      <status>unmodified</status>
      <modifiedWord/>
      <trackRevisions>false</trackRevisions>
    </reviewItem>
    <reviewItem>
      <errorID>dd74bb31-09b9-4d38-900b-e4dfa502c336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2172752</paraID>
      <start>0</start>
      <end>3</end>
      <status>unmodified</status>
      <modifiedWord/>
      <trackRevisions>false</trackRevisions>
    </reviewItem>
    <reviewItem>
      <errorID>aaabb304-cc82-4337-934a-dcd273845384</errorID>
      <errorWord>(</errorWord>
      <group>L1_Format</group>
      <groupName>格式问题</groupName>
      <ability>L2_HalfPunc_CN</ability>
      <abilityName>全半角问题</abilityName>
      <candidateList>
        <item>（</item>
      </candidateList>
      <explain>文本全半角错误。</explain>
      <paraID>54855DEA</paraID>
      <start>20</start>
      <end>21</end>
      <status>unmodified</status>
      <modifiedWord/>
      <trackRevisions>false</trackRevisions>
    </reviewItem>
    <reviewItem>
      <errorID>6204c005-ad43-42b0-ab30-a4c01191b548</errorID>
      <errorWord>)</errorWord>
      <group>L1_Format</group>
      <groupName>格式问题</groupName>
      <ability>L2_HalfPunc_CN</ability>
      <abilityName>全半角问题</abilityName>
      <candidateList>
        <item>）</item>
      </candidateList>
      <explain>文本全半角错误。</explain>
      <paraID>54855DEA</paraID>
      <start>35</start>
      <end>36</end>
      <status>unmodified</status>
      <modifiedWord/>
      <trackRevisions>false</trackRevisions>
    </reviewItem>
    <reviewItem>
      <errorID>6007300e-9140-4210-9667-b13529e9a7b7</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3BEFF8B8</paraID>
      <start>0</start>
      <end>2</end>
      <status>unmodified</status>
      <modifiedWord/>
      <trackRevisions>false</trackRevisions>
    </reviewItem>
    <reviewItem>
      <errorID>93d81204-7eb7-4564-b839-986b4410929b</errorID>
      <errorWord>法律、法规</errorWord>
      <group>L1_Word</group>
      <groupName>字词问题</groupName>
      <ability>L2_Typo</ability>
      <abilityName>字词错误</abilityName>
      <candidateList>
        <item>法律法规</item>
      </candidateList>
      <explain/>
      <paraID>7EC66E26</paraID>
      <start>2</start>
      <end>7</end>
      <status>unmodified</status>
      <modifiedWord/>
      <trackRevisions>false</trackRevisions>
    </reviewItem>
    <reviewItem>
      <errorID>08b80416-291c-4238-abee-6aeee31268d2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37EF86FE</paraID>
      <start>0</start>
      <end>3</end>
      <status>unmodified</status>
      <modifiedWord/>
      <trackRevisions>false</trackRevisions>
    </reviewItem>
    <reviewItem>
      <errorID>ae15e41b-8123-4adb-8778-e6d074b177db</errorID>
      <errorWord>(</errorWord>
      <group>L1_Format</group>
      <groupName>格式问题</groupName>
      <ability>L2_HalfPunc_CN</ability>
      <abilityName>全半角问题</abilityName>
      <candidateList>
        <item>（</item>
      </candidateList>
      <explain>文本全半角错误。</explain>
      <paraID>1FDEAC2B</paraID>
      <start>5</start>
      <end>6</end>
      <status>unmodified</status>
      <modifiedWord/>
      <trackRevisions>false</trackRevisions>
    </reviewItem>
    <reviewItem>
      <errorID>c8b99550-04c0-46c0-9e9d-09bc55dc452f</errorID>
      <errorWord>)</errorWord>
      <group>L1_Format</group>
      <groupName>格式问题</groupName>
      <ability>L2_HalfPunc_CN</ability>
      <abilityName>全半角问题</abilityName>
      <candidateList>
        <item>）</item>
      </candidateList>
      <explain>文本全半角错误。</explain>
      <paraID>1FDEAC2B</paraID>
      <start>9</start>
      <end>10</end>
      <status>unmodified</status>
      <modifiedWord/>
      <trackRevisions>false</trackRevisions>
    </reviewItem>
    <reviewItem>
      <errorID>910dcbb9-2587-4df0-8818-fc21c6c50368</errorID>
      <errorWord>法律、法规</errorWord>
      <group>L1_Word</group>
      <groupName>字词问题</groupName>
      <ability>L2_Typo</ability>
      <abilityName>字词错误</abilityName>
      <candidateList>
        <item>法律法规</item>
      </candidateList>
      <explain/>
      <paraID>68402B1C</paraID>
      <start>2</start>
      <end>7</end>
      <status>unmodified</status>
      <modifiedWord/>
      <trackRevisions>false</trackRevisions>
    </reviewItem>
    <reviewItem>
      <errorID>90943b14-9e64-4b2f-af59-ef6bb54ef8f3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792DAFDE</paraID>
      <start>0</start>
      <end>3</end>
      <status>unmodified</status>
      <modifiedWord/>
      <trackRevisions>false</trackRevisions>
    </reviewItem>
    <reviewItem>
      <errorID>78f19e60-878c-4a4e-a94c-0a3481fc56b3</errorID>
      <errorWord>(</errorWord>
      <group>L1_Format</group>
      <groupName>格式问题</groupName>
      <ability>L2_HalfPunc_CN</ability>
      <abilityName>全半角问题</abilityName>
      <candidateList>
        <item>（</item>
      </candidateList>
      <explain>文本全半角错误。</explain>
      <paraID>12D679D0</paraID>
      <start>5</start>
      <end>6</end>
      <status>unmodified</status>
      <modifiedWord/>
      <trackRevisions>false</trackRevisions>
    </reviewItem>
    <reviewItem>
      <errorID>f48c2364-b0dd-4e6a-8f57-c1c0824484e0</errorID>
      <errorWord>)</errorWord>
      <group>L1_Format</group>
      <groupName>格式问题</groupName>
      <ability>L2_HalfPunc_CN</ability>
      <abilityName>全半角问题</abilityName>
      <candidateList>
        <item>）</item>
      </candidateList>
      <explain>文本全半角错误。</explain>
      <paraID>12D679D0</paraID>
      <start>9</start>
      <end>10</end>
      <status>unmodified</status>
      <modifiedWord/>
      <trackRevisions>false</trackRevisions>
    </reviewItem>
    <reviewItem>
      <errorID>02708711-bf9e-428d-8e15-d2e855c1cd3c</errorID>
      <errorWord>法律、法规</errorWord>
      <group>L1_Word</group>
      <groupName>字词问题</groupName>
      <ability>L2_Typo</ability>
      <abilityName>字词错误</abilityName>
      <candidateList>
        <item>法律法规</item>
      </candidateList>
      <explain/>
      <paraID>47EFBF2D</paraID>
      <start>2</start>
      <end>7</end>
      <status>unmodified</status>
      <modifiedWord/>
      <trackRevisions>false</trackRevisions>
    </reviewItem>
    <reviewItem>
      <errorID>9b0507eb-47b9-479b-8819-7620e4bbaf20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2514F2E0</paraID>
      <start>34</start>
      <end>37</end>
      <status>unmodified</status>
      <modifiedWord/>
      <trackRevisions>false</trackRevisions>
    </reviewItem>
    <reviewItem>
      <errorID>2f8f128d-18a5-4739-9f3c-16cc3ffcfab6</errorID>
      <errorWord>(</errorWord>
      <group>L1_Format</group>
      <groupName>格式问题</groupName>
      <ability>L2_HalfPunc_CN</ability>
      <abilityName>全半角问题</abilityName>
      <candidateList>
        <item>（</item>
      </candidateList>
      <explain>文本全半角错误。</explain>
      <paraID> D6D0653</paraID>
      <start>23</start>
      <end>24</end>
      <status>unmodified</status>
      <modifiedWord/>
      <trackRevisions>false</trackRevisions>
    </reviewItem>
    <reviewItem>
      <errorID>19841bc4-d35d-4895-9e70-ef5e6b43d39d</errorID>
      <errorWord>)</errorWord>
      <group>L1_Format</group>
      <groupName>格式问题</groupName>
      <ability>L2_HalfPunc_CN</ability>
      <abilityName>全半角问题</abilityName>
      <candidateList>
        <item>）</item>
      </candidateList>
      <explain>文本全半角错误。</explain>
      <paraID> D6D0653</paraID>
      <start>55</start>
      <end>56</end>
      <status>unmodified</status>
      <modifiedWord/>
      <trackRevisions>false</trackRevisions>
    </reviewItem>
    <reviewItem>
      <errorID>79f54f98-ab33-4100-8e60-5dc75883c1aa</errorID>
      <errorWord>(</errorWord>
      <group>L1_Format</group>
      <groupName>格式问题</groupName>
      <ability>L2_HalfPunc_CN</ability>
      <abilityName>全半角问题</abilityName>
      <candidateList>
        <item>（</item>
      </candidateList>
      <explain>文本全半角错误。</explain>
      <paraID> C50C9CA</paraID>
      <start>33</start>
      <end>34</end>
      <status>unmodified</status>
      <modifiedWord/>
      <trackRevisions>false</trackRevisions>
    </reviewItem>
    <reviewItem>
      <errorID>23fad1f7-4a09-44c5-a542-668db1b96340</errorID>
      <errorWord>)</errorWord>
      <group>L1_Format</group>
      <groupName>格式问题</groupName>
      <ability>L2_HalfPunc_CN</ability>
      <abilityName>全半角问题</abilityName>
      <candidateList>
        <item>）</item>
      </candidateList>
      <explain>文本全半角错误。</explain>
      <paraID> C50C9CA</paraID>
      <start>47</start>
      <end>48</end>
      <status>unmodified</status>
      <modifiedWord/>
      <trackRevisions>false</trackRevisions>
    </reviewItem>
    <reviewItem>
      <errorID>b80f2dab-7953-4210-9664-314918683757</errorID>
      <errorWord>(</errorWord>
      <group>L1_Format</group>
      <groupName>格式问题</groupName>
      <ability>L2_HalfPunc_CN</ability>
      <abilityName>全半角问题</abilityName>
      <candidateList>
        <item>（</item>
      </candidateList>
      <explain>文本全半角错误。</explain>
      <paraID> C50C9CA</paraID>
      <start>144</start>
      <end>145</end>
      <status>unmodified</status>
      <modifiedWord/>
      <trackRevisions>false</trackRevisions>
    </reviewItem>
    <reviewItem>
      <errorID>278e3cca-2dd3-4dcf-970e-354250633efd</errorID>
      <errorWord>)</errorWord>
      <group>L1_Format</group>
      <groupName>格式问题</groupName>
      <ability>L2_HalfPunc_CN</ability>
      <abilityName>全半角问题</abilityName>
      <candidateList>
        <item>）</item>
      </candidateList>
      <explain>文本全半角错误。</explain>
      <paraID> C50C9CA</paraID>
      <start>184</start>
      <end>185</end>
      <status>unmodified</status>
      <modifiedWord/>
      <trackRevisions>false</trackRevisions>
    </reviewItem>
    <reviewItem>
      <errorID>5fd4c2ea-bbf8-4a45-a75c-0a78d76edf06</errorID>
      <errorWord>(</errorWord>
      <group>L1_Format</group>
      <groupName>格式问题</groupName>
      <ability>L2_HalfPunc_CN</ability>
      <abilityName>全半角问题</abilityName>
      <candidateList>
        <item>（</item>
      </candidateList>
      <explain>文本全半角错误。</explain>
      <paraID>2BE25358</paraID>
      <start>87</start>
      <end>88</end>
      <status>unmodified</status>
      <modifiedWord/>
      <trackRevisions>false</trackRevisions>
    </reviewItem>
    <reviewItem>
      <errorID>755230bf-3a06-4ba9-a103-7896c2928436</errorID>
      <errorWord>)</errorWord>
      <group>L1_Format</group>
      <groupName>格式问题</groupName>
      <ability>L2_HalfPunc_CN</ability>
      <abilityName>全半角问题</abilityName>
      <candidateList>
        <item>）</item>
      </candidateList>
      <explain>文本全半角错误。</explain>
      <paraID>2BE25358</paraID>
      <start>90</start>
      <end>91</end>
      <status>unmodified</status>
      <modifiedWord/>
      <trackRevisions>false</trackRevisions>
    </reviewItem>
    <reviewItem>
      <errorID>85f3dd80-a5a6-43b0-a53e-2cf5262ce8ad</errorID>
      <errorWord>(</errorWord>
      <group>L1_Format</group>
      <groupName>格式问题</groupName>
      <ability>L2_HalfPunc_CN</ability>
      <abilityName>全半角问题</abilityName>
      <candidateList>
        <item>（</item>
      </candidateList>
      <explain>文本全半角错误。</explain>
      <paraID>2BE25358</paraID>
      <start>124</start>
      <end>125</end>
      <status>unmodified</status>
      <modifiedWord/>
      <trackRevisions>false</trackRevisions>
    </reviewItem>
    <reviewItem>
      <errorID>e75917be-8c3c-4867-8434-b99b8f139ffc</errorID>
      <errorWord>)</errorWord>
      <group>L1_Format</group>
      <groupName>格式问题</groupName>
      <ability>L2_HalfPunc_CN</ability>
      <abilityName>全半角问题</abilityName>
      <candidateList>
        <item>）</item>
      </candidateList>
      <explain>文本全半角错误。</explain>
      <paraID>2BE25358</paraID>
      <start>127</start>
      <end>128</end>
      <status>unmodified</status>
      <modifiedWord/>
      <trackRevisions>false</trackRevisions>
    </reviewItem>
    <reviewItem>
      <errorID>497529e8-9694-44a4-856d-08fa735eccd6</errorID>
      <errorWord>参加党组 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词汇“参加党的组织生活”在特定场景下为固定表述形式，请确认此处的“参加党组 织生活”是否存在不当。</explain>
      <paraID> 556A065</paraID>
      <start>65</start>
      <end>73</end>
      <status>unmodified</status>
      <modifiedWord/>
      <trackRevisions>false</trackRevisions>
    </reviewItem>
    <reviewItem>
      <errorID>7271b65b-817d-4db1-ac36-d4167e367432</errorID>
      <errorWord>(</errorWord>
      <group>L1_Format</group>
      <groupName>格式问题</groupName>
      <ability>L2_HalfPunc_CN</ability>
      <abilityName>全半角问题</abilityName>
      <candidateList>
        <item>（</item>
      </candidateList>
      <explain>文本全半角错误。</explain>
      <paraID> 556A065</paraID>
      <start>115</start>
      <end>116</end>
      <status>unmodified</status>
      <modifiedWord/>
      <trackRevisions>false</trackRevisions>
    </reviewItem>
    <reviewItem>
      <errorID>4e2f323d-957d-4f77-8339-1e039fdf53d6</errorID>
      <errorWord>),</errorWord>
      <group>L1_Format</group>
      <groupName>格式问题</groupName>
      <ability>L2_HalfPunc_CN</ability>
      <abilityName>全半角问题</abilityName>
      <candidateList>
        <item>），</item>
      </candidateList>
      <explain>文本全半角错误。</explain>
      <paraID> 556A065</paraID>
      <start>120</start>
      <end>122</end>
      <status>unmodified</status>
      <modifiedWord/>
      <trackRevisions>false</trackRevisions>
    </reviewItem>
    <reviewItem>
      <errorID>87a865b7-f69a-445a-a1ec-5467f088604a</errorID>
      <errorWord>(</errorWord>
      <group>L1_Format</group>
      <groupName>格式问题</groupName>
      <ability>L2_HalfPunc_CN</ability>
      <abilityName>全半角问题</abilityName>
      <candidateList>
        <item>（</item>
      </candidateList>
      <explain>文本全半角错误。</explain>
      <paraID>1AB7C177</paraID>
      <start>94</start>
      <end>95</end>
      <status>unmodified</status>
      <modifiedWord/>
      <trackRevisions>false</trackRevisions>
    </reviewItem>
    <reviewItem>
      <errorID>8f2bf8ba-fb90-4b1c-8b2d-813ff40e3a4b</errorID>
      <errorWord>)</errorWord>
      <group>L1_Format</group>
      <groupName>格式问题</groupName>
      <ability>L2_HalfPunc_CN</ability>
      <abilityName>全半角问题</abilityName>
      <candidateList>
        <item>）</item>
      </candidateList>
      <explain>文本全半角错误。</explain>
      <paraID>1AB7C177</paraID>
      <start>103</start>
      <end>104</end>
      <status>unmodified</status>
      <modifiedWord/>
      <trackRevisions>false</trackRevisions>
    </reviewItem>
    <reviewItem>
      <errorID>408be0a0-5edc-48f5-9b37-90a294c8d522</errorID>
      <errorWord>(</errorWord>
      <group>L1_Format</group>
      <groupName>格式问题</groupName>
      <ability>L2_HalfPunc_CN</ability>
      <abilityName>全半角问题</abilityName>
      <candidateList>
        <item>（</item>
      </candidateList>
      <explain>文本全半角错误。</explain>
      <paraID>123CFBB7</paraID>
      <start>60</start>
      <end>61</end>
      <status>unmodified</status>
      <modifiedWord/>
      <trackRevisions>false</trackRevisions>
    </reviewItem>
    <reviewItem>
      <errorID>b1cf0686-910e-4e81-9897-7c2f8dd40342</errorID>
      <errorWord>)</errorWord>
      <group>L1_Format</group>
      <groupName>格式问题</groupName>
      <ability>L2_HalfPunc_CN</ability>
      <abilityName>全半角问题</abilityName>
      <candidateList>
        <item>）</item>
      </candidateList>
      <explain>文本全半角错误。</explain>
      <paraID>123CFBB7</paraID>
      <start>78</start>
      <end>79</end>
      <status>unmodified</status>
      <modifiedWord/>
      <trackRevisions>false</trackRevisions>
    </reviewItem>
    <reviewItem>
      <errorID>7ea4287d-c927-4e99-9592-8ed6a0de8b4e</errorID>
      <errorWord>获</errorWord>
      <group>L1_Word</group>
      <groupName>字词问题</groupName>
      <ability>L2_Typo</ability>
      <abilityName>字词错误</abilityName>
      <candidateList>
        <item>获得</item>
      </candidateList>
      <explain/>
      <paraID>29D904C2</paraID>
      <start>72</start>
      <end>73</end>
      <status>unmodified</status>
      <modifiedWord/>
      <trackRevisions>false</trackRevisions>
    </reviewItem>
    <reviewItem>
      <errorID>ebde5dc7-8a0f-4eaa-b61c-8de4490ff1f0</errorID>
      <errorWord>作</errorWord>
      <group>L1_Word</group>
      <groupName>字词问题</groupName>
      <ability>L2_Typo</ability>
      <abilityName>字词错误</abilityName>
      <candidateList>
        <item>做</item>
      </candidateList>
      <explain/>
      <paraID>29D904C2</paraID>
      <start>117</start>
      <end>118</end>
      <status>unmodified</status>
      <modifiedWord/>
      <trackRevisions>false</trackRevisions>
    </reviewItem>
    <reviewItem>
      <errorID>b95e1ac0-de24-4810-9428-902539cee7c9</errorID>
      <errorWord>(</errorWord>
      <group>L1_Format</group>
      <groupName>格式问题</groupName>
      <ability>L2_HalfPunc_CN</ability>
      <abilityName>全半角问题</abilityName>
      <candidateList>
        <item>（</item>
      </candidateList>
      <explain>文本全半角错误。</explain>
      <paraID>29D904C2</paraID>
      <start>136</start>
      <end>137</end>
      <status>unmodified</status>
      <modifiedWord/>
      <trackRevisions>false</trackRevisions>
    </reviewItem>
    <reviewItem>
      <errorID>98e67a23-e8f5-461a-adcb-e9d9998c3f1a</errorID>
      <errorWord>)</errorWord>
      <group>L1_Format</group>
      <groupName>格式问题</groupName>
      <ability>L2_HalfPunc_CN</ability>
      <abilityName>全半角问题</abilityName>
      <candidateList>
        <item>）</item>
      </candidateList>
      <explain>文本全半角错误。</explain>
      <paraID>29D904C2</paraID>
      <start>138</start>
      <end>139</end>
      <status>unmodified</status>
      <modifiedWord/>
      <trackRevisions>false</trackRevisions>
    </reviewItem>
    <reviewItem>
      <errorID>4489c493-2cd6-414c-963d-2c9a10660f1f</errorID>
      <errorWord>(</errorWord>
      <group>L1_Format</group>
      <groupName>格式问题</groupName>
      <ability>L2_HalfPunc_CN</ability>
      <abilityName>全半角问题</abilityName>
      <candidateList>
        <item>（</item>
      </candidateList>
      <explain>文本全半角错误。</explain>
      <paraID>31593D7E</paraID>
      <start>21</start>
      <end>22</end>
      <status>unmodified</status>
      <modifiedWord/>
      <trackRevisions>false</trackRevisions>
    </reviewItem>
    <reviewItem>
      <errorID>60289b50-8a26-4dfa-9e06-ff28dc5c8e75</errorID>
      <errorWord>),</errorWord>
      <group>L1_Format</group>
      <groupName>格式问题</groupName>
      <ability>L2_HalfPunc_CN</ability>
      <abilityName>全半角问题</abilityName>
      <candidateList>
        <item>），</item>
      </candidateList>
      <explain>文本全半角错误。</explain>
      <paraID>31593D7E</paraID>
      <start>63</start>
      <end>65</end>
      <status>unmodified</status>
      <modifiedWord/>
      <trackRevisions>false</trackRevisions>
    </reviewItem>
    <reviewItem>
      <errorID>b52f50ec-b3dd-4e54-9440-735fc5659741</errorID>
      <errorWord>(</errorWord>
      <group>L1_Format</group>
      <groupName>格式问题</groupName>
      <ability>L2_HalfPunc_CN</ability>
      <abilityName>全半角问题</abilityName>
      <candidateList>
        <item>（</item>
      </candidateList>
      <explain>文本全半角错误。</explain>
      <paraID>2FE106F2</paraID>
      <start>36</start>
      <end>37</end>
      <status>unmodified</status>
      <modifiedWord/>
      <trackRevisions>false</trackRevisions>
    </reviewItem>
    <reviewItem>
      <errorID>d0fb6e59-eda3-4feb-92ca-c6c78ec7f93d</errorID>
      <errorWord>),</errorWord>
      <group>L1_Format</group>
      <groupName>格式问题</groupName>
      <ability>L2_HalfPunc_CN</ability>
      <abilityName>全半角问题</abilityName>
      <candidateList>
        <item>），</item>
      </candidateList>
      <explain>文本全半角错误。</explain>
      <paraID>2FE106F2</paraID>
      <start>53</start>
      <end>55</end>
      <status>unmodified</status>
      <modifiedWord/>
      <trackRevisions>false</trackRevisions>
    </reviewItem>
    <reviewItem>
      <errorID>c51c2b0e-ee4c-4510-8748-0b729413a6bd</errorID>
      <errorWord>(</errorWord>
      <group>L1_Format</group>
      <groupName>格式问题</groupName>
      <ability>L2_HalfPunc_CN</ability>
      <abilityName>全半角问题</abilityName>
      <candidateList>
        <item>（</item>
      </candidateList>
      <explain>文本全半角错误。</explain>
      <paraID>26360D07</paraID>
      <start>72</start>
      <end>73</end>
      <status>unmodified</status>
      <modifiedWord/>
      <trackRevisions>false</trackRevisions>
    </reviewItem>
    <reviewItem>
      <errorID>45883860-65bb-4e61-9509-92ec6299f5e2</errorID>
      <errorWord>(</errorWord>
      <group>L1_Punc</group>
      <groupName>标点问题</groupName>
      <ability>L2_Punc_CN</ability>
      <abilityName>标点符号问题</abilityName>
      <candidateList/>
      <explain>同一形式括号套用。</explain>
      <paraID>26360D07</paraID>
      <start>108</start>
      <end>109</end>
      <status>unmodified</status>
      <modifiedWord/>
      <trackRevisions>false</trackRevisions>
    </reviewItem>
    <reviewItem>
      <errorID>70bb0814-c4e3-4899-bb29-a10fad3a0d84</errorID>
      <errorWord>)</errorWord>
      <group>L1_Punc</group>
      <groupName>标点问题</groupName>
      <ability>L2_Punc_CN</ability>
      <abilityName>标点符号问题</abilityName>
      <candidateList/>
      <explain>同一形式括号套用。</explain>
      <paraID>26360D07</paraID>
      <start>111</start>
      <end>112</end>
      <status>unmodified</status>
      <modifiedWord/>
      <trackRevisions>false</trackRevisions>
    </reviewItem>
    <reviewItem>
      <errorID>8d62745a-deca-41e8-9fa8-fcd1f0ecd6f6</errorID>
      <errorWord>)</errorWord>
      <group>L1_Format</group>
      <groupName>格式问题</groupName>
      <ability>L2_HalfPunc_CN</ability>
      <abilityName>全半角问题</abilityName>
      <candidateList>
        <item>）</item>
      </candidateList>
      <explain>文本全半角错误。</explain>
      <paraID>26360D07</paraID>
      <start>117</start>
      <end>118</end>
      <status>unmodified</status>
      <modifiedWord/>
      <trackRevisions>false</trackRevisions>
    </reviewItem>
    <reviewItem>
      <errorID>e23d26c5-9629-4a44-8147-bba4d2c89d63</errorID>
      <errorWord>(</errorWord>
      <group>L1_Format</group>
      <groupName>格式问题</groupName>
      <ability>L2_HalfPunc_CN</ability>
      <abilityName>全半角问题</abilityName>
      <candidateList>
        <item>（</item>
      </candidateList>
      <explain>文本全半角错误。</explain>
      <paraID>  4A7546</paraID>
      <start>38</start>
      <end>39</end>
      <status>unmodified</status>
      <modifiedWord/>
      <trackRevisions>false</trackRevisions>
    </reviewItem>
    <reviewItem>
      <errorID>ac0d74eb-5069-4c83-89d8-d481ef29b7e2</errorID>
      <errorWord>)</errorWord>
      <group>L1_Format</group>
      <groupName>格式问题</groupName>
      <ability>L2_HalfPunc_CN</ability>
      <abilityName>全半角问题</abilityName>
      <candidateList>
        <item>）</item>
      </candidateList>
      <explain>文本全半角错误。</explain>
      <paraID>  4A7546</paraID>
      <start>43</start>
      <end>44</end>
      <status>unmodified</status>
      <modifiedWord/>
      <trackRevisions>false</trackRevisions>
    </reviewItem>
    <reviewItem>
      <errorID>8667bb30-8788-402f-905d-e6eb2761d753</errorID>
      <errorWord>(</errorWord>
      <group>L1_Format</group>
      <groupName>格式问题</groupName>
      <ability>L2_HalfPunc_CN</ability>
      <abilityName>全半角问题</abilityName>
      <candidateList>
        <item>（</item>
      </candidateList>
      <explain>文本全半角错误。</explain>
      <paraID>22CF6EE2</paraID>
      <start>57</start>
      <end>58</end>
      <status>unmodified</status>
      <modifiedWord/>
      <trackRevisions>false</trackRevisions>
    </reviewItem>
    <reviewItem>
      <errorID>15fe5b3b-c472-4305-b370-932a31fa04da</errorID>
      <errorWord>)</errorWord>
      <group>L1_Format</group>
      <groupName>格式问题</groupName>
      <ability>L2_HalfPunc_CN</ability>
      <abilityName>全半角问题</abilityName>
      <candidateList>
        <item>）</item>
      </candidateList>
      <explain>文本全半角错误。</explain>
      <paraID>22CF6EE2</paraID>
      <start>68</start>
      <end>69</end>
      <status>unmodified</status>
      <modifiedWord/>
      <trackRevisions>false</trackRevisions>
    </reviewItem>
    <reviewItem>
      <errorID>4ba25548-8e93-4b46-80a7-1efa85e5db4d</errorID>
      <errorWord>（</errorWord>
      <group>L1_Format</group>
      <groupName>格式问题</groupName>
      <ability>L2_HalfPunc_CN</ability>
      <abilityName>全半角问题</abilityName>
      <candidateList>
        <item>(</item>
      </candidateList>
      <explain>文本全半角错误。</explain>
      <paraID>621F5518</paraID>
      <start>4</start>
      <end>5</end>
      <status>unmodified</status>
      <modifiedWord/>
      <trackRevisions>false</trackRevisions>
    </reviewItem>
    <reviewItem>
      <errorID>98c7c4f0-358b-4112-bba2-e2c1b09a3fe3</errorID>
      <errorWord>）</errorWord>
      <group>L1_Format</group>
      <groupName>格式问题</groupName>
      <ability>L2_HalfPunc_CN</ability>
      <abilityName>全半角问题</abilityName>
      <candidateList>
        <item>)</item>
      </candidateList>
      <explain>文本全半角错误。</explain>
      <paraID>621F5518</paraID>
      <start>6</start>
      <end>7</end>
      <status>unmodified</status>
      <modifiedWord/>
      <trackRevisions>false</trackRevisions>
    </reviewItem>
    <reviewItem>
      <errorID>99c272e3-2e18-4d47-97a2-ad6e9f254653</errorID>
      <errorWord>（</errorWord>
      <group>L1_Format</group>
      <groupName>格式问题</groupName>
      <ability>L2_HalfPunc_CN</ability>
      <abilityName>全半角问题</abilityName>
      <candidateList>
        <item>(</item>
      </candidateList>
      <explain>文本全半角错误。</explain>
      <paraID>78A06B1A</paraID>
      <start>4</start>
      <end>5</end>
      <status>unmodified</status>
      <modifiedWord/>
      <trackRevisions>false</trackRevisions>
    </reviewItem>
    <reviewItem>
      <errorID>1c62bee4-1f31-43f7-afff-750828e54d93</errorID>
      <errorWord>）</errorWord>
      <group>L1_Format</group>
      <groupName>格式问题</groupName>
      <ability>L2_HalfPunc_CN</ability>
      <abilityName>全半角问题</abilityName>
      <candidateList>
        <item>)</item>
      </candidateList>
      <explain>文本全半角错误。</explain>
      <paraID>78A06B1A</paraID>
      <start>6</start>
      <end>7</end>
      <status>unmodified</status>
      <modifiedWord/>
      <trackRevisions>false</trackRevisions>
    </reviewItem>
    <reviewItem>
      <errorID>b1ba64f9-a46c-4061-a612-63ca50b44382</errorID>
      <errorWord>(</errorWord>
      <group>L1_Format</group>
      <groupName>格式问题</groupName>
      <ability>L2_HalfPunc_CN</ability>
      <abilityName>全半角问题</abilityName>
      <candidateList>
        <item>（</item>
      </candidateList>
      <explain>文本全半角错误。</explain>
      <paraID>3C940B10</paraID>
      <start>19</start>
      <end>20</end>
      <status>unmodified</status>
      <modifiedWord/>
      <trackRevisions>false</trackRevisions>
    </reviewItem>
    <reviewItem>
      <errorID>d45dc73a-b6a5-4695-b34f-d154dbf53f79</errorID>
      <errorWord>)</errorWord>
      <group>L1_Format</group>
      <groupName>格式问题</groupName>
      <ability>L2_HalfPunc_CN</ability>
      <abilityName>全半角问题</abilityName>
      <candidateList>
        <item>）</item>
      </candidateList>
      <explain>文本全半角错误。</explain>
      <paraID>3C940B10</paraID>
      <start>29</start>
      <end>30</end>
      <status>unmodified</status>
      <modifiedWord/>
      <trackRevisions>false</trackRevisions>
    </reviewItem>
    <reviewItem>
      <errorID>7787d1c1-688c-4f4a-9384-fc00f11a4c8c</errorID>
      <errorWord>施行</errorWord>
      <group>L1_Word</group>
      <groupName>字词问题</groupName>
      <ability>L2_Typo</ability>
      <abilityName>字词错误</abilityName>
      <candidateList>
        <item>实行</item>
      </candidateList>
      <explain/>
      <paraID>3C940B10</paraID>
      <start>75</start>
      <end>77</end>
      <status>unmodified</status>
      <modifiedWord/>
      <trackRevisions>false</trackRevisions>
    </reviewItem>
    <reviewItem>
      <errorID>aba0243c-90e2-46d0-ab32-64019155a868</errorID>
      <errorWord>检</errorWord>
      <group>L1_Word</group>
      <groupName>字词问题</groupName>
      <ability>L2_Typo</ability>
      <abilityName>字词错误</abilityName>
      <candidateList>
        <item>检查</item>
      </candidateList>
      <explain/>
      <paraID>3C940B10</paraID>
      <start>86</start>
      <end>87</end>
      <status>unmodified</status>
      <modifiedWord/>
      <trackRevisions>false</trackRevisions>
    </reviewItem>
    <reviewItem>
      <errorID>5e90954f-d22c-4990-b981-1ef3d9b0b529</errorID>
      <errorWord>(</errorWord>
      <group>L1_Format</group>
      <groupName>格式问题</groupName>
      <ability>L2_HalfPunc_CN</ability>
      <abilityName>全半角问题</abilityName>
      <candidateList>
        <item>（</item>
      </candidateList>
      <explain>文本全半角错误。</explain>
      <paraID>2460C5A5</paraID>
      <start>95</start>
      <end>96</end>
      <status>unmodified</status>
      <modifiedWord/>
      <trackRevisions>false</trackRevisions>
    </reviewItem>
    <reviewItem>
      <errorID>8d78493c-569b-4f11-8d97-e03aff1362fc</errorID>
      <errorWord>)</errorWord>
      <group>L1_Format</group>
      <groupName>格式问题</groupName>
      <ability>L2_HalfPunc_CN</ability>
      <abilityName>全半角问题</abilityName>
      <candidateList>
        <item>）</item>
      </candidateList>
      <explain>文本全半角错误。</explain>
      <paraID>2460C5A5</paraID>
      <start>97</start>
      <end>98</end>
      <status>unmodified</status>
      <modifiedWord/>
      <trackRevisions>false</trackRevisions>
    </reviewItem>
    <reviewItem>
      <errorID>d8808efb-d72a-4e1c-9963-df63532a89d6</errorID>
      <errorWord>[2024]16号</errorWord>
      <group>L1_Knowledge</group>
      <groupName>知识性问题</groupName>
      <ability>L2_Knowledge</ability>
      <abilityName>其他知识</abilityName>
      <candidateList>
        <item>〔2024〕16号</item>
      </candidateList>
      <explain>发文字号格式错误。</explain>
      <paraID>411745EE</paraID>
      <start>48</start>
      <end>57</end>
      <status>unmodified</status>
      <modifiedWord/>
      <trackRevisions>false</trackRevisions>
    </reviewItem>
    <reviewItem>
      <errorID>c23197e0-96f0-4aa2-aff6-8266235a63b6</errorID>
      <errorWord>规定的</errorWord>
      <group>L1_Word</group>
      <groupName>字词问题</groupName>
      <ability>L2_Typo</ability>
      <abilityName>字词错误</abilityName>
      <candidateList>
        <item>规定</item>
      </candidateList>
      <explain/>
      <paraID>1EB4534A</paraID>
      <start>56</start>
      <end>59</end>
      <status>unmodified</status>
      <modifiedWord/>
      <trackRevisions>false</trackRevisions>
    </reviewItem>
    <reviewItem>
      <errorID>ad3558de-760b-41ca-86b5-e7c2c48df908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3658E713</paraID>
      <start>71</start>
      <end>72</end>
      <status>unmodified</status>
      <modifiedWord/>
      <trackRevisions>false</trackRevisions>
    </reviewItem>
    <reviewItem>
      <errorID>a02fd9f5-30bd-4b1c-8c31-d2e9f4fb2ec0</errorID>
      <errorWord>"</errorWord>
      <group>L1_Format</group>
      <groupName>格式问题</groupName>
      <ability>L2_HalfPunc_CN</ability>
      <abilityName>全半角问题</abilityName>
      <candidateList>
        <item>”</item>
      </candidateList>
      <explain>文本全半角错误。</explain>
      <paraID>3658E713</paraID>
      <start>81</start>
      <end>82</end>
      <status>unmodified</status>
      <modifiedWord/>
      <trackRevisions>false</trackRevisions>
    </reviewItem>
    <reviewItem>
      <errorID>7d688738-32ca-47be-97ec-cb8c7e978f7d</errorID>
      <errorWord>(</errorWord>
      <group>L1_Format</group>
      <groupName>格式问题</groupName>
      <ability>L2_HalfPunc_CN</ability>
      <abilityName>全半角问题</abilityName>
      <candidateList>
        <item>（</item>
      </candidateList>
      <explain>文本全半角错误。</explain>
      <paraID>7CA873CB</paraID>
      <start>15</start>
      <end>16</end>
      <status>unmodified</status>
      <modifiedWord/>
      <trackRevisions>false</trackRevisions>
    </reviewItem>
    <reviewItem>
      <errorID>d834f8b8-6ba1-4816-af97-4a1ae9d8e51d</errorID>
      <errorWord>)</errorWord>
      <group>L1_Format</group>
      <groupName>格式问题</groupName>
      <ability>L2_HalfPunc_CN</ability>
      <abilityName>全半角问题</abilityName>
      <candidateList>
        <item>）</item>
      </candidateList>
      <explain>文本全半角错误。</explain>
      <paraID>7CA873CB</paraID>
      <start>19</start>
      <end>20</end>
      <status>unmodified</status>
      <modifiedWord/>
      <trackRevisions>false</trackRevisions>
    </reviewItem>
    <reviewItem>
      <errorID>5222d0dd-ab00-4810-9d69-69902cef2d06</errorID>
      <errorWord>(</errorWord>
      <group>L1_Format</group>
      <groupName>格式问题</groupName>
      <ability>L2_HalfPunc_CN</ability>
      <abilityName>全半角问题</abilityName>
      <candidateList>
        <item>（</item>
      </candidateList>
      <explain>文本全半角错误。</explain>
      <paraID>70D9FF95</paraID>
      <start>61</start>
      <end>62</end>
      <status>unmodified</status>
      <modifiedWord/>
      <trackRevisions>false</trackRevisions>
    </reviewItem>
    <reviewItem>
      <errorID>888953b4-f83a-46e5-a97b-2a3c4f9a60e1</errorID>
      <errorWord>)</errorWord>
      <group>L1_Format</group>
      <groupName>格式问题</groupName>
      <ability>L2_HalfPunc_CN</ability>
      <abilityName>全半角问题</abilityName>
      <candidateList>
        <item>）</item>
      </candidateList>
      <explain>文本全半角错误。</explain>
      <paraID>70D9FF95</paraID>
      <start>65</start>
      <end>66</end>
      <status>unmodified</status>
      <modifiedWord/>
      <trackRevisions>false</trackRevisions>
    </reviewItem>
    <reviewItem>
      <errorID>298cc337-0288-457e-8cde-fd6859708db8</errorID>
      <errorWord>(</errorWord>
      <group>L1_Format</group>
      <groupName>格式问题</groupName>
      <ability>L2_HalfPunc_CN</ability>
      <abilityName>全半角问题</abilityName>
      <candidateList>
        <item>（</item>
      </candidateList>
      <explain>文本全半角错误。</explain>
      <paraID>1B5C6F7E</paraID>
      <start>13</start>
      <end>14</end>
      <status>unmodified</status>
      <modifiedWord/>
      <trackRevisions>false</trackRevisions>
    </reviewItem>
    <reviewItem>
      <errorID>0e9144d9-c8fe-4334-9f41-04b4b200f558</errorID>
      <errorWord>)</errorWord>
      <group>L1_Format</group>
      <groupName>格式问题</groupName>
      <ability>L2_HalfPunc_CN</ability>
      <abilityName>全半角问题</abilityName>
      <candidateList>
        <item>）</item>
      </candidateList>
      <explain>文本全半角错误。</explain>
      <paraID>1B5C6F7E</paraID>
      <start>17</start>
      <end>18</end>
      <status>unmodified</status>
      <modifiedWord/>
      <trackRevisions>false</trackRevisions>
    </reviewItem>
    <reviewItem>
      <errorID>c1bb1c29-08c9-4cc2-ac8c-540c8806e5a9</errorID>
      <errorWord>整</errorWord>
      <group>L1_Word</group>
      <groupName>字词问题</groupName>
      <ability>L2_Typo</ability>
      <abilityName>字词错误</abilityName>
      <candidateList>
        <item>整在</item>
      </candidateList>
      <explain/>
      <paraID> 61E3C14</paraID>
      <start>20</start>
      <end>21</end>
      <status>unmodified</status>
      <modifiedWord/>
      <trackRevisions>false</trackRevisions>
    </reviewItem>
    <reviewItem>
      <errorID>de948b1f-ccbe-44cc-b1c1-02ab6888084c</errorID>
      <errorWord>(</errorWord>
      <group>L1_Format</group>
      <groupName>格式问题</groupName>
      <ability>L2_HalfPunc_CN</ability>
      <abilityName>全半角问题</abilityName>
      <candidateList>
        <item>（</item>
      </candidateList>
      <explain>文本全半角错误。</explain>
      <paraID>6EA99A27</paraID>
      <start>28</start>
      <end>29</end>
      <status>unmodified</status>
      <modifiedWord/>
      <trackRevisions>false</trackRevisions>
    </reviewItem>
    <reviewItem>
      <errorID>088e2c14-d63f-40bd-8fc3-593d90def85e</errorID>
      <errorWord>)</errorWord>
      <group>L1_Format</group>
      <groupName>格式问题</groupName>
      <ability>L2_HalfPunc_CN</ability>
      <abilityName>全半角问题</abilityName>
      <candidateList>
        <item>）</item>
      </candidateList>
      <explain>文本全半角错误。</explain>
      <paraID>6EA99A27</paraID>
      <start>36</start>
      <end>37</end>
      <status>unmodified</status>
      <modifiedWord/>
      <trackRevisions>false</trackRevisions>
    </reviewItem>
    <reviewItem>
      <errorID>b7b811b7-5bbf-4982-9e05-5df8b5441f03</errorID>
      <errorWord>;</errorWord>
      <group>L1_Format</group>
      <groupName>格式问题</groupName>
      <ability>L2_HalfPunc_CN</ability>
      <abilityName>全半角问题</abilityName>
      <candidateList>
        <item>；</item>
      </candidateList>
      <explain>文本全半角错误。</explain>
      <paraID>5B5FD45A</paraID>
      <start>71</start>
      <end>72</end>
      <status>unmodified</status>
      <modifiedWord/>
      <trackRevisions>false</trackRevisions>
    </reviewItem>
    <reviewItem>
      <errorID>34dce87c-fb12-4c30-b9f2-c4451a424b34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1B0B7859</paraID>
      <start>1</start>
      <end>4</end>
      <status>unmodified</status>
      <modifiedWord/>
      <trackRevisions>false</trackRevisions>
    </reviewItem>
    <reviewItem>
      <errorID>e7b84a18-5a18-4ac1-8676-b2b7cd301cf0</errorID>
      <errorWord>)</errorWord>
      <group>L1_Format</group>
      <groupName>格式问题</groupName>
      <ability>L2_HalfPunc_CN</ability>
      <abilityName>全半角问题</abilityName>
      <candidateList>
        <item>）</item>
      </candidateList>
      <explain>文本全半角错误。</explain>
      <paraID>1B0B7859</paraID>
      <start>68</start>
      <end>69</end>
      <status>unmodified</status>
      <modifiedWord/>
      <trackRevisions>false</trackRevisions>
    </reviewItem>
    <reviewItem>
      <errorID>518b4a49-236a-4073-9788-67cd09c81309</errorID>
      <errorWord>)</errorWord>
      <group>L1_Format</group>
      <groupName>格式问题</groupName>
      <ability>L2_HalfPunc_CN</ability>
      <abilityName>全半角问题</abilityName>
      <candidateList>
        <item>）</item>
      </candidateList>
      <explain>文本全半角错误。</explain>
      <paraID>1B0B7859</paraID>
      <start>118</start>
      <end>119</end>
      <status>unmodified</status>
      <modifiedWord/>
      <trackRevisions>false</trackRevisions>
    </reviewItem>
    <reviewItem>
      <errorID>8e4fbdc3-7ba6-4033-8d80-57e108df8fce</errorID>
      <errorWord>)</errorWord>
      <group>L1_Format</group>
      <groupName>格式问题</groupName>
      <ability>L2_HalfPunc_CN</ability>
      <abilityName>全半角问题</abilityName>
      <candidateList>
        <item>）</item>
      </candidateList>
      <explain>文本全半角错误。</explain>
      <paraID>1B0B7859</paraID>
      <start>265</start>
      <end>266</end>
      <status>unmodified</status>
      <modifiedWord/>
      <trackRevisions>false</trackRevisions>
    </reviewItem>
    <reviewItem>
      <errorID>abedc991-d352-4838-a40c-c439c4d099bc</errorID>
      <errorWord>)</errorWord>
      <group>L1_Format</group>
      <groupName>格式问题</groupName>
      <ability>L2_HalfPunc_CN</ability>
      <abilityName>全半角问题</abilityName>
      <candidateList>
        <item>）</item>
      </candidateList>
      <explain>文本全半角错误。</explain>
      <paraID>1B0B7859</paraID>
      <start>307</start>
      <end>308</end>
      <status>unmodified</status>
      <modifiedWord/>
      <trackRevisions>false</trackRevisions>
    </reviewItem>
    <reviewItem>
      <errorID>f21f9907-e364-4feb-a1a1-f543876c13c9</errorID>
      <errorWord>)</errorWord>
      <group>L1_Format</group>
      <groupName>格式问题</groupName>
      <ability>L2_HalfPunc_CN</ability>
      <abilityName>全半角问题</abilityName>
      <candidateList>
        <item>）</item>
      </candidateList>
      <explain>文本全半角错误。</explain>
      <paraID>1B0B7859</paraID>
      <start>455</start>
      <end>456</end>
      <status>unmodified</status>
      <modifiedWord/>
      <trackRevisions>false</trackRevisions>
    </reviewItem>
    <reviewItem>
      <errorID>73ebccbc-da9d-4de7-b437-ceaaa590da92</errorID>
      <errorWord>)</errorWord>
      <group>L1_Format</group>
      <groupName>格式问题</groupName>
      <ability>L2_HalfPunc_CN</ability>
      <abilityName>全半角问题</abilityName>
      <candidateList>
        <item>）</item>
      </candidateList>
      <explain>文本全半角错误。</explain>
      <paraID>1B0B7859</paraID>
      <start>544</start>
      <end>545</end>
      <status>unmodified</status>
      <modifiedWord/>
      <trackRevisions>false</trackRevisions>
    </reviewItem>
    <reviewItem>
      <errorID>1152eeca-05f8-4279-a0f7-e5ce50e3314b</errorID>
      <errorWord>（</errorWord>
      <group>L1_Format</group>
      <groupName>格式问题</groupName>
      <ability>L2_HalfPunc_CN</ability>
      <abilityName>全半角问题</abilityName>
      <candidateList>
        <item>(</item>
      </candidateList>
      <explain>文本全半角错误。</explain>
      <paraID>332906DD</paraID>
      <start>6</start>
      <end>7</end>
      <status>unmodified</status>
      <modifiedWord/>
      <trackRevisions>false</trackRevisions>
    </reviewItem>
    <reviewItem>
      <errorID>27b78ace-4bd8-4c01-8eb8-6971a242da3c</errorID>
      <errorWord>）</errorWord>
      <group>L1_Format</group>
      <groupName>格式问题</groupName>
      <ability>L2_HalfPunc_CN</ability>
      <abilityName>全半角问题</abilityName>
      <candidateList>
        <item>)</item>
      </candidateList>
      <explain>文本全半角错误。</explain>
      <paraID>332906DD</paraID>
      <start>8</start>
      <end>9</end>
      <status>unmodified</status>
      <modifiedWord/>
      <trackRevisions>false</trackRevisions>
    </reviewItem>
    <reviewItem>
      <errorID>4460bdc6-2f80-48fb-b8b8-1af24be419ff</errorID>
      <errorWord>：/</errorWord>
      <group>L1_Punc</group>
      <groupName>标点问题</groupName>
      <ability>L2_Punc_CN</ability>
      <abilityName>标点符号问题</abilityName>
      <candidateList>
        <item>：</item>
      </candidateList>
      <explain/>
      <paraID>58BEB533</paraID>
      <start>7</start>
      <end>9</end>
      <status>unmodified</status>
      <modifiedWord/>
      <trackRevisions>false</trackRevisions>
    </reviewItem>
    <reviewItem>
      <errorID>4ad495f4-61a2-40bf-8f52-2bcf35d537ea</errorID>
      <errorWord>（</errorWord>
      <group>L1_Format</group>
      <groupName>格式问题</groupName>
      <ability>L2_HalfPunc_CN</ability>
      <abilityName>全半角问题</abilityName>
      <candidateList>
        <item>(</item>
      </candidateList>
      <explain>文本全半角错误。</explain>
      <paraID> E279062</paraID>
      <start>6</start>
      <end>7</end>
      <status>unmodified</status>
      <modifiedWord/>
      <trackRevisions>false</trackRevisions>
    </reviewItem>
    <reviewItem>
      <errorID>a58de32b-b13b-4c58-851c-e8ee94de2ea8</errorID>
      <errorWord>）</errorWord>
      <group>L1_Format</group>
      <groupName>格式问题</groupName>
      <ability>L2_HalfPunc_CN</ability>
      <abilityName>全半角问题</abilityName>
      <candidateList>
        <item>)</item>
      </candidateList>
      <explain>文本全半角错误。</explain>
      <paraID> E279062</paraID>
      <start>8</start>
      <end>9</end>
      <status>unmodified</status>
      <modifiedWord/>
      <trackRevisions>false</trackRevisions>
    </reviewItem>
    <reviewItem>
      <errorID>c508a6e3-3cf5-4703-989c-8393ffe71cd2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3633C652</paraID>
      <start>0</start>
      <end>3</end>
      <status>unmodified</status>
      <modifiedWord/>
      <trackRevisions>false</trackRevisions>
    </reviewItem>
    <reviewItem>
      <errorID>6442b7f9-4b5b-4d56-9c88-fbeab7b8f375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545645C3</paraID>
      <start>0</start>
      <end>3</end>
      <status>unmodified</status>
      <modifiedWord/>
      <trackRevisions>false</trackRevisions>
    </reviewItem>
    <reviewItem>
      <errorID>d658ee63-83ad-40fa-a4fa-3504741d3e06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266B5859</paraID>
      <start>0</start>
      <end>3</end>
      <status>unmodified</status>
      <modifiedWord/>
      <trackRevisions>false</trackRevisions>
    </reviewItem>
    <reviewItem>
      <errorID>a8673bd6-c99f-496b-ab61-e06d010e0359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7E1034AA</paraID>
      <start>0</start>
      <end>3</end>
      <status>unmodified</status>
      <modifiedWord/>
      <trackRevisions>false</trackRevisions>
    </reviewItem>
    <reviewItem>
      <errorID>548d1c86-1ae1-447c-bf8e-2d57526902b6</errorID>
      <errorWord>(</errorWord>
      <group>L1_Format</group>
      <groupName>格式问题</groupName>
      <ability>L2_HalfPunc_CN</ability>
      <abilityName>全半角问题</abilityName>
      <candidateList>
        <item>（</item>
      </candidateList>
      <explain>文本全半角错误。</explain>
      <paraID>7E1034AA</paraID>
      <start>20</start>
      <end>21</end>
      <status>unmodified</status>
      <modifiedWord/>
      <trackRevisions>false</trackRevisions>
    </reviewItem>
    <reviewItem>
      <errorID>46435a21-b748-4065-a47c-b15c6286bbeb</errorID>
      <errorWord>)</errorWord>
      <group>L1_Format</group>
      <groupName>格式问题</groupName>
      <ability>L2_HalfPunc_CN</ability>
      <abilityName>全半角问题</abilityName>
      <candidateList>
        <item>）</item>
      </candidateList>
      <explain>文本全半角错误。</explain>
      <paraID>7E1034AA</paraID>
      <start>23</start>
      <end>24</end>
      <status>unmodified</status>
      <modifiedWord/>
      <trackRevisions>false</trackRevisions>
    </reviewItem>
    <reviewItem>
      <errorID>d0879a33-1e0c-4810-b1f7-8c22f9d4f828</errorID>
      <errorWord>（</errorWord>
      <group>L1_Format</group>
      <groupName>格式问题</groupName>
      <ability>L2_HalfPunc_CN</ability>
      <abilityName>全半角问题</abilityName>
      <candidateList>
        <item>(</item>
      </candidateList>
      <explain>文本全半角错误。</explain>
      <paraID>4795A855</paraID>
      <start>6</start>
      <end>7</end>
      <status>unmodified</status>
      <modifiedWord/>
      <trackRevisions>false</trackRevisions>
    </reviewItem>
    <reviewItem>
      <errorID>d15d3025-0191-4065-af75-a33a2d7bb506</errorID>
      <errorWord>）</errorWord>
      <group>L1_Format</group>
      <groupName>格式问题</groupName>
      <ability>L2_HalfPunc_CN</ability>
      <abilityName>全半角问题</abilityName>
      <candidateList>
        <item>)</item>
      </candidateList>
      <explain>文本全半角错误。</explain>
      <paraID>4795A855</paraID>
      <start>8</start>
      <end>9</end>
      <status>unmodified</status>
      <modifiedWord/>
      <trackRevisions>false</trackRevisions>
    </reviewItem>
    <reviewItem>
      <errorID>b67291c4-2c5d-4bdf-92a3-d0465fd272ba</errorID>
      <errorWord>（</errorWord>
      <group>L1_Format</group>
      <groupName>格式问题</groupName>
      <ability>L2_HalfPunc_CN</ability>
      <abilityName>全半角问题</abilityName>
      <candidateList>
        <item>(</item>
      </candidateList>
      <explain>文本全半角错误。</explain>
      <paraID>6C2D1E77</paraID>
      <start>6</start>
      <end>7</end>
      <status>unmodified</status>
      <modifiedWord/>
      <trackRevisions>false</trackRevisions>
    </reviewItem>
    <reviewItem>
      <errorID>1a0d3558-516e-438e-9219-1bb3e8ffe748</errorID>
      <errorWord>）</errorWord>
      <group>L1_Format</group>
      <groupName>格式问题</groupName>
      <ability>L2_HalfPunc_CN</ability>
      <abilityName>全半角问题</abilityName>
      <candidateList>
        <item>)</item>
      </candidateList>
      <explain>文本全半角错误。</explain>
      <paraID>6C2D1E77</paraID>
      <start>8</start>
      <end>9</end>
      <status>unmodified</status>
      <modifiedWord/>
      <trackRevisions>false</trackRevisions>
    </reviewItem>
    <reviewItem>
      <errorID>037ba63c-8b6b-42f2-bf15-c72e15c8cf28</errorID>
      <errorWord>：/</errorWord>
      <group>L1_Punc</group>
      <groupName>标点问题</groupName>
      <ability>L2_Punc_CN</ability>
      <abilityName>标点符号问题</abilityName>
      <candidateList>
        <item>：</item>
      </candidateList>
      <explain/>
      <paraID> BCBACC0</paraID>
      <start>10</start>
      <end>12</end>
      <status>unmodified</status>
      <modifiedWord/>
      <trackRevisions>false</trackRevisions>
    </reviewItem>
    <reviewItem>
      <errorID>a51eac8c-b58a-4bc7-8026-59fcc4dabdb7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BC3D797</paraID>
      <start>0</start>
      <end>3</end>
      <status>unmodified</status>
      <modifiedWord/>
      <trackRevisions>false</trackRevisions>
    </reviewItem>
    <reviewItem>
      <errorID>f2c073cb-ebed-460a-ac79-1fcd9f85eeb9</errorID>
      <errorWord>(</errorWord>
      <group>L1_Format</group>
      <groupName>格式问题</groupName>
      <ability>L2_HalfPunc_CN</ability>
      <abilityName>全半角问题</abilityName>
      <candidateList>
        <item>（</item>
      </candidateList>
      <explain>文本全半角错误。</explain>
      <paraID>33074C2E</paraID>
      <start>92</start>
      <end>93</end>
      <status>unmodified</status>
      <modifiedWord/>
      <trackRevisions>false</trackRevisions>
    </reviewItem>
    <reviewItem>
      <errorID>cb9c8324-5347-4713-b809-6f2f3121fbca</errorID>
      <errorWord>)</errorWord>
      <group>L1_Format</group>
      <groupName>格式问题</groupName>
      <ability>L2_HalfPunc_CN</ability>
      <abilityName>全半角问题</abilityName>
      <candidateList>
        <item>）</item>
      </candidateList>
      <explain>文本全半角错误。</explain>
      <paraID>33074C2E</paraID>
      <start>104</start>
      <end>105</end>
      <status>unmodified</status>
      <modifiedWord/>
      <trackRevisions>false</trackRevisions>
    </reviewItem>
    <reviewItem>
      <errorID>7e19b46d-8fd1-4492-af78-f04f6cafad51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1659EC4A</paraID>
      <start>0</start>
      <end>3</end>
      <status>unmodified</status>
      <modifiedWord/>
      <trackRevisions>false</trackRevisions>
    </reviewItem>
    <reviewItem>
      <errorID>bbddcfaa-c249-4fe6-859e-4dd6b01c5f9e</errorID>
      <errorWord>(</errorWord>
      <group>L1_Format</group>
      <groupName>格式问题</groupName>
      <ability>L2_HalfPunc_CN</ability>
      <abilityName>全半角问题</abilityName>
      <candidateList>
        <item>（</item>
      </candidateList>
      <explain>文本全半角错误。</explain>
      <paraID>1659EC4A</paraID>
      <start>22</start>
      <end>23</end>
      <status>unmodified</status>
      <modifiedWord/>
      <trackRevisions>false</trackRevisions>
    </reviewItem>
    <reviewItem>
      <errorID>22f3e1ab-7c87-4017-b9d4-c7599b983b0e</errorID>
      <errorWord>)</errorWord>
      <group>L1_Format</group>
      <groupName>格式问题</groupName>
      <ability>L2_HalfPunc_CN</ability>
      <abilityName>全半角问题</abilityName>
      <candidateList>
        <item>）</item>
      </candidateList>
      <explain>文本全半角错误。</explain>
      <paraID>1659EC4A</paraID>
      <start>32</start>
      <end>33</end>
      <status>unmodified</status>
      <modifiedWord/>
      <trackRevisions>false</trackRevisions>
    </reviewItem>
    <reviewItem>
      <errorID>64df671c-b9c4-4443-b07a-809453ee3544</errorID>
      <errorWord>中的</errorWord>
      <group>L1_Word</group>
      <groupName>字词问题</groupName>
      <ability>L2_Typo</ability>
      <abilityName>字词错误</abilityName>
      <candidateList>
        <item>中</item>
      </candidateList>
      <explain/>
      <paraID>2D7DBA20</paraID>
      <start>29</start>
      <end>31</end>
      <status>unmodified</status>
      <modifiedWord/>
      <trackRevisions>false</trackRevisions>
    </reviewItem>
    <reviewItem>
      <errorID>372da1ed-0d83-41d4-9ca4-efbccd41c2bc</errorID>
      <errorWord>(</errorWord>
      <group>L1_Format</group>
      <groupName>格式问题</groupName>
      <ability>L2_HalfPunc_CN</ability>
      <abilityName>全半角问题</abilityName>
      <candidateList>
        <item>（</item>
      </candidateList>
      <explain>文本全半角错误。</explain>
      <paraID>4747D055</paraID>
      <start>77</start>
      <end>78</end>
      <status>unmodified</status>
      <modifiedWord/>
      <trackRevisions>false</trackRevisions>
    </reviewItem>
    <reviewItem>
      <errorID>2ea286a3-b833-4bbc-8390-6fe393ee1639</errorID>
      <errorWord>"</errorWord>
      <group>L1_Format</group>
      <groupName>格式问题</groupName>
      <ability>L2_HalfPunc_CN</ability>
      <abilityName>全半角问题</abilityName>
      <candidateList>
        <item>“</item>
      </candidateList>
      <explain>文本全半角错误。</explain>
      <paraID>4747D055</paraID>
      <start>87</start>
      <end>88</end>
      <status>unmodified</status>
      <modifiedWord/>
      <trackRevisions>false</trackRevisions>
    </reviewItem>
    <reviewItem>
      <errorID>ad103351-071d-4cdd-857b-3d90a3b3b4f7</errorID>
      <errorWord>"</errorWord>
      <group>L1_Format</group>
      <groupName>格式问题</groupName>
      <ability>L2_HalfPunc_CN</ability>
      <abilityName>全半角问题</abilityName>
      <candidateList>
        <item>”</item>
      </candidateList>
      <explain>文本全半角错误。</explain>
      <paraID>4747D055</paraID>
      <start>93</start>
      <end>94</end>
      <status>unmodified</status>
      <modifiedWord/>
      <trackRevisions>false</trackRevisions>
    </reviewItem>
    <reviewItem>
      <errorID>ea35a165-1461-4efc-983f-8179dd634d43</errorID>
      <errorWord>)</errorWord>
      <group>L1_Format</group>
      <groupName>格式问题</groupName>
      <ability>L2_HalfPunc_CN</ability>
      <abilityName>全半角问题</abilityName>
      <candidateList>
        <item>）</item>
      </candidateList>
      <explain>文本全半角错误。</explain>
      <paraID>4747D055</paraID>
      <start>94</start>
      <end>95</end>
      <status>unmodified</status>
      <modifiedWord/>
      <trackRevisions>false</trackRevisions>
    </reviewItem>
    <reviewItem>
      <errorID>baaea464-b413-44db-9c10-5d2e5dc4754f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7F9DC441</paraID>
      <start>0</start>
      <end>3</end>
      <status>unmodified</status>
      <modifiedWord/>
      <trackRevisions>false</trackRevisions>
    </reviewItem>
    <reviewItem>
      <errorID>d546ba04-988e-4f6d-a7fd-9b198df551a9</errorID>
      <errorWord>(</errorWord>
      <group>L1_Format</group>
      <groupName>格式问题</groupName>
      <ability>L2_HalfPunc_CN</ability>
      <abilityName>全半角问题</abilityName>
      <candidateList>
        <item>（</item>
      </candidateList>
      <explain>文本全半角错误。</explain>
      <paraID>7F9DC441</paraID>
      <start>15</start>
      <end>16</end>
      <status>unmodified</status>
      <modifiedWord/>
      <trackRevisions>false</trackRevisions>
    </reviewItem>
    <reviewItem>
      <errorID>6a3cffcd-244a-4759-9ee6-ca23532b12ad</errorID>
      <errorWord>)</errorWord>
      <group>L1_Format</group>
      <groupName>格式问题</groupName>
      <ability>L2_HalfPunc_CN</ability>
      <abilityName>全半角问题</abilityName>
      <candidateList>
        <item>）</item>
      </candidateList>
      <explain>文本全半角错误。</explain>
      <paraID>7F9DC441</paraID>
      <start>25</start>
      <end>26</end>
      <status>unmodified</status>
      <modifiedWord/>
      <trackRevisions>false</trackRevisions>
    </reviewItem>
    <reviewItem>
      <errorID>bb8079af-88b4-4b5d-a2d8-95692acd0b81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7F0C2552</paraID>
      <start>0</start>
      <end>3</end>
      <status>unmodified</status>
      <modifiedWord/>
      <trackRevisions>false</trackRevisions>
    </reviewItem>
    <reviewItem>
      <errorID>2b1ddeaa-977f-4990-b349-916f74a0774e</errorID>
      <errorWord>(</errorWord>
      <group>L1_Format</group>
      <groupName>格式问题</groupName>
      <ability>L2_HalfPunc_CN</ability>
      <abilityName>全半角问题</abilityName>
      <candidateList>
        <item>（</item>
      </candidateList>
      <explain>文本全半角错误。</explain>
      <paraID>7F0C2552</paraID>
      <start>36</start>
      <end>37</end>
      <status>unmodified</status>
      <modifiedWord/>
      <trackRevisions>false</trackRevisions>
    </reviewItem>
    <reviewItem>
      <errorID>991410f8-04a0-4b2f-9012-19d17a60c29b</errorID>
      <errorWord>)</errorWord>
      <group>L1_Format</group>
      <groupName>格式问题</groupName>
      <ability>L2_HalfPunc_CN</ability>
      <abilityName>全半角问题</abilityName>
      <candidateList>
        <item>）</item>
      </candidateList>
      <explain>文本全半角错误。</explain>
      <paraID>7F0C2552</paraID>
      <start>47</start>
      <end>48</end>
      <status>unmodified</status>
      <modifiedWord/>
      <trackRevisions>false</trackRevisions>
    </reviewItem>
    <reviewItem>
      <errorID>c1145ed3-561a-4879-a026-4208b022556d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68118B76</paraID>
      <start>0</start>
      <end>3</end>
      <status>unmodified</status>
      <modifiedWord/>
      <trackRevisions>false</trackRevisions>
    </reviewItem>
    <reviewItem>
      <errorID>5d14177d-b9b1-4257-8fcf-18dc386341f3</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737F5EAE</paraID>
      <start>0</start>
      <end>2</end>
      <status>unmodified</status>
      <modifiedWord/>
      <trackRevisions>false</trackRevisions>
    </reviewItem>
    <reviewItem>
      <errorID>d2a4b3bc-dc76-466b-9c22-e7bdd05b4ac7</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74D6059C</paraID>
      <start>0</start>
      <end>2</end>
      <status>unmodified</status>
      <modifiedWord/>
      <trackRevisions>false</trackRevisions>
    </reviewItem>
    <reviewItem>
      <errorID>1a25f8ff-7dbb-40a9-83f8-e8f9441b2d46</errorID>
      <errorWord>（</errorWord>
      <group>L1_Format</group>
      <groupName>格式问题</groupName>
      <ability>L2_HalfPunc_CN</ability>
      <abilityName>全半角问题</abilityName>
      <candidateList>
        <item>(</item>
      </candidateList>
      <explain>文本全半角错误。</explain>
      <paraID>633090BD</paraID>
      <start>6</start>
      <end>7</end>
      <status>unmodified</status>
      <modifiedWord/>
      <trackRevisions>false</trackRevisions>
    </reviewItem>
    <reviewItem>
      <errorID>55c6c5cc-112b-499b-a010-ec413f72e614</errorID>
      <errorWord>）</errorWord>
      <group>L1_Format</group>
      <groupName>格式问题</groupName>
      <ability>L2_HalfPunc_CN</ability>
      <abilityName>全半角问题</abilityName>
      <candidateList>
        <item>)</item>
      </candidateList>
      <explain>文本全半角错误。</explain>
      <paraID>633090BD</paraID>
      <start>8</start>
      <end>9</end>
      <status>unmodified</status>
      <modifiedWord/>
      <trackRevisions>false</trackRevisions>
    </reviewItem>
    <reviewItem>
      <errorID>cd26ab00-2191-4e3d-acf5-fc050fdcb5e0</errorID>
      <errorWord>（</errorWord>
      <group>L1_Format</group>
      <groupName>格式问题</groupName>
      <ability>L2_HalfPunc_CN</ability>
      <abilityName>全半角问题</abilityName>
      <candidateList>
        <item>(</item>
      </candidateList>
      <explain>文本全半角错误。</explain>
      <paraID>27D5FEBD</paraID>
      <start>6</start>
      <end>7</end>
      <status>unmodified</status>
      <modifiedWord/>
      <trackRevisions>false</trackRevisions>
    </reviewItem>
    <reviewItem>
      <errorID>e784c26b-41d0-46c4-994e-c448466bf72d</errorID>
      <errorWord>）</errorWord>
      <group>L1_Format</group>
      <groupName>格式问题</groupName>
      <ability>L2_HalfPunc_CN</ability>
      <abilityName>全半角问题</abilityName>
      <candidateList>
        <item>)</item>
      </candidateList>
      <explain>文本全半角错误。</explain>
      <paraID>27D5FEBD</paraID>
      <start>8</start>
      <end>9</end>
      <status>unmodified</status>
      <modifiedWord/>
      <trackRevisions>false</trackRevisions>
    </reviewItem>
    <reviewItem>
      <errorID>e32df380-d6f8-4b2a-b639-35326b21ab4d</errorID>
      <errorWord>（</errorWord>
      <group>L1_Format</group>
      <groupName>格式问题</groupName>
      <ability>L2_HalfPunc_CN</ability>
      <abilityName>全半角问题</abilityName>
      <candidateList>
        <item>(</item>
      </candidateList>
      <explain>文本全半角错误。</explain>
      <paraID>523E87E5</paraID>
      <start>4</start>
      <end>5</end>
      <status>unmodified</status>
      <modifiedWord/>
      <trackRevisions>false</trackRevisions>
    </reviewItem>
    <reviewItem>
      <errorID>312c4591-b1db-4115-8663-1171514172aa</errorID>
      <errorWord>）</errorWord>
      <group>L1_Format</group>
      <groupName>格式问题</groupName>
      <ability>L2_HalfPunc_CN</ability>
      <abilityName>全半角问题</abilityName>
      <candidateList>
        <item>)</item>
      </candidateList>
      <explain>文本全半角错误。</explain>
      <paraID>523E87E5</paraID>
      <start>6</start>
      <end>7</end>
      <status>unmodified</status>
      <modifiedWord/>
      <trackRevisions>false</trackRevisions>
    </reviewItem>
    <reviewItem>
      <errorID>ad0e9da4-7a0a-4799-b0f3-641f57d7195f</errorID>
      <errorWord>（</errorWord>
      <group>L1_Format</group>
      <groupName>格式问题</groupName>
      <ability>L2_HalfPunc_CN</ability>
      <abilityName>全半角问题</abilityName>
      <candidateList>
        <item>(</item>
      </candidateList>
      <explain>文本全半角错误。</explain>
      <paraID>64999A78</paraID>
      <start>4</start>
      <end>5</end>
      <status>unmodified</status>
      <modifiedWord/>
      <trackRevisions>false</trackRevisions>
    </reviewItem>
    <reviewItem>
      <errorID>b36913e9-92bb-4714-874f-239b3f7691e8</errorID>
      <errorWord>）</errorWord>
      <group>L1_Format</group>
      <groupName>格式问题</groupName>
      <ability>L2_HalfPunc_CN</ability>
      <abilityName>全半角问题</abilityName>
      <candidateList>
        <item>)</item>
      </candidateList>
      <explain>文本全半角错误。</explain>
      <paraID>64999A78</paraID>
      <start>6</start>
      <end>7</end>
      <status>unmodified</status>
      <modifiedWord/>
      <trackRevisions>false</trackRevisions>
    </reviewItem>
    <reviewItem>
      <errorID>e1d6f8bc-944e-4243-aa70-430b10b32c64</errorID>
      <errorWord>(</errorWord>
      <group>L1_Format</group>
      <groupName>格式问题</groupName>
      <ability>L2_HalfPunc_CN</ability>
      <abilityName>全半角问题</abilityName>
      <candidateList>
        <item>（</item>
      </candidateList>
      <explain>文本全半角错误。</explain>
      <paraID>1EE77B12</paraID>
      <start>28</start>
      <end>29</end>
      <status>unmodified</status>
      <modifiedWord/>
      <trackRevisions>false</trackRevisions>
    </reviewItem>
    <reviewItem>
      <errorID>08b9fb03-e26d-459f-b544-c87e24524c50</errorID>
      <errorWord>)</errorWord>
      <group>L1_Format</group>
      <groupName>格式问题</groupName>
      <ability>L2_HalfPunc_CN</ability>
      <abilityName>全半角问题</abilityName>
      <candidateList>
        <item>）</item>
      </candidateList>
      <explain>文本全半角错误。</explain>
      <paraID>1EE77B12</paraID>
      <start>41</start>
      <end>42</end>
      <status>unmodified</status>
      <modifiedWord/>
      <trackRevisions>false</trackRevisions>
    </reviewItem>
    <reviewItem>
      <errorID>efc10905-7b17-4cda-bf7e-04b9b4553c39</errorID>
      <errorWord>(</errorWord>
      <group>L1_Format</group>
      <groupName>格式问题</groupName>
      <ability>L2_HalfPunc_CN</ability>
      <abilityName>全半角问题</abilityName>
      <candidateList>
        <item>（</item>
      </candidateList>
      <explain>文本全半角错误。</explain>
      <paraID>11445A39</paraID>
      <start>67</start>
      <end>68</end>
      <status>unmodified</status>
      <modifiedWord/>
      <trackRevisions>false</trackRevisions>
    </reviewItem>
    <reviewItem>
      <errorID>4420e1c6-1ac9-43bb-963a-ce6e082e72f7</errorID>
      <errorWord>)</errorWord>
      <group>L1_Format</group>
      <groupName>格式问题</groupName>
      <ability>L2_HalfPunc_CN</ability>
      <abilityName>全半角问题</abilityName>
      <candidateList>
        <item>）</item>
      </candidateList>
      <explain>文本全半角错误。</explain>
      <paraID>11445A39</paraID>
      <start>73</start>
      <end>74</end>
      <status>unmodified</status>
      <modifiedWord/>
      <trackRevisions>false</trackRevisions>
    </reviewItem>
    <reviewItem>
      <errorID>f5cec73a-a91a-4e6a-81a5-15a6904d1368</errorID>
      <errorWord>(</errorWord>
      <group>L1_Format</group>
      <groupName>格式问题</groupName>
      <ability>L2_HalfPunc_CN</ability>
      <abilityName>全半角问题</abilityName>
      <candidateList>
        <item>（</item>
      </candidateList>
      <explain>文本全半角错误。</explain>
      <paraID>  66C93A</paraID>
      <start>6</start>
      <end>7</end>
      <status>unmodified</status>
      <modifiedWord/>
      <trackRevisions>false</trackRevisions>
    </reviewItem>
    <reviewItem>
      <errorID>b96683a1-5fcb-41f6-b6b8-39df64daf25e</errorID>
      <errorWord>)</errorWord>
      <group>L1_Format</group>
      <groupName>格式问题</groupName>
      <ability>L2_HalfPunc_CN</ability>
      <abilityName>全半角问题</abilityName>
      <candidateList>
        <item>）</item>
      </candidateList>
      <explain>文本全半角错误。</explain>
      <paraID>  66C93A</paraID>
      <start>9</start>
      <end>10</end>
      <status>unmodified</status>
      <modifiedWord/>
      <trackRevisions>false</trackRevisions>
    </reviewItem>
    <reviewItem>
      <errorID>20d7dc21-b939-48e1-b349-364db5055dda</errorID>
      <errorWord>(</errorWord>
      <group>L1_Format</group>
      <groupName>格式问题</groupName>
      <ability>L2_HalfPunc_CN</ability>
      <abilityName>全半角问题</abilityName>
      <candidateList>
        <item>（</item>
      </candidateList>
      <explain>文本全半角错误。</explain>
      <paraID>2EC0BB9B</paraID>
      <start>77</start>
      <end>78</end>
      <status>unmodified</status>
      <modifiedWord/>
      <trackRevisions>false</trackRevisions>
    </reviewItem>
    <reviewItem>
      <errorID>c9c2359b-edf3-4ae7-8ee0-8d35eeaf9657</errorID>
      <errorWord>)</errorWord>
      <group>L1_Format</group>
      <groupName>格式问题</groupName>
      <ability>L2_HalfPunc_CN</ability>
      <abilityName>全半角问题</abilityName>
      <candidateList>
        <item>）</item>
      </candidateList>
      <explain>文本全半角错误。</explain>
      <paraID>2EC0BB9B</paraID>
      <start>90</start>
      <end>91</end>
      <status>unmodified</status>
      <modifiedWord/>
      <trackRevisions>false</trackRevisions>
    </reviewItem>
    <reviewItem>
      <errorID>94aacbb1-078d-4ace-9fd1-7acc21a2f52c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4E0AF858</paraID>
      <start>0</start>
      <end>3</end>
      <status>unmodified</status>
      <modifiedWord/>
      <trackRevisions>false</trackRevisions>
    </reviewItem>
    <reviewItem>
      <errorID>7787a744-d399-42f8-9fee-6809c2a7aec6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7A91C23</paraID>
      <start>0</start>
      <end>3</end>
      <status>unmodified</status>
      <modifiedWord/>
      <trackRevisions>false</trackRevisions>
    </reviewItem>
    <reviewItem>
      <errorID>2aea9d95-d3b3-455f-9cd3-9066740a8775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27F88759</paraID>
      <start>0</start>
      <end>3</end>
      <status>unmodified</status>
      <modifiedWord/>
      <trackRevisions>false</trackRevisions>
    </reviewItem>
    <reviewItem>
      <errorID>15fa3498-e753-4eb5-b597-83f543365699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7CCF7B33</paraID>
      <start>0</start>
      <end>3</end>
      <status>unmodified</status>
      <modifiedWord/>
      <trackRevisions>false</trackRevisions>
    </reviewItem>
    <reviewItem>
      <errorID>f41b04f8-fc88-4573-aa0a-1592f9a26abb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6C17E984</paraID>
      <start>0</start>
      <end>3</end>
      <status>unmodified</status>
      <modifiedWord/>
      <trackRevisions>false</trackRevisions>
    </reviewItem>
    <reviewItem>
      <errorID>e19cc6a4-eba5-4e2f-bcef-7f1b8170e99f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7A4AA4A0</paraID>
      <start>0</start>
      <end>3</end>
      <status>unmodified</status>
      <modifiedWord/>
      <trackRevisions>false</trackRevisions>
    </reviewItem>
    <reviewItem>
      <errorID>de07e967-bcbc-4b56-8d7e-072001a6a777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101C91EE</paraID>
      <start>0</start>
      <end>3</end>
      <status>unmodified</status>
      <modifiedWord/>
      <trackRevisions>false</trackRevisions>
    </reviewItem>
    <reviewItem>
      <errorID>350f2255-af46-44b0-a0d9-28907188729f</errorID>
      <errorWord>(</errorWord>
      <group>L1_Format</group>
      <groupName>格式问题</groupName>
      <ability>L2_HalfPunc_CN</ability>
      <abilityName>全半角问题</abilityName>
      <candidateList>
        <item>（</item>
      </candidateList>
      <explain>文本全半角错误。</explain>
      <paraID>101C91EE</paraID>
      <start>43</start>
      <end>44</end>
      <status>unmodified</status>
      <modifiedWord/>
      <trackRevisions>false</trackRevisions>
    </reviewItem>
    <reviewItem>
      <errorID>9e0b79e1-45c2-4126-ac8b-9ad27b48d5e7</errorID>
      <errorWord>)</errorWord>
      <group>L1_Format</group>
      <groupName>格式问题</groupName>
      <ability>L2_HalfPunc_CN</ability>
      <abilityName>全半角问题</abilityName>
      <candidateList>
        <item>）</item>
      </candidateList>
      <explain>文本全半角错误。</explain>
      <paraID>101C91EE</paraID>
      <start>56</start>
      <end>57</end>
      <status>unmodified</status>
      <modifiedWord/>
      <trackRevisions>false</trackRevisions>
    </reviewItem>
    <reviewItem>
      <errorID>cea4c302-0874-4be7-8119-7e5edd0ef715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4E7029E8</paraID>
      <start>0</start>
      <end>3</end>
      <status>unmodified</status>
      <modifiedWord/>
      <trackRevisions>false</trackRevisions>
    </reviewItem>
    <reviewItem>
      <errorID>4c62b0ea-2af2-426a-ba64-f335ee7ffc66</errorID>
      <errorWord>己</errorWord>
      <group>L1_Word</group>
      <groupName>字词问题</groupName>
      <ability>L2_Typo</ability>
      <abilityName>字词错误</abilityName>
      <candidateList>
        <item>已</item>
      </candidateList>
      <explain/>
      <paraID>4E7029E8</paraID>
      <start>34</start>
      <end>35</end>
      <status>unmodified</status>
      <modifiedWord/>
      <trackRevisions>false</trackRevisions>
    </reviewItem>
    <reviewItem>
      <errorID>04ab70cc-4769-4345-a2e2-eeee295cf949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2B7E6C</paraID>
      <start>0</start>
      <end>3</end>
      <status>unmodified</status>
      <modifiedWord/>
      <trackRevisions>false</trackRevisions>
    </reviewItem>
    <reviewItem>
      <errorID>624346e4-0b96-49c0-a366-e1af9f5a55df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626BDE21</paraID>
      <start>0</start>
      <end>4</end>
      <status>unmodified</status>
      <modifiedWord/>
      <trackRevisions>false</trackRevisions>
    </reviewItem>
    <reviewItem>
      <errorID>db4a39c2-37cf-4bd3-8163-b95fc97decb2</errorID>
      <errorWord>(</errorWord>
      <group>L1_Format</group>
      <groupName>格式问题</groupName>
      <ability>L2_HalfPunc_CN</ability>
      <abilityName>全半角问题</abilityName>
      <candidateList>
        <item>（</item>
      </candidateList>
      <explain>文本全半角错误。</explain>
      <paraID>626BDE21</paraID>
      <start>31</start>
      <end>32</end>
      <status>unmodified</status>
      <modifiedWord/>
      <trackRevisions>false</trackRevisions>
    </reviewItem>
    <reviewItem>
      <errorID>de231a21-437b-42ea-a532-42f0aeea6f63</errorID>
      <errorWord>)</errorWord>
      <group>L1_Format</group>
      <groupName>格式问题</groupName>
      <ability>L2_HalfPunc_CN</ability>
      <abilityName>全半角问题</abilityName>
      <candidateList>
        <item>）</item>
      </candidateList>
      <explain>文本全半角错误。</explain>
      <paraID>626BDE21</paraID>
      <start>41</start>
      <end>42</end>
      <status>unmodified</status>
      <modifiedWord/>
      <trackRevisions>false</trackRevisions>
    </reviewItem>
    <reviewItem>
      <errorID>523be29b-2149-4cbb-a8eb-4491157060d3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42099C41</paraID>
      <start>0</start>
      <end>4</end>
      <status>unmodified</status>
      <modifiedWord/>
      <trackRevisions>false</trackRevisions>
    </reviewItem>
    <reviewItem>
      <errorID>351d45ca-a064-4d73-bafa-e2bcff5a4aba</errorID>
      <errorWord>(</errorWord>
      <group>L1_Format</group>
      <groupName>格式问题</groupName>
      <ability>L2_HalfPunc_CN</ability>
      <abilityName>全半角问题</abilityName>
      <candidateList>
        <item>（</item>
      </candidateList>
      <explain>文本全半角错误。</explain>
      <paraID>42099C41</paraID>
      <start>38</start>
      <end>39</end>
      <status>unmodified</status>
      <modifiedWord/>
      <trackRevisions>false</trackRevisions>
    </reviewItem>
    <reviewItem>
      <errorID>a54b9c3c-509c-4a32-9d66-430f028a9b99</errorID>
      <errorWord>)</errorWord>
      <group>L1_Format</group>
      <groupName>格式问题</groupName>
      <ability>L2_HalfPunc_CN</ability>
      <abilityName>全半角问题</abilityName>
      <candidateList>
        <item>）</item>
      </candidateList>
      <explain>文本全半角错误。</explain>
      <paraID>42099C41</paraID>
      <start>82</start>
      <end>83</end>
      <status>unmodified</status>
      <modifiedWord/>
      <trackRevisions>false</trackRevisions>
    </reviewItem>
    <reviewItem>
      <errorID>c2ed4f1d-58d2-4027-927e-a174e62ba50f</errorID>
      <errorWord>(</errorWord>
      <group>L1_Format</group>
      <groupName>格式问题</groupName>
      <ability>L2_HalfPunc_CN</ability>
      <abilityName>全半角问题</abilityName>
      <candidateList>
        <item>（</item>
      </candidateList>
      <explain>文本全半角错误。</explain>
      <paraID>42099C41</paraID>
      <start>108</start>
      <end>109</end>
      <status>unmodified</status>
      <modifiedWord/>
      <trackRevisions>false</trackRevisions>
    </reviewItem>
    <reviewItem>
      <errorID>de82ee35-459c-4fd4-bcac-7d2542ab7225</errorID>
      <errorWord>)</errorWord>
      <group>L1_Format</group>
      <groupName>格式问题</groupName>
      <ability>L2_HalfPunc_CN</ability>
      <abilityName>全半角问题</abilityName>
      <candidateList>
        <item>）</item>
      </candidateList>
      <explain>文本全半角错误。</explain>
      <paraID>42099C41</paraID>
      <start>110</start>
      <end>111</end>
      <status>unmodified</status>
      <modifiedWord/>
      <trackRevisions>false</trackRevisions>
    </reviewItem>
    <reviewItem>
      <errorID>41e2c5d9-d432-490d-9dd5-bb98160daadd</errorID>
      <errorWord>(</errorWord>
      <group>L1_Format</group>
      <groupName>格式问题</groupName>
      <ability>L2_HalfPunc_CN</ability>
      <abilityName>全半角问题</abilityName>
      <candidateList>
        <item>（</item>
      </candidateList>
      <explain>文本全半角错误。</explain>
      <paraID>42099C41</paraID>
      <start>164</start>
      <end>165</end>
      <status>unmodified</status>
      <modifiedWord/>
      <trackRevisions>false</trackRevisions>
    </reviewItem>
    <reviewItem>
      <errorID>796c83d7-3c23-43dc-aa15-a0fce886176f</errorID>
      <errorWord>)</errorWord>
      <group>L1_Format</group>
      <groupName>格式问题</groupName>
      <ability>L2_HalfPunc_CN</ability>
      <abilityName>全半角问题</abilityName>
      <candidateList>
        <item>）</item>
      </candidateList>
      <explain>文本全半角错误。</explain>
      <paraID>42099C41</paraID>
      <start>166</start>
      <end>167</end>
      <status>unmodified</status>
      <modifiedWord/>
      <trackRevisions>false</trackRevisions>
    </reviewItem>
    <reviewItem>
      <errorID>8d82a470-8f8a-4bb9-9ca0-2d63cb07398f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12F29E1D</paraID>
      <start>0</start>
      <end>4</end>
      <status>unmodified</status>
      <modifiedWord/>
      <trackRevisions>false</trackRevisions>
    </reviewItem>
    <reviewItem>
      <errorID>bdb41723-6d37-4cf8-938b-7dd9b0055747</errorID>
      <errorWord>(</errorWord>
      <group>L1_Format</group>
      <groupName>格式问题</groupName>
      <ability>L2_HalfPunc_CN</ability>
      <abilityName>全半角问题</abilityName>
      <candidateList>
        <item>（</item>
      </candidateList>
      <explain>文本全半角错误。</explain>
      <paraID>12F29E1D</paraID>
      <start>141</start>
      <end>142</end>
      <status>unmodified</status>
      <modifiedWord/>
      <trackRevisions>false</trackRevisions>
    </reviewItem>
    <reviewItem>
      <errorID>8764a73c-0f91-467c-8d5d-aa7367263268</errorID>
      <errorWord>),</errorWord>
      <group>L1_Format</group>
      <groupName>格式问题</groupName>
      <ability>L2_HalfPunc_CN</ability>
      <abilityName>全半角问题</abilityName>
      <candidateList>
        <item>），</item>
      </candidateList>
      <explain>文本全半角错误。</explain>
      <paraID>12F29E1D</paraID>
      <start>153</start>
      <end>155</end>
      <status>unmodified</status>
      <modifiedWord/>
      <trackRevisions>false</trackRevisions>
    </reviewItem>
    <reviewItem>
      <errorID>7a695b99-7f48-40e3-9a2d-292cfd0e4b70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67A500F3</paraID>
      <start>0</start>
      <end>4</end>
      <status>unmodified</status>
      <modifiedWord/>
      <trackRevisions>false</trackRevisions>
    </reviewItem>
    <reviewItem>
      <errorID>fd0cd893-4885-402d-bfe2-e54496eb39a5</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4420B0A1</paraID>
      <start>0</start>
      <end>4</end>
      <status>unmodified</status>
      <modifiedWord/>
      <trackRevisions>false</trackRevisions>
    </reviewItem>
    <reviewItem>
      <errorID>20a3d243-41ac-4a64-863c-de3ade711c2c</errorID>
      <errorWord>己</errorWord>
      <group>L1_Word</group>
      <groupName>字词问题</groupName>
      <ability>L2_Typo</ability>
      <abilityName>字词错误</abilityName>
      <candidateList>
        <item>已</item>
      </candidateList>
      <explain>存在字形相近字词的误用。</explain>
      <paraID>4420B0A1</paraID>
      <start>28</start>
      <end>29</end>
      <status>unmodified</status>
      <modifiedWord/>
      <trackRevisions>false</trackRevisions>
    </reviewItem>
    <reviewItem>
      <errorID>3905a157-f3e6-4360-88f1-cabb851c536f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5D37F9EB</paraID>
      <start>0</start>
      <end>4</end>
      <status>unmodified</status>
      <modifiedWord/>
      <trackRevisions>false</trackRevisions>
    </reviewItem>
    <reviewItem>
      <errorID>0372e80b-aa0c-4e23-916a-98f1570a50fb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5524D322</paraID>
      <start>0</start>
      <end>4</end>
      <status>unmodified</status>
      <modifiedWord/>
      <trackRevisions>false</trackRevisions>
    </reviewItem>
    <reviewItem>
      <errorID>5995bd7e-fa2d-41d9-a6b8-4ad30bdc0241</errorID>
      <errorWord>己</errorWord>
      <group>L1_Word</group>
      <groupName>字词问题</groupName>
      <ability>L2_Typo</ability>
      <abilityName>字词错误</abilityName>
      <candidateList>
        <item>已</item>
      </candidateList>
      <explain/>
      <paraID>5524D322</paraID>
      <start>25</start>
      <end>26</end>
      <status>unmodified</status>
      <modifiedWord/>
      <trackRevisions>false</trackRevisions>
    </reviewItem>
    <reviewItem>
      <errorID>2e383d53-b8d5-4da7-b8ed-e748ce529d4a</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41F3E808</paraID>
      <start>0</start>
      <end>4</end>
      <status>unmodified</status>
      <modifiedWord/>
      <trackRevisions>false</trackRevisions>
    </reviewItem>
    <reviewItem>
      <errorID>1aecdf31-2096-43b3-8b2e-29de8b02d8fa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87112AA</paraID>
      <start>0</start>
      <end>4</end>
      <status>unmodified</status>
      <modifiedWord/>
      <trackRevisions>false</trackRevisions>
    </reviewItem>
    <reviewItem>
      <errorID>41c7eeb7-b7e2-498b-bdbe-e5905f094cc1</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835AE2A</paraID>
      <start>0</start>
      <end>4</end>
      <status>unmodified</status>
      <modifiedWord/>
      <trackRevisions>false</trackRevisions>
    </reviewItem>
    <reviewItem>
      <errorID>52b97e86-fc1a-476f-ac63-3007f6006767</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29E76AF7</paraID>
      <start>0</start>
      <end>4</end>
      <status>unmodified</status>
      <modifiedWord/>
      <trackRevisions>false</trackRevisions>
    </reviewItem>
    <reviewItem>
      <errorID>bedb0f03-7c11-492b-beab-cd44963243f4</errorID>
      <errorWord>(</errorWord>
      <group>L1_Format</group>
      <groupName>格式问题</groupName>
      <ability>L2_HalfPunc_CN</ability>
      <abilityName>全半角问题</abilityName>
      <candidateList>
        <item>（</item>
      </candidateList>
      <explain>文本全半角错误。</explain>
      <paraID>29E76AF7</paraID>
      <start>31</start>
      <end>32</end>
      <status>unmodified</status>
      <modifiedWord/>
      <trackRevisions>false</trackRevisions>
    </reviewItem>
    <reviewItem>
      <errorID>c8e5edbe-4a3f-446d-a7fb-12c2686afe3a</errorID>
      <errorWord>)</errorWord>
      <group>L1_Format</group>
      <groupName>格式问题</groupName>
      <ability>L2_HalfPunc_CN</ability>
      <abilityName>全半角问题</abilityName>
      <candidateList>
        <item>）</item>
      </candidateList>
      <explain>文本全半角错误。</explain>
      <paraID>29E76AF7</paraID>
      <start>34</start>
      <end>35</end>
      <status>unmodified</status>
      <modifiedWord/>
      <trackRevisions>false</trackRevisions>
    </reviewItem>
    <reviewItem>
      <errorID>4607412d-bf7e-4abe-9e93-2ecf04f13ef7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2B17ABE3</paraID>
      <start>0</start>
      <end>4</end>
      <status>unmodified</status>
      <modifiedWord/>
      <trackRevisions>false</trackRevisions>
    </reviewItem>
    <reviewItem>
      <errorID>424ddfe3-b2b5-4753-be77-4b4abae4b2c1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4A53F14A</paraID>
      <start>0</start>
      <end>4</end>
      <status>unmodified</status>
      <modifiedWord/>
      <trackRevisions>false</trackRevisions>
    </reviewItem>
    <reviewItem>
      <errorID>e4cc02c4-c494-4af0-96ee-a59e50b54ce3</errorID>
      <errorWord>(</errorWord>
      <group>L1_Format</group>
      <groupName>格式问题</groupName>
      <ability>L2_HalfPunc_CN</ability>
      <abilityName>全半角问题</abilityName>
      <candidateList>
        <item>（</item>
      </candidateList>
      <explain>文本全半角错误。</explain>
      <paraID>4A53F14A</paraID>
      <start>22</start>
      <end>23</end>
      <status>unmodified</status>
      <modifiedWord/>
      <trackRevisions>false</trackRevisions>
    </reviewItem>
    <reviewItem>
      <errorID>98a4735a-d71c-4efd-8706-94d2e9968eec</errorID>
      <errorWord>)</errorWord>
      <group>L1_Format</group>
      <groupName>格式问题</groupName>
      <ability>L2_HalfPunc_CN</ability>
      <abilityName>全半角问题</abilityName>
      <candidateList>
        <item>）</item>
      </candidateList>
      <explain>文本全半角错误。</explain>
      <paraID>4A53F14A</paraID>
      <start>26</start>
      <end>27</end>
      <status>unmodified</status>
      <modifiedWord/>
      <trackRevisions>false</trackRevisions>
    </reviewItem>
    <reviewItem>
      <errorID>807f7e96-3aba-4069-b08f-65e9c36c961d</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69D17997</paraID>
      <start>0</start>
      <end>4</end>
      <status>unmodified</status>
      <modifiedWord/>
      <trackRevisions>false</trackRevisions>
    </reviewItem>
    <reviewItem>
      <errorID>766fb087-5822-4632-bece-29a11b8ab3fd</errorID>
      <errorWord>(</errorWord>
      <group>L1_Format</group>
      <groupName>格式问题</groupName>
      <ability>L2_HalfPunc_CN</ability>
      <abilityName>全半角问题</abilityName>
      <candidateList>
        <item>（</item>
      </candidateList>
      <explain>文本全半角错误。</explain>
      <paraID>69D17997</paraID>
      <start>99</start>
      <end>100</end>
      <status>unmodified</status>
      <modifiedWord/>
      <trackRevisions>false</trackRevisions>
    </reviewItem>
    <reviewItem>
      <errorID>a028ee42-bebe-4b1d-9065-177ccde2a241</errorID>
      <errorWord>)</errorWord>
      <group>L1_Format</group>
      <groupName>格式问题</groupName>
      <ability>L2_HalfPunc_CN</ability>
      <abilityName>全半角问题</abilityName>
      <candidateList>
        <item>）</item>
      </candidateList>
      <explain>文本全半角错误。</explain>
      <paraID>69D17997</paraID>
      <start>102</start>
      <end>103</end>
      <status>unmodified</status>
      <modifiedWord/>
      <trackRevisions>false</trackRevisions>
    </reviewItem>
    <reviewItem>
      <errorID>d5d65eaa-bd8f-43b5-81c6-d0320cddbbc3</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FB87F52</paraID>
      <start>0</start>
      <end>4</end>
      <status>unmodified</status>
      <modifiedWord/>
      <trackRevisions>false</trackRevisions>
    </reviewItem>
    <reviewItem>
      <errorID>63e57177-6582-4b17-84f4-b82f8b65c1df</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28A7E102</paraID>
      <start>0</start>
      <end>4</end>
      <status>unmodified</status>
      <modifiedWord/>
      <trackRevisions>false</trackRevisions>
    </reviewItem>
    <reviewItem>
      <errorID>8f6bef6f-1d8b-44b2-accf-fabe9b0840a7</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6692C8CB</paraID>
      <start>0</start>
      <end>4</end>
      <status>unmodified</status>
      <modifiedWord/>
      <trackRevisions>false</trackRevisions>
    </reviewItem>
    <reviewItem>
      <errorID>f3352f65-6e6f-49a3-99cb-98af6f82b9fc</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30927361</paraID>
      <start>0</start>
      <end>4</end>
      <status>unmodified</status>
      <modifiedWord/>
      <trackRevisions>false</trackRevisions>
    </reviewItem>
    <reviewItem>
      <errorID>1ceffb17-7769-430d-9e61-759528f23e39</errorID>
      <errorWord>（2）、</errorWord>
      <group>L1_Punc</group>
      <groupName>标点问题</groupName>
      <ability>L2_Punc_CN</ability>
      <abilityName>标点符号问题</abilityName>
      <candidateList>
        <item>（2）</item>
      </candidateList>
      <explain>根据国标GB/T 15834-2011《标点符号用法》中的4.5.3.3节，带括号的汉字数字或阿拉伯数字表次序时，后面通常不加顿号。如“（一）指导思想”“（二）行动指南”。</explain>
      <paraID>5C862D16</paraID>
      <start>20</start>
      <end>24</end>
      <status>unmodified</status>
      <modifiedWord/>
      <trackRevisions>false</trackRevisions>
    </reviewItem>
    <reviewItem>
      <errorID>0724b6ed-c8ba-447b-ae29-8b199406ddf7</errorID>
      <errorWord>（7）、</errorWord>
      <group>L1_Punc</group>
      <groupName>标点问题</groupName>
      <ability>L2_Punc_CN</ability>
      <abilityName>标点符号问题</abilityName>
      <candidateList>
        <item>（7）</item>
      </candidateList>
      <explain>根据国标GB/T 15834-2011《标点符号用法》中的4.5.3.3节，带括号的汉字数字或阿拉伯数字表次序时，后面通常不加顿号。如“（一）指导思想”“（二）行动指南”。</explain>
      <paraID>5C862D16</paraID>
      <start>24</start>
      <end>28</end>
      <status>unmodified</status>
      <modifiedWord/>
      <trackRevisions>false</trackRevisions>
    </reviewItem>
    <reviewItem>
      <errorID>c0209cdf-6cd7-4439-a9b6-1388016f412e</errorID>
      <errorWord>（8）、</errorWord>
      <group>L1_Punc</group>
      <groupName>标点问题</groupName>
      <ability>L2_Punc_CN</ability>
      <abilityName>标点符号问题</abilityName>
      <candidateList>
        <item>（8）</item>
      </candidateList>
      <explain>根据国标GB/T 15834-2011《标点符号用法》中的4.5.3.3节，带括号的汉字数字或阿拉伯数字表次序时，后面通常不加顿号。如“（一）指导思想”“（二）行动指南”。</explain>
      <paraID>5C862D16</paraID>
      <start>28</start>
      <end>32</end>
      <status>unmodified</status>
      <modifiedWord/>
      <trackRevisions>false</trackRevisions>
    </reviewItem>
    <reviewItem>
      <errorID>5ac46ead-6e10-49dc-a96f-d801750688c6</errorID>
      <errorWord>（9）、</errorWord>
      <group>L1_Punc</group>
      <groupName>标点问题</groupName>
      <ability>L2_Punc_CN</ability>
      <abilityName>标点符号问题</abilityName>
      <candidateList>
        <item>（9）</item>
      </candidateList>
      <explain>根据国标GB/T 15834-2011《标点符号用法》中的4.5.3.3节，带括号的汉字数字或阿拉伯数字表次序时，后面通常不加顿号。如“（一）指导思想”“（二）行动指南”。</explain>
      <paraID>5C862D16</paraID>
      <start>32</start>
      <end>36</end>
      <status>unmodified</status>
      <modifiedWord/>
      <trackRevisions>false</trackRevisions>
    </reviewItem>
    <reviewItem>
      <errorID>2d686370-1c79-4a83-9ab9-ea1de722d7be</errorID>
      <errorWord>（10）、</errorWord>
      <group>L1_Punc</group>
      <groupName>标点问题</groupName>
      <ability>L2_Punc_CN</ability>
      <abilityName>标点符号问题</abilityName>
      <candidateList>
        <item>（10）</item>
      </candidateList>
      <explain>根据国标GB/T 15834-2011《标点符号用法》中的4.5.3.3节，带括号的汉字数字或阿拉伯数字表次序时，后面通常不加顿号。如“（一）指导思想”“（二）行动指南”。</explain>
      <paraID>5C862D16</paraID>
      <start>36</start>
      <end>41</end>
      <status>unmodified</status>
      <modifiedWord/>
      <trackRevisions>false</trackRevisions>
    </reviewItem>
    <reviewItem>
      <errorID>f9cde52d-b31a-4107-b62b-f101fa2e812d</errorID>
      <errorWord>（11）、</errorWord>
      <group>L1_Punc</group>
      <groupName>标点问题</groupName>
      <ability>L2_Punc_CN</ability>
      <abilityName>标点符号问题</abilityName>
      <candidateList>
        <item>（11）</item>
      </candidateList>
      <explain>根据国标GB/T 15834-2011《标点符号用法》中的4.5.3.3节，带括号的汉字数字或阿拉伯数字表次序时，后面通常不加顿号。如“（一）指导思想”“（二）行动指南”。</explain>
      <paraID>5C862D16</paraID>
      <start>41</start>
      <end>46</end>
      <status>unmodified</status>
      <modifiedWord/>
      <trackRevisions>false</trackRevisions>
    </reviewItem>
    <reviewItem>
      <errorID>f3b7067c-293f-4276-8509-c54edf114fc2</errorID>
      <errorWord>（13）、</errorWord>
      <group>L1_Punc</group>
      <groupName>标点问题</groupName>
      <ability>L2_Punc_CN</ability>
      <abilityName>标点符号问题</abilityName>
      <candidateList>
        <item>（13）</item>
      </candidateList>
      <explain>根据国标GB/T 15834-2011《标点符号用法》中的4.5.3.3节，带括号的汉字数字或阿拉伯数字表次序时，后面通常不加顿号。如“（一）指导思想”“（二）行动指南”。</explain>
      <paraID>5C862D16</paraID>
      <start>46</start>
      <end>51</end>
      <status>unmodified</status>
      <modifiedWord/>
      <trackRevisions>false</trackRevisions>
    </reviewItem>
    <reviewItem>
      <errorID>9af702d2-1e21-4204-ba46-54b9fbf1a956</errorID>
      <errorWord>（14）、</errorWord>
      <group>L1_Punc</group>
      <groupName>标点问题</groupName>
      <ability>L2_Punc_CN</ability>
      <abilityName>标点符号问题</abilityName>
      <candidateList>
        <item>（14）</item>
      </candidateList>
      <explain>根据国标GB/T 15834-2011《标点符号用法》中的4.5.3.3节，带括号的汉字数字或阿拉伯数字表次序时，后面通常不加顿号。如“（一）指导思想”“（二）行动指南”。</explain>
      <paraID>5C862D16</paraID>
      <start>51</start>
      <end>56</end>
      <status>unmodified</status>
      <modifiedWord/>
      <trackRevisions>false</trackRevisions>
    </reviewItem>
    <reviewItem>
      <errorID>da637799-28b0-4b7e-b368-11ee21438bdf</errorID>
      <errorWord>（15）、</errorWord>
      <group>L1_Punc</group>
      <groupName>标点问题</groupName>
      <ability>L2_Punc_CN</ability>
      <abilityName>标点符号问题</abilityName>
      <candidateList>
        <item>（15）</item>
      </candidateList>
      <explain>根据国标GB/T 15834-2011《标点符号用法》中的4.5.3.3节，带括号的汉字数字或阿拉伯数字表次序时，后面通常不加顿号。如“（一）指导思想”“（二）行动指南”。</explain>
      <paraID>5C862D16</paraID>
      <start>56</start>
      <end>61</end>
      <status>unmodified</status>
      <modifiedWord/>
      <trackRevisions>false</trackRevisions>
    </reviewItem>
    <reviewItem>
      <errorID>d9dd9ea8-33d9-48a8-a22e-40ddcb2055e8</errorID>
      <errorWord>（17）、</errorWord>
      <group>L1_Punc</group>
      <groupName>标点问题</groupName>
      <ability>L2_Punc_CN</ability>
      <abilityName>标点符号问题</abilityName>
      <candidateList>
        <item>（17）</item>
      </candidateList>
      <explain>根据国标GB/T 15834-2011《标点符号用法》中的4.5.3.3节，带括号的汉字数字或阿拉伯数字表次序时，后面通常不加顿号。如“（一）指导思想”“（二）行动指南”。</explain>
      <paraID>5C862D16</paraID>
      <start>61</start>
      <end>66</end>
      <status>unmodified</status>
      <modifiedWord/>
      <trackRevisions>false</trackRevisions>
    </reviewItem>
    <reviewItem>
      <errorID>d2a0e742-2a22-45c9-a6c2-8e0394dc84c4</errorID>
      <errorWord>（18）、</errorWord>
      <group>L1_Punc</group>
      <groupName>标点问题</groupName>
      <ability>L2_Punc_CN</ability>
      <abilityName>标点符号问题</abilityName>
      <candidateList>
        <item>（18）</item>
      </candidateList>
      <explain>根据国标GB/T 15834-2011《标点符号用法》中的4.5.3.3节，带括号的汉字数字或阿拉伯数字表次序时，后面通常不加顿号。如“（一）指导思想”“（二）行动指南”。</explain>
      <paraID>5C862D16</paraID>
      <start>66</start>
      <end>71</end>
      <status>unmodified</status>
      <modifiedWord/>
      <trackRevisions>false</trackRevisions>
    </reviewItem>
    <reviewItem>
      <errorID>e2269567-b560-422e-a535-079ab966decc</errorID>
      <errorWord>（19）、</errorWord>
      <group>L1_Punc</group>
      <groupName>标点问题</groupName>
      <ability>L2_Punc_CN</ability>
      <abilityName>标点符号问题</abilityName>
      <candidateList>
        <item>（19）</item>
      </candidateList>
      <explain>根据国标GB/T 15834-2011《标点符号用法》中的4.5.3.3节，带括号的汉字数字或阿拉伯数字表次序时，后面通常不加顿号。如“（一）指导思想”“（二）行动指南”。</explain>
      <paraID>5C862D16</paraID>
      <start>71</start>
      <end>76</end>
      <status>unmodified</status>
      <modifiedWord/>
      <trackRevisions>false</trackRevisions>
    </reviewItem>
    <reviewItem>
      <errorID>1afa337b-c06b-4b63-81ab-477736fa2e42</errorID>
      <errorWord>（20）、</errorWord>
      <group>L1_Punc</group>
      <groupName>标点问题</groupName>
      <ability>L2_Punc_CN</ability>
      <abilityName>标点符号问题</abilityName>
      <candidateList>
        <item>（20）</item>
      </candidateList>
      <explain>根据国标GB/T 15834-2011《标点符号用法》中的4.5.3.3节，带括号的汉字数字或阿拉伯数字表次序时，后面通常不加顿号。如“（一）指导思想”“（二）行动指南”。</explain>
      <paraID>5C862D16</paraID>
      <start>76</start>
      <end>81</end>
      <status>unmodified</status>
      <modifiedWord/>
      <trackRevisions>false</trackRevisions>
    </reviewItem>
    <reviewItem>
      <errorID>16ea4cf4-8c01-43e4-a54a-031ad96228e1</errorID>
      <errorWord>（4）、</errorWord>
      <group>L1_Punc</group>
      <groupName>标点问题</groupName>
      <ability>L2_Punc_CN</ability>
      <abilityName>标点符号问题</abilityName>
      <candidateList>
        <item>（4）</item>
      </candidateList>
      <explain>根据国标GB/T 15834-2011《标点符号用法》中的4.5.3.3节，带括号的汉字数字或阿拉伯数字表次序时，后面通常不加顿号。如“（一）指导思想”“（二）行动指南”。</explain>
      <paraID>5C862D16</paraID>
      <start>85</start>
      <end>89</end>
      <status>unmodified</status>
      <modifiedWord/>
      <trackRevisions>false</trackRevisions>
    </reviewItem>
    <reviewItem>
      <errorID>adcbb5f5-e5c3-4235-a872-9299276220dd</errorID>
      <errorWord>(</errorWord>
      <group>L1_Format</group>
      <groupName>格式问题</groupName>
      <ability>L2_HalfPunc_CN</ability>
      <abilityName>全半角问题</abilityName>
      <candidateList>
        <item>（</item>
      </candidateList>
      <explain>文本全半角错误。</explain>
      <paraID>5C862D16</paraID>
      <start>89</start>
      <end>90</end>
      <status>unmodified</status>
      <modifiedWord/>
      <trackRevisions>false</trackRevisions>
    </reviewItem>
    <reviewItem>
      <errorID>6e37ec41-6fb1-436a-baa5-cb9cb787b096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595EF2D0</paraID>
      <start>0</start>
      <end>2</end>
      <status>unmodified</status>
      <modifiedWord/>
      <trackRevisions>false</trackRevisions>
    </reviewItem>
    <reviewItem>
      <errorID>6cd93eb0-20d4-40e0-977d-31cb949629ec</errorID>
      <errorWord>(</errorWord>
      <group>L1_Format</group>
      <groupName>格式问题</groupName>
      <ability>L2_HalfPunc_CN</ability>
      <abilityName>全半角问题</abilityName>
      <candidateList>
        <item>（</item>
      </candidateList>
      <explain>文本全半角错误。</explain>
      <paraID>595EF2D0</paraID>
      <start>113</start>
      <end>114</end>
      <status>unmodified</status>
      <modifiedWord/>
      <trackRevisions>false</trackRevisions>
    </reviewItem>
    <reviewItem>
      <errorID>329ee62b-13b0-4c30-92ba-2e699e111bad</errorID>
      <errorWord>)</errorWord>
      <group>L1_Format</group>
      <groupName>格式问题</groupName>
      <ability>L2_HalfPunc_CN</ability>
      <abilityName>全半角问题</abilityName>
      <candidateList>
        <item>）</item>
      </candidateList>
      <explain>文本全半角错误。</explain>
      <paraID>595EF2D0</paraID>
      <start>128</start>
      <end>129</end>
      <status>unmodified</status>
      <modifiedWord/>
      <trackRevisions>false</trackRevisions>
    </reviewItem>
    <reviewItem>
      <errorID>dfb8418a-a81f-47c0-8146-18d0f2577bc9</errorID>
      <errorWord>(</errorWord>
      <group>L1_Format</group>
      <groupName>格式问题</groupName>
      <ability>L2_HalfPunc_CN</ability>
      <abilityName>全半角问题</abilityName>
      <candidateList>
        <item>（</item>
      </candidateList>
      <explain>文本全半角错误。</explain>
      <paraID>595EF2D0</paraID>
      <start>135</start>
      <end>136</end>
      <status>unmodified</status>
      <modifiedWord/>
      <trackRevisions>false</trackRevisions>
    </reviewItem>
    <reviewItem>
      <errorID>3b2f1e4a-e7c5-464d-91a4-62356be260a4</errorID>
      <errorWord>)</errorWord>
      <group>L1_Format</group>
      <groupName>格式问题</groupName>
      <ability>L2_HalfPunc_CN</ability>
      <abilityName>全半角问题</abilityName>
      <candidateList>
        <item>）</item>
      </candidateList>
      <explain>文本全半角错误。</explain>
      <paraID>595EF2D0</paraID>
      <start>150</start>
      <end>151</end>
      <status>unmodified</status>
      <modifiedWord/>
      <trackRevisions>false</trackRevisions>
    </reviewItem>
    <reviewItem>
      <errorID>4efe4be4-418f-45ea-8cfe-9fe74b4f269b</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68EB044F</paraID>
      <start>0</start>
      <end>2</end>
      <status>unmodified</status>
      <modifiedWord/>
      <trackRevisions>false</trackRevisions>
    </reviewItem>
    <reviewItem>
      <errorID>4b2d056a-6569-48f8-a77b-1b01b4840ac4</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2BE7D27B</paraID>
      <start>0</start>
      <end>2</end>
      <status>unmodified</status>
      <modifiedWord/>
      <trackRevisions>false</trackRevisions>
    </reviewItem>
    <reviewItem>
      <errorID>2ae0b570-6aeb-4f3c-b39d-3050e1f32944</errorID>
      <errorWord>(</errorWord>
      <group>L1_Format</group>
      <groupName>格式问题</groupName>
      <ability>L2_HalfPunc_CN</ability>
      <abilityName>全半角问题</abilityName>
      <candidateList>
        <item>（</item>
      </candidateList>
      <explain>文本全半角错误。</explain>
      <paraID>2BE7D27B</paraID>
      <start>16</start>
      <end>17</end>
      <status>unmodified</status>
      <modifiedWord/>
      <trackRevisions>false</trackRevisions>
    </reviewItem>
    <reviewItem>
      <errorID>1f6050ec-ed0b-40a3-8cf4-bc2dd19f9edd</errorID>
      <errorWord>)</errorWord>
      <group>L1_Format</group>
      <groupName>格式问题</groupName>
      <ability>L2_HalfPunc_CN</ability>
      <abilityName>全半角问题</abilityName>
      <candidateList>
        <item>）</item>
      </candidateList>
      <explain>文本全半角错误。</explain>
      <paraID>2BE7D27B</paraID>
      <start>36</start>
      <end>37</end>
      <status>unmodified</status>
      <modifiedWord/>
      <trackRevisions>false</trackRevisions>
    </reviewItem>
    <reviewItem>
      <errorID>7556e53c-62e7-4e7a-93f4-7cbbc8986fbe</errorID>
      <errorWord>1%-5%</errorWord>
      <group>L1_Knowledge</group>
      <groupName>知识性问题</groupName>
      <ability>L2_Knowledge</ability>
      <abilityName>其他知识</abilityName>
      <candidateList>
        <item>1%—5%</item>
      </candidateList>
      <explain>1. “1%-5%”中的单位“%”仅出现在后一个数字上，容易引起歧义；根据《现代汉语标点符号数字用法规范手册》，数字表示范围两边需要使用统一的格式。2. 根据标点国标 4.13 中的规则，数字、时间或地域连接符应使用（视觉上更长的）“—”或“～”。</explain>
      <paraID>2BE7D27B</paraID>
      <start>50</start>
      <end>55</end>
      <status>unmodified</status>
      <modifiedWord/>
      <trackRevisions>false</trackRevisions>
    </reviewItem>
    <reviewItem>
      <errorID>5f50bde0-757a-4a47-8088-8602564485a3</errorID>
      <errorWord>(</errorWord>
      <group>L1_Format</group>
      <groupName>格式问题</groupName>
      <ability>L2_HalfPunc_CN</ability>
      <abilityName>全半角问题</abilityName>
      <candidateList>
        <item>（</item>
      </candidateList>
      <explain>文本全半角错误。</explain>
      <paraID>2BE7D27B</paraID>
      <start>60</start>
      <end>61</end>
      <status>unmodified</status>
      <modifiedWord/>
      <trackRevisions>false</trackRevisions>
    </reviewItem>
    <reviewItem>
      <errorID>2723b7cc-89de-4369-918a-91c9fbeab98c</errorID>
      <errorWord>)</errorWord>
      <group>L1_Format</group>
      <groupName>格式问题</groupName>
      <ability>L2_HalfPunc_CN</ability>
      <abilityName>全半角问题</abilityName>
      <candidateList>
        <item>）</item>
      </candidateList>
      <explain>文本全半角错误。</explain>
      <paraID>2BE7D27B</paraID>
      <start>65</start>
      <end>66</end>
      <status>unmodified</status>
      <modifiedWord/>
      <trackRevisions>false</trackRevisions>
    </reviewItem>
    <reviewItem>
      <errorID>73e646be-68bb-4865-ba57-8aba6a008236</errorID>
      <errorWord>不低于20万</errorWord>
      <group>L1_Word</group>
      <groupName>字词问题</groupName>
      <ability>L2_Typo</ability>
      <abilityName>字词错误</abilityName>
      <candidateList>
        <item>不低于20万元</item>
      </candidateList>
      <explain/>
      <paraID>2BE7D27B</paraID>
      <start>82</start>
      <end>88</end>
      <status>unmodified</status>
      <modifiedWord/>
      <trackRevisions>false</trackRevisions>
    </reviewItem>
    <reviewItem>
      <errorID>fa4271e5-8f00-4653-b05e-aecdd4375c04</errorID>
      <errorWord>:</errorWord>
      <group>L1_Format</group>
      <groupName>格式问题</groupName>
      <ability>L2_HalfPunc_CN</ability>
      <abilityName>全半角问题</abilityName>
      <candidateList>
        <item>：</item>
      </candidateList>
      <explain>文本全半角错误。</explain>
      <paraID>2BE7D27B</paraID>
      <start>96</start>
      <end>97</end>
      <status>unmodified</status>
      <modifiedWord/>
      <trackRevisions>false</trackRevisions>
    </reviewItem>
    <reviewItem>
      <errorID>234c7bbd-776c-48ab-aed9-142b64521429</errorID>
      <errorWord>(</errorWord>
      <group>L1_Format</group>
      <groupName>格式问题</groupName>
      <ability>L2_HalfPunc_CN</ability>
      <abilityName>全半角问题</abilityName>
      <candidateList>
        <item>（</item>
      </candidateList>
      <explain>文本全半角错误。</explain>
      <paraID>2BE7D27B</paraID>
      <start>111</start>
      <end>112</end>
      <status>unmodified</status>
      <modifiedWord/>
      <trackRevisions>false</trackRevisions>
    </reviewItem>
    <reviewItem>
      <errorID>57a4b0fa-a99b-429b-aecd-6a36454341be</errorID>
      <errorWord>)</errorWord>
      <group>L1_Format</group>
      <groupName>格式问题</groupName>
      <ability>L2_HalfPunc_CN</ability>
      <abilityName>全半角问题</abilityName>
      <candidateList>
        <item>）</item>
      </candidateList>
      <explain>文本全半角错误。</explain>
      <paraID>2BE7D27B</paraID>
      <start>131</start>
      <end>132</end>
      <status>unmodified</status>
      <modifiedWord/>
      <trackRevisions>false</trackRevisions>
    </reviewItem>
    <reviewItem>
      <errorID>0ba21c79-ea79-4ac0-b581-64714efbb939</errorID>
      <errorWord>0.5%-3%</errorWord>
      <group>L1_Knowledge</group>
      <groupName>知识性问题</groupName>
      <ability>L2_Knowledge</ability>
      <abilityName>其他知识</abilityName>
      <candidateList>
        <item>0.5%—3%</item>
      </candidateList>
      <explain>1. “0.5%-3%”中的单位“%”仅出现在后一个数字上，容易引起歧义；根据《现代汉语标点符号数字用法规范手册》，数字表示范围两边需要使用统一的格式。2. 根据标点国标 4.13 中的规则，数字、时间或地域连接符应使用（视觉上更长的）“—”或“～”。</explain>
      <paraID>2BE7D27B</paraID>
      <start>145</start>
      <end>152</end>
      <status>unmodified</status>
      <modifiedWord/>
      <trackRevisions>false</trackRevisions>
    </reviewItem>
    <reviewItem>
      <errorID>14560396-4ef9-479f-b458-a25e998911f3</errorID>
      <errorWord>(</errorWord>
      <group>L1_Format</group>
      <groupName>格式问题</groupName>
      <ability>L2_HalfPunc_CN</ability>
      <abilityName>全半角问题</abilityName>
      <candidateList>
        <item>（</item>
      </candidateList>
      <explain>文本全半角错误。</explain>
      <paraID>2BE7D27B</paraID>
      <start>157</start>
      <end>158</end>
      <status>unmodified</status>
      <modifiedWord/>
      <trackRevisions>false</trackRevisions>
    </reviewItem>
    <reviewItem>
      <errorID>c97031d1-62d4-4dd2-a985-fc4f34cb669b</errorID>
      <errorWord>)</errorWord>
      <group>L1_Format</group>
      <groupName>格式问题</groupName>
      <ability>L2_HalfPunc_CN</ability>
      <abilityName>全半角问题</abilityName>
      <candidateList>
        <item>）</item>
      </candidateList>
      <explain>文本全半角错误。</explain>
      <paraID>2BE7D27B</paraID>
      <start>162</start>
      <end>163</end>
      <status>unmodified</status>
      <modifiedWord/>
      <trackRevisions>false</trackRevisions>
    </reviewItem>
    <reviewItem>
      <errorID>92f3d1a3-399e-445a-b924-b4b825a006ad</errorID>
      <errorWord>万</errorWord>
      <group>L1_Word</group>
      <groupName>字词问题</groupName>
      <ability>L2_Typo</ability>
      <abilityName>字词错误</abilityName>
      <candidateList>
        <item>万元</item>
      </candidateList>
      <explain/>
      <paraID>2BE7D27B</paraID>
      <start>184</start>
      <end>185</end>
      <status>unmodified</status>
      <modifiedWord/>
      <trackRevisions>false</trackRevisions>
    </reviewItem>
    <reviewItem>
      <errorID>977ef0ed-3b35-4b23-8f41-226a820eced6</errorID>
      <errorWord>(</errorWord>
      <group>L1_Format</group>
      <groupName>格式问题</groupName>
      <ability>L2_HalfPunc_CN</ability>
      <abilityName>全半角问题</abilityName>
      <candidateList>
        <item>（</item>
      </candidateList>
      <explain>文本全半角错误。</explain>
      <paraID>2BE7D27B</paraID>
      <start>288</start>
      <end>289</end>
      <status>unmodified</status>
      <modifiedWord/>
      <trackRevisions>false</trackRevisions>
    </reviewItem>
    <reviewItem>
      <errorID>1dfc0bd1-9640-490a-ad6a-6b642ba15435</errorID>
      <errorWord>)</errorWord>
      <group>L1_Format</group>
      <groupName>格式问题</groupName>
      <ability>L2_HalfPunc_CN</ability>
      <abilityName>全半角问题</abilityName>
      <candidateList>
        <item>）</item>
      </candidateList>
      <explain>文本全半角错误。</explain>
      <paraID>2BE7D27B</paraID>
      <start>292</start>
      <end>293</end>
      <status>unmodified</status>
      <modifiedWord/>
      <trackRevisions>false</trackRevisions>
    </reviewItem>
    <reviewItem>
      <errorID>efbf84a1-6e33-44a4-b6df-70c01a90d72c</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49513383</paraID>
      <start>0</start>
      <end>2</end>
      <status>unmodified</status>
      <modifiedWord/>
      <trackRevisions>false</trackRevisions>
    </reviewItem>
    <reviewItem>
      <errorID>77a377b5-bda0-44a5-ba61-d304b5aadf1a</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52D008D0</paraID>
      <start>0</start>
      <end>2</end>
      <status>unmodified</status>
      <modifiedWord/>
      <trackRevisions>false</trackRevisions>
    </reviewItem>
    <reviewItem>
      <errorID>93b6b049-27cf-45ec-8340-4dba2eaaa5e8</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6D9AB092</paraID>
      <start>0</start>
      <end>2</end>
      <status>unmodified</status>
      <modifiedWord/>
      <trackRevisions>false</trackRevisions>
    </reviewItem>
    <reviewItem>
      <errorID>80bd0c3e-304f-4b9f-bcfb-d9efa0320216</errorID>
      <errorWord>(</errorWord>
      <group>L1_Format</group>
      <groupName>格式问题</groupName>
      <ability>L2_HalfPunc_CN</ability>
      <abilityName>全半角问题</abilityName>
      <candidateList>
        <item>（</item>
      </candidateList>
      <explain>文本全半角错误。</explain>
      <paraID>6D9AB092</paraID>
      <start>15</start>
      <end>16</end>
      <status>unmodified</status>
      <modifiedWord/>
      <trackRevisions>false</trackRevisions>
    </reviewItem>
    <reviewItem>
      <errorID>d9af7c44-bc6d-4cde-97eb-ec16fde23213</errorID>
      <errorWord>)</errorWord>
      <group>L1_Format</group>
      <groupName>格式问题</groupName>
      <ability>L2_HalfPunc_CN</ability>
      <abilityName>全半角问题</abilityName>
      <candidateList>
        <item>）</item>
      </candidateList>
      <explain>文本全半角错误。</explain>
      <paraID>6D9AB092</paraID>
      <start>19</start>
      <end>20</end>
      <status>unmodified</status>
      <modifiedWord/>
      <trackRevisions>false</trackRevisions>
    </reviewItem>
    <reviewItem>
      <errorID>b48626df-f474-426f-8a81-e8623f278bb9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1286459F</paraID>
      <start>0</start>
      <end>2</end>
      <status>unmodified</status>
      <modifiedWord/>
      <trackRevisions>false</trackRevisions>
    </reviewItem>
    <reviewItem>
      <errorID>4ef11fd9-2c47-4eab-b5d6-48232c97615c</errorID>
      <errorWord>(</errorWord>
      <group>L1_Format</group>
      <groupName>格式问题</groupName>
      <ability>L2_HalfPunc_CN</ability>
      <abilityName>全半角问题</abilityName>
      <candidateList>
        <item>（</item>
      </candidateList>
      <explain>文本全半角错误。</explain>
      <paraID>1286459F</paraID>
      <start>66</start>
      <end>67</end>
      <status>unmodified</status>
      <modifiedWord/>
      <trackRevisions>false</trackRevisions>
    </reviewItem>
    <reviewItem>
      <errorID>2deb81d2-5583-412d-808a-b7bf8b39dea2</errorID>
      <errorWord>:</errorWord>
      <group>L1_Format</group>
      <groupName>格式问题</groupName>
      <ability>L2_HalfPunc_CN</ability>
      <abilityName>全半角问题</abilityName>
      <candidateList>
        <item>：</item>
      </candidateList>
      <explain>文本全半角错误。</explain>
      <paraID>1286459F</paraID>
      <start>73</start>
      <end>74</end>
      <status>unmodified</status>
      <modifiedWord/>
      <trackRevisions>false</trackRevisions>
    </reviewItem>
    <reviewItem>
      <errorID>74b7cd3b-e13d-4356-9af7-a3256dc33283</errorID>
      <errorWord>)</errorWord>
      <group>L1_Format</group>
      <groupName>格式问题</groupName>
      <ability>L2_HalfPunc_CN</ability>
      <abilityName>全半角问题</abilityName>
      <candidateList>
        <item>）</item>
      </candidateList>
      <explain>文本全半角错误。</explain>
      <paraID>1286459F</paraID>
      <start>131</start>
      <end>132</end>
      <status>unmodified</status>
      <modifiedWord/>
      <trackRevisions>false</trackRevisions>
    </reviewItem>
    <reviewItem>
      <errorID>9389aebf-a82f-46ee-abd6-4aef25ca2d01</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7F0FCAB7</paraID>
      <start>0</start>
      <end>2</end>
      <status>unmodified</status>
      <modifiedWord/>
      <trackRevisions>false</trackRevisions>
    </reviewItem>
    <reviewItem>
      <errorID>d2b2a4e8-39eb-45b6-9a3c-063700d3a81c</errorID>
      <errorWord>(</errorWord>
      <group>L1_Format</group>
      <groupName>格式问题</groupName>
      <ability>L2_HalfPunc_CN</ability>
      <abilityName>全半角问题</abilityName>
      <candidateList>
        <item>（</item>
      </candidateList>
      <explain>文本全半角错误。</explain>
      <paraID>7F0FCAB7</paraID>
      <start>69</start>
      <end>70</end>
      <status>unmodified</status>
      <modifiedWord/>
      <trackRevisions>false</trackRevisions>
    </reviewItem>
    <reviewItem>
      <errorID>fce2df95-432d-446e-bfcd-ea0e8473d53d</errorID>
      <errorWord>)</errorWord>
      <group>L1_Format</group>
      <groupName>格式问题</groupName>
      <ability>L2_HalfPunc_CN</ability>
      <abilityName>全半角问题</abilityName>
      <candidateList>
        <item>）</item>
      </candidateList>
      <explain>文本全半角错误。</explain>
      <paraID>7F0FCAB7</paraID>
      <start>86</start>
      <end>87</end>
      <status>unmodified</status>
      <modifiedWord/>
      <trackRevisions>false</trackRevisions>
    </reviewItem>
    <reviewItem>
      <errorID>efdb4c01-df4f-4410-b3c8-c4d4b60907a8</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479043DA</paraID>
      <start>0</start>
      <end>2</end>
      <status>unmodified</status>
      <modifiedWord/>
      <trackRevisions>false</trackRevisions>
    </reviewItem>
    <reviewItem>
      <errorID>864599c0-1782-44bd-b271-6f195ca3958e</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581862A5</paraID>
      <start>0</start>
      <end>2</end>
      <status>unmodified</status>
      <modifiedWord/>
      <trackRevisions>false</trackRevisions>
    </reviewItem>
    <reviewItem>
      <errorID>9dca68d1-c0cb-486c-9db3-0e32daba086d</errorID>
      <errorWord>1万~5万</errorWord>
      <group>L1_Knowledge</group>
      <groupName>知识性问题</groupName>
      <ability>L2_Knowledge</ability>
      <abilityName>其他知识</abilityName>
      <candidateList>
        <item>1万～5万</item>
      </candidateList>
      <explain>1. “1万~5万”中的单位“万”仅出现在后一个数字上，容易引起歧义；根据《现代汉语标点符号数字用法规范手册》，数字表示范围两边需要使用统一的格式。2.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581862A5</paraID>
      <start>50</start>
      <end>55</end>
      <status>unmodified</status>
      <modifiedWord/>
      <trackRevisions>false</trackRevisions>
    </reviewItem>
    <reviewItem>
      <errorID>d20376e1-a719-4572-bb02-661172b1d22b</errorID>
      <errorWord>g、</errorWord>
      <group>L1_Format</group>
      <groupName>格式问题</groupName>
      <ability>L2_Ordinal</ability>
      <abilityName>序号格式</abilityName>
      <candidateList>
        <item>g.</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6AEF1CB4</paraID>
      <start>0</start>
      <end>2</end>
      <status>unmodified</status>
      <modifiedWord/>
      <trackRevisions>false</trackRevisions>
    </reviewItem>
    <reviewItem>
      <errorID>3e7fea6e-e6c4-4865-bc31-d76a9978a855</errorID>
      <errorWord>1万~5万</errorWord>
      <group>L1_Knowledge</group>
      <groupName>知识性问题</groupName>
      <ability>L2_Knowledge</ability>
      <abilityName>其他知识</abilityName>
      <candidateList>
        <item>1万～5万</item>
      </candidateList>
      <explain>1. “1万~5万”中的单位“万”仅出现在后一个数字上，容易引起歧义；根据《现代汉语标点符号数字用法规范手册》，数字表示范围两边需要使用统一的格式。2.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6AEF1CB4</paraID>
      <start>75</start>
      <end>80</end>
      <status>unmodified</status>
      <modifiedWord/>
      <trackRevisions>false</trackRevisions>
    </reviewItem>
    <reviewItem>
      <errorID>b6ac33c2-752a-4793-8372-f11b4ba2b906</errorID>
      <errorWord>h、</errorWord>
      <group>L1_Format</group>
      <groupName>格式问题</groupName>
      <ability>L2_Ordinal</ability>
      <abilityName>序号格式</abilityName>
      <candidateList>
        <item>h.</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439DC491</paraID>
      <start>0</start>
      <end>2</end>
      <status>unmodified</status>
      <modifiedWord/>
      <trackRevisions>false</trackRevisions>
    </reviewItem>
    <reviewItem>
      <errorID>0a207bbc-248e-4131-a837-fb5b2aa1a606</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52F1105D</paraID>
      <start>0</start>
      <end>2</end>
      <status>unmodified</status>
      <modifiedWord/>
      <trackRevisions>false</trackRevisions>
    </reviewItem>
    <reviewItem>
      <errorID>4fd0df2a-af4f-40cd-b9cd-fe0afb3b4340</errorID>
      <errorWord>k、</errorWord>
      <group>L1_Format</group>
      <groupName>格式问题</groupName>
      <ability>L2_Ordinal</ability>
      <abilityName>序号格式</abilityName>
      <candidateList>
        <item>k.</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24A95540</paraID>
      <start>0</start>
      <end>2</end>
      <status>unmodified</status>
      <modifiedWord/>
      <trackRevisions>false</trackRevisions>
    </reviewItem>
    <reviewItem>
      <errorID>9ef49d28-4c60-457c-ab9d-bb3e27cb9b9c</errorID>
      <errorWord>(</errorWord>
      <group>L1_Format</group>
      <groupName>格式问题</groupName>
      <ability>L2_HalfPunc_CN</ability>
      <abilityName>全半角问题</abilityName>
      <candidateList>
        <item>（</item>
      </candidateList>
      <explain>文本全半角错误。</explain>
      <paraID>2F170A25</paraID>
      <start>2</start>
      <end>3</end>
      <status>unmodified</status>
      <modifiedWord/>
      <trackRevisions>false</trackRevisions>
    </reviewItem>
    <reviewItem>
      <errorID>54e012c3-a714-4ca8-801d-cd3ada0201b7</errorID>
      <errorWord>)</errorWord>
      <group>L1_Format</group>
      <groupName>格式问题</groupName>
      <ability>L2_HalfPunc_CN</ability>
      <abilityName>全半角问题</abilityName>
      <candidateList>
        <item>）</item>
      </candidateList>
      <explain>文本全半角错误。</explain>
      <paraID>2F170A25</paraID>
      <start>4</start>
      <end>5</end>
      <status>unmodified</status>
      <modifiedWord/>
      <trackRevisions>false</trackRevisions>
    </reviewItem>
    <reviewItem>
      <errorID>23f91919-6a93-420f-91c9-dc45bef053a1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47B63EA9</paraID>
      <start>0</start>
      <end>3</end>
      <status>unmodified</status>
      <modifiedWord/>
      <trackRevisions>false</trackRevisions>
    </reviewItem>
    <reviewItem>
      <errorID>8b385cc4-5120-405a-9413-7c013fce3adf</errorID>
      <errorWord>(</errorWord>
      <group>L1_Format</group>
      <groupName>格式问题</groupName>
      <ability>L2_HalfPunc_CN</ability>
      <abilityName>全半角问题</abilityName>
      <candidateList>
        <item>（</item>
      </candidateList>
      <explain>文本全半角错误。</explain>
      <paraID>5F264848</paraID>
      <start>2</start>
      <end>3</end>
      <status>unmodified</status>
      <modifiedWord/>
      <trackRevisions>false</trackRevisions>
    </reviewItem>
    <reviewItem>
      <errorID>f2967766-6f0b-464b-aeb0-f38a2eb96efa</errorID>
      <errorWord>)</errorWord>
      <group>L1_Format</group>
      <groupName>格式问题</groupName>
      <ability>L2_HalfPunc_CN</ability>
      <abilityName>全半角问题</abilityName>
      <candidateList>
        <item>）</item>
      </candidateList>
      <explain>文本全半角错误。</explain>
      <paraID>5F264848</paraID>
      <start>4</start>
      <end>5</end>
      <status>unmodified</status>
      <modifiedWord/>
      <trackRevisions>false</trackRevisions>
    </reviewItem>
    <reviewItem>
      <errorID>31c8d532-61ca-4b7c-834a-54610953cbf8</errorID>
      <errorWord>(</errorWord>
      <group>L1_Format</group>
      <groupName>格式问题</groupName>
      <ability>L2_HalfPunc_CN</ability>
      <abilityName>全半角问题</abilityName>
      <candidateList>
        <item>（</item>
      </candidateList>
      <explain>文本全半角错误。</explain>
      <paraID>667D50FC</paraID>
      <start>2</start>
      <end>3</end>
      <status>unmodified</status>
      <modifiedWord/>
      <trackRevisions>false</trackRevisions>
    </reviewItem>
    <reviewItem>
      <errorID>a2219f23-5688-4fde-8372-bfa1938c178c</errorID>
      <errorWord>)</errorWord>
      <group>L1_Format</group>
      <groupName>格式问题</groupName>
      <ability>L2_HalfPunc_CN</ability>
      <abilityName>全半角问题</abilityName>
      <candidateList>
        <item>）</item>
      </candidateList>
      <explain>文本全半角错误。</explain>
      <paraID>667D50FC</paraID>
      <start>4</start>
      <end>5</end>
      <status>unmodified</status>
      <modifiedWord/>
      <trackRevisions>false</trackRevisions>
    </reviewItem>
    <reviewItem>
      <errorID>01c4603f-5196-4bb8-83a9-3d451b5130b0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525ADAE7</paraID>
      <start>0</start>
      <end>3</end>
      <status>unmodified</status>
      <modifiedWord/>
      <trackRevisions>false</trackRevisions>
    </reviewItem>
    <reviewItem>
      <errorID>374b76fc-97c5-46d3-a5ca-ce7a308a5429</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71668647</paraID>
      <start>89</start>
      <end>92</end>
      <status>unmodified</status>
      <modifiedWord/>
      <trackRevisions>false</trackRevisions>
    </reviewItem>
    <reviewItem>
      <errorID>14570e4e-d28d-43ae-98fa-b3f05f6cec8f</errorID>
      <errorWord>地平</errorWord>
      <group>L1_Word</group>
      <groupName>字词问题</groupName>
      <ability>L2_Typo</ability>
      <abilityName>字词错误</abilityName>
      <candidateList>
        <item>地坪</item>
      </candidateList>
      <explain>存在发音相同字词的误用。</explain>
      <paraID> D8E2E88</paraID>
      <start>15</start>
      <end>17</end>
      <status>unmodified</status>
      <modifiedWord/>
      <trackRevisions>false</trackRevisions>
    </reviewItem>
    <reviewItem>
      <errorID>c7f66454-8139-48a6-b37b-c047df3366ec</errorID>
      <errorWord>期</errorWord>
      <group>L1_Word</group>
      <groupName>字词问题</groupName>
      <ability>L2_Typo</ability>
      <abilityName>字词错误</abilityName>
      <candidateList>
        <item>期间</item>
      </candidateList>
      <explain/>
      <paraID>741ADED4</paraID>
      <start>10</start>
      <end>11</end>
      <status>unmodified</status>
      <modifiedWord/>
      <trackRevisions>false</trackRevisions>
    </reviewItem>
    <reviewItem>
      <errorID>211a027f-a493-4f6e-9365-f7bb7893b806</errorID>
      <errorWord>(</errorWord>
      <group>L1_Format</group>
      <groupName>格式问题</groupName>
      <ability>L2_HalfPunc_CN</ability>
      <abilityName>全半角问题</abilityName>
      <candidateList>
        <item>（</item>
      </candidateList>
      <explain>文本全半角错误。</explain>
      <paraID>4010C927</paraID>
      <start>46</start>
      <end>47</end>
      <status>unmodified</status>
      <modifiedWord/>
      <trackRevisions>false</trackRevisions>
    </reviewItem>
    <reviewItem>
      <errorID>bd1ed11e-c2d8-49c3-94c0-da3d2601acfb</errorID>
      <errorWord>)</errorWord>
      <group>L1_Format</group>
      <groupName>格式问题</groupName>
      <ability>L2_HalfPunc_CN</ability>
      <abilityName>全半角问题</abilityName>
      <candidateList>
        <item>）</item>
      </candidateList>
      <explain>文本全半角错误。</explain>
      <paraID>4010C927</paraID>
      <start>49</start>
      <end>50</end>
      <status>unmodified</status>
      <modifiedWord/>
      <trackRevisions>false</trackRevisions>
    </reviewItem>
    <reviewItem>
      <errorID>d16cc6cd-e9f4-4dab-ba88-7a68fa81281e</errorID>
      <errorWord>台帐</errorWord>
      <group>L1_Word</group>
      <groupName>字词问题</groupName>
      <ability>L2_Typo</ability>
      <abilityName>字词错误</abilityName>
      <candidateList>
        <item>台账</item>
      </candidateList>
      <explain>存在发音相同字词的误用。</explain>
      <paraID>7E376B56</paraID>
      <start>33</start>
      <end>35</end>
      <status>unmodified</status>
      <modifiedWord/>
      <trackRevisions>false</trackRevisions>
    </reviewItem>
    <reviewItem>
      <errorID>1b606703-7131-4632-b30f-ba417b7d9948</errorID>
      <errorWord>相应的台帐</errorWord>
      <group>L1_Word</group>
      <groupName>字词问题</groupName>
      <ability>L2_Alias</ability>
      <abilityName>也作/曾用词</abilityName>
      <candidateList>
        <item>相应的台账</item>
      </candidateList>
      <explain>词汇[相应的台帐]为不规范表述或旧称，其规范书面表述为[相应的台账]。</explain>
      <paraID>7E376B56</paraID>
      <start>50</start>
      <end>55</end>
      <status>unmodified</status>
      <modifiedWord/>
      <trackRevisions>false</trackRevisions>
    </reviewItem>
    <reviewItem>
      <errorID>33954e23-3324-4d41-a536-784f4c7bfb40</errorID>
      <errorWord>的台帐</errorWord>
      <group>L1_Word</group>
      <groupName>字词问题</groupName>
      <ability>L2_Alias</ability>
      <abilityName>也作/曾用词</abilityName>
      <candidateList>
        <item>的台账</item>
      </candidateList>
      <explain>词汇[的台帐]为不规范表述或旧称，其规范书面表述为[的台账]。</explain>
      <paraID>7E376B56</paraID>
      <start>71</start>
      <end>74</end>
      <status>unmodified</status>
      <modifiedWord/>
      <trackRevisions>false</trackRevisions>
    </reviewItem>
    <reviewItem>
      <errorID>e3cfc26c-68c5-4c63-9b33-77ffb35d7d9d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2DFB18E7</paraID>
      <start>0</start>
      <end>3</end>
      <status>unmodified</status>
      <modifiedWord/>
      <trackRevisions>false</trackRevisions>
    </reviewItem>
    <reviewItem>
      <errorID>e006ad13-3e46-4a25-b008-adfd0d8393dc</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56093D5F</paraID>
      <start>0</start>
      <end>3</end>
      <status>unmodified</status>
      <modifiedWord/>
      <trackRevisions>false</trackRevisions>
    </reviewItem>
    <reviewItem>
      <errorID>ce6ed5d1-0367-4809-8171-ca1ecdd28158</errorID>
      <errorWord>(</errorWord>
      <group>L1_Format</group>
      <groupName>格式问题</groupName>
      <ability>L2_HalfPunc_CN</ability>
      <abilityName>全半角问题</abilityName>
      <candidateList>
        <item>（</item>
      </candidateList>
      <explain>文本全半角错误。</explain>
      <paraID>6FF3A8C6</paraID>
      <start>25</start>
      <end>26</end>
      <status>unmodified</status>
      <modifiedWord/>
      <trackRevisions>false</trackRevisions>
    </reviewItem>
    <reviewItem>
      <errorID>fe6efff9-b18e-4793-a2de-f1c5e63bcec8</errorID>
      <errorWord>)</errorWord>
      <group>L1_Format</group>
      <groupName>格式问题</groupName>
      <ability>L2_HalfPunc_CN</ability>
      <abilityName>全半角问题</abilityName>
      <candidateList>
        <item>）</item>
      </candidateList>
      <explain>文本全半角错误。</explain>
      <paraID>6FF3A8C6</paraID>
      <start>40</start>
      <end>41</end>
      <status>unmodified</status>
      <modifiedWord/>
      <trackRevisions>false</trackRevisions>
    </reviewItem>
    <reviewItem>
      <errorID>a84ee0dd-5e91-43b3-9597-98e7d9356ff8</errorID>
      <errorWord>(</errorWord>
      <group>L1_Format</group>
      <groupName>格式问题</groupName>
      <ability>L2_HalfPunc_CN</ability>
      <abilityName>全半角问题</abilityName>
      <candidateList>
        <item>（</item>
      </candidateList>
      <explain>文本全半角错误。</explain>
      <paraID>6FF3A8C6</paraID>
      <start>59</start>
      <end>60</end>
      <status>unmodified</status>
      <modifiedWord/>
      <trackRevisions>false</trackRevisions>
    </reviewItem>
    <reviewItem>
      <errorID>4984ff9e-07ab-4782-ab12-e686eda1a649</errorID>
      <errorWord>)</errorWord>
      <group>L1_Format</group>
      <groupName>格式问题</groupName>
      <ability>L2_HalfPunc_CN</ability>
      <abilityName>全半角问题</abilityName>
      <candidateList>
        <item>）</item>
      </candidateList>
      <explain>文本全半角错误。</explain>
      <paraID>6FF3A8C6</paraID>
      <start>63</start>
      <end>64</end>
      <status>unmodified</status>
      <modifiedWord/>
      <trackRevisions>false</trackRevisions>
    </reviewItem>
    <reviewItem>
      <errorID>fd02ae2c-416b-4fce-b201-b3a49f73d1ee</errorID>
      <errorWord>其它月份</errorWord>
      <group>L1_Word</group>
      <groupName>字词问题</groupName>
      <ability>L2_Alias</ability>
      <abilityName>也作/曾用词</abilityName>
      <candidateList>
        <item>其他月份</item>
      </candidateList>
      <explain>词汇[其它月份]为不规范表述或旧称，其规范书面表述为[其他月份]。</explain>
      <paraID>29A2E318</paraID>
      <start>79</start>
      <end>83</end>
      <status>unmodified</status>
      <modifiedWord/>
      <trackRevisions>false</trackRevisions>
    </reviewItem>
    <reviewItem>
      <errorID>782a961b-4b8f-4d16-8566-aec5182a80b4</errorID>
      <errorWord>)</errorWord>
      <group>L1_Format</group>
      <groupName>格式问题</groupName>
      <ability>L2_HalfPunc_CN</ability>
      <abilityName>全半角问题</abilityName>
      <candidateList>
        <item>）</item>
      </candidateList>
      <explain>文本全半角错误。</explain>
      <paraID>480E1C94</paraID>
      <start>15</start>
      <end>16</end>
      <status>unmodified</status>
      <modifiedWord/>
      <trackRevisions>false</trackRevisions>
    </reviewItem>
    <reviewItem>
      <errorID>1094b903-e7f8-407f-a568-6759ebfcd9b3</errorID>
      <errorWord>(</errorWord>
      <group>L1_Format</group>
      <groupName>格式问题</groupName>
      <ability>L2_HalfPunc_CN</ability>
      <abilityName>全半角问题</abilityName>
      <candidateList>
        <item>（</item>
      </candidateList>
      <explain>文本全半角错误。</explain>
      <paraID>31DFB641</paraID>
      <start>4</start>
      <end>5</end>
      <status>unmodified</status>
      <modifiedWord/>
      <trackRevisions>false</trackRevisions>
    </reviewItem>
    <reviewItem>
      <errorID>382bf899-a09c-463d-953b-77ad34966499</errorID>
      <errorWord>)</errorWord>
      <group>L1_Format</group>
      <groupName>格式问题</groupName>
      <ability>L2_HalfPunc_CN</ability>
      <abilityName>全半角问题</abilityName>
      <candidateList>
        <item>）</item>
      </candidateList>
      <explain>文本全半角错误。</explain>
      <paraID>31DFB641</paraID>
      <start>6</start>
      <end>7</end>
      <status>unmodified</status>
      <modifiedWord/>
      <trackRevisions>false</trackRevisions>
    </reviewItem>
    <reviewItem>
      <errorID>075313d5-6dca-45dd-acb6-aab5afa4ee7c</errorID>
      <errorWord>(</errorWord>
      <group>L1_Format</group>
      <groupName>格式问题</groupName>
      <ability>L2_HalfPunc_CN</ability>
      <abilityName>全半角问题</abilityName>
      <candidateList>
        <item>（</item>
      </candidateList>
      <explain>文本全半角错误。</explain>
      <paraID>31DFB641</paraID>
      <start>8</start>
      <end>9</end>
      <status>unmodified</status>
      <modifiedWord/>
      <trackRevisions>false</trackRevisions>
    </reviewItem>
    <reviewItem>
      <errorID>8ee25925-0101-4fee-b184-059a59515f57</errorID>
      <errorWord>)</errorWord>
      <group>L1_Format</group>
      <groupName>格式问题</groupName>
      <ability>L2_HalfPunc_CN</ability>
      <abilityName>全半角问题</abilityName>
      <candidateList>
        <item>）</item>
      </candidateList>
      <explain>文本全半角错误。</explain>
      <paraID>31DFB641</paraID>
      <start>10</start>
      <end>11</end>
      <status>unmodified</status>
      <modifiedWord/>
      <trackRevisions>false</trackRevisions>
    </reviewItem>
    <reviewItem>
      <errorID>6ae56030-fe93-4c65-94a2-6788ec8fceba</errorID>
      <errorWord>………</errorWord>
      <group>L1_Punc</group>
      <groupName>标点问题</groupName>
      <ability>L2_Punc_CN</ability>
      <abilityName>标点符号问题</abilityName>
      <candidateList>
        <item>……</item>
      </candidateList>
      <explain/>
      <paraID>1D12CFF9</paraID>
      <start>0</start>
      <end>3</end>
      <status>unmodified</status>
      <modifiedWord/>
      <trackRevisions>false</trackRevisions>
    </reviewItem>
    <reviewItem>
      <errorID>9ebe5af4-e6d4-4155-b6e5-0cba14562c31</errorID>
      <errorWord>总额</errorWord>
      <group>L1_Word</group>
      <groupName>字词问题</groupName>
      <ability>L2_Typo</ability>
      <abilityName>字词错误</abilityName>
      <candidateList>
        <item>总</item>
      </candidateList>
      <explain/>
      <paraID>18C7F37F</paraID>
      <start>21</start>
      <end>23</end>
      <status>unmodified</status>
      <modifiedWord/>
      <trackRevisions>false</trackRevisions>
    </reviewItem>
    <reviewItem>
      <errorID>3e004ee3-ebd8-41f2-9df3-dc6cc6fda524</errorID>
      <errorWord>位</errorWord>
      <group>L1_Word</group>
      <groupName>字词问题</groupName>
      <ability>L2_Typo</ability>
      <abilityName>字词错误</abilityName>
      <candidateList>
        <item>位公</item>
      </candidateList>
      <explain/>
      <paraID> DC034BF</paraID>
      <start>41</start>
      <end>42</end>
      <status>unmodified</status>
      <modifiedWord/>
      <trackRevisions>false</trackRevisions>
    </reviewItem>
    <reviewItem>
      <errorID>3a1f9747-599c-4708-8e06-d6be9542180c</errorID>
      <errorWord>法》《建设工程安全</errorWord>
      <group>L1_Word</group>
      <groupName>字词问题</groupName>
      <ability>L2_Typo</ability>
      <abilityName>字词错误</abilityName>
      <candidateList>
        <item>法》和《建设工程安全</item>
      </candidateList>
      <explain/>
      <paraID>51D624DE</paraID>
      <start>19</start>
      <end>28</end>
      <status>unmodified</status>
      <modifiedWord/>
      <trackRevisions>false</trackRevisions>
    </reviewItem>
    <reviewItem>
      <errorID>2384a153-917e-41cb-a020-b760bc03d63d</errorID>
      <errorWord>的</errorWord>
      <group>L1_Word</group>
      <groupName>字词问题</groupName>
      <ability>L2_Typo</ability>
      <abilityName>字词错误</abilityName>
      <candidateList>
        <item>的农</item>
      </candidateList>
      <explain/>
      <paraID>1CC469BC</paraID>
      <start>39</start>
      <end>40</end>
      <status>unmodified</status>
      <modifiedWord/>
      <trackRevisions>false</trackRevisions>
    </reviewItem>
    <reviewItem>
      <errorID>9c2c313f-8197-44b8-a3da-47c7486e1017</errorID>
      <errorWord>操作合</errorWord>
      <group>L1_Word</group>
      <groupName>字词问题</groupName>
      <ability>L2_Typo</ability>
      <abilityName>字词错误</abilityName>
      <candidateList>
        <item>操作台</item>
      </candidateList>
      <explain/>
      <paraID> DCD7786</paraID>
      <start>161</start>
      <end>164</end>
      <status>unmodified</status>
      <modifiedWord/>
      <trackRevisions>false</trackRevisions>
    </reviewItem>
    <reviewItem>
      <errorID>295d9366-ad10-4d5d-878c-04802f30c228</errorID>
      <errorWord>之外，还应配备有足够</errorWord>
      <group>L1_Word</group>
      <groupName>字词问题</groupName>
      <ability>L2_Typo</ability>
      <abilityName>字词错误</abilityName>
      <candidateList>
        <item>之外，还应配备足够</item>
      </candidateList>
      <explain/>
      <paraID>42B3B833</paraID>
      <start>20</start>
      <end>30</end>
      <status>unmodified</status>
      <modifiedWord/>
      <trackRevisions>false</trackRevisions>
    </reviewItem>
    <reviewItem>
      <errorID>5079c1ed-1cf4-4508-8a07-d50c48d71e39</errorID>
      <errorWord>位</errorWord>
      <group>L1_Word</group>
      <groupName>字词问题</groupName>
      <ability>L2_Typo</ability>
      <abilityName>字词错误</abilityName>
      <candidateList>
        <item>位公</item>
      </candidateList>
      <explain/>
      <paraID>7905143C</paraID>
      <start>28</start>
      <end>29</end>
      <status>unmodified</status>
      <modifiedWord/>
      <trackRevisions>false</trackRevisions>
    </reviewItem>
    <reviewItem>
      <errorID>7cf34a98-eac6-47ba-aa51-8b03b2554064</errorID>
      <errorWord>(</errorWord>
      <group>L1_Format</group>
      <groupName>格式问题</groupName>
      <ability>L2_HalfPunc_CN</ability>
      <abilityName>全半角问题</abilityName>
      <candidateList>
        <item>（</item>
      </candidateList>
      <explain>文本全半角错误。</explain>
      <paraID>7203E60C</paraID>
      <start>11</start>
      <end>12</end>
      <status>unmodified</status>
      <modifiedWord/>
      <trackRevisions>false</trackRevisions>
    </reviewItem>
    <reviewItem>
      <errorID>15646eeb-06a0-4bce-8c1e-3c41a766c196</errorID>
      <errorWord>)</errorWord>
      <group>L1_Format</group>
      <groupName>格式问题</groupName>
      <ability>L2_HalfPunc_CN</ability>
      <abilityName>全半角问题</abilityName>
      <candidateList>
        <item>）</item>
      </candidateList>
      <explain>文本全半角错误。</explain>
      <paraID>7203E60C</paraID>
      <start>16</start>
      <end>17</end>
      <status>unmodified</status>
      <modifiedWord/>
      <trackRevisions>false</trackRevisions>
    </reviewItem>
    <reviewItem>
      <errorID>f61205e0-b781-428e-a08e-08916f128b21</errorID>
      <errorWord>拌合站</errorWord>
      <group>L1_Word</group>
      <groupName>字词问题</groupName>
      <ability>L2_Typo</ability>
      <abilityName>字词错误</abilityName>
      <candidateList>
        <item>拌和站</item>
      </candidateList>
      <explain>存在发音相同字词的误用。</explain>
      <paraID>5CA35158</paraID>
      <start>5</start>
      <end>8</end>
      <status>unmodified</status>
      <modifiedWord/>
      <trackRevisions>false</trackRevisions>
    </reviewItem>
    <reviewItem>
      <errorID>0ef9f164-04a9-4734-8f01-3b8924a66493</errorID>
      <errorWord>[2019]254号</errorWord>
      <group>L1_Knowledge</group>
      <groupName>知识性问题</groupName>
      <ability>L2_Knowledge</ability>
      <abilityName>其他知识</abilityName>
      <candidateList>
        <item>〔2019〕254号</item>
      </candidateList>
      <explain>发文字号格式错误。</explain>
      <paraID>7362F2B2</paraID>
      <start>47</start>
      <end>57</end>
      <status>unmodified</status>
      <modifiedWord/>
      <trackRevisions>false</trackRevisions>
    </reviewItem>
    <reviewItem>
      <errorID>744d7fff-5c32-4228-81e3-37bc8dd39f0e</errorID>
      <errorWord>拌合站</errorWord>
      <group>L1_Word</group>
      <groupName>字词问题</groupName>
      <ability>L2_Typo</ability>
      <abilityName>字词错误</abilityName>
      <candidateList>
        <item>拌和站</item>
      </candidateList>
      <explain>存在发音相同字词的误用。</explain>
      <paraID>7362F2B2</paraID>
      <start>63</start>
      <end>66</end>
      <status>unmodified</status>
      <modifiedWord/>
      <trackRevisions>false</trackRevisions>
    </reviewItem>
    <reviewItem>
      <errorID>5c8ecf01-3e12-4ce3-8112-091e8963fc72</errorID>
      <errorWord>:</errorWord>
      <group>L1_Format</group>
      <groupName>格式问题</groupName>
      <ability>L2_HalfPunc_CN</ability>
      <abilityName>全半角问题</abilityName>
      <candidateList>
        <item>：</item>
      </candidateList>
      <explain>文本全半角错误。</explain>
      <paraID>53733A4B</paraID>
      <start>2</start>
      <end>3</end>
      <status>unmodified</status>
      <modifiedWord/>
      <trackRevisions>false</trackRevisions>
    </reviewItem>
    <reviewItem>
      <errorID>700ebc11-07d0-475b-9bba-1bef62c288a2</errorID>
      <errorWord>)</errorWord>
      <group>L1_Format</group>
      <groupName>格式问题</groupName>
      <ability>L2_HalfPunc_CN</ability>
      <abilityName>全半角问题</abilityName>
      <candidateList>
        <item>）</item>
      </candidateList>
      <explain>文本全半角错误。</explain>
      <paraID>53733A4B</paraID>
      <start>17</start>
      <end>18</end>
      <status>unmodified</status>
      <modifiedWord/>
      <trackRevisions>false</trackRevisions>
    </reviewItem>
    <reviewItem>
      <errorID>137b8539-a870-4edf-8091-8f8fc0b5a6e3</errorID>
      <errorWord>:</errorWord>
      <group>L1_Format</group>
      <groupName>格式问题</groupName>
      <ability>L2_HalfPunc_CN</ability>
      <abilityName>全半角问题</abilityName>
      <candidateList>
        <item>：</item>
      </candidateList>
      <explain>文本全半角错误。</explain>
      <paraID>53733A4B</paraID>
      <start>27</start>
      <end>28</end>
      <status>unmodified</status>
      <modifiedWord/>
      <trackRevisions>false</trackRevisions>
    </reviewItem>
    <reviewItem>
      <errorID>591a4a28-787e-4d6c-bde4-5f23037ea0c2</errorID>
      <errorWord>:</errorWord>
      <group>L1_Format</group>
      <groupName>格式问题</groupName>
      <ability>L2_HalfPunc_CN</ability>
      <abilityName>全半角问题</abilityName>
      <candidateList>
        <item>：</item>
      </candidateList>
      <explain>文本全半角错误。</explain>
      <paraID>53733A4B</paraID>
      <start>80</start>
      <end>81</end>
      <status>unmodified</status>
      <modifiedWord/>
      <trackRevisions>false</trackRevisions>
    </reviewItem>
    <reviewItem>
      <errorID>241177ce-7912-466c-acbb-582260a58015</errorID>
      <errorWord>钢质</errorWord>
      <group>L1_Word</group>
      <groupName>字词问题</groupName>
      <ability>L2_Typo</ability>
      <abilityName>字词错误</abilityName>
      <candidateList>
        <item>钢制</item>
      </candidateList>
      <explain>存在发音相同字词的误用。</explain>
      <paraID>64BE576D</paraID>
      <start>0</start>
      <end>2</end>
      <status>unmodified</status>
      <modifiedWord/>
      <trackRevisions>false</trackRevisions>
    </reviewItem>
    <reviewItem>
      <errorID>f689f7ef-104f-4874-bdbe-c0c2e9d99bed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22528299</paraID>
      <start>0</start>
      <end>2</end>
      <status>unmodified</status>
      <modifiedWord/>
      <trackRevisions>false</trackRevisions>
    </reviewItem>
    <reviewItem>
      <errorID>0f584246-75e5-4fa1-88c2-9549b0b28969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2AD0F202</paraID>
      <start>0</start>
      <end>2</end>
      <status>unmodified</status>
      <modifiedWord/>
      <trackRevisions>false</trackRevisions>
    </reviewItem>
    <reviewItem>
      <errorID>957edc14-b29e-4985-81dd-a696029d19d2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35830B2</paraID>
      <start>0</start>
      <end>2</end>
      <status>unmodified</status>
      <modifiedWord/>
      <trackRevisions>false</trackRevisions>
    </reviewItem>
    <reviewItem>
      <errorID>bd22d9ed-0778-4127-867c-6e68d72ca7c1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540CDDD6</paraID>
      <start>0</start>
      <end>2</end>
      <status>unmodified</status>
      <modifiedWord/>
      <trackRevisions>false</trackRevisions>
    </reviewItem>
    <reviewItem>
      <errorID>f9c4b4f2-f3fe-4a1a-82e1-0c5d35cd1438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5E291149</paraID>
      <start>0</start>
      <end>2</end>
      <status>unmodified</status>
      <modifiedWord/>
      <trackRevisions>false</trackRevisions>
    </reviewItem>
    <reviewItem>
      <errorID>447da872-b7bb-42ad-a6d9-9931f005ed4a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50357F16</paraID>
      <start>0</start>
      <end>2</end>
      <status>unmodified</status>
      <modifiedWord/>
      <trackRevisions>false</trackRevisions>
    </reviewItem>
    <reviewItem>
      <errorID>8bac4e76-1646-4697-b0db-6b0b3849b406</errorID>
      <errorWord>（</errorWord>
      <group>L1_Format</group>
      <groupName>格式问题</groupName>
      <ability>L2_HalfPunc_CN</ability>
      <abilityName>全半角问题</abilityName>
      <candidateList>
        <item>(</item>
      </candidateList>
      <explain>文本全半角错误。</explain>
      <paraID>2A229A24</paraID>
      <start>4</start>
      <end>5</end>
      <status>unmodified</status>
      <modifiedWord/>
      <trackRevisions>false</trackRevisions>
    </reviewItem>
    <reviewItem>
      <errorID>4f0c9698-72f0-494f-8f27-c7b446f2ec45</errorID>
      <errorWord>）</errorWord>
      <group>L1_Format</group>
      <groupName>格式问题</groupName>
      <ability>L2_HalfPunc_CN</ability>
      <abilityName>全半角问题</abilityName>
      <candidateList>
        <item>)</item>
      </candidateList>
      <explain>文本全半角错误。</explain>
      <paraID>2A229A24</paraID>
      <start>6</start>
      <end>7</end>
      <status>unmodified</status>
      <modifiedWord/>
      <trackRevisions>false</trackRevisions>
    </reviewItem>
    <reviewItem>
      <errorID>84cdd0b8-c12b-4531-a402-ab75bb7ffc97</errorID>
      <errorWord>（</errorWord>
      <group>L1_Format</group>
      <groupName>格式问题</groupName>
      <ability>L2_HalfPunc_CN</ability>
      <abilityName>全半角问题</abilityName>
      <candidateList>
        <item>(</item>
      </candidateList>
      <explain>文本全半角错误。</explain>
      <paraID>63818A95</paraID>
      <start>4</start>
      <end>5</end>
      <status>unmodified</status>
      <modifiedWord/>
      <trackRevisions>false</trackRevisions>
    </reviewItem>
    <reviewItem>
      <errorID>b670810f-7609-4013-bea5-cbc35d2d20bb</errorID>
      <errorWord>）</errorWord>
      <group>L1_Format</group>
      <groupName>格式问题</groupName>
      <ability>L2_HalfPunc_CN</ability>
      <abilityName>全半角问题</abilityName>
      <candidateList>
        <item>)</item>
      </candidateList>
      <explain>文本全半角错误。</explain>
      <paraID>63818A95</paraID>
      <start>6</start>
      <end>7</end>
      <status>unmodified</status>
      <modifiedWord/>
      <trackRevisions>false</trackRevisions>
    </reviewItem>
    <reviewItem>
      <errorID>28d34dde-26a6-438a-b4a7-7268d9b178a4</errorID>
      <errorWord>（</errorWord>
      <group>L1_Format</group>
      <groupName>格式问题</groupName>
      <ability>L2_HalfPunc_CN</ability>
      <abilityName>全半角问题</abilityName>
      <candidateList>
        <item>(</item>
      </candidateList>
      <explain>文本全半角错误。</explain>
      <paraID>5A86FBB0</paraID>
      <start>6</start>
      <end>7</end>
      <status>unmodified</status>
      <modifiedWord/>
      <trackRevisions>false</trackRevisions>
    </reviewItem>
    <reviewItem>
      <errorID>c6439591-03a1-466b-9f76-48334da93250</errorID>
      <errorWord>）</errorWord>
      <group>L1_Format</group>
      <groupName>格式问题</groupName>
      <ability>L2_HalfPunc_CN</ability>
      <abilityName>全半角问题</abilityName>
      <candidateList>
        <item>)</item>
      </candidateList>
      <explain>文本全半角错误。</explain>
      <paraID>5A86FBB0</paraID>
      <start>8</start>
      <end>9</end>
      <status>unmodified</status>
      <modifiedWord/>
      <trackRevisions>false</trackRevisions>
    </reviewItem>
    <reviewItem>
      <errorID>021bb553-0ada-4baf-a306-0c815dd5b62d</errorID>
      <errorWord>（</errorWord>
      <group>L1_Format</group>
      <groupName>格式问题</groupName>
      <ability>L2_HalfPunc_CN</ability>
      <abilityName>全半角问题</abilityName>
      <candidateList>
        <item>(</item>
      </candidateList>
      <explain>文本全半角错误。</explain>
      <paraID>5BA45185</paraID>
      <start>6</start>
      <end>7</end>
      <status>unmodified</status>
      <modifiedWord/>
      <trackRevisions>false</trackRevisions>
    </reviewItem>
    <reviewItem>
      <errorID>fc2b4120-3e40-4e06-98d5-9a8b8061bfa2</errorID>
      <errorWord>）</errorWord>
      <group>L1_Format</group>
      <groupName>格式问题</groupName>
      <ability>L2_HalfPunc_CN</ability>
      <abilityName>全半角问题</abilityName>
      <candidateList>
        <item>)</item>
      </candidateList>
      <explain>文本全半角错误。</explain>
      <paraID>5BA45185</paraID>
      <start>8</start>
      <end>9</end>
      <status>unmodified</status>
      <modifiedWord/>
      <trackRevisions>false</trackRevisions>
    </reviewItem>
    <reviewItem>
      <errorID>58f2eefb-ad4f-44b7-b313-0f5385b67b2c</errorID>
      <errorWord>（</errorWord>
      <group>L1_Format</group>
      <groupName>格式问题</groupName>
      <ability>L2_HalfPunc_CN</ability>
      <abilityName>全半角问题</abilityName>
      <candidateList>
        <item>(</item>
      </candidateList>
      <explain>文本全半角错误。</explain>
      <paraID>  20AAFA</paraID>
      <start>6</start>
      <end>7</end>
      <status>unmodified</status>
      <modifiedWord/>
      <trackRevisions>false</trackRevisions>
    </reviewItem>
    <reviewItem>
      <errorID>f0255225-a326-442b-b525-e21efaa51ce2</errorID>
      <errorWord>）</errorWord>
      <group>L1_Format</group>
      <groupName>格式问题</groupName>
      <ability>L2_HalfPunc_CN</ability>
      <abilityName>全半角问题</abilityName>
      <candidateList>
        <item>)</item>
      </candidateList>
      <explain>文本全半角错误。</explain>
      <paraID>  20AAFA</paraID>
      <start>8</start>
      <end>9</end>
      <status>unmodified</status>
      <modifiedWord/>
      <trackRevisions>false</trackRevisions>
    </reviewItem>
    <reviewItem>
      <errorID>2a3f306c-2d75-4543-9e9f-8aab1c26f728</errorID>
      <errorWord>（</errorWord>
      <group>L1_Format</group>
      <groupName>格式问题</groupName>
      <ability>L2_HalfPunc_CN</ability>
      <abilityName>全半角问题</abilityName>
      <candidateList>
        <item>(</item>
      </candidateList>
      <explain>文本全半角错误。</explain>
      <paraID>7F66BB00</paraID>
      <start>6</start>
      <end>7</end>
      <status>unmodified</status>
      <modifiedWord/>
      <trackRevisions>false</trackRevisions>
    </reviewItem>
    <reviewItem>
      <errorID>5e1f6b98-de42-456d-95af-36c3527bf97b</errorID>
      <errorWord>）</errorWord>
      <group>L1_Format</group>
      <groupName>格式问题</groupName>
      <ability>L2_HalfPunc_CN</ability>
      <abilityName>全半角问题</abilityName>
      <candidateList>
        <item>)</item>
      </candidateList>
      <explain>文本全半角错误。</explain>
      <paraID>7F66BB00</paraID>
      <start>8</start>
      <end>9</end>
      <status>unmodified</status>
      <modifiedWord/>
      <trackRevisions>false</trackRevisions>
    </reviewItem>
    <reviewItem>
      <errorID>16fa85d4-f524-4873-9eba-9c8b7efd4b08</errorID>
      <errorWord>（</errorWord>
      <group>L1_Format</group>
      <groupName>格式问题</groupName>
      <ability>L2_HalfPunc_CN</ability>
      <abilityName>全半角问题</abilityName>
      <candidateList>
        <item>(</item>
      </candidateList>
      <explain>文本全半角错误。</explain>
      <paraID>6A82A807</paraID>
      <start>4</start>
      <end>5</end>
      <status>unmodified</status>
      <modifiedWord/>
      <trackRevisions>false</trackRevisions>
    </reviewItem>
    <reviewItem>
      <errorID>532edc69-6daa-4c37-99dc-ee5c8efb5685</errorID>
      <errorWord>）</errorWord>
      <group>L1_Format</group>
      <groupName>格式问题</groupName>
      <ability>L2_HalfPunc_CN</ability>
      <abilityName>全半角问题</abilityName>
      <candidateList>
        <item>)</item>
      </candidateList>
      <explain>文本全半角错误。</explain>
      <paraID>6A82A807</paraID>
      <start>6</start>
      <end>7</end>
      <status>unmodified</status>
      <modifiedWord/>
      <trackRevisions>false</trackRevisions>
    </reviewItem>
    <reviewItem>
      <errorID>024dbfcb-06c6-4521-91cb-8204c7b9ef3f</errorID>
      <errorWord>只须按</errorWord>
      <group>L1_Word</group>
      <groupName>字词问题</groupName>
      <ability>L2_Typo</ability>
      <abilityName>字词错误</abilityName>
      <candidateList>
        <item>只需按</item>
      </candidateList>
      <explain/>
      <paraID>62D2E4B1</paraID>
      <start>23</start>
      <end>26</end>
      <status>unmodified</status>
      <modifiedWord/>
      <trackRevisions>false</trackRevisions>
    </reviewItem>
    <reviewItem>
      <errorID>69772beb-7ed0-4a4a-a369-6ef4a3a15ee0</errorID>
      <errorWord>须</errorWord>
      <group>L1_Word</group>
      <groupName>字词问题</groupName>
      <ability>L2_Typo</ability>
      <abilityName>字词错误</abilityName>
      <candidateList>
        <item>需</item>
      </candidateList>
      <explain>存在发音相同字词的误用。</explain>
      <paraID>4942B4FC</paraID>
      <start>22</start>
      <end>23</end>
      <status>unmodified</status>
      <modifiedWord/>
      <trackRevisions>false</trackRevisions>
    </reviewItem>
    <reviewItem>
      <errorID>f319484a-42f3-4df8-b4b4-714d0c473853</errorID>
      <errorWord>位</errorWord>
      <group>L1_Word</group>
      <groupName>字词问题</groupName>
      <ability>L2_Typo</ability>
      <abilityName>字词错误</abilityName>
      <candidateList>
        <item>位公</item>
      </candidateList>
      <explain/>
      <paraID> E2E7970</paraID>
      <start>24</start>
      <end>25</end>
      <status>unmodified</status>
      <modifiedWord/>
      <trackRevisions>false</trackRevisions>
    </reviewItem>
    <reviewItem>
      <errorID>a5e43859-31ab-4185-a8af-7b297c7bf123</errorID>
      <errorWord>精炼</errorWord>
      <group>L1_Word</group>
      <groupName>字词问题</groupName>
      <ability>L2_Typo</ability>
      <abilityName>字词错误</abilityName>
      <candidateList>
        <item>精练</item>
      </candidateList>
      <explain/>
      <paraID>279E516F</paraID>
      <start>21</start>
      <end>23</end>
      <status>unmodified</status>
      <modifiedWord/>
      <trackRevisions>false</trackRevisions>
    </reviewItem>
    <reviewItem>
      <errorID>03d4bd13-fe78-4e74-bf05-0a2e25fdfa79</errorID>
      <errorWord>(</errorWord>
      <group>L1_Format</group>
      <groupName>格式问题</groupName>
      <ability>L2_HalfPunc_CN</ability>
      <abilityName>全半角问题</abilityName>
      <candidateList>
        <item>（</item>
      </candidateList>
      <explain>文本全半角错误。</explain>
      <paraID>1BE8E3FB</paraID>
      <start>24</start>
      <end>25</end>
      <status>unmodified</status>
      <modifiedWord/>
      <trackRevisions>false</trackRevisions>
    </reviewItem>
    <reviewItem>
      <errorID>e5bd8e5b-8c8c-4d99-81ea-3f515f476f03</errorID>
      <errorWord>)</errorWord>
      <group>L1_Format</group>
      <groupName>格式问题</groupName>
      <ability>L2_HalfPunc_CN</ability>
      <abilityName>全半角问题</abilityName>
      <candidateList>
        <item>）</item>
      </candidateList>
      <explain>文本全半角错误。</explain>
      <paraID>1BE8E3FB</paraID>
      <start>38</start>
      <end>39</end>
      <status>unmodified</status>
      <modifiedWord/>
      <trackRevisions>false</trackRevisions>
    </reviewItem>
    <reviewItem>
      <errorID>1b5eee3f-2aa7-49ed-9b6e-bc429ef89698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16EE8616</paraID>
      <start>0</start>
      <end>2</end>
      <status>unmodified</status>
      <modifiedWord/>
      <trackRevisions>false</trackRevisions>
    </reviewItem>
    <reviewItem>
      <errorID>25c5f387-62a9-423e-96c7-9679de79c4cf</errorID>
      <errorWord>直接雇佣</errorWord>
      <group>L1_Word</group>
      <groupName>字词问题</groupName>
      <ability>L2_Typo</ability>
      <abilityName>字词错误</abilityName>
      <candidateList>
        <item>直接雇用</item>
      </candidateList>
      <explain/>
      <paraID>1C019418</paraID>
      <start>17</start>
      <end>21</end>
      <status>unmodified</status>
      <modifiedWord/>
      <trackRevisions>false</trackRevisions>
    </reviewItem>
    <reviewItem>
      <errorID>eb81aaf4-2534-465a-9826-c8f8cb7d4b99</errorID>
      <errorWord>(</errorWord>
      <group>L1_Format</group>
      <groupName>格式问题</groupName>
      <ability>L2_HalfPunc_CN</ability>
      <abilityName>全半角问题</abilityName>
      <candidateList>
        <item>（</item>
      </candidateList>
      <explain>文本全半角错误。</explain>
      <paraID>74645BCC</paraID>
      <start>13</start>
      <end>14</end>
      <status>unmodified</status>
      <modifiedWord/>
      <trackRevisions>false</trackRevisions>
    </reviewItem>
    <reviewItem>
      <errorID>6dea3715-659f-4754-946e-87f87f27f59d</errorID>
      <errorWord>)(</errorWord>
      <group>L1_Format</group>
      <groupName>格式问题</groupName>
      <ability>L2_HalfPunc_CN</ability>
      <abilityName>全半角问题</abilityName>
      <candidateList>
        <item>）（</item>
      </candidateList>
      <explain>文本全半角错误。</explain>
      <paraID>74645BCC</paraID>
      <start>16</start>
      <end>18</end>
      <status>unmodified</status>
      <modifiedWord/>
      <trackRevisions>false</trackRevisions>
    </reviewItem>
    <reviewItem>
      <errorID>68206eab-c4bc-4752-bae3-7ec5ba9e8984</errorID>
      <errorWord>)</errorWord>
      <group>L1_Format</group>
      <groupName>格式问题</groupName>
      <ability>L2_HalfPunc_CN</ability>
      <abilityName>全半角问题</abilityName>
      <candidateList>
        <item>）</item>
      </candidateList>
      <explain>文本全半角错误。</explain>
      <paraID>74645BCC</paraID>
      <start>22</start>
      <end>23</end>
      <status>unmodified</status>
      <modifiedWord/>
      <trackRevisions>false</trackRevisions>
    </reviewItem>
    <reviewItem>
      <errorID>d35b763d-ebe7-451d-a592-7abab28f82bc</errorID>
      <errorWord>(</errorWord>
      <group>L1_Format</group>
      <groupName>格式问题</groupName>
      <ability>L2_HalfPunc_CN</ability>
      <abilityName>全半角问题</abilityName>
      <candidateList>
        <item>（</item>
      </candidateList>
      <explain>文本全半角错误。</explain>
      <paraID>4EC11BED</paraID>
      <start>26</start>
      <end>27</end>
      <status>unmodified</status>
      <modifiedWord/>
      <trackRevisions>false</trackRevisions>
    </reviewItem>
    <reviewItem>
      <errorID>34022084-844e-456c-bc97-19813a7ed622</errorID>
      <errorWord>)</errorWord>
      <group>L1_Format</group>
      <groupName>格式问题</groupName>
      <ability>L2_HalfPunc_CN</ability>
      <abilityName>全半角问题</abilityName>
      <candidateList>
        <item>）</item>
      </candidateList>
      <explain>文本全半角错误。</explain>
      <paraID>4EC11BED</paraID>
      <start>29</start>
      <end>30</end>
      <status>unmodified</status>
      <modifiedWord/>
      <trackRevisions>false</trackRevisions>
    </reviewItem>
    <reviewItem>
      <errorID>16701fff-b681-4010-83d7-7a590290c35d</errorID>
      <errorWord>、以及</errorWord>
      <group>L1_Punc</group>
      <groupName>标点问题</groupName>
      <ability>L2_Punc_CN</ability>
      <abilityName>标点符号问题</abilityName>
      <candidateList>
        <item>，以及</item>
      </candidateList>
      <explain>连接词前后不宜使用顿号，建议使用逗号。</explain>
      <paraID>4BC3B0E1</paraID>
      <start>60</start>
      <end>63</end>
      <status>unmodified</status>
      <modifiedWord/>
      <trackRevisions>false</trackRevisions>
    </reviewItem>
    <reviewItem>
      <errorID>971abd79-026b-4122-b9f6-ff3c5e14780f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42C24F72</paraID>
      <start>0</start>
      <end>2</end>
      <status>unmodified</status>
      <modifiedWord/>
      <trackRevisions>false</trackRevisions>
    </reviewItem>
    <reviewItem>
      <errorID>903c08d5-3b92-459b-be56-7be513f4792c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2F88E7A9</paraID>
      <start>0</start>
      <end>2</end>
      <status>unmodified</status>
      <modifiedWord/>
      <trackRevisions>false</trackRevisions>
    </reviewItem>
    <reviewItem>
      <errorID>3d898cec-d91c-443c-a43c-9c652c9b9b0c</errorID>
      <errorWord>做</errorWord>
      <group>L1_Word</group>
      <groupName>字词问题</groupName>
      <ability>L2_Typo</ability>
      <abilityName>字词错误</abilityName>
      <candidateList>
        <item>作</item>
      </candidateList>
      <explain>存在发音相同字词的误用。</explain>
      <paraID>7D75B0D2</paraID>
      <start>0</start>
      <end>0</end>
      <status>unmodified</status>
      <modifiedWord/>
      <trackRevisions>false</trackRevisions>
    </reviewItem>
    <reviewItem>
      <errorID>f0e691e3-1eed-4b82-a8e5-b4afc83cd15c</errorID>
      <errorWord>做</errorWord>
      <group>L1_Word</group>
      <groupName>字词问题</groupName>
      <ability>L2_Typo</ability>
      <abilityName>字词错误</abilityName>
      <candidateList>
        <item>作</item>
      </candidateList>
      <explain>存在发音相同字词的误用。</explain>
      <paraID>7D75B0D2</paraID>
      <start>0</start>
      <end>0</end>
      <status>unmodified</status>
      <modifiedWord/>
      <trackRevisions>false</trackRevisions>
    </reviewItem>
    <reviewItem>
      <errorID>b470618d-03e2-408e-8cdf-34dd3837051d</errorID>
      <errorWord>须</errorWord>
      <group>L1_Word</group>
      <groupName>字词问题</groupName>
      <ability>L2_Typo</ability>
      <abilityName>字词错误</abilityName>
      <candidateList>
        <item>需</item>
      </candidateList>
      <explain>存在发音相同字词的误用。</explain>
      <paraID>7D75B0D2</paraID>
      <start>0</start>
      <end>0</end>
      <status>unmodified</status>
      <modifiedWord/>
      <trackRevisions>false</trackRevisions>
    </reviewItem>
    <reviewItem>
      <errorID>74e70df8-c9cf-4fb3-bb63-84a7653d5db3</errorID>
      <errorWord>做</errorWord>
      <group>L1_Word</group>
      <groupName>字词问题</groupName>
      <ability>L2_Typo</ability>
      <abilityName>字词错误</abilityName>
      <candidateList>
        <item>作</item>
      </candidateList>
      <explain>存在发音相同字词的误用。</explain>
      <paraID>7D75B0D2</paraID>
      <start>0</start>
      <end>0</end>
      <status>unmodified</status>
      <modifiedWord/>
      <trackRevisions>false</trackRevisions>
    </reviewItem>
    <reviewItem>
      <errorID>6ae6557e-4b20-447a-8b0d-21258268434e</errorID>
      <errorWord>计</errorWord>
      <group>L1_Word</group>
      <groupName>字词问题</groupName>
      <ability>L2_Typo</ability>
      <abilityName>字词错误</abilityName>
      <candidateList>
        <item>计算</item>
      </candidateList>
      <explain/>
      <paraID>7D75B0D2</paraID>
      <start>0</start>
      <end>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0fd538-25d3-4d60-bb23-1361d0958cb7}">
  <ds:schemaRefs/>
</ds:datastoreItem>
</file>

<file path=docProps/app.xml><?xml version="1.0" encoding="utf-8"?>
<Properties xmlns="http://schemas.openxmlformats.org/officeDocument/2006/extended-properties" xmlns:vt="http://schemas.openxmlformats.org/officeDocument/2006/docPropsVTypes">
  <Template>Normal</Template>
  <Pages>289</Pages>
  <Words>555</Words>
  <Characters>623</Characters>
  <Lines>1513</Lines>
  <Paragraphs>426</Paragraphs>
  <TotalTime>173</TotalTime>
  <ScaleCrop>false</ScaleCrop>
  <LinksUpToDate>false</LinksUpToDate>
  <CharactersWithSpaces>860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2016-09-27T13:48:00Z</dcterms:created>
  <dc:creator>袁静</dc:creator>
  <cp:lastModifiedBy>主岛榈棕</cp:lastModifiedBy>
  <cp:lastPrinted>2026-08-31T07:13:00Z</cp:lastPrinted>
  <dcterms:modified xsi:type="dcterms:W3CDTF">2026-09-05T11:28:18Z</dcterms:modified>
  <dc:title>公路工程标准施工招标文件</dc:title>
  <cp:revision>1807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CAA2D34032A242FB9A2A91B519D227C7_13</vt:lpwstr>
  </property>
  <property fmtid="{D5CDD505-2E9C-101B-9397-08002B2CF9AE}" pid="4" name="KSOTemplateDocerSaveRecord">
    <vt:lpwstr>eyJoZGlkIjoiNWE1NWEyNTY1MDUzMzI2MDQ2M2Q5OGI5NWNiNzY4MTEiLCJ1c2VySWQiOiI0NzcyODgxOTkifQ==</vt:lpwstr>
  </property>
</Properties>
</file>