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F081D9">
      <w:pPr>
        <w:pStyle w:val="16"/>
        <w:keepNext w:val="0"/>
        <w:keepLines w:val="0"/>
        <w:pageBreakBefore w:val="0"/>
        <w:widowControl w:val="0"/>
        <w:kinsoku/>
        <w:wordWrap w:val="0"/>
        <w:overflowPunct/>
        <w:topLinePunct w:val="0"/>
        <w:autoSpaceDE/>
        <w:autoSpaceDN/>
        <w:bidi w:val="0"/>
        <w:adjustRightInd/>
        <w:snapToGrid/>
        <w:spacing w:line="360" w:lineRule="auto"/>
        <w:ind w:firstLine="0" w:firstLineChars="0"/>
        <w:jc w:val="center"/>
        <w:textAlignment w:val="auto"/>
        <w:outlineLvl w:val="9"/>
        <w:rPr>
          <w:rFonts w:hint="eastAsia" w:ascii="Times New Roman" w:hAnsi="Times New Roman" w:eastAsia="黑体" w:cs="Times New Roman"/>
          <w:color w:val="auto"/>
          <w:sz w:val="31"/>
          <w:szCs w:val="31"/>
          <w:highlight w:val="none"/>
          <w:lang w:eastAsia="zh-CN"/>
        </w:rPr>
      </w:pPr>
      <w:r>
        <w:rPr>
          <w:rFonts w:hint="eastAsia" w:ascii="Times New Roman" w:eastAsia="黑体" w:cs="Times New Roman"/>
          <w:color w:val="auto"/>
          <w:sz w:val="31"/>
          <w:szCs w:val="31"/>
          <w:highlight w:val="none"/>
          <w:u w:val="single"/>
          <w:lang w:eastAsia="zh-CN"/>
        </w:rPr>
        <w:t>辽宁省</w:t>
      </w:r>
    </w:p>
    <w:p w14:paraId="40FAD502">
      <w:pPr>
        <w:pStyle w:val="16"/>
        <w:pageBreakBefore w:val="0"/>
        <w:kinsoku/>
        <w:wordWrap w:val="0"/>
        <w:bidi w:val="0"/>
        <w:spacing w:line="440" w:lineRule="exact"/>
        <w:jc w:val="center"/>
        <w:rPr>
          <w:rFonts w:hint="default" w:ascii="Times New Roman" w:hAnsi="Times New Roman" w:eastAsia="黑体" w:cs="Times New Roman"/>
          <w:b w:val="0"/>
          <w:bCs w:val="0"/>
          <w:color w:val="auto"/>
          <w:sz w:val="31"/>
          <w:szCs w:val="31"/>
          <w:highlight w:val="none"/>
        </w:rPr>
      </w:pPr>
      <w:r>
        <w:rPr>
          <w:rFonts w:hint="eastAsia" w:ascii="Times New Roman" w:eastAsia="黑体" w:cs="Times New Roman"/>
          <w:b w:val="0"/>
          <w:bCs w:val="0"/>
          <w:color w:val="auto"/>
          <w:sz w:val="31"/>
          <w:szCs w:val="31"/>
          <w:highlight w:val="none"/>
          <w:u w:val="single"/>
          <w:lang w:eastAsia="zh-CN"/>
        </w:rPr>
        <w:t>2026年村内老旧道路维修改造项目</w:t>
      </w:r>
      <w:r>
        <w:rPr>
          <w:rFonts w:hint="default" w:ascii="Times New Roman" w:hAnsi="Times New Roman" w:eastAsia="黑体" w:cs="Times New Roman"/>
          <w:b w:val="0"/>
          <w:bCs w:val="0"/>
          <w:color w:val="auto"/>
          <w:sz w:val="31"/>
          <w:szCs w:val="31"/>
          <w:highlight w:val="none"/>
        </w:rPr>
        <w:t>（项目名称）</w:t>
      </w:r>
    </w:p>
    <w:p w14:paraId="546B28B9">
      <w:pPr>
        <w:pStyle w:val="16"/>
        <w:pageBreakBefore w:val="0"/>
        <w:kinsoku/>
        <w:wordWrap w:val="0"/>
        <w:bidi w:val="0"/>
        <w:spacing w:line="440" w:lineRule="exact"/>
        <w:jc w:val="center"/>
        <w:rPr>
          <w:rFonts w:hint="default" w:ascii="Times New Roman" w:hAnsi="Times New Roman" w:eastAsia="黑体" w:cs="Times New Roman"/>
          <w:b w:val="0"/>
          <w:bCs w:val="0"/>
          <w:color w:val="auto"/>
          <w:sz w:val="31"/>
          <w:szCs w:val="31"/>
          <w:highlight w:val="none"/>
          <w:u w:val="none"/>
        </w:rPr>
      </w:pPr>
      <w:r>
        <w:rPr>
          <w:rFonts w:hint="eastAsia" w:ascii="Times New Roman" w:eastAsia="黑体" w:cs="Times New Roman"/>
          <w:b w:val="0"/>
          <w:bCs w:val="0"/>
          <w:color w:val="auto"/>
          <w:sz w:val="31"/>
          <w:szCs w:val="31"/>
          <w:highlight w:val="none"/>
          <w:u w:val="single"/>
          <w:lang w:eastAsia="zh-CN"/>
        </w:rPr>
        <w:t>2026年村内老旧道路维修改造项目</w:t>
      </w:r>
      <w:r>
        <w:rPr>
          <w:rFonts w:hint="default" w:ascii="Times New Roman" w:hAnsi="Times New Roman" w:eastAsia="黑体" w:cs="Times New Roman"/>
          <w:b w:val="0"/>
          <w:bCs w:val="0"/>
          <w:color w:val="auto"/>
          <w:sz w:val="31"/>
          <w:szCs w:val="31"/>
          <w:highlight w:val="none"/>
          <w:u w:val="none"/>
        </w:rPr>
        <w:t>（标段名称）</w:t>
      </w:r>
    </w:p>
    <w:p w14:paraId="17928808">
      <w:pPr>
        <w:pStyle w:val="16"/>
        <w:pageBreakBefore w:val="0"/>
        <w:kinsoku/>
        <w:wordWrap w:val="0"/>
        <w:bidi w:val="0"/>
        <w:spacing w:line="440" w:lineRule="exact"/>
        <w:jc w:val="center"/>
        <w:rPr>
          <w:rFonts w:hint="default" w:ascii="Times New Roman" w:hAnsi="Times New Roman" w:eastAsia="黑体" w:cs="Times New Roman"/>
          <w:color w:val="auto"/>
          <w:sz w:val="31"/>
          <w:szCs w:val="31"/>
          <w:highlight w:val="none"/>
        </w:rPr>
      </w:pPr>
      <w:r>
        <w:rPr>
          <w:rFonts w:hint="default" w:ascii="Times New Roman" w:hAnsi="Times New Roman" w:eastAsia="黑体" w:cs="Times New Roman"/>
          <w:color w:val="auto"/>
          <w:sz w:val="31"/>
          <w:szCs w:val="31"/>
          <w:highlight w:val="none"/>
        </w:rPr>
        <w:t>施工招标</w:t>
      </w:r>
    </w:p>
    <w:p w14:paraId="15BBC37C">
      <w:pPr>
        <w:pageBreakBefore w:val="0"/>
        <w:kinsoku/>
        <w:wordWrap w:val="0"/>
        <w:bidi w:val="0"/>
        <w:spacing w:line="440" w:lineRule="exact"/>
        <w:rPr>
          <w:rFonts w:hint="default" w:ascii="Times New Roman" w:hAnsi="Times New Roman" w:eastAsia="黑体" w:cs="Times New Roman"/>
          <w:color w:val="auto"/>
          <w:sz w:val="28"/>
          <w:szCs w:val="28"/>
          <w:highlight w:val="none"/>
        </w:rPr>
      </w:pPr>
    </w:p>
    <w:p w14:paraId="5EF133EE">
      <w:pPr>
        <w:pageBreakBefore w:val="0"/>
        <w:kinsoku/>
        <w:wordWrap w:val="0"/>
        <w:bidi w:val="0"/>
        <w:spacing w:line="440" w:lineRule="exact"/>
        <w:jc w:val="center"/>
        <w:rPr>
          <w:rFonts w:hint="default" w:ascii="Times New Roman" w:hAnsi="Times New Roman" w:eastAsia="黑体" w:cs="Times New Roman"/>
          <w:color w:val="auto"/>
          <w:sz w:val="28"/>
          <w:szCs w:val="28"/>
          <w:highlight w:val="none"/>
        </w:rPr>
      </w:pPr>
    </w:p>
    <w:p w14:paraId="7739D2A9">
      <w:pPr>
        <w:pageBreakBefore w:val="0"/>
        <w:kinsoku/>
        <w:wordWrap w:val="0"/>
        <w:bidi w:val="0"/>
        <w:spacing w:line="440" w:lineRule="exact"/>
        <w:jc w:val="center"/>
        <w:rPr>
          <w:rFonts w:hint="default" w:ascii="Times New Roman" w:hAnsi="Times New Roman" w:eastAsia="黑体" w:cs="Times New Roman"/>
          <w:color w:val="auto"/>
          <w:sz w:val="28"/>
          <w:szCs w:val="28"/>
          <w:highlight w:val="none"/>
        </w:rPr>
      </w:pPr>
    </w:p>
    <w:p w14:paraId="3181A874">
      <w:pPr>
        <w:pageBreakBefore w:val="0"/>
        <w:kinsoku/>
        <w:wordWrap w:val="0"/>
        <w:bidi w:val="0"/>
        <w:spacing w:line="440" w:lineRule="exact"/>
        <w:jc w:val="center"/>
        <w:rPr>
          <w:rFonts w:hint="eastAsia" w:eastAsia="黑体" w:cs="Times New Roman"/>
          <w:color w:val="auto"/>
          <w:sz w:val="28"/>
          <w:szCs w:val="28"/>
          <w:highlight w:val="none"/>
          <w:u w:val="single"/>
          <w:lang w:val="en-US" w:eastAsia="zh-CN"/>
        </w:rPr>
      </w:pPr>
      <w:r>
        <w:rPr>
          <w:rFonts w:hint="default" w:ascii="Times New Roman" w:hAnsi="Times New Roman" w:eastAsia="黑体" w:cs="Times New Roman"/>
          <w:color w:val="auto"/>
          <w:sz w:val="28"/>
          <w:szCs w:val="28"/>
          <w:highlight w:val="none"/>
        </w:rPr>
        <w:t>（</w:t>
      </w:r>
      <w:r>
        <w:rPr>
          <w:rFonts w:hint="eastAsia" w:eastAsia="黑体" w:cs="Times New Roman"/>
          <w:color w:val="auto"/>
          <w:sz w:val="28"/>
          <w:szCs w:val="28"/>
          <w:highlight w:val="none"/>
          <w:lang w:eastAsia="zh-CN"/>
        </w:rPr>
        <w:t>项目编号</w:t>
      </w:r>
      <w:r>
        <w:rPr>
          <w:rFonts w:hint="default" w:ascii="Times New Roman" w:hAnsi="Times New Roman" w:eastAsia="黑体" w:cs="Times New Roman"/>
          <w:color w:val="auto"/>
          <w:sz w:val="28"/>
          <w:szCs w:val="28"/>
          <w:highlight w:val="none"/>
        </w:rPr>
        <w:t>：</w:t>
      </w:r>
      <w:r>
        <w:rPr>
          <w:rFonts w:hint="eastAsia" w:eastAsia="黑体" w:cs="Times New Roman"/>
          <w:color w:val="auto"/>
          <w:sz w:val="28"/>
          <w:szCs w:val="28"/>
          <w:highlight w:val="none"/>
          <w:u w:val="single"/>
          <w:lang w:val="en-US" w:eastAsia="zh-CN"/>
        </w:rPr>
        <w:t xml:space="preserve">         </w:t>
      </w:r>
      <w:r>
        <w:rPr>
          <w:rFonts w:hint="eastAsia" w:eastAsia="黑体" w:cs="Times New Roman"/>
          <w:color w:val="auto"/>
          <w:sz w:val="28"/>
          <w:szCs w:val="28"/>
          <w:highlight w:val="none"/>
          <w:u w:val="none"/>
          <w:lang w:val="en-US" w:eastAsia="zh-CN"/>
        </w:rPr>
        <w:t>）</w:t>
      </w:r>
    </w:p>
    <w:p w14:paraId="0DF6FEF3">
      <w:pPr>
        <w:pageBreakBefore w:val="0"/>
        <w:kinsoku/>
        <w:wordWrap w:val="0"/>
        <w:bidi w:val="0"/>
        <w:spacing w:line="440" w:lineRule="exact"/>
        <w:rPr>
          <w:rFonts w:hint="eastAsia" w:ascii="Times New Roman" w:hAnsi="Times New Roman" w:eastAsia="宋体" w:cs="Times New Roman"/>
          <w:color w:val="auto"/>
          <w:sz w:val="20"/>
          <w:szCs w:val="20"/>
          <w:highlight w:val="none"/>
          <w:lang w:eastAsia="zh-CN"/>
        </w:rPr>
      </w:pPr>
    </w:p>
    <w:p w14:paraId="64B24238">
      <w:pPr>
        <w:pageBreakBefore w:val="0"/>
        <w:kinsoku/>
        <w:wordWrap w:val="0"/>
        <w:bidi w:val="0"/>
        <w:spacing w:line="440" w:lineRule="exact"/>
        <w:rPr>
          <w:rFonts w:hint="default" w:ascii="Times New Roman" w:hAnsi="Times New Roman" w:cs="Times New Roman"/>
          <w:color w:val="auto"/>
          <w:sz w:val="20"/>
          <w:szCs w:val="20"/>
          <w:highlight w:val="none"/>
        </w:rPr>
      </w:pPr>
    </w:p>
    <w:p w14:paraId="068AC959">
      <w:pPr>
        <w:pStyle w:val="17"/>
        <w:rPr>
          <w:rFonts w:hint="default" w:ascii="Times New Roman" w:hAnsi="Times New Roman" w:cs="Times New Roman"/>
          <w:color w:val="auto"/>
          <w:sz w:val="20"/>
          <w:szCs w:val="20"/>
          <w:highlight w:val="none"/>
        </w:rPr>
      </w:pPr>
    </w:p>
    <w:p w14:paraId="05C1EA58">
      <w:pPr>
        <w:pStyle w:val="17"/>
        <w:rPr>
          <w:rFonts w:hint="default" w:ascii="Times New Roman" w:hAnsi="Times New Roman" w:cs="Times New Roman"/>
          <w:color w:val="auto"/>
          <w:sz w:val="20"/>
          <w:szCs w:val="20"/>
          <w:highlight w:val="none"/>
        </w:rPr>
      </w:pPr>
    </w:p>
    <w:p w14:paraId="34DD8C29">
      <w:pPr>
        <w:pStyle w:val="17"/>
        <w:rPr>
          <w:rFonts w:hint="default" w:ascii="Times New Roman" w:hAnsi="Times New Roman" w:cs="Times New Roman"/>
          <w:color w:val="auto"/>
          <w:sz w:val="20"/>
          <w:szCs w:val="20"/>
          <w:highlight w:val="none"/>
        </w:rPr>
      </w:pPr>
    </w:p>
    <w:p w14:paraId="51B7DBCD">
      <w:pPr>
        <w:pageBreakBefore w:val="0"/>
        <w:kinsoku/>
        <w:wordWrap w:val="0"/>
        <w:bidi w:val="0"/>
        <w:spacing w:line="440" w:lineRule="exact"/>
        <w:rPr>
          <w:rFonts w:hint="default" w:ascii="Times New Roman" w:hAnsi="Times New Roman" w:cs="Times New Roman"/>
          <w:color w:val="auto"/>
          <w:sz w:val="20"/>
          <w:szCs w:val="20"/>
          <w:highlight w:val="none"/>
        </w:rPr>
      </w:pPr>
    </w:p>
    <w:p w14:paraId="57A8F9D7">
      <w:pPr>
        <w:pageBreakBefore w:val="0"/>
        <w:kinsoku/>
        <w:wordWrap w:val="0"/>
        <w:bidi w:val="0"/>
        <w:spacing w:line="860" w:lineRule="exact"/>
        <w:jc w:val="center"/>
        <w:outlineLvl w:val="9"/>
        <w:rPr>
          <w:rFonts w:hint="default" w:ascii="Times New Roman" w:hAnsi="Times New Roman" w:eastAsia="黑体" w:cs="Times New Roman"/>
          <w:color w:val="auto"/>
          <w:sz w:val="50"/>
          <w:szCs w:val="50"/>
          <w:highlight w:val="none"/>
        </w:rPr>
      </w:pPr>
      <w:bookmarkStart w:id="0" w:name="_Toc411"/>
      <w:bookmarkStart w:id="1" w:name="_Toc28497"/>
      <w:bookmarkStart w:id="2" w:name="_Toc18732"/>
      <w:r>
        <w:rPr>
          <w:rFonts w:hint="default" w:ascii="Times New Roman" w:hAnsi="Times New Roman" w:eastAsia="黑体" w:cs="Times New Roman"/>
          <w:color w:val="auto"/>
          <w:sz w:val="50"/>
          <w:szCs w:val="50"/>
          <w:highlight w:val="none"/>
        </w:rPr>
        <w:t>招标文件</w:t>
      </w:r>
      <w:bookmarkEnd w:id="0"/>
      <w:bookmarkEnd w:id="1"/>
      <w:bookmarkEnd w:id="2"/>
    </w:p>
    <w:p w14:paraId="447785E9">
      <w:pPr>
        <w:pageBreakBefore w:val="0"/>
        <w:kinsoku/>
        <w:wordWrap w:val="0"/>
        <w:bidi w:val="0"/>
        <w:spacing w:line="440" w:lineRule="exact"/>
        <w:rPr>
          <w:rFonts w:hint="default" w:ascii="Times New Roman" w:hAnsi="Times New Roman" w:cs="Times New Roman"/>
          <w:color w:val="auto"/>
          <w:sz w:val="20"/>
          <w:szCs w:val="20"/>
          <w:highlight w:val="none"/>
        </w:rPr>
      </w:pPr>
    </w:p>
    <w:p w14:paraId="0DDE5F5A">
      <w:pPr>
        <w:pageBreakBefore w:val="0"/>
        <w:kinsoku/>
        <w:wordWrap w:val="0"/>
        <w:bidi w:val="0"/>
        <w:spacing w:line="440" w:lineRule="exact"/>
        <w:rPr>
          <w:rFonts w:hint="default" w:ascii="Times New Roman" w:hAnsi="Times New Roman" w:cs="Times New Roman"/>
          <w:color w:val="auto"/>
          <w:sz w:val="20"/>
          <w:szCs w:val="20"/>
          <w:highlight w:val="none"/>
        </w:rPr>
      </w:pPr>
    </w:p>
    <w:p w14:paraId="7C21304B">
      <w:pPr>
        <w:pageBreakBefore w:val="0"/>
        <w:kinsoku/>
        <w:wordWrap w:val="0"/>
        <w:bidi w:val="0"/>
        <w:spacing w:line="440" w:lineRule="exact"/>
        <w:rPr>
          <w:rFonts w:hint="default" w:ascii="Times New Roman" w:hAnsi="Times New Roman" w:cs="Times New Roman"/>
          <w:color w:val="auto"/>
          <w:sz w:val="20"/>
          <w:szCs w:val="20"/>
          <w:highlight w:val="none"/>
        </w:rPr>
      </w:pPr>
    </w:p>
    <w:p w14:paraId="1DDF5250">
      <w:pPr>
        <w:pageBreakBefore w:val="0"/>
        <w:kinsoku/>
        <w:wordWrap w:val="0"/>
        <w:bidi w:val="0"/>
        <w:spacing w:line="440" w:lineRule="exact"/>
        <w:rPr>
          <w:rFonts w:hint="default" w:ascii="Times New Roman" w:hAnsi="Times New Roman" w:cs="Times New Roman"/>
          <w:color w:val="auto"/>
          <w:sz w:val="20"/>
          <w:szCs w:val="20"/>
          <w:highlight w:val="none"/>
        </w:rPr>
      </w:pPr>
    </w:p>
    <w:p w14:paraId="34296E2E">
      <w:pPr>
        <w:pageBreakBefore w:val="0"/>
        <w:kinsoku/>
        <w:wordWrap w:val="0"/>
        <w:bidi w:val="0"/>
        <w:spacing w:line="440" w:lineRule="exact"/>
        <w:rPr>
          <w:rFonts w:hint="default" w:ascii="Times New Roman" w:hAnsi="Times New Roman" w:cs="Times New Roman"/>
          <w:color w:val="auto"/>
          <w:sz w:val="20"/>
          <w:szCs w:val="20"/>
          <w:highlight w:val="none"/>
        </w:rPr>
      </w:pPr>
    </w:p>
    <w:p w14:paraId="44596C28">
      <w:pPr>
        <w:pageBreakBefore w:val="0"/>
        <w:kinsoku/>
        <w:wordWrap w:val="0"/>
        <w:bidi w:val="0"/>
        <w:spacing w:line="440" w:lineRule="exact"/>
        <w:rPr>
          <w:rFonts w:hint="default" w:ascii="Times New Roman" w:hAnsi="Times New Roman" w:cs="Times New Roman"/>
          <w:color w:val="auto"/>
          <w:sz w:val="20"/>
          <w:szCs w:val="20"/>
          <w:highlight w:val="none"/>
        </w:rPr>
      </w:pPr>
    </w:p>
    <w:p w14:paraId="25365C3C">
      <w:pPr>
        <w:pageBreakBefore w:val="0"/>
        <w:kinsoku/>
        <w:wordWrap w:val="0"/>
        <w:bidi w:val="0"/>
        <w:spacing w:line="440" w:lineRule="exact"/>
        <w:rPr>
          <w:rFonts w:hint="default" w:ascii="Times New Roman" w:hAnsi="Times New Roman" w:cs="Times New Roman"/>
          <w:color w:val="auto"/>
          <w:sz w:val="20"/>
          <w:szCs w:val="20"/>
          <w:highlight w:val="none"/>
        </w:rPr>
      </w:pPr>
    </w:p>
    <w:p w14:paraId="6F5213CD">
      <w:pPr>
        <w:pageBreakBefore w:val="0"/>
        <w:kinsoku/>
        <w:wordWrap w:val="0"/>
        <w:bidi w:val="0"/>
        <w:spacing w:line="700" w:lineRule="exact"/>
        <w:jc w:val="center"/>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招标人：</w:t>
      </w:r>
      <w:r>
        <w:rPr>
          <w:rFonts w:hint="eastAsia" w:eastAsia="黑体" w:cs="Times New Roman"/>
          <w:color w:val="auto"/>
          <w:sz w:val="28"/>
          <w:szCs w:val="28"/>
          <w:highlight w:val="none"/>
          <w:u w:val="single"/>
          <w:lang w:eastAsia="zh-CN"/>
        </w:rPr>
        <w:t>盖州市财政局</w:t>
      </w:r>
      <w:r>
        <w:rPr>
          <w:rFonts w:hint="default" w:ascii="Times New Roman" w:hAnsi="Times New Roman" w:eastAsia="黑体" w:cs="Times New Roman"/>
          <w:color w:val="auto"/>
          <w:sz w:val="28"/>
          <w:szCs w:val="28"/>
          <w:highlight w:val="none"/>
        </w:rPr>
        <w:t>（</w:t>
      </w:r>
      <w:r>
        <w:rPr>
          <w:rFonts w:hint="default" w:ascii="Times New Roman" w:hAnsi="Times New Roman" w:eastAsia="黑体" w:cs="Times New Roman"/>
          <w:color w:val="auto"/>
          <w:sz w:val="28"/>
          <w:szCs w:val="28"/>
          <w:highlight w:val="none"/>
          <w:lang w:eastAsia="zh-CN"/>
        </w:rPr>
        <w:t>盖章</w:t>
      </w:r>
      <w:r>
        <w:rPr>
          <w:rFonts w:hint="default" w:ascii="Times New Roman" w:hAnsi="Times New Roman" w:eastAsia="黑体" w:cs="Times New Roman"/>
          <w:color w:val="auto"/>
          <w:sz w:val="28"/>
          <w:szCs w:val="28"/>
          <w:highlight w:val="none"/>
        </w:rPr>
        <w:t>）</w:t>
      </w:r>
    </w:p>
    <w:p w14:paraId="1830F088">
      <w:pPr>
        <w:pageBreakBefore w:val="0"/>
        <w:kinsoku/>
        <w:wordWrap w:val="0"/>
        <w:bidi w:val="0"/>
        <w:spacing w:line="700" w:lineRule="exact"/>
        <w:jc w:val="center"/>
        <w:rPr>
          <w:rFonts w:hint="default" w:ascii="Times New Roman" w:hAnsi="Times New Roman" w:cs="Times New Roman"/>
          <w:color w:val="auto"/>
          <w:sz w:val="28"/>
          <w:szCs w:val="28"/>
          <w:highlight w:val="none"/>
        </w:rPr>
      </w:pPr>
      <w:r>
        <w:rPr>
          <w:rFonts w:hint="default" w:ascii="Times New Roman" w:hAnsi="Times New Roman" w:eastAsia="黑体" w:cs="Times New Roman"/>
          <w:color w:val="auto"/>
          <w:sz w:val="28"/>
          <w:szCs w:val="28"/>
          <w:highlight w:val="none"/>
        </w:rPr>
        <w:t>招标代理机构：</w:t>
      </w:r>
      <w:r>
        <w:rPr>
          <w:rFonts w:hint="eastAsia" w:eastAsia="黑体" w:cs="Times New Roman"/>
          <w:color w:val="auto"/>
          <w:sz w:val="28"/>
          <w:szCs w:val="28"/>
          <w:highlight w:val="none"/>
          <w:u w:val="single"/>
          <w:lang w:eastAsia="zh-CN"/>
        </w:rPr>
        <w:t>辽宁巨鸿建设工程造价咨询有限公司</w:t>
      </w:r>
      <w:r>
        <w:rPr>
          <w:rFonts w:hint="default" w:ascii="Times New Roman" w:hAnsi="Times New Roman" w:eastAsia="黑体" w:cs="Times New Roman"/>
          <w:color w:val="auto"/>
          <w:sz w:val="28"/>
          <w:szCs w:val="28"/>
          <w:highlight w:val="none"/>
        </w:rPr>
        <w:t>（</w:t>
      </w:r>
      <w:r>
        <w:rPr>
          <w:rFonts w:hint="default" w:ascii="Times New Roman" w:hAnsi="Times New Roman" w:eastAsia="黑体" w:cs="Times New Roman"/>
          <w:color w:val="auto"/>
          <w:sz w:val="28"/>
          <w:szCs w:val="28"/>
          <w:highlight w:val="none"/>
          <w:lang w:eastAsia="zh-CN"/>
        </w:rPr>
        <w:t>盖章</w:t>
      </w:r>
      <w:r>
        <w:rPr>
          <w:rFonts w:hint="default" w:ascii="Times New Roman" w:hAnsi="Times New Roman" w:eastAsia="黑体" w:cs="Times New Roman"/>
          <w:color w:val="auto"/>
          <w:sz w:val="28"/>
          <w:szCs w:val="28"/>
          <w:highlight w:val="none"/>
        </w:rPr>
        <w:t>）</w:t>
      </w:r>
    </w:p>
    <w:p w14:paraId="560E6634">
      <w:pPr>
        <w:pageBreakBefore w:val="0"/>
        <w:kinsoku/>
        <w:wordWrap w:val="0"/>
        <w:bidi w:val="0"/>
        <w:spacing w:line="700" w:lineRule="exact"/>
        <w:jc w:val="center"/>
        <w:rPr>
          <w:rFonts w:hint="default" w:ascii="Times New Roman" w:hAnsi="Times New Roman" w:eastAsia="黑体" w:cs="Times New Roman"/>
          <w:color w:val="auto"/>
          <w:sz w:val="28"/>
          <w:szCs w:val="28"/>
          <w:highlight w:val="none"/>
        </w:rPr>
      </w:pPr>
      <w:r>
        <w:rPr>
          <w:rFonts w:hint="eastAsia" w:eastAsia="黑体" w:cs="Times New Roman"/>
          <w:color w:val="auto"/>
          <w:sz w:val="28"/>
          <w:szCs w:val="28"/>
          <w:highlight w:val="none"/>
          <w:u w:val="single"/>
          <w:lang w:val="en-US" w:eastAsia="zh-CN"/>
        </w:rPr>
        <w:t xml:space="preserve"> 2026 </w:t>
      </w:r>
      <w:r>
        <w:rPr>
          <w:rFonts w:hint="default" w:ascii="Times New Roman" w:hAnsi="Times New Roman" w:eastAsia="黑体" w:cs="Times New Roman"/>
          <w:color w:val="auto"/>
          <w:sz w:val="28"/>
          <w:szCs w:val="28"/>
          <w:highlight w:val="none"/>
        </w:rPr>
        <w:t>年</w:t>
      </w:r>
      <w:r>
        <w:rPr>
          <w:rFonts w:hint="eastAsia" w:eastAsia="黑体" w:cs="Times New Roman"/>
          <w:color w:val="auto"/>
          <w:sz w:val="28"/>
          <w:szCs w:val="28"/>
          <w:highlight w:val="none"/>
          <w:u w:val="single"/>
          <w:lang w:val="en-US" w:eastAsia="zh-CN"/>
        </w:rPr>
        <w:t xml:space="preserve">  8   </w:t>
      </w:r>
      <w:r>
        <w:rPr>
          <w:rFonts w:hint="default" w:ascii="Times New Roman" w:hAnsi="Times New Roman" w:eastAsia="黑体" w:cs="Times New Roman"/>
          <w:color w:val="auto"/>
          <w:sz w:val="28"/>
          <w:szCs w:val="28"/>
          <w:highlight w:val="none"/>
        </w:rPr>
        <w:t>月</w:t>
      </w:r>
    </w:p>
    <w:p w14:paraId="7D416600">
      <w:pPr>
        <w:pageBreakBefore w:val="0"/>
        <w:kinsoku/>
        <w:wordWrap w:val="0"/>
        <w:bidi w:val="0"/>
        <w:spacing w:line="352" w:lineRule="atLeast"/>
        <w:jc w:val="center"/>
        <w:rPr>
          <w:rFonts w:hint="default" w:ascii="Times New Roman" w:hAnsi="Times New Roman" w:eastAsia="黑体" w:cs="Times New Roman"/>
          <w:color w:val="auto"/>
          <w:sz w:val="36"/>
          <w:szCs w:val="36"/>
          <w:highlight w:val="none"/>
        </w:rPr>
        <w:sectPr>
          <w:headerReference r:id="rId4" w:type="default"/>
          <w:footerReference r:id="rId6" w:type="default"/>
          <w:headerReference r:id="rId5" w:type="even"/>
          <w:footerReference r:id="rId7" w:type="even"/>
          <w:footnotePr>
            <w:numFmt w:val="decimalEnclosedCircleChinese"/>
            <w:numRestart w:val="eachPage"/>
          </w:footnotePr>
          <w:pgSz w:w="11907" w:h="16840"/>
          <w:pgMar w:top="1588" w:right="1588" w:bottom="1474" w:left="1644" w:header="851" w:footer="851" w:gutter="0"/>
          <w:pgNumType w:fmt="upperRoman" w:start="1"/>
          <w:cols w:space="720" w:num="1"/>
          <w:docGrid w:linePitch="312" w:charSpace="0"/>
        </w:sectPr>
      </w:pPr>
    </w:p>
    <w:p w14:paraId="4581D49C">
      <w:pPr>
        <w:pageBreakBefore w:val="0"/>
        <w:kinsoku/>
        <w:wordWrap w:val="0"/>
        <w:bidi w:val="0"/>
        <w:spacing w:line="352" w:lineRule="atLeast"/>
        <w:rPr>
          <w:rFonts w:hint="default" w:ascii="Times New Roman" w:hAnsi="Times New Roman" w:eastAsia="楷体_GB2312" w:cs="Times New Roman"/>
          <w:color w:val="auto"/>
          <w:kern w:val="2"/>
          <w:sz w:val="21"/>
          <w:szCs w:val="21"/>
          <w:highlight w:val="none"/>
          <w:lang w:val="en-US" w:eastAsia="zh-CN" w:bidi="ar-SA"/>
        </w:rPr>
      </w:pPr>
    </w:p>
    <w:sdt>
      <w:sdtPr>
        <w:rPr>
          <w:rFonts w:hint="default" w:ascii="Times New Roman" w:hAnsi="Times New Roman" w:eastAsia="黑体" w:cs="Times New Roman"/>
          <w:color w:val="auto"/>
          <w:sz w:val="36"/>
          <w:szCs w:val="36"/>
          <w:highlight w:val="none"/>
          <w:lang w:val="en-US" w:eastAsia="zh-CN"/>
        </w:rPr>
        <w:id w:val="147456059"/>
        <w15:color w:val="DBDBDB"/>
        <w:docPartObj>
          <w:docPartGallery w:val="Table of Contents"/>
          <w:docPartUnique/>
        </w:docPartObj>
      </w:sdtPr>
      <w:sdtEndPr>
        <w:rPr>
          <w:rFonts w:hint="eastAsia" w:ascii="黑体" w:hAnsi="黑体" w:eastAsia="黑体" w:cs="黑体"/>
          <w:color w:val="auto"/>
          <w:kern w:val="2"/>
          <w:sz w:val="22"/>
          <w:szCs w:val="22"/>
          <w:highlight w:val="none"/>
          <w:lang w:val="en-US" w:eastAsia="zh-CN" w:bidi="ar-SA"/>
        </w:rPr>
      </w:sdtEndPr>
      <w:sdtContent>
        <w:p w14:paraId="421A7499">
          <w:pPr>
            <w:pageBreakBefore w:val="0"/>
            <w:kinsoku/>
            <w:wordWrap w:val="0"/>
            <w:bidi w:val="0"/>
            <w:spacing w:line="352" w:lineRule="atLeast"/>
            <w:jc w:val="center"/>
            <w:rPr>
              <w:rFonts w:hint="eastAsia" w:ascii="Times New Roman" w:hAnsi="Times New Roman" w:eastAsia="黑体" w:cs="Times New Roman"/>
              <w:color w:val="auto"/>
              <w:sz w:val="36"/>
              <w:szCs w:val="36"/>
              <w:highlight w:val="none"/>
            </w:rPr>
          </w:pPr>
          <w:r>
            <w:rPr>
              <w:rFonts w:hint="eastAsia" w:ascii="Times New Roman" w:hAnsi="Times New Roman" w:eastAsia="黑体" w:cs="Times New Roman"/>
              <w:color w:val="auto"/>
              <w:sz w:val="36"/>
              <w:szCs w:val="36"/>
              <w:highlight w:val="none"/>
            </w:rPr>
            <w:t>目</w:t>
          </w:r>
          <w:r>
            <w:rPr>
              <w:rFonts w:hint="eastAsia" w:ascii="Times New Roman" w:hAnsi="Times New Roman" w:eastAsia="黑体" w:cs="Times New Roman"/>
              <w:color w:val="auto"/>
              <w:sz w:val="36"/>
              <w:szCs w:val="36"/>
              <w:highlight w:val="none"/>
              <w:lang w:val="en-US" w:eastAsia="zh-CN"/>
            </w:rPr>
            <w:t xml:space="preserve">  </w:t>
          </w:r>
          <w:r>
            <w:rPr>
              <w:rFonts w:hint="eastAsia" w:ascii="Times New Roman" w:hAnsi="Times New Roman" w:eastAsia="黑体" w:cs="Times New Roman"/>
              <w:color w:val="auto"/>
              <w:sz w:val="36"/>
              <w:szCs w:val="36"/>
              <w:highlight w:val="none"/>
            </w:rPr>
            <w:t>录</w:t>
          </w:r>
        </w:p>
        <w:p w14:paraId="458D0D96">
          <w:pPr>
            <w:pStyle w:val="29"/>
            <w:keepNext w:val="0"/>
            <w:keepLines w:val="0"/>
            <w:pageBreakBefore w:val="0"/>
            <w:tabs>
              <w:tab w:val="right" w:leader="dot" w:pos="8675"/>
              <w:tab w:val="clear" w:pos="425"/>
              <w:tab w:val="clear" w:pos="8805"/>
            </w:tabs>
            <w:kinsoku/>
            <w:wordWrap/>
            <w:overflowPunct/>
            <w:topLinePunct w:val="0"/>
            <w:autoSpaceDE/>
            <w:autoSpaceDN/>
            <w:bidi w:val="0"/>
            <w:adjustRightInd/>
            <w:snapToGrid/>
            <w:spacing w:line="360" w:lineRule="auto"/>
            <w:textAlignment w:val="auto"/>
            <w:rPr>
              <w:rFonts w:hint="eastAsia" w:ascii="黑体" w:hAnsi="黑体" w:eastAsia="黑体" w:cs="黑体"/>
              <w:color w:val="auto"/>
              <w:sz w:val="22"/>
              <w:szCs w:val="22"/>
              <w:highlight w:val="none"/>
            </w:rPr>
          </w:pPr>
          <w:r>
            <w:rPr>
              <w:rFonts w:hint="eastAsia" w:ascii="黑体" w:hAnsi="黑体" w:eastAsia="黑体" w:cs="黑体"/>
              <w:color w:val="auto"/>
              <w:kern w:val="2"/>
              <w:sz w:val="22"/>
              <w:szCs w:val="22"/>
              <w:highlight w:val="none"/>
              <w:lang w:val="en-US" w:eastAsia="zh-CN" w:bidi="ar-SA"/>
            </w:rPr>
            <w:fldChar w:fldCharType="begin"/>
          </w:r>
          <w:r>
            <w:rPr>
              <w:rFonts w:hint="eastAsia" w:ascii="黑体" w:hAnsi="黑体" w:eastAsia="黑体" w:cs="黑体"/>
              <w:color w:val="auto"/>
              <w:kern w:val="2"/>
              <w:sz w:val="22"/>
              <w:szCs w:val="22"/>
              <w:highlight w:val="none"/>
              <w:lang w:val="en-US" w:eastAsia="zh-CN" w:bidi="ar-SA"/>
            </w:rPr>
            <w:instrText xml:space="preserve">TOC \o "1-3" \h \u </w:instrText>
          </w:r>
          <w:r>
            <w:rPr>
              <w:rFonts w:hint="eastAsia" w:ascii="黑体" w:hAnsi="黑体" w:eastAsia="黑体" w:cs="黑体"/>
              <w:color w:val="auto"/>
              <w:kern w:val="2"/>
              <w:sz w:val="22"/>
              <w:szCs w:val="22"/>
              <w:highlight w:val="none"/>
              <w:lang w:val="en-US" w:eastAsia="zh-CN" w:bidi="ar-SA"/>
            </w:rPr>
            <w:fldChar w:fldCharType="separate"/>
          </w:r>
          <w:r>
            <w:rPr>
              <w:rFonts w:hint="eastAsia" w:ascii="黑体" w:hAnsi="黑体" w:eastAsia="黑体" w:cs="黑体"/>
              <w:color w:val="auto"/>
              <w:kern w:val="2"/>
              <w:sz w:val="22"/>
              <w:szCs w:val="22"/>
              <w:highlight w:val="none"/>
              <w:lang w:val="en-US" w:eastAsia="zh-CN" w:bidi="ar-SA"/>
            </w:rPr>
            <w:fldChar w:fldCharType="begin"/>
          </w:r>
          <w:r>
            <w:rPr>
              <w:rFonts w:hint="eastAsia" w:ascii="黑体" w:hAnsi="黑体" w:eastAsia="黑体" w:cs="黑体"/>
              <w:color w:val="auto"/>
              <w:kern w:val="2"/>
              <w:sz w:val="22"/>
              <w:szCs w:val="22"/>
              <w:highlight w:val="none"/>
              <w:lang w:val="en-US" w:eastAsia="zh-CN" w:bidi="ar-SA"/>
            </w:rPr>
            <w:instrText xml:space="preserve"> HYPERLINK \l _Toc31926 </w:instrText>
          </w:r>
          <w:r>
            <w:rPr>
              <w:rFonts w:hint="eastAsia" w:ascii="黑体" w:hAnsi="黑体" w:eastAsia="黑体" w:cs="黑体"/>
              <w:color w:val="auto"/>
              <w:kern w:val="2"/>
              <w:sz w:val="22"/>
              <w:szCs w:val="22"/>
              <w:highlight w:val="none"/>
              <w:lang w:val="en-US" w:eastAsia="zh-CN" w:bidi="ar-SA"/>
            </w:rPr>
            <w:fldChar w:fldCharType="separate"/>
          </w:r>
          <w:r>
            <w:rPr>
              <w:rFonts w:hint="eastAsia" w:ascii="黑体" w:hAnsi="黑体" w:eastAsia="黑体" w:cs="黑体"/>
              <w:color w:val="auto"/>
              <w:sz w:val="22"/>
              <w:szCs w:val="22"/>
              <w:highlight w:val="none"/>
            </w:rPr>
            <w:t>第</w:t>
          </w:r>
          <w:r>
            <w:rPr>
              <w:rFonts w:hint="eastAsia" w:ascii="黑体" w:hAnsi="黑体" w:eastAsia="黑体" w:cs="黑体"/>
              <w:color w:val="auto"/>
              <w:sz w:val="22"/>
              <w:szCs w:val="22"/>
              <w:highlight w:val="none"/>
              <w:lang w:val="en-US" w:eastAsia="zh-CN"/>
            </w:rPr>
            <w:t xml:space="preserve"> </w:t>
          </w:r>
          <w:r>
            <w:rPr>
              <w:rFonts w:hint="eastAsia" w:ascii="黑体" w:hAnsi="黑体" w:eastAsia="黑体" w:cs="黑体"/>
              <w:color w:val="auto"/>
              <w:sz w:val="22"/>
              <w:szCs w:val="22"/>
              <w:highlight w:val="none"/>
            </w:rPr>
            <w:t>一</w:t>
          </w:r>
          <w:r>
            <w:rPr>
              <w:rFonts w:hint="eastAsia" w:ascii="黑体" w:hAnsi="黑体" w:eastAsia="黑体" w:cs="黑体"/>
              <w:color w:val="auto"/>
              <w:sz w:val="22"/>
              <w:szCs w:val="22"/>
              <w:highlight w:val="none"/>
              <w:lang w:val="en-US" w:eastAsia="zh-CN"/>
            </w:rPr>
            <w:t xml:space="preserve"> </w:t>
          </w:r>
          <w:r>
            <w:rPr>
              <w:rFonts w:hint="eastAsia" w:ascii="黑体" w:hAnsi="黑体" w:eastAsia="黑体" w:cs="黑体"/>
              <w:color w:val="auto"/>
              <w:sz w:val="22"/>
              <w:szCs w:val="22"/>
              <w:highlight w:val="none"/>
            </w:rPr>
            <w:t>卷</w:t>
          </w:r>
          <w:r>
            <w:rPr>
              <w:rFonts w:hint="eastAsia" w:ascii="黑体" w:hAnsi="黑体" w:eastAsia="黑体" w:cs="黑体"/>
              <w:color w:val="auto"/>
              <w:sz w:val="22"/>
              <w:szCs w:val="22"/>
              <w:highlight w:val="none"/>
            </w:rPr>
            <w:tab/>
          </w:r>
          <w:r>
            <w:rPr>
              <w:rFonts w:hint="eastAsia" w:ascii="黑体" w:hAnsi="黑体" w:eastAsia="黑体" w:cs="黑体"/>
              <w:color w:val="auto"/>
              <w:sz w:val="22"/>
              <w:szCs w:val="22"/>
              <w:highlight w:val="none"/>
            </w:rPr>
            <w:fldChar w:fldCharType="begin"/>
          </w:r>
          <w:r>
            <w:rPr>
              <w:rFonts w:hint="eastAsia" w:ascii="黑体" w:hAnsi="黑体" w:eastAsia="黑体" w:cs="黑体"/>
              <w:color w:val="auto"/>
              <w:sz w:val="22"/>
              <w:szCs w:val="22"/>
              <w:highlight w:val="none"/>
            </w:rPr>
            <w:instrText xml:space="preserve"> PAGEREF _Toc31926 \h </w:instrText>
          </w:r>
          <w:r>
            <w:rPr>
              <w:rFonts w:hint="eastAsia" w:ascii="黑体" w:hAnsi="黑体" w:eastAsia="黑体" w:cs="黑体"/>
              <w:color w:val="auto"/>
              <w:sz w:val="22"/>
              <w:szCs w:val="22"/>
              <w:highlight w:val="none"/>
            </w:rPr>
            <w:fldChar w:fldCharType="separate"/>
          </w:r>
          <w:r>
            <w:rPr>
              <w:rFonts w:hint="eastAsia" w:ascii="黑体" w:hAnsi="黑体" w:eastAsia="黑体" w:cs="黑体"/>
              <w:color w:val="auto"/>
              <w:sz w:val="22"/>
              <w:szCs w:val="22"/>
              <w:highlight w:val="none"/>
            </w:rPr>
            <w:t>1</w:t>
          </w:r>
          <w:r>
            <w:rPr>
              <w:rFonts w:hint="eastAsia" w:ascii="黑体" w:hAnsi="黑体" w:eastAsia="黑体" w:cs="黑体"/>
              <w:color w:val="auto"/>
              <w:sz w:val="22"/>
              <w:szCs w:val="22"/>
              <w:highlight w:val="none"/>
            </w:rPr>
            <w:fldChar w:fldCharType="end"/>
          </w:r>
          <w:r>
            <w:rPr>
              <w:rFonts w:hint="eastAsia" w:ascii="黑体" w:hAnsi="黑体" w:eastAsia="黑体" w:cs="黑体"/>
              <w:color w:val="auto"/>
              <w:kern w:val="2"/>
              <w:sz w:val="22"/>
              <w:szCs w:val="22"/>
              <w:highlight w:val="none"/>
              <w:lang w:val="en-US" w:eastAsia="zh-CN" w:bidi="ar-SA"/>
            </w:rPr>
            <w:fldChar w:fldCharType="end"/>
          </w:r>
        </w:p>
        <w:p w14:paraId="389A388F">
          <w:pPr>
            <w:pStyle w:val="34"/>
            <w:keepNext w:val="0"/>
            <w:keepLines w:val="0"/>
            <w:pageBreakBefore w:val="0"/>
            <w:tabs>
              <w:tab w:val="right" w:leader="dot" w:pos="8675"/>
            </w:tabs>
            <w:kinsoku/>
            <w:wordWrap/>
            <w:overflowPunct/>
            <w:topLinePunct w:val="0"/>
            <w:autoSpaceDE/>
            <w:autoSpaceDN/>
            <w:bidi w:val="0"/>
            <w:adjustRightInd/>
            <w:snapToGrid/>
            <w:spacing w:line="360" w:lineRule="auto"/>
            <w:textAlignment w:val="auto"/>
            <w:rPr>
              <w:rFonts w:hint="eastAsia" w:ascii="黑体" w:hAnsi="黑体" w:eastAsia="黑体" w:cs="黑体"/>
              <w:color w:val="auto"/>
              <w:sz w:val="22"/>
              <w:szCs w:val="22"/>
              <w:highlight w:val="none"/>
            </w:rPr>
          </w:pPr>
          <w:r>
            <w:rPr>
              <w:rFonts w:hint="eastAsia" w:ascii="黑体" w:hAnsi="黑体" w:eastAsia="黑体" w:cs="黑体"/>
              <w:color w:val="auto"/>
              <w:kern w:val="2"/>
              <w:sz w:val="22"/>
              <w:szCs w:val="22"/>
              <w:highlight w:val="none"/>
              <w:lang w:val="en-US" w:eastAsia="zh-CN" w:bidi="ar-SA"/>
            </w:rPr>
            <w:fldChar w:fldCharType="begin"/>
          </w:r>
          <w:r>
            <w:rPr>
              <w:rFonts w:hint="eastAsia" w:ascii="黑体" w:hAnsi="黑体" w:eastAsia="黑体" w:cs="黑体"/>
              <w:color w:val="auto"/>
              <w:kern w:val="2"/>
              <w:sz w:val="22"/>
              <w:szCs w:val="22"/>
              <w:highlight w:val="none"/>
              <w:lang w:val="en-US" w:eastAsia="zh-CN" w:bidi="ar-SA"/>
            </w:rPr>
            <w:instrText xml:space="preserve"> HYPERLINK \l _Toc22132 </w:instrText>
          </w:r>
          <w:r>
            <w:rPr>
              <w:rFonts w:hint="eastAsia" w:ascii="黑体" w:hAnsi="黑体" w:eastAsia="黑体" w:cs="黑体"/>
              <w:color w:val="auto"/>
              <w:kern w:val="2"/>
              <w:sz w:val="22"/>
              <w:szCs w:val="22"/>
              <w:highlight w:val="none"/>
              <w:lang w:val="en-US" w:eastAsia="zh-CN" w:bidi="ar-SA"/>
            </w:rPr>
            <w:fldChar w:fldCharType="separate"/>
          </w:r>
          <w:r>
            <w:rPr>
              <w:rFonts w:hint="eastAsia" w:ascii="黑体" w:hAnsi="黑体" w:eastAsia="黑体" w:cs="黑体"/>
              <w:color w:val="auto"/>
              <w:sz w:val="22"/>
              <w:szCs w:val="22"/>
              <w:highlight w:val="none"/>
            </w:rPr>
            <w:t>第一章</w:t>
          </w:r>
          <w:r>
            <w:rPr>
              <w:rFonts w:hint="eastAsia" w:ascii="黑体" w:hAnsi="黑体" w:eastAsia="黑体" w:cs="黑体"/>
              <w:color w:val="auto"/>
              <w:sz w:val="22"/>
              <w:szCs w:val="22"/>
              <w:highlight w:val="none"/>
              <w:lang w:val="en-US" w:eastAsia="zh-CN"/>
            </w:rPr>
            <w:t xml:space="preserve"> </w:t>
          </w:r>
          <w:r>
            <w:rPr>
              <w:rFonts w:hint="eastAsia" w:ascii="黑体" w:hAnsi="黑体" w:eastAsia="黑体" w:cs="黑体"/>
              <w:color w:val="auto"/>
              <w:sz w:val="22"/>
              <w:szCs w:val="22"/>
              <w:highlight w:val="none"/>
            </w:rPr>
            <w:t>招标公告</w:t>
          </w:r>
          <w:r>
            <w:rPr>
              <w:rFonts w:hint="eastAsia" w:ascii="黑体" w:hAnsi="黑体" w:eastAsia="黑体" w:cs="黑体"/>
              <w:color w:val="auto"/>
              <w:sz w:val="22"/>
              <w:szCs w:val="22"/>
              <w:highlight w:val="none"/>
            </w:rPr>
            <w:tab/>
          </w:r>
          <w:r>
            <w:rPr>
              <w:rFonts w:hint="eastAsia" w:ascii="黑体" w:hAnsi="黑体" w:eastAsia="黑体" w:cs="黑体"/>
              <w:color w:val="auto"/>
              <w:sz w:val="22"/>
              <w:szCs w:val="22"/>
              <w:highlight w:val="none"/>
            </w:rPr>
            <w:fldChar w:fldCharType="begin"/>
          </w:r>
          <w:r>
            <w:rPr>
              <w:rFonts w:hint="eastAsia" w:ascii="黑体" w:hAnsi="黑体" w:eastAsia="黑体" w:cs="黑体"/>
              <w:color w:val="auto"/>
              <w:sz w:val="22"/>
              <w:szCs w:val="22"/>
              <w:highlight w:val="none"/>
            </w:rPr>
            <w:instrText xml:space="preserve"> PAGEREF _Toc22132 \h </w:instrText>
          </w:r>
          <w:r>
            <w:rPr>
              <w:rFonts w:hint="eastAsia" w:ascii="黑体" w:hAnsi="黑体" w:eastAsia="黑体" w:cs="黑体"/>
              <w:color w:val="auto"/>
              <w:sz w:val="22"/>
              <w:szCs w:val="22"/>
              <w:highlight w:val="none"/>
            </w:rPr>
            <w:fldChar w:fldCharType="separate"/>
          </w:r>
          <w:r>
            <w:rPr>
              <w:rFonts w:hint="eastAsia" w:ascii="黑体" w:hAnsi="黑体" w:eastAsia="黑体" w:cs="黑体"/>
              <w:color w:val="auto"/>
              <w:sz w:val="22"/>
              <w:szCs w:val="22"/>
              <w:highlight w:val="none"/>
            </w:rPr>
            <w:t>2</w:t>
          </w:r>
          <w:r>
            <w:rPr>
              <w:rFonts w:hint="eastAsia" w:ascii="黑体" w:hAnsi="黑体" w:eastAsia="黑体" w:cs="黑体"/>
              <w:color w:val="auto"/>
              <w:sz w:val="22"/>
              <w:szCs w:val="22"/>
              <w:highlight w:val="none"/>
            </w:rPr>
            <w:fldChar w:fldCharType="end"/>
          </w:r>
          <w:r>
            <w:rPr>
              <w:rFonts w:hint="eastAsia" w:ascii="黑体" w:hAnsi="黑体" w:eastAsia="黑体" w:cs="黑体"/>
              <w:color w:val="auto"/>
              <w:kern w:val="2"/>
              <w:sz w:val="22"/>
              <w:szCs w:val="22"/>
              <w:highlight w:val="none"/>
              <w:lang w:val="en-US" w:eastAsia="zh-CN" w:bidi="ar-SA"/>
            </w:rPr>
            <w:fldChar w:fldCharType="end"/>
          </w:r>
        </w:p>
        <w:p w14:paraId="4AB3F944">
          <w:pPr>
            <w:pStyle w:val="34"/>
            <w:keepNext w:val="0"/>
            <w:keepLines w:val="0"/>
            <w:pageBreakBefore w:val="0"/>
            <w:tabs>
              <w:tab w:val="right" w:leader="dot" w:pos="8675"/>
            </w:tabs>
            <w:kinsoku/>
            <w:wordWrap/>
            <w:overflowPunct/>
            <w:topLinePunct w:val="0"/>
            <w:autoSpaceDE/>
            <w:autoSpaceDN/>
            <w:bidi w:val="0"/>
            <w:adjustRightInd/>
            <w:snapToGrid/>
            <w:spacing w:line="360" w:lineRule="auto"/>
            <w:textAlignment w:val="auto"/>
            <w:rPr>
              <w:rFonts w:hint="eastAsia" w:ascii="黑体" w:hAnsi="黑体" w:eastAsia="黑体" w:cs="黑体"/>
              <w:color w:val="auto"/>
              <w:sz w:val="22"/>
              <w:szCs w:val="22"/>
              <w:highlight w:val="none"/>
            </w:rPr>
          </w:pPr>
          <w:r>
            <w:rPr>
              <w:rFonts w:hint="eastAsia" w:ascii="黑体" w:hAnsi="黑体" w:eastAsia="黑体" w:cs="黑体"/>
              <w:color w:val="auto"/>
              <w:kern w:val="2"/>
              <w:sz w:val="22"/>
              <w:szCs w:val="22"/>
              <w:highlight w:val="none"/>
              <w:lang w:val="en-US" w:eastAsia="zh-CN" w:bidi="ar-SA"/>
            </w:rPr>
            <w:fldChar w:fldCharType="begin"/>
          </w:r>
          <w:r>
            <w:rPr>
              <w:rFonts w:hint="eastAsia" w:ascii="黑体" w:hAnsi="黑体" w:eastAsia="黑体" w:cs="黑体"/>
              <w:color w:val="auto"/>
              <w:kern w:val="2"/>
              <w:sz w:val="22"/>
              <w:szCs w:val="22"/>
              <w:highlight w:val="none"/>
              <w:lang w:val="en-US" w:eastAsia="zh-CN" w:bidi="ar-SA"/>
            </w:rPr>
            <w:instrText xml:space="preserve"> HYPERLINK \l _Toc31908 </w:instrText>
          </w:r>
          <w:r>
            <w:rPr>
              <w:rFonts w:hint="eastAsia" w:ascii="黑体" w:hAnsi="黑体" w:eastAsia="黑体" w:cs="黑体"/>
              <w:color w:val="auto"/>
              <w:kern w:val="2"/>
              <w:sz w:val="22"/>
              <w:szCs w:val="22"/>
              <w:highlight w:val="none"/>
              <w:lang w:val="en-US" w:eastAsia="zh-CN" w:bidi="ar-SA"/>
            </w:rPr>
            <w:fldChar w:fldCharType="separate"/>
          </w:r>
          <w:r>
            <w:rPr>
              <w:rFonts w:hint="eastAsia" w:ascii="黑体" w:hAnsi="黑体" w:eastAsia="黑体" w:cs="黑体"/>
              <w:color w:val="auto"/>
              <w:sz w:val="22"/>
              <w:szCs w:val="22"/>
              <w:highlight w:val="none"/>
            </w:rPr>
            <w:t>第二章</w:t>
          </w:r>
          <w:r>
            <w:rPr>
              <w:rFonts w:hint="eastAsia" w:ascii="黑体" w:hAnsi="黑体" w:eastAsia="黑体" w:cs="黑体"/>
              <w:color w:val="auto"/>
              <w:sz w:val="22"/>
              <w:szCs w:val="22"/>
              <w:highlight w:val="none"/>
              <w:lang w:val="en-US" w:eastAsia="zh-CN"/>
            </w:rPr>
            <w:t xml:space="preserve"> </w:t>
          </w:r>
          <w:r>
            <w:rPr>
              <w:rFonts w:hint="eastAsia" w:ascii="黑体" w:hAnsi="黑体" w:eastAsia="黑体" w:cs="黑体"/>
              <w:color w:val="auto"/>
              <w:sz w:val="22"/>
              <w:szCs w:val="22"/>
              <w:highlight w:val="none"/>
            </w:rPr>
            <w:t>投标人须知</w:t>
          </w:r>
          <w:r>
            <w:rPr>
              <w:rFonts w:hint="eastAsia" w:ascii="黑体" w:hAnsi="黑体" w:eastAsia="黑体" w:cs="黑体"/>
              <w:color w:val="auto"/>
              <w:sz w:val="22"/>
              <w:szCs w:val="22"/>
              <w:highlight w:val="none"/>
            </w:rPr>
            <w:tab/>
          </w:r>
          <w:r>
            <w:rPr>
              <w:rFonts w:hint="eastAsia" w:ascii="黑体" w:hAnsi="黑体" w:eastAsia="黑体" w:cs="黑体"/>
              <w:color w:val="auto"/>
              <w:sz w:val="22"/>
              <w:szCs w:val="22"/>
              <w:highlight w:val="none"/>
            </w:rPr>
            <w:fldChar w:fldCharType="begin"/>
          </w:r>
          <w:r>
            <w:rPr>
              <w:rFonts w:hint="eastAsia" w:ascii="黑体" w:hAnsi="黑体" w:eastAsia="黑体" w:cs="黑体"/>
              <w:color w:val="auto"/>
              <w:sz w:val="22"/>
              <w:szCs w:val="22"/>
              <w:highlight w:val="none"/>
            </w:rPr>
            <w:instrText xml:space="preserve"> PAGEREF _Toc31908 \h </w:instrText>
          </w:r>
          <w:r>
            <w:rPr>
              <w:rFonts w:hint="eastAsia" w:ascii="黑体" w:hAnsi="黑体" w:eastAsia="黑体" w:cs="黑体"/>
              <w:color w:val="auto"/>
              <w:sz w:val="22"/>
              <w:szCs w:val="22"/>
              <w:highlight w:val="none"/>
            </w:rPr>
            <w:fldChar w:fldCharType="separate"/>
          </w:r>
          <w:r>
            <w:rPr>
              <w:rFonts w:hint="eastAsia" w:ascii="黑体" w:hAnsi="黑体" w:eastAsia="黑体" w:cs="黑体"/>
              <w:color w:val="auto"/>
              <w:sz w:val="22"/>
              <w:szCs w:val="22"/>
              <w:highlight w:val="none"/>
            </w:rPr>
            <w:t>8</w:t>
          </w:r>
          <w:r>
            <w:rPr>
              <w:rFonts w:hint="eastAsia" w:ascii="黑体" w:hAnsi="黑体" w:eastAsia="黑体" w:cs="黑体"/>
              <w:color w:val="auto"/>
              <w:sz w:val="22"/>
              <w:szCs w:val="22"/>
              <w:highlight w:val="none"/>
            </w:rPr>
            <w:fldChar w:fldCharType="end"/>
          </w:r>
          <w:r>
            <w:rPr>
              <w:rFonts w:hint="eastAsia" w:ascii="黑体" w:hAnsi="黑体" w:eastAsia="黑体" w:cs="黑体"/>
              <w:color w:val="auto"/>
              <w:kern w:val="2"/>
              <w:sz w:val="22"/>
              <w:szCs w:val="22"/>
              <w:highlight w:val="none"/>
              <w:lang w:val="en-US" w:eastAsia="zh-CN" w:bidi="ar-SA"/>
            </w:rPr>
            <w:fldChar w:fldCharType="end"/>
          </w:r>
        </w:p>
        <w:p w14:paraId="37B94E0E">
          <w:pPr>
            <w:pStyle w:val="34"/>
            <w:keepNext w:val="0"/>
            <w:keepLines w:val="0"/>
            <w:pageBreakBefore w:val="0"/>
            <w:tabs>
              <w:tab w:val="right" w:leader="dot" w:pos="8675"/>
            </w:tabs>
            <w:kinsoku/>
            <w:wordWrap/>
            <w:overflowPunct/>
            <w:topLinePunct w:val="0"/>
            <w:autoSpaceDE/>
            <w:autoSpaceDN/>
            <w:bidi w:val="0"/>
            <w:adjustRightInd/>
            <w:snapToGrid/>
            <w:spacing w:line="360" w:lineRule="auto"/>
            <w:textAlignment w:val="auto"/>
            <w:rPr>
              <w:rFonts w:hint="eastAsia" w:ascii="黑体" w:hAnsi="黑体" w:eastAsia="黑体" w:cs="黑体"/>
              <w:color w:val="auto"/>
              <w:sz w:val="22"/>
              <w:szCs w:val="22"/>
              <w:highlight w:val="none"/>
            </w:rPr>
          </w:pPr>
          <w:r>
            <w:rPr>
              <w:rFonts w:hint="eastAsia" w:ascii="黑体" w:hAnsi="黑体" w:eastAsia="黑体" w:cs="黑体"/>
              <w:color w:val="auto"/>
              <w:kern w:val="2"/>
              <w:sz w:val="22"/>
              <w:szCs w:val="22"/>
              <w:highlight w:val="none"/>
              <w:lang w:val="en-US" w:eastAsia="zh-CN" w:bidi="ar-SA"/>
            </w:rPr>
            <w:fldChar w:fldCharType="begin"/>
          </w:r>
          <w:r>
            <w:rPr>
              <w:rFonts w:hint="eastAsia" w:ascii="黑体" w:hAnsi="黑体" w:eastAsia="黑体" w:cs="黑体"/>
              <w:color w:val="auto"/>
              <w:kern w:val="2"/>
              <w:sz w:val="22"/>
              <w:szCs w:val="22"/>
              <w:highlight w:val="none"/>
              <w:lang w:val="en-US" w:eastAsia="zh-CN" w:bidi="ar-SA"/>
            </w:rPr>
            <w:instrText xml:space="preserve"> HYPERLINK \l _Toc10943 </w:instrText>
          </w:r>
          <w:r>
            <w:rPr>
              <w:rFonts w:hint="eastAsia" w:ascii="黑体" w:hAnsi="黑体" w:eastAsia="黑体" w:cs="黑体"/>
              <w:color w:val="auto"/>
              <w:kern w:val="2"/>
              <w:sz w:val="22"/>
              <w:szCs w:val="22"/>
              <w:highlight w:val="none"/>
              <w:lang w:val="en-US" w:eastAsia="zh-CN" w:bidi="ar-SA"/>
            </w:rPr>
            <w:fldChar w:fldCharType="separate"/>
          </w:r>
          <w:r>
            <w:rPr>
              <w:rFonts w:hint="eastAsia" w:ascii="黑体" w:hAnsi="黑体" w:eastAsia="黑体" w:cs="黑体"/>
              <w:color w:val="auto"/>
              <w:sz w:val="22"/>
              <w:szCs w:val="22"/>
              <w:highlight w:val="none"/>
            </w:rPr>
            <w:t>第三章</w:t>
          </w:r>
          <w:r>
            <w:rPr>
              <w:rFonts w:hint="eastAsia" w:ascii="黑体" w:hAnsi="黑体" w:eastAsia="黑体" w:cs="黑体"/>
              <w:color w:val="auto"/>
              <w:sz w:val="22"/>
              <w:szCs w:val="22"/>
              <w:highlight w:val="none"/>
              <w:lang w:val="en-US" w:eastAsia="zh-CN"/>
            </w:rPr>
            <w:t xml:space="preserve"> </w:t>
          </w:r>
          <w:r>
            <w:rPr>
              <w:rFonts w:hint="eastAsia" w:ascii="黑体" w:hAnsi="黑体" w:eastAsia="黑体" w:cs="黑体"/>
              <w:color w:val="auto"/>
              <w:sz w:val="22"/>
              <w:szCs w:val="22"/>
              <w:highlight w:val="none"/>
            </w:rPr>
            <w:t>评标办法</w:t>
          </w:r>
          <w:r>
            <w:rPr>
              <w:rFonts w:hint="eastAsia" w:ascii="黑体" w:hAnsi="黑体" w:eastAsia="黑体" w:cs="黑体"/>
              <w:color w:val="auto"/>
              <w:sz w:val="22"/>
              <w:szCs w:val="22"/>
              <w:highlight w:val="none"/>
            </w:rPr>
            <w:tab/>
          </w:r>
          <w:r>
            <w:rPr>
              <w:rFonts w:hint="eastAsia" w:ascii="黑体" w:hAnsi="黑体" w:eastAsia="黑体" w:cs="黑体"/>
              <w:color w:val="auto"/>
              <w:sz w:val="22"/>
              <w:szCs w:val="22"/>
              <w:highlight w:val="none"/>
            </w:rPr>
            <w:fldChar w:fldCharType="begin"/>
          </w:r>
          <w:r>
            <w:rPr>
              <w:rFonts w:hint="eastAsia" w:ascii="黑体" w:hAnsi="黑体" w:eastAsia="黑体" w:cs="黑体"/>
              <w:color w:val="auto"/>
              <w:sz w:val="22"/>
              <w:szCs w:val="22"/>
              <w:highlight w:val="none"/>
            </w:rPr>
            <w:instrText xml:space="preserve"> PAGEREF _Toc10943 \h </w:instrText>
          </w:r>
          <w:r>
            <w:rPr>
              <w:rFonts w:hint="eastAsia" w:ascii="黑体" w:hAnsi="黑体" w:eastAsia="黑体" w:cs="黑体"/>
              <w:color w:val="auto"/>
              <w:sz w:val="22"/>
              <w:szCs w:val="22"/>
              <w:highlight w:val="none"/>
            </w:rPr>
            <w:fldChar w:fldCharType="separate"/>
          </w:r>
          <w:r>
            <w:rPr>
              <w:rFonts w:hint="eastAsia" w:ascii="黑体" w:hAnsi="黑体" w:eastAsia="黑体" w:cs="黑体"/>
              <w:color w:val="auto"/>
              <w:sz w:val="22"/>
              <w:szCs w:val="22"/>
              <w:highlight w:val="none"/>
            </w:rPr>
            <w:t>55</w:t>
          </w:r>
          <w:r>
            <w:rPr>
              <w:rFonts w:hint="eastAsia" w:ascii="黑体" w:hAnsi="黑体" w:eastAsia="黑体" w:cs="黑体"/>
              <w:color w:val="auto"/>
              <w:sz w:val="22"/>
              <w:szCs w:val="22"/>
              <w:highlight w:val="none"/>
            </w:rPr>
            <w:fldChar w:fldCharType="end"/>
          </w:r>
          <w:r>
            <w:rPr>
              <w:rFonts w:hint="eastAsia" w:ascii="黑体" w:hAnsi="黑体" w:eastAsia="黑体" w:cs="黑体"/>
              <w:color w:val="auto"/>
              <w:kern w:val="2"/>
              <w:sz w:val="22"/>
              <w:szCs w:val="22"/>
              <w:highlight w:val="none"/>
              <w:lang w:val="en-US" w:eastAsia="zh-CN" w:bidi="ar-SA"/>
            </w:rPr>
            <w:fldChar w:fldCharType="end"/>
          </w:r>
        </w:p>
        <w:p w14:paraId="3303088A">
          <w:pPr>
            <w:pStyle w:val="34"/>
            <w:keepNext w:val="0"/>
            <w:keepLines w:val="0"/>
            <w:pageBreakBefore w:val="0"/>
            <w:tabs>
              <w:tab w:val="right" w:leader="dot" w:pos="8675"/>
            </w:tabs>
            <w:kinsoku/>
            <w:wordWrap/>
            <w:overflowPunct/>
            <w:topLinePunct w:val="0"/>
            <w:autoSpaceDE/>
            <w:autoSpaceDN/>
            <w:bidi w:val="0"/>
            <w:adjustRightInd/>
            <w:snapToGrid/>
            <w:spacing w:line="360" w:lineRule="auto"/>
            <w:textAlignment w:val="auto"/>
            <w:rPr>
              <w:rFonts w:hint="eastAsia" w:ascii="黑体" w:hAnsi="黑体" w:eastAsia="黑体" w:cs="黑体"/>
              <w:color w:val="auto"/>
              <w:sz w:val="22"/>
              <w:szCs w:val="22"/>
              <w:highlight w:val="none"/>
            </w:rPr>
          </w:pPr>
          <w:r>
            <w:rPr>
              <w:rFonts w:hint="eastAsia" w:ascii="黑体" w:hAnsi="黑体" w:eastAsia="黑体" w:cs="黑体"/>
              <w:color w:val="auto"/>
              <w:kern w:val="2"/>
              <w:sz w:val="22"/>
              <w:szCs w:val="22"/>
              <w:highlight w:val="none"/>
              <w:lang w:val="en-US" w:eastAsia="zh-CN" w:bidi="ar-SA"/>
            </w:rPr>
            <w:fldChar w:fldCharType="begin"/>
          </w:r>
          <w:r>
            <w:rPr>
              <w:rFonts w:hint="eastAsia" w:ascii="黑体" w:hAnsi="黑体" w:eastAsia="黑体" w:cs="黑体"/>
              <w:color w:val="auto"/>
              <w:kern w:val="2"/>
              <w:sz w:val="22"/>
              <w:szCs w:val="22"/>
              <w:highlight w:val="none"/>
              <w:lang w:val="en-US" w:eastAsia="zh-CN" w:bidi="ar-SA"/>
            </w:rPr>
            <w:instrText xml:space="preserve"> HYPERLINK \l _Toc22672 </w:instrText>
          </w:r>
          <w:r>
            <w:rPr>
              <w:rFonts w:hint="eastAsia" w:ascii="黑体" w:hAnsi="黑体" w:eastAsia="黑体" w:cs="黑体"/>
              <w:color w:val="auto"/>
              <w:kern w:val="2"/>
              <w:sz w:val="22"/>
              <w:szCs w:val="22"/>
              <w:highlight w:val="none"/>
              <w:lang w:val="en-US" w:eastAsia="zh-CN" w:bidi="ar-SA"/>
            </w:rPr>
            <w:fldChar w:fldCharType="separate"/>
          </w:r>
          <w:r>
            <w:rPr>
              <w:rFonts w:hint="eastAsia" w:ascii="黑体" w:hAnsi="黑体" w:eastAsia="黑体" w:cs="黑体"/>
              <w:color w:val="auto"/>
              <w:sz w:val="22"/>
              <w:szCs w:val="22"/>
              <w:highlight w:val="none"/>
            </w:rPr>
            <w:t>第四章</w:t>
          </w:r>
          <w:r>
            <w:rPr>
              <w:rFonts w:hint="eastAsia" w:ascii="黑体" w:hAnsi="黑体" w:eastAsia="黑体" w:cs="黑体"/>
              <w:color w:val="auto"/>
              <w:sz w:val="22"/>
              <w:szCs w:val="22"/>
              <w:highlight w:val="none"/>
              <w:lang w:val="en-US" w:eastAsia="zh-CN"/>
            </w:rPr>
            <w:t xml:space="preserve"> </w:t>
          </w:r>
          <w:r>
            <w:rPr>
              <w:rFonts w:hint="eastAsia" w:ascii="黑体" w:hAnsi="黑体" w:eastAsia="黑体" w:cs="黑体"/>
              <w:color w:val="auto"/>
              <w:sz w:val="22"/>
              <w:szCs w:val="22"/>
              <w:highlight w:val="none"/>
            </w:rPr>
            <w:t>合同条款及格式</w:t>
          </w:r>
          <w:r>
            <w:rPr>
              <w:rFonts w:hint="eastAsia" w:ascii="黑体" w:hAnsi="黑体" w:eastAsia="黑体" w:cs="黑体"/>
              <w:color w:val="auto"/>
              <w:sz w:val="22"/>
              <w:szCs w:val="22"/>
              <w:highlight w:val="none"/>
            </w:rPr>
            <w:tab/>
          </w:r>
          <w:r>
            <w:rPr>
              <w:rFonts w:hint="eastAsia" w:ascii="黑体" w:hAnsi="黑体" w:eastAsia="黑体" w:cs="黑体"/>
              <w:color w:val="auto"/>
              <w:sz w:val="22"/>
              <w:szCs w:val="22"/>
              <w:highlight w:val="none"/>
            </w:rPr>
            <w:fldChar w:fldCharType="begin"/>
          </w:r>
          <w:r>
            <w:rPr>
              <w:rFonts w:hint="eastAsia" w:ascii="黑体" w:hAnsi="黑体" w:eastAsia="黑体" w:cs="黑体"/>
              <w:color w:val="auto"/>
              <w:sz w:val="22"/>
              <w:szCs w:val="22"/>
              <w:highlight w:val="none"/>
            </w:rPr>
            <w:instrText xml:space="preserve"> PAGEREF _Toc22672 \h </w:instrText>
          </w:r>
          <w:r>
            <w:rPr>
              <w:rFonts w:hint="eastAsia" w:ascii="黑体" w:hAnsi="黑体" w:eastAsia="黑体" w:cs="黑体"/>
              <w:color w:val="auto"/>
              <w:sz w:val="22"/>
              <w:szCs w:val="22"/>
              <w:highlight w:val="none"/>
            </w:rPr>
            <w:fldChar w:fldCharType="separate"/>
          </w:r>
          <w:r>
            <w:rPr>
              <w:rFonts w:hint="eastAsia" w:ascii="黑体" w:hAnsi="黑体" w:eastAsia="黑体" w:cs="黑体"/>
              <w:color w:val="auto"/>
              <w:sz w:val="22"/>
              <w:szCs w:val="22"/>
              <w:highlight w:val="none"/>
            </w:rPr>
            <w:t>70</w:t>
          </w:r>
          <w:r>
            <w:rPr>
              <w:rFonts w:hint="eastAsia" w:ascii="黑体" w:hAnsi="黑体" w:eastAsia="黑体" w:cs="黑体"/>
              <w:color w:val="auto"/>
              <w:sz w:val="22"/>
              <w:szCs w:val="22"/>
              <w:highlight w:val="none"/>
            </w:rPr>
            <w:fldChar w:fldCharType="end"/>
          </w:r>
          <w:r>
            <w:rPr>
              <w:rFonts w:hint="eastAsia" w:ascii="黑体" w:hAnsi="黑体" w:eastAsia="黑体" w:cs="黑体"/>
              <w:color w:val="auto"/>
              <w:kern w:val="2"/>
              <w:sz w:val="22"/>
              <w:szCs w:val="22"/>
              <w:highlight w:val="none"/>
              <w:lang w:val="en-US" w:eastAsia="zh-CN" w:bidi="ar-SA"/>
            </w:rPr>
            <w:fldChar w:fldCharType="end"/>
          </w:r>
        </w:p>
        <w:p w14:paraId="499E6D14">
          <w:pPr>
            <w:pStyle w:val="34"/>
            <w:keepNext w:val="0"/>
            <w:keepLines w:val="0"/>
            <w:pageBreakBefore w:val="0"/>
            <w:tabs>
              <w:tab w:val="right" w:leader="dot" w:pos="8675"/>
            </w:tabs>
            <w:kinsoku/>
            <w:wordWrap/>
            <w:overflowPunct/>
            <w:topLinePunct w:val="0"/>
            <w:autoSpaceDE/>
            <w:autoSpaceDN/>
            <w:bidi w:val="0"/>
            <w:adjustRightInd/>
            <w:snapToGrid/>
            <w:spacing w:line="360" w:lineRule="auto"/>
            <w:textAlignment w:val="auto"/>
            <w:rPr>
              <w:rFonts w:hint="eastAsia" w:ascii="黑体" w:hAnsi="黑体" w:eastAsia="黑体" w:cs="黑体"/>
              <w:color w:val="auto"/>
              <w:sz w:val="22"/>
              <w:szCs w:val="22"/>
              <w:highlight w:val="none"/>
            </w:rPr>
          </w:pPr>
          <w:r>
            <w:rPr>
              <w:rFonts w:hint="eastAsia" w:ascii="黑体" w:hAnsi="黑体" w:eastAsia="黑体" w:cs="黑体"/>
              <w:color w:val="auto"/>
              <w:kern w:val="2"/>
              <w:sz w:val="22"/>
              <w:szCs w:val="22"/>
              <w:highlight w:val="none"/>
              <w:lang w:val="en-US" w:eastAsia="zh-CN" w:bidi="ar-SA"/>
            </w:rPr>
            <w:fldChar w:fldCharType="begin"/>
          </w:r>
          <w:r>
            <w:rPr>
              <w:rFonts w:hint="eastAsia" w:ascii="黑体" w:hAnsi="黑体" w:eastAsia="黑体" w:cs="黑体"/>
              <w:color w:val="auto"/>
              <w:kern w:val="2"/>
              <w:sz w:val="22"/>
              <w:szCs w:val="22"/>
              <w:highlight w:val="none"/>
              <w:lang w:val="en-US" w:eastAsia="zh-CN" w:bidi="ar-SA"/>
            </w:rPr>
            <w:instrText xml:space="preserve"> HYPERLINK \l _Toc3845 </w:instrText>
          </w:r>
          <w:r>
            <w:rPr>
              <w:rFonts w:hint="eastAsia" w:ascii="黑体" w:hAnsi="黑体" w:eastAsia="黑体" w:cs="黑体"/>
              <w:color w:val="auto"/>
              <w:kern w:val="2"/>
              <w:sz w:val="22"/>
              <w:szCs w:val="22"/>
              <w:highlight w:val="none"/>
              <w:lang w:val="en-US" w:eastAsia="zh-CN" w:bidi="ar-SA"/>
            </w:rPr>
            <w:fldChar w:fldCharType="separate"/>
          </w:r>
          <w:r>
            <w:rPr>
              <w:rFonts w:hint="eastAsia" w:ascii="黑体" w:hAnsi="黑体" w:eastAsia="黑体" w:cs="黑体"/>
              <w:color w:val="auto"/>
              <w:sz w:val="22"/>
              <w:szCs w:val="22"/>
              <w:highlight w:val="none"/>
            </w:rPr>
            <w:t>第五章工程量清单</w:t>
          </w:r>
          <w:r>
            <w:rPr>
              <w:rFonts w:hint="eastAsia" w:ascii="黑体" w:hAnsi="黑体" w:eastAsia="黑体" w:cs="黑体"/>
              <w:color w:val="auto"/>
              <w:sz w:val="22"/>
              <w:szCs w:val="22"/>
              <w:highlight w:val="none"/>
            </w:rPr>
            <w:tab/>
          </w:r>
          <w:r>
            <w:rPr>
              <w:rFonts w:hint="eastAsia" w:ascii="黑体" w:hAnsi="黑体" w:eastAsia="黑体" w:cs="黑体"/>
              <w:color w:val="auto"/>
              <w:sz w:val="22"/>
              <w:szCs w:val="22"/>
              <w:highlight w:val="none"/>
            </w:rPr>
            <w:fldChar w:fldCharType="begin"/>
          </w:r>
          <w:r>
            <w:rPr>
              <w:rFonts w:hint="eastAsia" w:ascii="黑体" w:hAnsi="黑体" w:eastAsia="黑体" w:cs="黑体"/>
              <w:color w:val="auto"/>
              <w:sz w:val="22"/>
              <w:szCs w:val="22"/>
              <w:highlight w:val="none"/>
            </w:rPr>
            <w:instrText xml:space="preserve"> PAGEREF _Toc3845 \h </w:instrText>
          </w:r>
          <w:r>
            <w:rPr>
              <w:rFonts w:hint="eastAsia" w:ascii="黑体" w:hAnsi="黑体" w:eastAsia="黑体" w:cs="黑体"/>
              <w:color w:val="auto"/>
              <w:sz w:val="22"/>
              <w:szCs w:val="22"/>
              <w:highlight w:val="none"/>
            </w:rPr>
            <w:fldChar w:fldCharType="separate"/>
          </w:r>
          <w:r>
            <w:rPr>
              <w:rFonts w:hint="eastAsia" w:ascii="黑体" w:hAnsi="黑体" w:eastAsia="黑体" w:cs="黑体"/>
              <w:color w:val="auto"/>
              <w:sz w:val="22"/>
              <w:szCs w:val="22"/>
              <w:highlight w:val="none"/>
            </w:rPr>
            <w:t>171</w:t>
          </w:r>
          <w:r>
            <w:rPr>
              <w:rFonts w:hint="eastAsia" w:ascii="黑体" w:hAnsi="黑体" w:eastAsia="黑体" w:cs="黑体"/>
              <w:color w:val="auto"/>
              <w:sz w:val="22"/>
              <w:szCs w:val="22"/>
              <w:highlight w:val="none"/>
            </w:rPr>
            <w:fldChar w:fldCharType="end"/>
          </w:r>
          <w:r>
            <w:rPr>
              <w:rFonts w:hint="eastAsia" w:ascii="黑体" w:hAnsi="黑体" w:eastAsia="黑体" w:cs="黑体"/>
              <w:color w:val="auto"/>
              <w:kern w:val="2"/>
              <w:sz w:val="22"/>
              <w:szCs w:val="22"/>
              <w:highlight w:val="none"/>
              <w:lang w:val="en-US" w:eastAsia="zh-CN" w:bidi="ar-SA"/>
            </w:rPr>
            <w:fldChar w:fldCharType="end"/>
          </w:r>
        </w:p>
        <w:p w14:paraId="3806994F">
          <w:pPr>
            <w:pStyle w:val="29"/>
            <w:keepNext w:val="0"/>
            <w:keepLines w:val="0"/>
            <w:pageBreakBefore w:val="0"/>
            <w:tabs>
              <w:tab w:val="right" w:leader="dot" w:pos="8675"/>
              <w:tab w:val="clear" w:pos="425"/>
              <w:tab w:val="clear" w:pos="8805"/>
            </w:tabs>
            <w:kinsoku/>
            <w:wordWrap/>
            <w:overflowPunct/>
            <w:topLinePunct w:val="0"/>
            <w:autoSpaceDE/>
            <w:autoSpaceDN/>
            <w:bidi w:val="0"/>
            <w:adjustRightInd/>
            <w:snapToGrid/>
            <w:spacing w:line="360" w:lineRule="auto"/>
            <w:textAlignment w:val="auto"/>
            <w:rPr>
              <w:rFonts w:hint="eastAsia" w:ascii="黑体" w:hAnsi="黑体" w:eastAsia="黑体" w:cs="黑体"/>
              <w:color w:val="auto"/>
              <w:sz w:val="22"/>
              <w:szCs w:val="22"/>
              <w:highlight w:val="none"/>
            </w:rPr>
          </w:pPr>
          <w:r>
            <w:rPr>
              <w:rFonts w:hint="eastAsia" w:ascii="黑体" w:hAnsi="黑体" w:eastAsia="黑体" w:cs="黑体"/>
              <w:color w:val="auto"/>
              <w:kern w:val="2"/>
              <w:sz w:val="22"/>
              <w:szCs w:val="22"/>
              <w:highlight w:val="none"/>
              <w:lang w:val="en-US" w:eastAsia="zh-CN" w:bidi="ar-SA"/>
            </w:rPr>
            <w:fldChar w:fldCharType="begin"/>
          </w:r>
          <w:r>
            <w:rPr>
              <w:rFonts w:hint="eastAsia" w:ascii="黑体" w:hAnsi="黑体" w:eastAsia="黑体" w:cs="黑体"/>
              <w:color w:val="auto"/>
              <w:kern w:val="2"/>
              <w:sz w:val="22"/>
              <w:szCs w:val="22"/>
              <w:highlight w:val="none"/>
              <w:lang w:val="en-US" w:eastAsia="zh-CN" w:bidi="ar-SA"/>
            </w:rPr>
            <w:instrText xml:space="preserve"> HYPERLINK \l _Toc21475 </w:instrText>
          </w:r>
          <w:r>
            <w:rPr>
              <w:rFonts w:hint="eastAsia" w:ascii="黑体" w:hAnsi="黑体" w:eastAsia="黑体" w:cs="黑体"/>
              <w:color w:val="auto"/>
              <w:kern w:val="2"/>
              <w:sz w:val="22"/>
              <w:szCs w:val="22"/>
              <w:highlight w:val="none"/>
              <w:lang w:val="en-US" w:eastAsia="zh-CN" w:bidi="ar-SA"/>
            </w:rPr>
            <w:fldChar w:fldCharType="separate"/>
          </w:r>
          <w:r>
            <w:rPr>
              <w:rFonts w:hint="eastAsia" w:ascii="黑体" w:hAnsi="黑体" w:eastAsia="黑体" w:cs="黑体"/>
              <w:color w:val="auto"/>
              <w:sz w:val="22"/>
              <w:szCs w:val="22"/>
              <w:highlight w:val="none"/>
            </w:rPr>
            <w:t>第</w:t>
          </w:r>
          <w:r>
            <w:rPr>
              <w:rFonts w:hint="eastAsia" w:ascii="黑体" w:hAnsi="黑体" w:eastAsia="黑体" w:cs="黑体"/>
              <w:color w:val="auto"/>
              <w:sz w:val="22"/>
              <w:szCs w:val="22"/>
              <w:highlight w:val="none"/>
              <w:lang w:val="en-US" w:eastAsia="zh-CN"/>
            </w:rPr>
            <w:t xml:space="preserve"> </w:t>
          </w:r>
          <w:r>
            <w:rPr>
              <w:rFonts w:hint="eastAsia" w:ascii="黑体" w:hAnsi="黑体" w:eastAsia="黑体" w:cs="黑体"/>
              <w:color w:val="auto"/>
              <w:sz w:val="22"/>
              <w:szCs w:val="22"/>
              <w:highlight w:val="none"/>
            </w:rPr>
            <w:t>二</w:t>
          </w:r>
          <w:r>
            <w:rPr>
              <w:rFonts w:hint="eastAsia" w:ascii="黑体" w:hAnsi="黑体" w:eastAsia="黑体" w:cs="黑体"/>
              <w:color w:val="auto"/>
              <w:sz w:val="22"/>
              <w:szCs w:val="22"/>
              <w:highlight w:val="none"/>
              <w:lang w:val="en-US" w:eastAsia="zh-CN"/>
            </w:rPr>
            <w:t xml:space="preserve"> </w:t>
          </w:r>
          <w:r>
            <w:rPr>
              <w:rFonts w:hint="eastAsia" w:ascii="黑体" w:hAnsi="黑体" w:eastAsia="黑体" w:cs="黑体"/>
              <w:color w:val="auto"/>
              <w:sz w:val="22"/>
              <w:szCs w:val="22"/>
              <w:highlight w:val="none"/>
            </w:rPr>
            <w:t>卷</w:t>
          </w:r>
          <w:r>
            <w:rPr>
              <w:rFonts w:hint="eastAsia" w:ascii="黑体" w:hAnsi="黑体" w:eastAsia="黑体" w:cs="黑体"/>
              <w:color w:val="auto"/>
              <w:sz w:val="22"/>
              <w:szCs w:val="22"/>
              <w:highlight w:val="none"/>
            </w:rPr>
            <w:tab/>
          </w:r>
          <w:r>
            <w:rPr>
              <w:rFonts w:hint="eastAsia" w:ascii="黑体" w:hAnsi="黑体" w:eastAsia="黑体" w:cs="黑体"/>
              <w:color w:val="auto"/>
              <w:sz w:val="22"/>
              <w:szCs w:val="22"/>
              <w:highlight w:val="none"/>
            </w:rPr>
            <w:fldChar w:fldCharType="begin"/>
          </w:r>
          <w:r>
            <w:rPr>
              <w:rFonts w:hint="eastAsia" w:ascii="黑体" w:hAnsi="黑体" w:eastAsia="黑体" w:cs="黑体"/>
              <w:color w:val="auto"/>
              <w:sz w:val="22"/>
              <w:szCs w:val="22"/>
              <w:highlight w:val="none"/>
            </w:rPr>
            <w:instrText xml:space="preserve"> PAGEREF _Toc21475 \h </w:instrText>
          </w:r>
          <w:r>
            <w:rPr>
              <w:rFonts w:hint="eastAsia" w:ascii="黑体" w:hAnsi="黑体" w:eastAsia="黑体" w:cs="黑体"/>
              <w:color w:val="auto"/>
              <w:sz w:val="22"/>
              <w:szCs w:val="22"/>
              <w:highlight w:val="none"/>
            </w:rPr>
            <w:fldChar w:fldCharType="separate"/>
          </w:r>
          <w:r>
            <w:rPr>
              <w:rFonts w:hint="eastAsia" w:ascii="黑体" w:hAnsi="黑体" w:eastAsia="黑体" w:cs="黑体"/>
              <w:color w:val="auto"/>
              <w:sz w:val="22"/>
              <w:szCs w:val="22"/>
              <w:highlight w:val="none"/>
            </w:rPr>
            <w:t>175</w:t>
          </w:r>
          <w:r>
            <w:rPr>
              <w:rFonts w:hint="eastAsia" w:ascii="黑体" w:hAnsi="黑体" w:eastAsia="黑体" w:cs="黑体"/>
              <w:color w:val="auto"/>
              <w:sz w:val="22"/>
              <w:szCs w:val="22"/>
              <w:highlight w:val="none"/>
            </w:rPr>
            <w:fldChar w:fldCharType="end"/>
          </w:r>
          <w:r>
            <w:rPr>
              <w:rFonts w:hint="eastAsia" w:ascii="黑体" w:hAnsi="黑体" w:eastAsia="黑体" w:cs="黑体"/>
              <w:color w:val="auto"/>
              <w:kern w:val="2"/>
              <w:sz w:val="22"/>
              <w:szCs w:val="22"/>
              <w:highlight w:val="none"/>
              <w:lang w:val="en-US" w:eastAsia="zh-CN" w:bidi="ar-SA"/>
            </w:rPr>
            <w:fldChar w:fldCharType="end"/>
          </w:r>
        </w:p>
        <w:p w14:paraId="5B8C6EF4">
          <w:pPr>
            <w:pStyle w:val="34"/>
            <w:keepNext w:val="0"/>
            <w:keepLines w:val="0"/>
            <w:pageBreakBefore w:val="0"/>
            <w:tabs>
              <w:tab w:val="right" w:leader="dot" w:pos="8675"/>
            </w:tabs>
            <w:kinsoku/>
            <w:wordWrap/>
            <w:overflowPunct/>
            <w:topLinePunct w:val="0"/>
            <w:autoSpaceDE/>
            <w:autoSpaceDN/>
            <w:bidi w:val="0"/>
            <w:adjustRightInd/>
            <w:snapToGrid/>
            <w:spacing w:line="360" w:lineRule="auto"/>
            <w:textAlignment w:val="auto"/>
            <w:rPr>
              <w:rFonts w:hint="eastAsia" w:ascii="黑体" w:hAnsi="黑体" w:eastAsia="黑体" w:cs="黑体"/>
              <w:color w:val="auto"/>
              <w:sz w:val="22"/>
              <w:szCs w:val="22"/>
              <w:highlight w:val="none"/>
            </w:rPr>
          </w:pPr>
          <w:r>
            <w:rPr>
              <w:rFonts w:hint="eastAsia" w:ascii="黑体" w:hAnsi="黑体" w:eastAsia="黑体" w:cs="黑体"/>
              <w:color w:val="auto"/>
              <w:kern w:val="2"/>
              <w:sz w:val="22"/>
              <w:szCs w:val="22"/>
              <w:highlight w:val="none"/>
              <w:lang w:val="en-US" w:eastAsia="zh-CN" w:bidi="ar-SA"/>
            </w:rPr>
            <w:fldChar w:fldCharType="begin"/>
          </w:r>
          <w:r>
            <w:rPr>
              <w:rFonts w:hint="eastAsia" w:ascii="黑体" w:hAnsi="黑体" w:eastAsia="黑体" w:cs="黑体"/>
              <w:color w:val="auto"/>
              <w:kern w:val="2"/>
              <w:sz w:val="22"/>
              <w:szCs w:val="22"/>
              <w:highlight w:val="none"/>
              <w:lang w:val="en-US" w:eastAsia="zh-CN" w:bidi="ar-SA"/>
            </w:rPr>
            <w:instrText xml:space="preserve"> HYPERLINK \l _Toc16205 </w:instrText>
          </w:r>
          <w:r>
            <w:rPr>
              <w:rFonts w:hint="eastAsia" w:ascii="黑体" w:hAnsi="黑体" w:eastAsia="黑体" w:cs="黑体"/>
              <w:color w:val="auto"/>
              <w:kern w:val="2"/>
              <w:sz w:val="22"/>
              <w:szCs w:val="22"/>
              <w:highlight w:val="none"/>
              <w:lang w:val="en-US" w:eastAsia="zh-CN" w:bidi="ar-SA"/>
            </w:rPr>
            <w:fldChar w:fldCharType="separate"/>
          </w:r>
          <w:r>
            <w:rPr>
              <w:rFonts w:hint="eastAsia" w:ascii="黑体" w:hAnsi="黑体" w:eastAsia="黑体" w:cs="黑体"/>
              <w:i w:val="0"/>
              <w:iCs w:val="0"/>
              <w:color w:val="auto"/>
              <w:sz w:val="22"/>
              <w:szCs w:val="22"/>
              <w:highlight w:val="none"/>
            </w:rPr>
            <w:t>第六章</w:t>
          </w:r>
          <w:r>
            <w:rPr>
              <w:rFonts w:hint="eastAsia" w:ascii="黑体" w:hAnsi="黑体" w:eastAsia="黑体" w:cs="黑体"/>
              <w:i w:val="0"/>
              <w:iCs w:val="0"/>
              <w:color w:val="auto"/>
              <w:sz w:val="22"/>
              <w:szCs w:val="22"/>
              <w:highlight w:val="none"/>
              <w:lang w:val="en-US" w:eastAsia="zh-CN"/>
            </w:rPr>
            <w:t xml:space="preserve"> </w:t>
          </w:r>
          <w:r>
            <w:rPr>
              <w:rFonts w:hint="eastAsia" w:ascii="黑体" w:hAnsi="黑体" w:eastAsia="黑体" w:cs="黑体"/>
              <w:i w:val="0"/>
              <w:iCs w:val="0"/>
              <w:color w:val="auto"/>
              <w:sz w:val="22"/>
              <w:szCs w:val="22"/>
              <w:highlight w:val="none"/>
            </w:rPr>
            <w:t>图纸（另册）</w:t>
          </w:r>
          <w:r>
            <w:rPr>
              <w:rFonts w:hint="eastAsia" w:ascii="黑体" w:hAnsi="黑体" w:eastAsia="黑体" w:cs="黑体"/>
              <w:color w:val="auto"/>
              <w:sz w:val="22"/>
              <w:szCs w:val="22"/>
              <w:highlight w:val="none"/>
            </w:rPr>
            <w:tab/>
          </w:r>
          <w:r>
            <w:rPr>
              <w:rFonts w:hint="eastAsia" w:ascii="黑体" w:hAnsi="黑体" w:eastAsia="黑体" w:cs="黑体"/>
              <w:color w:val="auto"/>
              <w:sz w:val="22"/>
              <w:szCs w:val="22"/>
              <w:highlight w:val="none"/>
            </w:rPr>
            <w:fldChar w:fldCharType="begin"/>
          </w:r>
          <w:r>
            <w:rPr>
              <w:rFonts w:hint="eastAsia" w:ascii="黑体" w:hAnsi="黑体" w:eastAsia="黑体" w:cs="黑体"/>
              <w:color w:val="auto"/>
              <w:sz w:val="22"/>
              <w:szCs w:val="22"/>
              <w:highlight w:val="none"/>
            </w:rPr>
            <w:instrText xml:space="preserve"> PAGEREF _Toc16205 \h </w:instrText>
          </w:r>
          <w:r>
            <w:rPr>
              <w:rFonts w:hint="eastAsia" w:ascii="黑体" w:hAnsi="黑体" w:eastAsia="黑体" w:cs="黑体"/>
              <w:color w:val="auto"/>
              <w:sz w:val="22"/>
              <w:szCs w:val="22"/>
              <w:highlight w:val="none"/>
            </w:rPr>
            <w:fldChar w:fldCharType="separate"/>
          </w:r>
          <w:r>
            <w:rPr>
              <w:rFonts w:hint="eastAsia" w:ascii="黑体" w:hAnsi="黑体" w:eastAsia="黑体" w:cs="黑体"/>
              <w:color w:val="auto"/>
              <w:sz w:val="22"/>
              <w:szCs w:val="22"/>
              <w:highlight w:val="none"/>
            </w:rPr>
            <w:t>176</w:t>
          </w:r>
          <w:r>
            <w:rPr>
              <w:rFonts w:hint="eastAsia" w:ascii="黑体" w:hAnsi="黑体" w:eastAsia="黑体" w:cs="黑体"/>
              <w:color w:val="auto"/>
              <w:sz w:val="22"/>
              <w:szCs w:val="22"/>
              <w:highlight w:val="none"/>
            </w:rPr>
            <w:fldChar w:fldCharType="end"/>
          </w:r>
          <w:r>
            <w:rPr>
              <w:rFonts w:hint="eastAsia" w:ascii="黑体" w:hAnsi="黑体" w:eastAsia="黑体" w:cs="黑体"/>
              <w:color w:val="auto"/>
              <w:kern w:val="2"/>
              <w:sz w:val="22"/>
              <w:szCs w:val="22"/>
              <w:highlight w:val="none"/>
              <w:lang w:val="en-US" w:eastAsia="zh-CN" w:bidi="ar-SA"/>
            </w:rPr>
            <w:fldChar w:fldCharType="end"/>
          </w:r>
        </w:p>
        <w:p w14:paraId="096E8EF1">
          <w:pPr>
            <w:pStyle w:val="29"/>
            <w:keepNext w:val="0"/>
            <w:keepLines w:val="0"/>
            <w:pageBreakBefore w:val="0"/>
            <w:tabs>
              <w:tab w:val="right" w:leader="dot" w:pos="8675"/>
              <w:tab w:val="clear" w:pos="425"/>
              <w:tab w:val="clear" w:pos="8805"/>
            </w:tabs>
            <w:kinsoku/>
            <w:wordWrap/>
            <w:overflowPunct/>
            <w:topLinePunct w:val="0"/>
            <w:autoSpaceDE/>
            <w:autoSpaceDN/>
            <w:bidi w:val="0"/>
            <w:adjustRightInd/>
            <w:snapToGrid/>
            <w:spacing w:line="360" w:lineRule="auto"/>
            <w:textAlignment w:val="auto"/>
            <w:rPr>
              <w:rFonts w:hint="eastAsia" w:ascii="黑体" w:hAnsi="黑体" w:eastAsia="黑体" w:cs="黑体"/>
              <w:color w:val="auto"/>
              <w:sz w:val="22"/>
              <w:szCs w:val="22"/>
              <w:highlight w:val="none"/>
            </w:rPr>
          </w:pPr>
          <w:r>
            <w:rPr>
              <w:rFonts w:hint="eastAsia" w:ascii="黑体" w:hAnsi="黑体" w:eastAsia="黑体" w:cs="黑体"/>
              <w:color w:val="auto"/>
              <w:kern w:val="2"/>
              <w:sz w:val="22"/>
              <w:szCs w:val="22"/>
              <w:highlight w:val="none"/>
              <w:lang w:val="en-US" w:eastAsia="zh-CN" w:bidi="ar-SA"/>
            </w:rPr>
            <w:fldChar w:fldCharType="begin"/>
          </w:r>
          <w:r>
            <w:rPr>
              <w:rFonts w:hint="eastAsia" w:ascii="黑体" w:hAnsi="黑体" w:eastAsia="黑体" w:cs="黑体"/>
              <w:color w:val="auto"/>
              <w:kern w:val="2"/>
              <w:sz w:val="22"/>
              <w:szCs w:val="22"/>
              <w:highlight w:val="none"/>
              <w:lang w:val="en-US" w:eastAsia="zh-CN" w:bidi="ar-SA"/>
            </w:rPr>
            <w:instrText xml:space="preserve"> HYPERLINK \l _Toc1328 </w:instrText>
          </w:r>
          <w:r>
            <w:rPr>
              <w:rFonts w:hint="eastAsia" w:ascii="黑体" w:hAnsi="黑体" w:eastAsia="黑体" w:cs="黑体"/>
              <w:color w:val="auto"/>
              <w:kern w:val="2"/>
              <w:sz w:val="22"/>
              <w:szCs w:val="22"/>
              <w:highlight w:val="none"/>
              <w:lang w:val="en-US" w:eastAsia="zh-CN" w:bidi="ar-SA"/>
            </w:rPr>
            <w:fldChar w:fldCharType="separate"/>
          </w:r>
          <w:r>
            <w:rPr>
              <w:rFonts w:hint="eastAsia" w:ascii="黑体" w:hAnsi="黑体" w:eastAsia="黑体" w:cs="黑体"/>
              <w:color w:val="auto"/>
              <w:sz w:val="22"/>
              <w:szCs w:val="22"/>
              <w:highlight w:val="none"/>
            </w:rPr>
            <w:t>第</w:t>
          </w:r>
          <w:r>
            <w:rPr>
              <w:rFonts w:hint="eastAsia" w:ascii="黑体" w:hAnsi="黑体" w:eastAsia="黑体" w:cs="黑体"/>
              <w:color w:val="auto"/>
              <w:sz w:val="22"/>
              <w:szCs w:val="22"/>
              <w:highlight w:val="none"/>
              <w:lang w:val="en-US" w:eastAsia="zh-CN"/>
            </w:rPr>
            <w:t xml:space="preserve"> </w:t>
          </w:r>
          <w:r>
            <w:rPr>
              <w:rFonts w:hint="eastAsia" w:ascii="黑体" w:hAnsi="黑体" w:eastAsia="黑体" w:cs="黑体"/>
              <w:color w:val="auto"/>
              <w:sz w:val="22"/>
              <w:szCs w:val="22"/>
              <w:highlight w:val="none"/>
            </w:rPr>
            <w:t>三</w:t>
          </w:r>
          <w:r>
            <w:rPr>
              <w:rFonts w:hint="eastAsia" w:ascii="黑体" w:hAnsi="黑体" w:eastAsia="黑体" w:cs="黑体"/>
              <w:color w:val="auto"/>
              <w:sz w:val="22"/>
              <w:szCs w:val="22"/>
              <w:highlight w:val="none"/>
              <w:lang w:val="en-US" w:eastAsia="zh-CN"/>
            </w:rPr>
            <w:t xml:space="preserve"> </w:t>
          </w:r>
          <w:r>
            <w:rPr>
              <w:rFonts w:hint="eastAsia" w:ascii="黑体" w:hAnsi="黑体" w:eastAsia="黑体" w:cs="黑体"/>
              <w:color w:val="auto"/>
              <w:sz w:val="22"/>
              <w:szCs w:val="22"/>
              <w:highlight w:val="none"/>
            </w:rPr>
            <w:t>卷</w:t>
          </w:r>
          <w:r>
            <w:rPr>
              <w:rFonts w:hint="eastAsia" w:ascii="黑体" w:hAnsi="黑体" w:eastAsia="黑体" w:cs="黑体"/>
              <w:color w:val="auto"/>
              <w:sz w:val="22"/>
              <w:szCs w:val="22"/>
              <w:highlight w:val="none"/>
            </w:rPr>
            <w:tab/>
          </w:r>
          <w:r>
            <w:rPr>
              <w:rFonts w:hint="eastAsia" w:ascii="黑体" w:hAnsi="黑体" w:eastAsia="黑体" w:cs="黑体"/>
              <w:color w:val="auto"/>
              <w:sz w:val="22"/>
              <w:szCs w:val="22"/>
              <w:highlight w:val="none"/>
            </w:rPr>
            <w:fldChar w:fldCharType="begin"/>
          </w:r>
          <w:r>
            <w:rPr>
              <w:rFonts w:hint="eastAsia" w:ascii="黑体" w:hAnsi="黑体" w:eastAsia="黑体" w:cs="黑体"/>
              <w:color w:val="auto"/>
              <w:sz w:val="22"/>
              <w:szCs w:val="22"/>
              <w:highlight w:val="none"/>
            </w:rPr>
            <w:instrText xml:space="preserve"> PAGEREF _Toc1328 \h </w:instrText>
          </w:r>
          <w:r>
            <w:rPr>
              <w:rFonts w:hint="eastAsia" w:ascii="黑体" w:hAnsi="黑体" w:eastAsia="黑体" w:cs="黑体"/>
              <w:color w:val="auto"/>
              <w:sz w:val="22"/>
              <w:szCs w:val="22"/>
              <w:highlight w:val="none"/>
            </w:rPr>
            <w:fldChar w:fldCharType="separate"/>
          </w:r>
          <w:r>
            <w:rPr>
              <w:rFonts w:hint="eastAsia" w:ascii="黑体" w:hAnsi="黑体" w:eastAsia="黑体" w:cs="黑体"/>
              <w:color w:val="auto"/>
              <w:sz w:val="22"/>
              <w:szCs w:val="22"/>
              <w:highlight w:val="none"/>
            </w:rPr>
            <w:t>177</w:t>
          </w:r>
          <w:r>
            <w:rPr>
              <w:rFonts w:hint="eastAsia" w:ascii="黑体" w:hAnsi="黑体" w:eastAsia="黑体" w:cs="黑体"/>
              <w:color w:val="auto"/>
              <w:sz w:val="22"/>
              <w:szCs w:val="22"/>
              <w:highlight w:val="none"/>
            </w:rPr>
            <w:fldChar w:fldCharType="end"/>
          </w:r>
          <w:r>
            <w:rPr>
              <w:rFonts w:hint="eastAsia" w:ascii="黑体" w:hAnsi="黑体" w:eastAsia="黑体" w:cs="黑体"/>
              <w:color w:val="auto"/>
              <w:kern w:val="2"/>
              <w:sz w:val="22"/>
              <w:szCs w:val="22"/>
              <w:highlight w:val="none"/>
              <w:lang w:val="en-US" w:eastAsia="zh-CN" w:bidi="ar-SA"/>
            </w:rPr>
            <w:fldChar w:fldCharType="end"/>
          </w:r>
        </w:p>
        <w:p w14:paraId="119F4526">
          <w:pPr>
            <w:pStyle w:val="34"/>
            <w:keepNext w:val="0"/>
            <w:keepLines w:val="0"/>
            <w:pageBreakBefore w:val="0"/>
            <w:tabs>
              <w:tab w:val="right" w:leader="dot" w:pos="8675"/>
            </w:tabs>
            <w:kinsoku/>
            <w:wordWrap/>
            <w:overflowPunct/>
            <w:topLinePunct w:val="0"/>
            <w:autoSpaceDE/>
            <w:autoSpaceDN/>
            <w:bidi w:val="0"/>
            <w:adjustRightInd/>
            <w:snapToGrid/>
            <w:spacing w:line="360" w:lineRule="auto"/>
            <w:textAlignment w:val="auto"/>
            <w:rPr>
              <w:rFonts w:hint="eastAsia" w:ascii="黑体" w:hAnsi="黑体" w:eastAsia="黑体" w:cs="黑体"/>
              <w:color w:val="auto"/>
              <w:sz w:val="22"/>
              <w:szCs w:val="22"/>
              <w:highlight w:val="none"/>
            </w:rPr>
          </w:pPr>
          <w:r>
            <w:rPr>
              <w:rFonts w:hint="eastAsia" w:ascii="黑体" w:hAnsi="黑体" w:eastAsia="黑体" w:cs="黑体"/>
              <w:color w:val="auto"/>
              <w:kern w:val="2"/>
              <w:sz w:val="22"/>
              <w:szCs w:val="22"/>
              <w:highlight w:val="none"/>
              <w:lang w:val="en-US" w:eastAsia="zh-CN" w:bidi="ar-SA"/>
            </w:rPr>
            <w:fldChar w:fldCharType="begin"/>
          </w:r>
          <w:r>
            <w:rPr>
              <w:rFonts w:hint="eastAsia" w:ascii="黑体" w:hAnsi="黑体" w:eastAsia="黑体" w:cs="黑体"/>
              <w:color w:val="auto"/>
              <w:kern w:val="2"/>
              <w:sz w:val="22"/>
              <w:szCs w:val="22"/>
              <w:highlight w:val="none"/>
              <w:lang w:val="en-US" w:eastAsia="zh-CN" w:bidi="ar-SA"/>
            </w:rPr>
            <w:instrText xml:space="preserve"> HYPERLINK \l _Toc29070 </w:instrText>
          </w:r>
          <w:r>
            <w:rPr>
              <w:rFonts w:hint="eastAsia" w:ascii="黑体" w:hAnsi="黑体" w:eastAsia="黑体" w:cs="黑体"/>
              <w:color w:val="auto"/>
              <w:kern w:val="2"/>
              <w:sz w:val="22"/>
              <w:szCs w:val="22"/>
              <w:highlight w:val="none"/>
              <w:lang w:val="en-US" w:eastAsia="zh-CN" w:bidi="ar-SA"/>
            </w:rPr>
            <w:fldChar w:fldCharType="separate"/>
          </w:r>
          <w:r>
            <w:rPr>
              <w:rFonts w:hint="eastAsia" w:ascii="黑体" w:hAnsi="黑体" w:eastAsia="黑体" w:cs="黑体"/>
              <w:i w:val="0"/>
              <w:iCs w:val="0"/>
              <w:color w:val="auto"/>
              <w:sz w:val="22"/>
              <w:szCs w:val="22"/>
              <w:highlight w:val="none"/>
            </w:rPr>
            <w:t>第七章</w:t>
          </w:r>
          <w:r>
            <w:rPr>
              <w:rFonts w:hint="eastAsia" w:ascii="黑体" w:hAnsi="黑体" w:eastAsia="黑体" w:cs="黑体"/>
              <w:i w:val="0"/>
              <w:iCs w:val="0"/>
              <w:color w:val="auto"/>
              <w:sz w:val="22"/>
              <w:szCs w:val="22"/>
              <w:highlight w:val="none"/>
              <w:lang w:val="en-US" w:eastAsia="zh-CN"/>
            </w:rPr>
            <w:t xml:space="preserve"> </w:t>
          </w:r>
          <w:r>
            <w:rPr>
              <w:rFonts w:hint="eastAsia" w:ascii="黑体" w:hAnsi="黑体" w:eastAsia="黑体" w:cs="黑体"/>
              <w:i w:val="0"/>
              <w:iCs w:val="0"/>
              <w:color w:val="auto"/>
              <w:sz w:val="22"/>
              <w:szCs w:val="22"/>
              <w:highlight w:val="none"/>
            </w:rPr>
            <w:t>技术规范（另册）</w:t>
          </w:r>
          <w:r>
            <w:rPr>
              <w:rFonts w:hint="eastAsia" w:ascii="黑体" w:hAnsi="黑体" w:eastAsia="黑体" w:cs="黑体"/>
              <w:color w:val="auto"/>
              <w:sz w:val="22"/>
              <w:szCs w:val="22"/>
              <w:highlight w:val="none"/>
            </w:rPr>
            <w:tab/>
          </w:r>
          <w:r>
            <w:rPr>
              <w:rFonts w:hint="eastAsia" w:ascii="黑体" w:hAnsi="黑体" w:eastAsia="黑体" w:cs="黑体"/>
              <w:color w:val="auto"/>
              <w:sz w:val="22"/>
              <w:szCs w:val="22"/>
              <w:highlight w:val="none"/>
            </w:rPr>
            <w:fldChar w:fldCharType="begin"/>
          </w:r>
          <w:r>
            <w:rPr>
              <w:rFonts w:hint="eastAsia" w:ascii="黑体" w:hAnsi="黑体" w:eastAsia="黑体" w:cs="黑体"/>
              <w:color w:val="auto"/>
              <w:sz w:val="22"/>
              <w:szCs w:val="22"/>
              <w:highlight w:val="none"/>
            </w:rPr>
            <w:instrText xml:space="preserve"> PAGEREF _Toc29070 \h </w:instrText>
          </w:r>
          <w:r>
            <w:rPr>
              <w:rFonts w:hint="eastAsia" w:ascii="黑体" w:hAnsi="黑体" w:eastAsia="黑体" w:cs="黑体"/>
              <w:color w:val="auto"/>
              <w:sz w:val="22"/>
              <w:szCs w:val="22"/>
              <w:highlight w:val="none"/>
            </w:rPr>
            <w:fldChar w:fldCharType="separate"/>
          </w:r>
          <w:r>
            <w:rPr>
              <w:rFonts w:hint="eastAsia" w:ascii="黑体" w:hAnsi="黑体" w:eastAsia="黑体" w:cs="黑体"/>
              <w:color w:val="auto"/>
              <w:sz w:val="22"/>
              <w:szCs w:val="22"/>
              <w:highlight w:val="none"/>
            </w:rPr>
            <w:t>178</w:t>
          </w:r>
          <w:r>
            <w:rPr>
              <w:rFonts w:hint="eastAsia" w:ascii="黑体" w:hAnsi="黑体" w:eastAsia="黑体" w:cs="黑体"/>
              <w:color w:val="auto"/>
              <w:sz w:val="22"/>
              <w:szCs w:val="22"/>
              <w:highlight w:val="none"/>
            </w:rPr>
            <w:fldChar w:fldCharType="end"/>
          </w:r>
          <w:r>
            <w:rPr>
              <w:rFonts w:hint="eastAsia" w:ascii="黑体" w:hAnsi="黑体" w:eastAsia="黑体" w:cs="黑体"/>
              <w:color w:val="auto"/>
              <w:kern w:val="2"/>
              <w:sz w:val="22"/>
              <w:szCs w:val="22"/>
              <w:highlight w:val="none"/>
              <w:lang w:val="en-US" w:eastAsia="zh-CN" w:bidi="ar-SA"/>
            </w:rPr>
            <w:fldChar w:fldCharType="end"/>
          </w:r>
        </w:p>
        <w:p w14:paraId="6DFBC4B0">
          <w:pPr>
            <w:pStyle w:val="34"/>
            <w:keepNext w:val="0"/>
            <w:keepLines w:val="0"/>
            <w:pageBreakBefore w:val="0"/>
            <w:tabs>
              <w:tab w:val="right" w:leader="dot" w:pos="8675"/>
            </w:tabs>
            <w:kinsoku/>
            <w:wordWrap/>
            <w:overflowPunct/>
            <w:topLinePunct w:val="0"/>
            <w:autoSpaceDE/>
            <w:autoSpaceDN/>
            <w:bidi w:val="0"/>
            <w:adjustRightInd/>
            <w:snapToGrid/>
            <w:spacing w:line="360" w:lineRule="auto"/>
            <w:textAlignment w:val="auto"/>
            <w:rPr>
              <w:rFonts w:hint="eastAsia" w:ascii="黑体" w:hAnsi="黑体" w:eastAsia="黑体" w:cs="黑体"/>
              <w:color w:val="auto"/>
              <w:sz w:val="22"/>
              <w:szCs w:val="22"/>
              <w:highlight w:val="none"/>
            </w:rPr>
          </w:pPr>
          <w:r>
            <w:rPr>
              <w:rFonts w:hint="eastAsia" w:ascii="黑体" w:hAnsi="黑体" w:eastAsia="黑体" w:cs="黑体"/>
              <w:color w:val="auto"/>
              <w:kern w:val="2"/>
              <w:sz w:val="22"/>
              <w:szCs w:val="22"/>
              <w:highlight w:val="none"/>
              <w:lang w:val="en-US" w:eastAsia="zh-CN" w:bidi="ar-SA"/>
            </w:rPr>
            <w:fldChar w:fldCharType="begin"/>
          </w:r>
          <w:r>
            <w:rPr>
              <w:rFonts w:hint="eastAsia" w:ascii="黑体" w:hAnsi="黑体" w:eastAsia="黑体" w:cs="黑体"/>
              <w:color w:val="auto"/>
              <w:kern w:val="2"/>
              <w:sz w:val="22"/>
              <w:szCs w:val="22"/>
              <w:highlight w:val="none"/>
              <w:lang w:val="en-US" w:eastAsia="zh-CN" w:bidi="ar-SA"/>
            </w:rPr>
            <w:instrText xml:space="preserve"> HYPERLINK \l _Toc12046 </w:instrText>
          </w:r>
          <w:r>
            <w:rPr>
              <w:rFonts w:hint="eastAsia" w:ascii="黑体" w:hAnsi="黑体" w:eastAsia="黑体" w:cs="黑体"/>
              <w:color w:val="auto"/>
              <w:kern w:val="2"/>
              <w:sz w:val="22"/>
              <w:szCs w:val="22"/>
              <w:highlight w:val="none"/>
              <w:lang w:val="en-US" w:eastAsia="zh-CN" w:bidi="ar-SA"/>
            </w:rPr>
            <w:fldChar w:fldCharType="separate"/>
          </w:r>
          <w:r>
            <w:rPr>
              <w:rFonts w:hint="eastAsia" w:ascii="黑体" w:hAnsi="黑体" w:eastAsia="黑体" w:cs="黑体"/>
              <w:i w:val="0"/>
              <w:iCs w:val="0"/>
              <w:color w:val="auto"/>
              <w:sz w:val="22"/>
              <w:szCs w:val="22"/>
              <w:highlight w:val="none"/>
            </w:rPr>
            <w:t>第八章</w:t>
          </w:r>
          <w:r>
            <w:rPr>
              <w:rFonts w:hint="eastAsia" w:ascii="黑体" w:hAnsi="黑体" w:eastAsia="黑体" w:cs="黑体"/>
              <w:i w:val="0"/>
              <w:iCs w:val="0"/>
              <w:color w:val="auto"/>
              <w:sz w:val="22"/>
              <w:szCs w:val="22"/>
              <w:highlight w:val="none"/>
              <w:lang w:val="en-US" w:eastAsia="zh-CN"/>
            </w:rPr>
            <w:t xml:space="preserve"> </w:t>
          </w:r>
          <w:r>
            <w:rPr>
              <w:rFonts w:hint="eastAsia" w:ascii="黑体" w:hAnsi="黑体" w:eastAsia="黑体" w:cs="黑体"/>
              <w:i w:val="0"/>
              <w:iCs w:val="0"/>
              <w:color w:val="auto"/>
              <w:sz w:val="22"/>
              <w:szCs w:val="22"/>
              <w:highlight w:val="none"/>
            </w:rPr>
            <w:t>工程量清单计量规则</w:t>
          </w:r>
          <w:r>
            <w:rPr>
              <w:rFonts w:hint="eastAsia" w:ascii="黑体" w:hAnsi="黑体" w:eastAsia="黑体" w:cs="黑体"/>
              <w:color w:val="auto"/>
              <w:sz w:val="22"/>
              <w:szCs w:val="22"/>
              <w:highlight w:val="none"/>
            </w:rPr>
            <w:tab/>
          </w:r>
          <w:r>
            <w:rPr>
              <w:rFonts w:hint="eastAsia" w:ascii="黑体" w:hAnsi="黑体" w:eastAsia="黑体" w:cs="黑体"/>
              <w:color w:val="auto"/>
              <w:sz w:val="22"/>
              <w:szCs w:val="22"/>
              <w:highlight w:val="none"/>
            </w:rPr>
            <w:fldChar w:fldCharType="begin"/>
          </w:r>
          <w:r>
            <w:rPr>
              <w:rFonts w:hint="eastAsia" w:ascii="黑体" w:hAnsi="黑体" w:eastAsia="黑体" w:cs="黑体"/>
              <w:color w:val="auto"/>
              <w:sz w:val="22"/>
              <w:szCs w:val="22"/>
              <w:highlight w:val="none"/>
            </w:rPr>
            <w:instrText xml:space="preserve"> PAGEREF _Toc12046 \h </w:instrText>
          </w:r>
          <w:r>
            <w:rPr>
              <w:rFonts w:hint="eastAsia" w:ascii="黑体" w:hAnsi="黑体" w:eastAsia="黑体" w:cs="黑体"/>
              <w:color w:val="auto"/>
              <w:sz w:val="22"/>
              <w:szCs w:val="22"/>
              <w:highlight w:val="none"/>
            </w:rPr>
            <w:fldChar w:fldCharType="separate"/>
          </w:r>
          <w:r>
            <w:rPr>
              <w:rFonts w:hint="eastAsia" w:ascii="黑体" w:hAnsi="黑体" w:eastAsia="黑体" w:cs="黑体"/>
              <w:color w:val="auto"/>
              <w:sz w:val="22"/>
              <w:szCs w:val="22"/>
              <w:highlight w:val="none"/>
            </w:rPr>
            <w:t>179</w:t>
          </w:r>
          <w:r>
            <w:rPr>
              <w:rFonts w:hint="eastAsia" w:ascii="黑体" w:hAnsi="黑体" w:eastAsia="黑体" w:cs="黑体"/>
              <w:color w:val="auto"/>
              <w:sz w:val="22"/>
              <w:szCs w:val="22"/>
              <w:highlight w:val="none"/>
            </w:rPr>
            <w:fldChar w:fldCharType="end"/>
          </w:r>
          <w:r>
            <w:rPr>
              <w:rFonts w:hint="eastAsia" w:ascii="黑体" w:hAnsi="黑体" w:eastAsia="黑体" w:cs="黑体"/>
              <w:color w:val="auto"/>
              <w:kern w:val="2"/>
              <w:sz w:val="22"/>
              <w:szCs w:val="22"/>
              <w:highlight w:val="none"/>
              <w:lang w:val="en-US" w:eastAsia="zh-CN" w:bidi="ar-SA"/>
            </w:rPr>
            <w:fldChar w:fldCharType="end"/>
          </w:r>
        </w:p>
        <w:p w14:paraId="648216F5">
          <w:pPr>
            <w:pStyle w:val="29"/>
            <w:keepNext w:val="0"/>
            <w:keepLines w:val="0"/>
            <w:pageBreakBefore w:val="0"/>
            <w:tabs>
              <w:tab w:val="right" w:leader="dot" w:pos="8675"/>
              <w:tab w:val="clear" w:pos="425"/>
              <w:tab w:val="clear" w:pos="8805"/>
            </w:tabs>
            <w:kinsoku/>
            <w:wordWrap/>
            <w:overflowPunct/>
            <w:topLinePunct w:val="0"/>
            <w:autoSpaceDE/>
            <w:autoSpaceDN/>
            <w:bidi w:val="0"/>
            <w:adjustRightInd/>
            <w:snapToGrid/>
            <w:spacing w:line="360" w:lineRule="auto"/>
            <w:textAlignment w:val="auto"/>
            <w:rPr>
              <w:rFonts w:hint="eastAsia" w:ascii="黑体" w:hAnsi="黑体" w:eastAsia="黑体" w:cs="黑体"/>
              <w:color w:val="auto"/>
              <w:sz w:val="22"/>
              <w:szCs w:val="22"/>
              <w:highlight w:val="none"/>
            </w:rPr>
          </w:pPr>
          <w:r>
            <w:rPr>
              <w:rFonts w:hint="eastAsia" w:ascii="黑体" w:hAnsi="黑体" w:eastAsia="黑体" w:cs="黑体"/>
              <w:color w:val="auto"/>
              <w:kern w:val="2"/>
              <w:sz w:val="22"/>
              <w:szCs w:val="22"/>
              <w:highlight w:val="none"/>
              <w:lang w:val="en-US" w:eastAsia="zh-CN" w:bidi="ar-SA"/>
            </w:rPr>
            <w:fldChar w:fldCharType="begin"/>
          </w:r>
          <w:r>
            <w:rPr>
              <w:rFonts w:hint="eastAsia" w:ascii="黑体" w:hAnsi="黑体" w:eastAsia="黑体" w:cs="黑体"/>
              <w:color w:val="auto"/>
              <w:kern w:val="2"/>
              <w:sz w:val="22"/>
              <w:szCs w:val="22"/>
              <w:highlight w:val="none"/>
              <w:lang w:val="en-US" w:eastAsia="zh-CN" w:bidi="ar-SA"/>
            </w:rPr>
            <w:instrText xml:space="preserve"> HYPERLINK \l _Toc30898 </w:instrText>
          </w:r>
          <w:r>
            <w:rPr>
              <w:rFonts w:hint="eastAsia" w:ascii="黑体" w:hAnsi="黑体" w:eastAsia="黑体" w:cs="黑体"/>
              <w:color w:val="auto"/>
              <w:kern w:val="2"/>
              <w:sz w:val="22"/>
              <w:szCs w:val="22"/>
              <w:highlight w:val="none"/>
              <w:lang w:val="en-US" w:eastAsia="zh-CN" w:bidi="ar-SA"/>
            </w:rPr>
            <w:fldChar w:fldCharType="separate"/>
          </w:r>
          <w:r>
            <w:rPr>
              <w:rFonts w:hint="eastAsia" w:ascii="黑体" w:hAnsi="黑体" w:eastAsia="黑体" w:cs="黑体"/>
              <w:color w:val="auto"/>
              <w:sz w:val="22"/>
              <w:szCs w:val="22"/>
              <w:highlight w:val="none"/>
            </w:rPr>
            <w:t>第</w:t>
          </w:r>
          <w:r>
            <w:rPr>
              <w:rFonts w:hint="eastAsia" w:ascii="黑体" w:hAnsi="黑体" w:eastAsia="黑体" w:cs="黑体"/>
              <w:color w:val="auto"/>
              <w:sz w:val="22"/>
              <w:szCs w:val="22"/>
              <w:highlight w:val="none"/>
              <w:lang w:val="en-US" w:eastAsia="zh-CN"/>
            </w:rPr>
            <w:t xml:space="preserve"> </w:t>
          </w:r>
          <w:r>
            <w:rPr>
              <w:rFonts w:hint="eastAsia" w:ascii="黑体" w:hAnsi="黑体" w:eastAsia="黑体" w:cs="黑体"/>
              <w:color w:val="auto"/>
              <w:sz w:val="22"/>
              <w:szCs w:val="22"/>
              <w:highlight w:val="none"/>
            </w:rPr>
            <w:t>四</w:t>
          </w:r>
          <w:r>
            <w:rPr>
              <w:rFonts w:hint="eastAsia" w:ascii="黑体" w:hAnsi="黑体" w:eastAsia="黑体" w:cs="黑体"/>
              <w:color w:val="auto"/>
              <w:sz w:val="22"/>
              <w:szCs w:val="22"/>
              <w:highlight w:val="none"/>
              <w:lang w:val="en-US" w:eastAsia="zh-CN"/>
            </w:rPr>
            <w:t xml:space="preserve"> </w:t>
          </w:r>
          <w:r>
            <w:rPr>
              <w:rFonts w:hint="eastAsia" w:ascii="黑体" w:hAnsi="黑体" w:eastAsia="黑体" w:cs="黑体"/>
              <w:color w:val="auto"/>
              <w:sz w:val="22"/>
              <w:szCs w:val="22"/>
              <w:highlight w:val="none"/>
            </w:rPr>
            <w:t>卷</w:t>
          </w:r>
          <w:r>
            <w:rPr>
              <w:rFonts w:hint="eastAsia" w:ascii="黑体" w:hAnsi="黑体" w:eastAsia="黑体" w:cs="黑体"/>
              <w:color w:val="auto"/>
              <w:sz w:val="22"/>
              <w:szCs w:val="22"/>
              <w:highlight w:val="none"/>
            </w:rPr>
            <w:tab/>
          </w:r>
          <w:r>
            <w:rPr>
              <w:rFonts w:hint="eastAsia" w:ascii="黑体" w:hAnsi="黑体" w:eastAsia="黑体" w:cs="黑体"/>
              <w:color w:val="auto"/>
              <w:sz w:val="22"/>
              <w:szCs w:val="22"/>
              <w:highlight w:val="none"/>
            </w:rPr>
            <w:fldChar w:fldCharType="begin"/>
          </w:r>
          <w:r>
            <w:rPr>
              <w:rFonts w:hint="eastAsia" w:ascii="黑体" w:hAnsi="黑体" w:eastAsia="黑体" w:cs="黑体"/>
              <w:color w:val="auto"/>
              <w:sz w:val="22"/>
              <w:szCs w:val="22"/>
              <w:highlight w:val="none"/>
            </w:rPr>
            <w:instrText xml:space="preserve"> PAGEREF _Toc30898 \h </w:instrText>
          </w:r>
          <w:r>
            <w:rPr>
              <w:rFonts w:hint="eastAsia" w:ascii="黑体" w:hAnsi="黑体" w:eastAsia="黑体" w:cs="黑体"/>
              <w:color w:val="auto"/>
              <w:sz w:val="22"/>
              <w:szCs w:val="22"/>
              <w:highlight w:val="none"/>
            </w:rPr>
            <w:fldChar w:fldCharType="separate"/>
          </w:r>
          <w:r>
            <w:rPr>
              <w:rFonts w:hint="eastAsia" w:ascii="黑体" w:hAnsi="黑体" w:eastAsia="黑体" w:cs="黑体"/>
              <w:color w:val="auto"/>
              <w:sz w:val="22"/>
              <w:szCs w:val="22"/>
              <w:highlight w:val="none"/>
            </w:rPr>
            <w:t>180</w:t>
          </w:r>
          <w:r>
            <w:rPr>
              <w:rFonts w:hint="eastAsia" w:ascii="黑体" w:hAnsi="黑体" w:eastAsia="黑体" w:cs="黑体"/>
              <w:color w:val="auto"/>
              <w:sz w:val="22"/>
              <w:szCs w:val="22"/>
              <w:highlight w:val="none"/>
            </w:rPr>
            <w:fldChar w:fldCharType="end"/>
          </w:r>
          <w:r>
            <w:rPr>
              <w:rFonts w:hint="eastAsia" w:ascii="黑体" w:hAnsi="黑体" w:eastAsia="黑体" w:cs="黑体"/>
              <w:color w:val="auto"/>
              <w:kern w:val="2"/>
              <w:sz w:val="22"/>
              <w:szCs w:val="22"/>
              <w:highlight w:val="none"/>
              <w:lang w:val="en-US" w:eastAsia="zh-CN" w:bidi="ar-SA"/>
            </w:rPr>
            <w:fldChar w:fldCharType="end"/>
          </w:r>
        </w:p>
        <w:p w14:paraId="2BEC7DA2">
          <w:pPr>
            <w:pStyle w:val="34"/>
            <w:keepNext w:val="0"/>
            <w:keepLines w:val="0"/>
            <w:pageBreakBefore w:val="0"/>
            <w:tabs>
              <w:tab w:val="right" w:leader="dot" w:pos="8675"/>
            </w:tabs>
            <w:kinsoku/>
            <w:wordWrap/>
            <w:overflowPunct/>
            <w:topLinePunct w:val="0"/>
            <w:autoSpaceDE/>
            <w:autoSpaceDN/>
            <w:bidi w:val="0"/>
            <w:adjustRightInd/>
            <w:snapToGrid/>
            <w:spacing w:line="360" w:lineRule="auto"/>
            <w:textAlignment w:val="auto"/>
            <w:rPr>
              <w:rFonts w:hint="eastAsia" w:ascii="黑体" w:hAnsi="黑体" w:eastAsia="黑体" w:cs="黑体"/>
              <w:color w:val="auto"/>
              <w:sz w:val="22"/>
              <w:szCs w:val="22"/>
              <w:highlight w:val="none"/>
            </w:rPr>
          </w:pPr>
          <w:r>
            <w:rPr>
              <w:rFonts w:hint="eastAsia" w:ascii="黑体" w:hAnsi="黑体" w:eastAsia="黑体" w:cs="黑体"/>
              <w:color w:val="auto"/>
              <w:kern w:val="2"/>
              <w:sz w:val="22"/>
              <w:szCs w:val="22"/>
              <w:highlight w:val="none"/>
              <w:lang w:val="en-US" w:eastAsia="zh-CN" w:bidi="ar-SA"/>
            </w:rPr>
            <w:fldChar w:fldCharType="begin"/>
          </w:r>
          <w:r>
            <w:rPr>
              <w:rFonts w:hint="eastAsia" w:ascii="黑体" w:hAnsi="黑体" w:eastAsia="黑体" w:cs="黑体"/>
              <w:color w:val="auto"/>
              <w:kern w:val="2"/>
              <w:sz w:val="22"/>
              <w:szCs w:val="22"/>
              <w:highlight w:val="none"/>
              <w:lang w:val="en-US" w:eastAsia="zh-CN" w:bidi="ar-SA"/>
            </w:rPr>
            <w:instrText xml:space="preserve"> HYPERLINK \l _Toc14222 </w:instrText>
          </w:r>
          <w:r>
            <w:rPr>
              <w:rFonts w:hint="eastAsia" w:ascii="黑体" w:hAnsi="黑体" w:eastAsia="黑体" w:cs="黑体"/>
              <w:color w:val="auto"/>
              <w:kern w:val="2"/>
              <w:sz w:val="22"/>
              <w:szCs w:val="22"/>
              <w:highlight w:val="none"/>
              <w:lang w:val="en-US" w:eastAsia="zh-CN" w:bidi="ar-SA"/>
            </w:rPr>
            <w:fldChar w:fldCharType="separate"/>
          </w:r>
          <w:r>
            <w:rPr>
              <w:rFonts w:hint="eastAsia" w:ascii="黑体" w:hAnsi="黑体" w:eastAsia="黑体" w:cs="黑体"/>
              <w:i w:val="0"/>
              <w:iCs w:val="0"/>
              <w:color w:val="auto"/>
              <w:sz w:val="22"/>
              <w:szCs w:val="22"/>
              <w:highlight w:val="none"/>
            </w:rPr>
            <w:t>第九章</w:t>
          </w:r>
          <w:r>
            <w:rPr>
              <w:rFonts w:hint="eastAsia" w:ascii="黑体" w:hAnsi="黑体" w:eastAsia="黑体" w:cs="黑体"/>
              <w:i w:val="0"/>
              <w:iCs w:val="0"/>
              <w:color w:val="auto"/>
              <w:sz w:val="22"/>
              <w:szCs w:val="22"/>
              <w:highlight w:val="none"/>
              <w:lang w:val="en-US" w:eastAsia="zh-CN"/>
            </w:rPr>
            <w:t xml:space="preserve"> </w:t>
          </w:r>
          <w:r>
            <w:rPr>
              <w:rFonts w:hint="eastAsia" w:ascii="黑体" w:hAnsi="黑体" w:eastAsia="黑体" w:cs="黑体"/>
              <w:i w:val="0"/>
              <w:iCs w:val="0"/>
              <w:color w:val="auto"/>
              <w:sz w:val="22"/>
              <w:szCs w:val="22"/>
              <w:highlight w:val="none"/>
            </w:rPr>
            <w:t>投标文件格式</w:t>
          </w:r>
          <w:r>
            <w:rPr>
              <w:rFonts w:hint="eastAsia" w:ascii="黑体" w:hAnsi="黑体" w:eastAsia="黑体" w:cs="黑体"/>
              <w:color w:val="auto"/>
              <w:sz w:val="22"/>
              <w:szCs w:val="22"/>
              <w:highlight w:val="none"/>
            </w:rPr>
            <w:tab/>
          </w:r>
          <w:r>
            <w:rPr>
              <w:rFonts w:hint="eastAsia" w:ascii="黑体" w:hAnsi="黑体" w:eastAsia="黑体" w:cs="黑体"/>
              <w:color w:val="auto"/>
              <w:sz w:val="22"/>
              <w:szCs w:val="22"/>
              <w:highlight w:val="none"/>
            </w:rPr>
            <w:fldChar w:fldCharType="begin"/>
          </w:r>
          <w:r>
            <w:rPr>
              <w:rFonts w:hint="eastAsia" w:ascii="黑体" w:hAnsi="黑体" w:eastAsia="黑体" w:cs="黑体"/>
              <w:color w:val="auto"/>
              <w:sz w:val="22"/>
              <w:szCs w:val="22"/>
              <w:highlight w:val="none"/>
            </w:rPr>
            <w:instrText xml:space="preserve"> PAGEREF _Toc14222 \h </w:instrText>
          </w:r>
          <w:r>
            <w:rPr>
              <w:rFonts w:hint="eastAsia" w:ascii="黑体" w:hAnsi="黑体" w:eastAsia="黑体" w:cs="黑体"/>
              <w:color w:val="auto"/>
              <w:sz w:val="22"/>
              <w:szCs w:val="22"/>
              <w:highlight w:val="none"/>
            </w:rPr>
            <w:fldChar w:fldCharType="separate"/>
          </w:r>
          <w:r>
            <w:rPr>
              <w:rFonts w:hint="eastAsia" w:ascii="黑体" w:hAnsi="黑体" w:eastAsia="黑体" w:cs="黑体"/>
              <w:color w:val="auto"/>
              <w:sz w:val="22"/>
              <w:szCs w:val="22"/>
              <w:highlight w:val="none"/>
            </w:rPr>
            <w:t>181</w:t>
          </w:r>
          <w:r>
            <w:rPr>
              <w:rFonts w:hint="eastAsia" w:ascii="黑体" w:hAnsi="黑体" w:eastAsia="黑体" w:cs="黑体"/>
              <w:color w:val="auto"/>
              <w:sz w:val="22"/>
              <w:szCs w:val="22"/>
              <w:highlight w:val="none"/>
            </w:rPr>
            <w:fldChar w:fldCharType="end"/>
          </w:r>
          <w:r>
            <w:rPr>
              <w:rFonts w:hint="eastAsia" w:ascii="黑体" w:hAnsi="黑体" w:eastAsia="黑体" w:cs="黑体"/>
              <w:color w:val="auto"/>
              <w:kern w:val="2"/>
              <w:sz w:val="22"/>
              <w:szCs w:val="22"/>
              <w:highlight w:val="none"/>
              <w:lang w:val="en-US" w:eastAsia="zh-CN" w:bidi="ar-SA"/>
            </w:rPr>
            <w:fldChar w:fldCharType="end"/>
          </w:r>
        </w:p>
        <w:p w14:paraId="3DE3C066">
          <w:pPr>
            <w:pStyle w:val="20"/>
            <w:keepNext w:val="0"/>
            <w:keepLines w:val="0"/>
            <w:pageBreakBefore w:val="0"/>
            <w:tabs>
              <w:tab w:val="right" w:leader="dot" w:pos="8675"/>
            </w:tabs>
            <w:kinsoku/>
            <w:wordWrap/>
            <w:overflowPunct/>
            <w:topLinePunct w:val="0"/>
            <w:autoSpaceDE/>
            <w:autoSpaceDN/>
            <w:bidi w:val="0"/>
            <w:adjustRightInd/>
            <w:snapToGrid/>
            <w:spacing w:after="0" w:line="360" w:lineRule="auto"/>
            <w:textAlignment w:val="auto"/>
            <w:rPr>
              <w:rFonts w:hint="eastAsia" w:ascii="黑体" w:hAnsi="黑体" w:eastAsia="黑体" w:cs="黑体"/>
              <w:color w:val="auto"/>
              <w:sz w:val="22"/>
              <w:szCs w:val="22"/>
              <w:highlight w:val="none"/>
            </w:rPr>
          </w:pPr>
          <w:r>
            <w:rPr>
              <w:rFonts w:hint="eastAsia" w:ascii="黑体" w:hAnsi="黑体" w:eastAsia="黑体" w:cs="黑体"/>
              <w:color w:val="auto"/>
              <w:kern w:val="2"/>
              <w:sz w:val="22"/>
              <w:szCs w:val="22"/>
              <w:highlight w:val="none"/>
              <w:lang w:val="en-US" w:eastAsia="zh-CN" w:bidi="ar-SA"/>
            </w:rPr>
            <w:fldChar w:fldCharType="begin"/>
          </w:r>
          <w:r>
            <w:rPr>
              <w:rFonts w:hint="eastAsia" w:ascii="黑体" w:hAnsi="黑体" w:eastAsia="黑体" w:cs="黑体"/>
              <w:color w:val="auto"/>
              <w:kern w:val="2"/>
              <w:sz w:val="22"/>
              <w:szCs w:val="22"/>
              <w:highlight w:val="none"/>
              <w:lang w:val="en-US" w:eastAsia="zh-CN" w:bidi="ar-SA"/>
            </w:rPr>
            <w:instrText xml:space="preserve"> HYPERLINK \l _Toc274 </w:instrText>
          </w:r>
          <w:r>
            <w:rPr>
              <w:rFonts w:hint="eastAsia" w:ascii="黑体" w:hAnsi="黑体" w:eastAsia="黑体" w:cs="黑体"/>
              <w:color w:val="auto"/>
              <w:kern w:val="2"/>
              <w:sz w:val="22"/>
              <w:szCs w:val="22"/>
              <w:highlight w:val="none"/>
              <w:lang w:val="en-US" w:eastAsia="zh-CN" w:bidi="ar-SA"/>
            </w:rPr>
            <w:fldChar w:fldCharType="separate"/>
          </w:r>
          <w:r>
            <w:rPr>
              <w:rFonts w:hint="eastAsia" w:ascii="黑体" w:hAnsi="黑体" w:eastAsia="黑体" w:cs="黑体"/>
              <w:color w:val="auto"/>
              <w:sz w:val="22"/>
              <w:szCs w:val="22"/>
              <w:highlight w:val="none"/>
            </w:rPr>
            <w:t>（</w:t>
          </w:r>
          <w:r>
            <w:rPr>
              <w:rFonts w:hint="eastAsia" w:ascii="黑体" w:hAnsi="黑体" w:eastAsia="黑体" w:cs="黑体"/>
              <w:color w:val="auto"/>
              <w:sz w:val="22"/>
              <w:szCs w:val="22"/>
              <w:highlight w:val="none"/>
              <w:lang w:val="en-US" w:eastAsia="zh-CN"/>
            </w:rPr>
            <w:t xml:space="preserve">第一个信封 </w:t>
          </w:r>
          <w:r>
            <w:rPr>
              <w:rFonts w:hint="eastAsia" w:ascii="黑体" w:hAnsi="黑体" w:eastAsia="黑体" w:cs="黑体"/>
              <w:color w:val="auto"/>
              <w:sz w:val="22"/>
              <w:szCs w:val="22"/>
              <w:highlight w:val="none"/>
            </w:rPr>
            <w:t>商务及技术文件）</w:t>
          </w:r>
          <w:r>
            <w:rPr>
              <w:rFonts w:hint="eastAsia" w:ascii="黑体" w:hAnsi="黑体" w:eastAsia="黑体" w:cs="黑体"/>
              <w:color w:val="auto"/>
              <w:sz w:val="22"/>
              <w:szCs w:val="22"/>
              <w:highlight w:val="none"/>
            </w:rPr>
            <w:tab/>
          </w:r>
          <w:r>
            <w:rPr>
              <w:rFonts w:hint="eastAsia" w:ascii="黑体" w:hAnsi="黑体" w:eastAsia="黑体" w:cs="黑体"/>
              <w:color w:val="auto"/>
              <w:sz w:val="22"/>
              <w:szCs w:val="22"/>
              <w:highlight w:val="none"/>
            </w:rPr>
            <w:fldChar w:fldCharType="begin"/>
          </w:r>
          <w:r>
            <w:rPr>
              <w:rFonts w:hint="eastAsia" w:ascii="黑体" w:hAnsi="黑体" w:eastAsia="黑体" w:cs="黑体"/>
              <w:color w:val="auto"/>
              <w:sz w:val="22"/>
              <w:szCs w:val="22"/>
              <w:highlight w:val="none"/>
            </w:rPr>
            <w:instrText xml:space="preserve"> PAGEREF _Toc274 \h </w:instrText>
          </w:r>
          <w:r>
            <w:rPr>
              <w:rFonts w:hint="eastAsia" w:ascii="黑体" w:hAnsi="黑体" w:eastAsia="黑体" w:cs="黑体"/>
              <w:color w:val="auto"/>
              <w:sz w:val="22"/>
              <w:szCs w:val="22"/>
              <w:highlight w:val="none"/>
            </w:rPr>
            <w:fldChar w:fldCharType="separate"/>
          </w:r>
          <w:r>
            <w:rPr>
              <w:rFonts w:hint="eastAsia" w:ascii="黑体" w:hAnsi="黑体" w:eastAsia="黑体" w:cs="黑体"/>
              <w:color w:val="auto"/>
              <w:sz w:val="22"/>
              <w:szCs w:val="22"/>
              <w:highlight w:val="none"/>
            </w:rPr>
            <w:t>182</w:t>
          </w:r>
          <w:r>
            <w:rPr>
              <w:rFonts w:hint="eastAsia" w:ascii="黑体" w:hAnsi="黑体" w:eastAsia="黑体" w:cs="黑体"/>
              <w:color w:val="auto"/>
              <w:sz w:val="22"/>
              <w:szCs w:val="22"/>
              <w:highlight w:val="none"/>
            </w:rPr>
            <w:fldChar w:fldCharType="end"/>
          </w:r>
          <w:r>
            <w:rPr>
              <w:rFonts w:hint="eastAsia" w:ascii="黑体" w:hAnsi="黑体" w:eastAsia="黑体" w:cs="黑体"/>
              <w:color w:val="auto"/>
              <w:kern w:val="2"/>
              <w:sz w:val="22"/>
              <w:szCs w:val="22"/>
              <w:highlight w:val="none"/>
              <w:lang w:val="en-US" w:eastAsia="zh-CN" w:bidi="ar-SA"/>
            </w:rPr>
            <w:fldChar w:fldCharType="end"/>
          </w:r>
        </w:p>
        <w:p w14:paraId="49EFD899">
          <w:pPr>
            <w:pStyle w:val="20"/>
            <w:keepNext w:val="0"/>
            <w:keepLines w:val="0"/>
            <w:pageBreakBefore w:val="0"/>
            <w:tabs>
              <w:tab w:val="right" w:leader="dot" w:pos="8675"/>
            </w:tabs>
            <w:kinsoku/>
            <w:wordWrap/>
            <w:overflowPunct/>
            <w:topLinePunct w:val="0"/>
            <w:autoSpaceDE/>
            <w:autoSpaceDN/>
            <w:bidi w:val="0"/>
            <w:adjustRightInd/>
            <w:snapToGrid/>
            <w:spacing w:after="0" w:line="360" w:lineRule="auto"/>
            <w:textAlignment w:val="auto"/>
            <w:rPr>
              <w:rFonts w:hint="eastAsia" w:ascii="黑体" w:hAnsi="黑体" w:eastAsia="黑体" w:cs="黑体"/>
              <w:color w:val="auto"/>
              <w:sz w:val="22"/>
              <w:szCs w:val="22"/>
              <w:highlight w:val="none"/>
            </w:rPr>
          </w:pPr>
          <w:r>
            <w:rPr>
              <w:rFonts w:hint="eastAsia" w:ascii="黑体" w:hAnsi="黑体" w:eastAsia="黑体" w:cs="黑体"/>
              <w:color w:val="auto"/>
              <w:kern w:val="2"/>
              <w:sz w:val="22"/>
              <w:szCs w:val="22"/>
              <w:highlight w:val="none"/>
              <w:lang w:val="en-US" w:eastAsia="zh-CN" w:bidi="ar-SA"/>
            </w:rPr>
            <w:fldChar w:fldCharType="begin"/>
          </w:r>
          <w:r>
            <w:rPr>
              <w:rFonts w:hint="eastAsia" w:ascii="黑体" w:hAnsi="黑体" w:eastAsia="黑体" w:cs="黑体"/>
              <w:color w:val="auto"/>
              <w:kern w:val="2"/>
              <w:sz w:val="22"/>
              <w:szCs w:val="22"/>
              <w:highlight w:val="none"/>
              <w:lang w:val="en-US" w:eastAsia="zh-CN" w:bidi="ar-SA"/>
            </w:rPr>
            <w:instrText xml:space="preserve"> HYPERLINK \l _Toc17899 </w:instrText>
          </w:r>
          <w:r>
            <w:rPr>
              <w:rFonts w:hint="eastAsia" w:ascii="黑体" w:hAnsi="黑体" w:eastAsia="黑体" w:cs="黑体"/>
              <w:color w:val="auto"/>
              <w:kern w:val="2"/>
              <w:sz w:val="22"/>
              <w:szCs w:val="22"/>
              <w:highlight w:val="none"/>
              <w:lang w:val="en-US" w:eastAsia="zh-CN" w:bidi="ar-SA"/>
            </w:rPr>
            <w:fldChar w:fldCharType="separate"/>
          </w:r>
          <w:r>
            <w:rPr>
              <w:rFonts w:hint="eastAsia" w:ascii="黑体" w:hAnsi="黑体" w:eastAsia="黑体" w:cs="黑体"/>
              <w:color w:val="auto"/>
              <w:sz w:val="22"/>
              <w:szCs w:val="22"/>
              <w:highlight w:val="none"/>
            </w:rPr>
            <w:t>（</w:t>
          </w:r>
          <w:r>
            <w:rPr>
              <w:rFonts w:hint="eastAsia" w:ascii="黑体" w:hAnsi="黑体" w:eastAsia="黑体" w:cs="黑体"/>
              <w:color w:val="auto"/>
              <w:sz w:val="22"/>
              <w:szCs w:val="22"/>
              <w:highlight w:val="none"/>
              <w:lang w:val="en-US" w:eastAsia="zh-CN"/>
            </w:rPr>
            <w:t xml:space="preserve">第二个信封 </w:t>
          </w:r>
          <w:r>
            <w:rPr>
              <w:rFonts w:hint="eastAsia" w:ascii="黑体" w:hAnsi="黑体" w:eastAsia="黑体" w:cs="黑体"/>
              <w:color w:val="auto"/>
              <w:sz w:val="22"/>
              <w:szCs w:val="22"/>
              <w:highlight w:val="none"/>
            </w:rPr>
            <w:t>报价文件）</w:t>
          </w:r>
          <w:r>
            <w:rPr>
              <w:rFonts w:hint="eastAsia" w:ascii="黑体" w:hAnsi="黑体" w:eastAsia="黑体" w:cs="黑体"/>
              <w:color w:val="auto"/>
              <w:sz w:val="22"/>
              <w:szCs w:val="22"/>
              <w:highlight w:val="none"/>
            </w:rPr>
            <w:tab/>
          </w:r>
          <w:r>
            <w:rPr>
              <w:rFonts w:hint="eastAsia" w:ascii="黑体" w:hAnsi="黑体" w:eastAsia="黑体" w:cs="黑体"/>
              <w:color w:val="auto"/>
              <w:sz w:val="22"/>
              <w:szCs w:val="22"/>
              <w:highlight w:val="none"/>
            </w:rPr>
            <w:fldChar w:fldCharType="begin"/>
          </w:r>
          <w:r>
            <w:rPr>
              <w:rFonts w:hint="eastAsia" w:ascii="黑体" w:hAnsi="黑体" w:eastAsia="黑体" w:cs="黑体"/>
              <w:color w:val="auto"/>
              <w:sz w:val="22"/>
              <w:szCs w:val="22"/>
              <w:highlight w:val="none"/>
            </w:rPr>
            <w:instrText xml:space="preserve"> PAGEREF _Toc17899 \h </w:instrText>
          </w:r>
          <w:r>
            <w:rPr>
              <w:rFonts w:hint="eastAsia" w:ascii="黑体" w:hAnsi="黑体" w:eastAsia="黑体" w:cs="黑体"/>
              <w:color w:val="auto"/>
              <w:sz w:val="22"/>
              <w:szCs w:val="22"/>
              <w:highlight w:val="none"/>
            </w:rPr>
            <w:fldChar w:fldCharType="separate"/>
          </w:r>
          <w:r>
            <w:rPr>
              <w:rFonts w:hint="eastAsia" w:ascii="黑体" w:hAnsi="黑体" w:eastAsia="黑体" w:cs="黑体"/>
              <w:color w:val="auto"/>
              <w:sz w:val="22"/>
              <w:szCs w:val="22"/>
              <w:highlight w:val="none"/>
            </w:rPr>
            <w:t>211</w:t>
          </w:r>
          <w:r>
            <w:rPr>
              <w:rFonts w:hint="eastAsia" w:ascii="黑体" w:hAnsi="黑体" w:eastAsia="黑体" w:cs="黑体"/>
              <w:color w:val="auto"/>
              <w:sz w:val="22"/>
              <w:szCs w:val="22"/>
              <w:highlight w:val="none"/>
            </w:rPr>
            <w:fldChar w:fldCharType="end"/>
          </w:r>
          <w:r>
            <w:rPr>
              <w:rFonts w:hint="eastAsia" w:ascii="黑体" w:hAnsi="黑体" w:eastAsia="黑体" w:cs="黑体"/>
              <w:color w:val="auto"/>
              <w:kern w:val="2"/>
              <w:sz w:val="22"/>
              <w:szCs w:val="22"/>
              <w:highlight w:val="none"/>
              <w:lang w:val="en-US" w:eastAsia="zh-CN" w:bidi="ar-SA"/>
            </w:rPr>
            <w:fldChar w:fldCharType="end"/>
          </w:r>
        </w:p>
        <w:p w14:paraId="2F926D73">
          <w:pPr>
            <w:keepNext w:val="0"/>
            <w:keepLines w:val="0"/>
            <w:pageBreakBefore w:val="0"/>
            <w:kinsoku/>
            <w:wordWrap w:val="0"/>
            <w:overflowPunct/>
            <w:topLinePunct w:val="0"/>
            <w:autoSpaceDE/>
            <w:autoSpaceDN/>
            <w:bidi w:val="0"/>
            <w:adjustRightInd/>
            <w:snapToGrid/>
            <w:spacing w:line="300" w:lineRule="auto"/>
            <w:textAlignment w:val="auto"/>
            <w:rPr>
              <w:rFonts w:hint="eastAsia" w:ascii="黑体" w:hAnsi="黑体" w:eastAsia="黑体" w:cs="黑体"/>
              <w:color w:val="auto"/>
              <w:kern w:val="2"/>
              <w:sz w:val="22"/>
              <w:szCs w:val="22"/>
              <w:highlight w:val="none"/>
              <w:lang w:val="en-US" w:eastAsia="zh-CN" w:bidi="ar-SA"/>
            </w:rPr>
          </w:pPr>
          <w:r>
            <w:rPr>
              <w:rFonts w:hint="eastAsia" w:ascii="黑体" w:hAnsi="黑体" w:eastAsia="黑体" w:cs="黑体"/>
              <w:color w:val="auto"/>
              <w:kern w:val="2"/>
              <w:sz w:val="22"/>
              <w:szCs w:val="22"/>
              <w:highlight w:val="none"/>
              <w:lang w:val="en-US" w:eastAsia="zh-CN" w:bidi="ar-SA"/>
            </w:rPr>
            <w:fldChar w:fldCharType="end"/>
          </w:r>
        </w:p>
      </w:sdtContent>
    </w:sdt>
    <w:p w14:paraId="5D6F360C">
      <w:pPr>
        <w:keepNext w:val="0"/>
        <w:keepLines w:val="0"/>
        <w:pageBreakBefore w:val="0"/>
        <w:kinsoku/>
        <w:wordWrap w:val="0"/>
        <w:overflowPunct/>
        <w:topLinePunct w:val="0"/>
        <w:autoSpaceDE/>
        <w:autoSpaceDN/>
        <w:bidi w:val="0"/>
        <w:adjustRightInd/>
        <w:snapToGrid/>
        <w:spacing w:line="300" w:lineRule="auto"/>
        <w:textAlignment w:val="auto"/>
        <w:rPr>
          <w:rFonts w:hint="eastAsia" w:ascii="黑体" w:hAnsi="黑体" w:eastAsia="黑体" w:cs="黑体"/>
          <w:color w:val="auto"/>
          <w:kern w:val="2"/>
          <w:sz w:val="22"/>
          <w:szCs w:val="22"/>
          <w:highlight w:val="none"/>
          <w:lang w:val="en-US" w:eastAsia="zh-CN" w:bidi="ar-SA"/>
        </w:rPr>
        <w:sectPr>
          <w:headerReference r:id="rId8" w:type="default"/>
          <w:footerReference r:id="rId9" w:type="default"/>
          <w:footnotePr>
            <w:numFmt w:val="decimalEnclosedCircleChinese"/>
            <w:numRestart w:val="eachPage"/>
          </w:footnotePr>
          <w:pgSz w:w="11907" w:h="16840"/>
          <w:pgMar w:top="1588" w:right="1588" w:bottom="1474" w:left="1644" w:header="851" w:footer="851" w:gutter="0"/>
          <w:pgNumType w:fmt="upperRoman" w:start="1"/>
          <w:cols w:space="720" w:num="1"/>
          <w:docGrid w:linePitch="312" w:charSpace="0"/>
        </w:sectPr>
      </w:pPr>
    </w:p>
    <w:p w14:paraId="192C4E59">
      <w:pPr>
        <w:pageBreakBefore w:val="0"/>
        <w:kinsoku/>
        <w:wordWrap w:val="0"/>
        <w:bidi w:val="0"/>
        <w:spacing w:line="352" w:lineRule="atLeast"/>
        <w:rPr>
          <w:rFonts w:hint="default" w:ascii="Times New Roman" w:hAnsi="Times New Roman" w:eastAsia="楷体_GB2312" w:cs="Times New Roman"/>
          <w:color w:val="auto"/>
          <w:szCs w:val="21"/>
          <w:highlight w:val="none"/>
        </w:rPr>
      </w:pPr>
    </w:p>
    <w:p w14:paraId="58162421">
      <w:pPr>
        <w:pageBreakBefore w:val="0"/>
        <w:kinsoku/>
        <w:wordWrap w:val="0"/>
        <w:bidi w:val="0"/>
        <w:spacing w:line="352" w:lineRule="atLeast"/>
        <w:rPr>
          <w:rFonts w:hint="default" w:ascii="Times New Roman" w:hAnsi="Times New Roman" w:eastAsia="楷体_GB2312" w:cs="Times New Roman"/>
          <w:color w:val="auto"/>
          <w:szCs w:val="21"/>
          <w:highlight w:val="none"/>
        </w:rPr>
      </w:pPr>
    </w:p>
    <w:p w14:paraId="28D2D253">
      <w:pPr>
        <w:pageBreakBefore w:val="0"/>
        <w:kinsoku/>
        <w:wordWrap w:val="0"/>
        <w:bidi w:val="0"/>
        <w:spacing w:line="352" w:lineRule="atLeast"/>
        <w:rPr>
          <w:rFonts w:hint="default" w:ascii="Times New Roman" w:hAnsi="Times New Roman" w:eastAsia="黑体" w:cs="Times New Roman"/>
          <w:color w:val="auto"/>
          <w:sz w:val="29"/>
          <w:szCs w:val="29"/>
          <w:highlight w:val="none"/>
        </w:rPr>
      </w:pPr>
    </w:p>
    <w:p w14:paraId="4843078B">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79DDD8F3">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0FFB2423">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7E099ED7">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2624D159">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5F70CF17">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6558A275">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0AA87D77">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3A58AAC2">
      <w:pPr>
        <w:keepNext w:val="0"/>
        <w:keepLines w:val="0"/>
        <w:pageBreakBefore w:val="0"/>
        <w:widowControl w:val="0"/>
        <w:kinsoku/>
        <w:wordWrap w:val="0"/>
        <w:overflowPunct/>
        <w:topLinePunct/>
        <w:autoSpaceDE/>
        <w:autoSpaceDN/>
        <w:bidi w:val="0"/>
        <w:adjustRightInd/>
        <w:snapToGrid/>
        <w:spacing w:line="240" w:lineRule="atLeast"/>
        <w:ind w:right="31" w:rightChars="15"/>
        <w:jc w:val="center"/>
        <w:textAlignment w:val="auto"/>
        <w:outlineLvl w:val="0"/>
        <w:rPr>
          <w:rFonts w:hint="default" w:ascii="Times New Roman" w:hAnsi="Times New Roman" w:eastAsia="黑体" w:cs="Times New Roman"/>
          <w:color w:val="auto"/>
          <w:sz w:val="76"/>
          <w:szCs w:val="76"/>
          <w:highlight w:val="none"/>
        </w:rPr>
      </w:pPr>
      <w:bookmarkStart w:id="3" w:name="_Toc31926"/>
      <w:bookmarkStart w:id="4" w:name="_Toc7498"/>
      <w:r>
        <w:rPr>
          <w:rFonts w:hint="default" w:ascii="Times New Roman" w:hAnsi="Times New Roman" w:eastAsia="黑体" w:cs="Times New Roman"/>
          <w:color w:val="auto"/>
          <w:sz w:val="76"/>
          <w:szCs w:val="76"/>
          <w:highlight w:val="none"/>
        </w:rPr>
        <w:t>第</w:t>
      </w:r>
      <w:r>
        <w:rPr>
          <w:rFonts w:hint="eastAsia" w:eastAsia="黑体" w:cs="Times New Roman"/>
          <w:color w:val="auto"/>
          <w:sz w:val="76"/>
          <w:szCs w:val="76"/>
          <w:highlight w:val="none"/>
          <w:lang w:val="en-US" w:eastAsia="zh-CN"/>
        </w:rPr>
        <w:t xml:space="preserve"> </w:t>
      </w:r>
      <w:r>
        <w:rPr>
          <w:rFonts w:hint="default" w:ascii="Times New Roman" w:hAnsi="Times New Roman" w:eastAsia="黑体" w:cs="Times New Roman"/>
          <w:color w:val="auto"/>
          <w:sz w:val="76"/>
          <w:szCs w:val="76"/>
          <w:highlight w:val="none"/>
        </w:rPr>
        <w:t>一</w:t>
      </w:r>
      <w:r>
        <w:rPr>
          <w:rFonts w:hint="eastAsia" w:eastAsia="黑体" w:cs="Times New Roman"/>
          <w:color w:val="auto"/>
          <w:sz w:val="76"/>
          <w:szCs w:val="76"/>
          <w:highlight w:val="none"/>
          <w:lang w:val="en-US" w:eastAsia="zh-CN"/>
        </w:rPr>
        <w:t xml:space="preserve"> </w:t>
      </w:r>
      <w:r>
        <w:rPr>
          <w:rFonts w:hint="default" w:ascii="Times New Roman" w:hAnsi="Times New Roman" w:eastAsia="黑体" w:cs="Times New Roman"/>
          <w:color w:val="auto"/>
          <w:sz w:val="76"/>
          <w:szCs w:val="76"/>
          <w:highlight w:val="none"/>
        </w:rPr>
        <w:t>卷</w:t>
      </w:r>
      <w:bookmarkEnd w:id="3"/>
      <w:bookmarkEnd w:id="4"/>
    </w:p>
    <w:p w14:paraId="1963FA6F">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36"/>
          <w:szCs w:val="36"/>
          <w:highlight w:val="none"/>
        </w:rPr>
        <w:sectPr>
          <w:headerReference r:id="rId10" w:type="default"/>
          <w:footerReference r:id="rId11" w:type="default"/>
          <w:footerReference r:id="rId12" w:type="even"/>
          <w:footnotePr>
            <w:numFmt w:val="decimalEnclosedCircleChinese"/>
            <w:numRestart w:val="eachPage"/>
          </w:footnotePr>
          <w:pgSz w:w="11907" w:h="16840"/>
          <w:pgMar w:top="1588" w:right="1531" w:bottom="1644" w:left="1588" w:header="851" w:footer="851" w:gutter="0"/>
          <w:pgNumType w:fmt="decimal" w:start="1"/>
          <w:cols w:space="720" w:num="1"/>
          <w:docGrid w:linePitch="312" w:charSpace="0"/>
        </w:sectPr>
      </w:pPr>
    </w:p>
    <w:p w14:paraId="10357DB6">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36"/>
          <w:szCs w:val="36"/>
          <w:highlight w:val="none"/>
        </w:rPr>
      </w:pPr>
    </w:p>
    <w:p w14:paraId="404AEC2E">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36"/>
          <w:szCs w:val="36"/>
          <w:highlight w:val="none"/>
        </w:rPr>
      </w:pPr>
    </w:p>
    <w:p w14:paraId="3AC36CDE">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29"/>
          <w:szCs w:val="29"/>
          <w:highlight w:val="none"/>
        </w:rPr>
      </w:pPr>
    </w:p>
    <w:p w14:paraId="541DBE54">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29"/>
          <w:szCs w:val="29"/>
          <w:highlight w:val="none"/>
        </w:rPr>
      </w:pPr>
    </w:p>
    <w:p w14:paraId="0EEB8492">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29"/>
          <w:szCs w:val="29"/>
          <w:highlight w:val="none"/>
        </w:rPr>
      </w:pPr>
    </w:p>
    <w:p w14:paraId="0A2DA9DB">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29"/>
          <w:szCs w:val="29"/>
          <w:highlight w:val="none"/>
        </w:rPr>
      </w:pPr>
    </w:p>
    <w:p w14:paraId="357D781B">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29"/>
          <w:szCs w:val="29"/>
          <w:highlight w:val="none"/>
        </w:rPr>
      </w:pPr>
    </w:p>
    <w:p w14:paraId="65ED2EFA">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29"/>
          <w:szCs w:val="29"/>
          <w:highlight w:val="none"/>
        </w:rPr>
      </w:pPr>
    </w:p>
    <w:p w14:paraId="2950B04B">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29"/>
          <w:szCs w:val="29"/>
          <w:highlight w:val="none"/>
        </w:rPr>
      </w:pPr>
    </w:p>
    <w:p w14:paraId="63B6CFF4">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29"/>
          <w:szCs w:val="29"/>
          <w:highlight w:val="none"/>
        </w:rPr>
      </w:pPr>
    </w:p>
    <w:p w14:paraId="607E021D">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29"/>
          <w:szCs w:val="29"/>
          <w:highlight w:val="none"/>
        </w:rPr>
      </w:pPr>
    </w:p>
    <w:p w14:paraId="1F2A9304">
      <w:pPr>
        <w:pageBreakBefore w:val="0"/>
        <w:kinsoku/>
        <w:wordWrap w:val="0"/>
        <w:topLinePunct/>
        <w:bidi w:val="0"/>
        <w:spacing w:line="240" w:lineRule="atLeast"/>
        <w:ind w:right="31" w:rightChars="15"/>
        <w:jc w:val="center"/>
        <w:outlineLvl w:val="1"/>
        <w:rPr>
          <w:rFonts w:hint="default" w:ascii="Times New Roman" w:hAnsi="Times New Roman" w:eastAsia="黑体" w:cs="Times New Roman"/>
          <w:color w:val="auto"/>
          <w:sz w:val="56"/>
          <w:szCs w:val="56"/>
          <w:highlight w:val="none"/>
        </w:rPr>
      </w:pPr>
      <w:bookmarkStart w:id="5" w:name="_Toc22132"/>
      <w:bookmarkStart w:id="6" w:name="_Toc32078"/>
      <w:bookmarkStart w:id="7" w:name="_Toc15626"/>
      <w:bookmarkStart w:id="8" w:name="_Toc16041"/>
      <w:bookmarkStart w:id="9" w:name="_Toc14540"/>
      <w:r>
        <w:rPr>
          <w:rFonts w:hint="default" w:ascii="Times New Roman" w:hAnsi="Times New Roman" w:eastAsia="黑体" w:cs="Times New Roman"/>
          <w:color w:val="auto"/>
          <w:sz w:val="56"/>
          <w:szCs w:val="56"/>
          <w:highlight w:val="none"/>
        </w:rPr>
        <w:t>第一章</w:t>
      </w:r>
      <w:r>
        <w:rPr>
          <w:rFonts w:hint="eastAsia" w:eastAsia="黑体" w:cs="Times New Roman"/>
          <w:color w:val="auto"/>
          <w:sz w:val="56"/>
          <w:szCs w:val="56"/>
          <w:highlight w:val="none"/>
          <w:lang w:val="en-US" w:eastAsia="zh-CN"/>
        </w:rPr>
        <w:t xml:space="preserve"> </w:t>
      </w:r>
      <w:r>
        <w:rPr>
          <w:rFonts w:hint="default" w:ascii="Times New Roman" w:hAnsi="Times New Roman" w:eastAsia="黑体" w:cs="Times New Roman"/>
          <w:color w:val="auto"/>
          <w:sz w:val="56"/>
          <w:szCs w:val="56"/>
          <w:highlight w:val="none"/>
        </w:rPr>
        <w:t>招标公告</w:t>
      </w:r>
      <w:bookmarkEnd w:id="5"/>
      <w:bookmarkEnd w:id="6"/>
      <w:bookmarkEnd w:id="7"/>
      <w:bookmarkEnd w:id="8"/>
      <w:bookmarkEnd w:id="9"/>
    </w:p>
    <w:p w14:paraId="337339D6">
      <w:pPr>
        <w:pageBreakBefore w:val="0"/>
        <w:kinsoku/>
        <w:wordWrap w:val="0"/>
        <w:topLinePunct/>
        <w:bidi w:val="0"/>
        <w:spacing w:line="240" w:lineRule="atLeast"/>
        <w:ind w:right="31" w:rightChars="15"/>
        <w:jc w:val="center"/>
        <w:rPr>
          <w:rFonts w:hint="default" w:ascii="Times New Roman" w:hAnsi="Times New Roman" w:eastAsia="黑体" w:cs="Times New Roman"/>
          <w:color w:val="auto"/>
          <w:sz w:val="56"/>
          <w:szCs w:val="56"/>
          <w:highlight w:val="none"/>
        </w:rPr>
      </w:pPr>
    </w:p>
    <w:p w14:paraId="536ADB70">
      <w:pPr>
        <w:pageBreakBefore w:val="0"/>
        <w:kinsoku/>
        <w:wordWrap w:val="0"/>
        <w:topLinePunct/>
        <w:bidi w:val="0"/>
        <w:spacing w:line="240" w:lineRule="atLeast"/>
        <w:ind w:right="31" w:rightChars="15"/>
        <w:jc w:val="center"/>
        <w:rPr>
          <w:rFonts w:hint="default" w:ascii="Times New Roman" w:hAnsi="Times New Roman" w:eastAsia="黑体" w:cs="Times New Roman"/>
          <w:color w:val="auto"/>
          <w:sz w:val="56"/>
          <w:szCs w:val="56"/>
          <w:highlight w:val="none"/>
        </w:rPr>
        <w:sectPr>
          <w:footerReference r:id="rId13" w:type="default"/>
          <w:footerReference r:id="rId14" w:type="even"/>
          <w:footnotePr>
            <w:numFmt w:val="decimalEnclosedCircleChinese"/>
            <w:numRestart w:val="eachPage"/>
          </w:footnotePr>
          <w:pgSz w:w="11907" w:h="16840"/>
          <w:pgMar w:top="1588" w:right="1531" w:bottom="1644" w:left="1588" w:header="851" w:footer="851" w:gutter="0"/>
          <w:pgNumType w:fmt="decimal"/>
          <w:cols w:space="720" w:num="1"/>
          <w:docGrid w:linePitch="312" w:charSpace="0"/>
        </w:sectPr>
      </w:pPr>
    </w:p>
    <w:p w14:paraId="5EB3254D">
      <w:pPr>
        <w:keepNext w:val="0"/>
        <w:keepLines w:val="0"/>
        <w:pageBreakBefore w:val="0"/>
        <w:widowControl w:val="0"/>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黑体" w:cs="Times New Roman"/>
          <w:color w:val="auto"/>
          <w:sz w:val="42"/>
          <w:szCs w:val="42"/>
          <w:highlight w:val="none"/>
        </w:rPr>
      </w:pPr>
      <w:bookmarkStart w:id="10" w:name="_Toc15669"/>
      <w:bookmarkStart w:id="11" w:name="_Toc4069"/>
      <w:bookmarkStart w:id="12" w:name="_Toc234832844"/>
      <w:bookmarkStart w:id="13" w:name="_Toc107"/>
      <w:bookmarkStart w:id="14" w:name="_Toc25862"/>
      <w:bookmarkStart w:id="15" w:name="_Toc3148"/>
      <w:bookmarkStart w:id="16" w:name="_Toc5317"/>
      <w:r>
        <w:rPr>
          <w:rStyle w:val="54"/>
          <w:rFonts w:hint="default" w:ascii="Times New Roman" w:hAnsi="Times New Roman" w:eastAsia="黑体" w:cs="Times New Roman"/>
          <w:color w:val="auto"/>
          <w:sz w:val="42"/>
          <w:szCs w:val="42"/>
          <w:highlight w:val="none"/>
        </w:rPr>
        <w:t>第一章</w:t>
      </w:r>
      <w:r>
        <w:rPr>
          <w:rStyle w:val="54"/>
          <w:rFonts w:hint="eastAsia" w:eastAsia="黑体" w:cs="Times New Roman"/>
          <w:color w:val="auto"/>
          <w:sz w:val="42"/>
          <w:szCs w:val="42"/>
          <w:highlight w:val="none"/>
          <w:lang w:val="en-US"/>
        </w:rPr>
        <w:t xml:space="preserve"> </w:t>
      </w:r>
      <w:r>
        <w:rPr>
          <w:rStyle w:val="54"/>
          <w:rFonts w:hint="default" w:ascii="Times New Roman" w:hAnsi="Times New Roman" w:eastAsia="黑体" w:cs="Times New Roman"/>
          <w:color w:val="auto"/>
          <w:sz w:val="42"/>
          <w:szCs w:val="42"/>
          <w:highlight w:val="none"/>
        </w:rPr>
        <w:t>招标公告</w:t>
      </w:r>
      <w:bookmarkEnd w:id="10"/>
      <w:bookmarkEnd w:id="11"/>
      <w:bookmarkEnd w:id="12"/>
      <w:bookmarkEnd w:id="13"/>
      <w:bookmarkEnd w:id="14"/>
      <w:bookmarkEnd w:id="15"/>
      <w:bookmarkEnd w:id="16"/>
    </w:p>
    <w:p w14:paraId="57F40762">
      <w:pPr>
        <w:pageBreakBefore w:val="0"/>
        <w:tabs>
          <w:tab w:val="center" w:pos="4153"/>
        </w:tabs>
        <w:kinsoku/>
        <w:wordWrap w:val="0"/>
        <w:bidi w:val="0"/>
        <w:spacing w:line="440" w:lineRule="exact"/>
        <w:jc w:val="center"/>
        <w:rPr>
          <w:rFonts w:hint="default" w:ascii="Times New Roman" w:hAnsi="Times New Roman" w:eastAsia="黑体" w:cs="Times New Roman"/>
          <w:color w:val="auto"/>
          <w:sz w:val="17"/>
          <w:szCs w:val="17"/>
          <w:highlight w:val="none"/>
        </w:rPr>
      </w:pPr>
    </w:p>
    <w:p w14:paraId="00A71349">
      <w:pPr>
        <w:pageBreakBefore w:val="0"/>
        <w:kinsoku/>
        <w:wordWrap w:val="0"/>
        <w:bidi w:val="0"/>
        <w:spacing w:line="440" w:lineRule="exact"/>
        <w:jc w:val="center"/>
        <w:rPr>
          <w:rFonts w:hint="default" w:ascii="Times New Roman" w:hAnsi="Times New Roman" w:eastAsia="黑体" w:cs="Times New Roman"/>
          <w:color w:val="auto"/>
          <w:sz w:val="28"/>
          <w:szCs w:val="28"/>
          <w:highlight w:val="none"/>
          <w:u w:val="single"/>
        </w:rPr>
      </w:pPr>
      <w:r>
        <w:rPr>
          <w:rFonts w:hint="eastAsia" w:eastAsia="黑体" w:cs="Times New Roman"/>
          <w:color w:val="auto"/>
          <w:sz w:val="28"/>
          <w:szCs w:val="28"/>
          <w:highlight w:val="none"/>
          <w:u w:val="single"/>
          <w:lang w:eastAsia="zh-CN"/>
        </w:rPr>
        <w:t>2026年村内老旧道路维修改造项目</w:t>
      </w:r>
      <w:r>
        <w:rPr>
          <w:rFonts w:hint="default" w:ascii="Times New Roman" w:hAnsi="Times New Roman" w:eastAsia="黑体" w:cs="Times New Roman"/>
          <w:color w:val="auto"/>
          <w:sz w:val="28"/>
          <w:szCs w:val="28"/>
          <w:highlight w:val="none"/>
          <w:u w:val="single"/>
        </w:rPr>
        <w:t>（项目名称）</w:t>
      </w:r>
    </w:p>
    <w:p w14:paraId="3DC05D41">
      <w:pPr>
        <w:pageBreakBefore w:val="0"/>
        <w:kinsoku/>
        <w:wordWrap w:val="0"/>
        <w:bidi w:val="0"/>
        <w:spacing w:line="440" w:lineRule="exact"/>
        <w:jc w:val="center"/>
        <w:rPr>
          <w:rFonts w:hint="default" w:ascii="Times New Roman" w:hAnsi="Times New Roman" w:eastAsia="黑体" w:cs="Times New Roman"/>
          <w:color w:val="auto"/>
          <w:sz w:val="28"/>
          <w:szCs w:val="28"/>
          <w:highlight w:val="none"/>
          <w:u w:val="single"/>
        </w:rPr>
      </w:pPr>
      <w:r>
        <w:rPr>
          <w:rFonts w:hint="eastAsia" w:eastAsia="黑体" w:cs="Times New Roman"/>
          <w:color w:val="auto"/>
          <w:sz w:val="28"/>
          <w:szCs w:val="28"/>
          <w:highlight w:val="none"/>
          <w:u w:val="single"/>
          <w:lang w:eastAsia="zh-CN"/>
        </w:rPr>
        <w:t>2026年村内老旧道路维修改造项目</w:t>
      </w:r>
      <w:r>
        <w:rPr>
          <w:rFonts w:hint="default" w:ascii="Times New Roman" w:hAnsi="Times New Roman" w:eastAsia="黑体" w:cs="Times New Roman"/>
          <w:color w:val="auto"/>
          <w:sz w:val="28"/>
          <w:szCs w:val="28"/>
          <w:highlight w:val="none"/>
          <w:u w:val="single"/>
        </w:rPr>
        <w:t>（标段名称）</w:t>
      </w:r>
    </w:p>
    <w:p w14:paraId="2C18E3CA">
      <w:pPr>
        <w:pageBreakBefore w:val="0"/>
        <w:kinsoku/>
        <w:wordWrap w:val="0"/>
        <w:bidi w:val="0"/>
        <w:spacing w:line="440" w:lineRule="exact"/>
        <w:jc w:val="center"/>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u w:val="single"/>
        </w:rPr>
        <w:t>施工招标</w:t>
      </w:r>
      <w:r>
        <w:rPr>
          <w:rFonts w:hint="default" w:ascii="Times New Roman" w:hAnsi="Times New Roman" w:eastAsia="黑体" w:cs="Times New Roman"/>
          <w:color w:val="auto"/>
          <w:sz w:val="28"/>
          <w:szCs w:val="28"/>
          <w:highlight w:val="none"/>
        </w:rPr>
        <w:t>公告</w:t>
      </w:r>
    </w:p>
    <w:p w14:paraId="29837E94">
      <w:pPr>
        <w:pageBreakBefore w:val="0"/>
        <w:kinsoku/>
        <w:wordWrap w:val="0"/>
        <w:bidi w:val="0"/>
        <w:spacing w:line="440" w:lineRule="exact"/>
        <w:jc w:val="center"/>
        <w:outlineLvl w:val="9"/>
        <w:rPr>
          <w:rFonts w:hint="eastAsia" w:ascii="黑体" w:hAnsi="黑体" w:eastAsia="黑体" w:cs="黑体"/>
          <w:color w:val="auto"/>
          <w:sz w:val="28"/>
          <w:szCs w:val="28"/>
          <w:highlight w:val="none"/>
        </w:rPr>
      </w:pPr>
    </w:p>
    <w:p w14:paraId="711DEF8E">
      <w:pPr>
        <w:keepNext w:val="0"/>
        <w:keepLines w:val="0"/>
        <w:pageBreakBefore w:val="0"/>
        <w:widowControl w:val="0"/>
        <w:kinsoku/>
        <w:wordWrap/>
        <w:overflowPunct/>
        <w:topLinePunct w:val="0"/>
        <w:autoSpaceDE/>
        <w:autoSpaceDN/>
        <w:bidi w:val="0"/>
        <w:adjustRightInd/>
        <w:snapToGrid/>
        <w:spacing w:before="240" w:after="240" w:line="336" w:lineRule="auto"/>
        <w:textAlignment w:val="auto"/>
        <w:outlineLvl w:val="2"/>
        <w:rPr>
          <w:rFonts w:hint="eastAsia" w:ascii="黑体" w:hAnsi="黑体" w:eastAsia="黑体" w:cs="黑体"/>
          <w:color w:val="auto"/>
          <w:sz w:val="28"/>
          <w:szCs w:val="28"/>
          <w:highlight w:val="none"/>
        </w:rPr>
      </w:pPr>
      <w:bookmarkStart w:id="17" w:name="_Toc470760973"/>
      <w:bookmarkStart w:id="18" w:name="_Toc5675"/>
      <w:bookmarkStart w:id="19" w:name="_Toc15922"/>
      <w:bookmarkStart w:id="20" w:name="_Toc3647"/>
      <w:bookmarkStart w:id="21" w:name="_Toc7457"/>
      <w:r>
        <w:rPr>
          <w:rFonts w:hint="eastAsia" w:ascii="黑体" w:hAnsi="黑体" w:eastAsia="黑体" w:cs="黑体"/>
          <w:color w:val="auto"/>
          <w:sz w:val="28"/>
          <w:szCs w:val="28"/>
          <w:highlight w:val="none"/>
        </w:rPr>
        <w:t>1.招标条件</w:t>
      </w:r>
      <w:bookmarkEnd w:id="17"/>
      <w:bookmarkEnd w:id="18"/>
      <w:bookmarkEnd w:id="19"/>
      <w:bookmarkEnd w:id="20"/>
      <w:bookmarkEnd w:id="21"/>
    </w:p>
    <w:p w14:paraId="1A3D044E">
      <w:pPr>
        <w:pageBreakBefore w:val="0"/>
        <w:widowControl w:val="0"/>
        <w:kinsoku/>
        <w:wordWrap w:val="0"/>
        <w:overflowPunct/>
        <w:topLinePunct w:val="0"/>
        <w:autoSpaceDE/>
        <w:autoSpaceDN/>
        <w:bidi w:val="0"/>
        <w:adjustRightInd/>
        <w:snapToGrid/>
        <w:spacing w:line="336" w:lineRule="auto"/>
        <w:ind w:firstLine="480" w:firstLineChars="200"/>
        <w:textAlignment w:val="auto"/>
        <w:rPr>
          <w:rFonts w:hint="eastAsia" w:ascii="Times New Roman" w:hAnsi="Times New Roman" w:eastAsia="宋体" w:cs="Times New Roman"/>
          <w:color w:val="auto"/>
          <w:sz w:val="24"/>
          <w:highlight w:val="none"/>
          <w:lang w:eastAsia="zh-CN"/>
        </w:rPr>
      </w:pPr>
      <w:r>
        <w:rPr>
          <w:rFonts w:hint="eastAsia" w:ascii="宋体" w:hAnsi="宋体" w:eastAsia="宋体" w:cs="宋体"/>
          <w:color w:val="auto"/>
          <w:sz w:val="24"/>
          <w:szCs w:val="24"/>
          <w:highlight w:val="none"/>
        </w:rPr>
        <w:t>本招标项目</w:t>
      </w:r>
      <w:r>
        <w:rPr>
          <w:rFonts w:hint="eastAsia" w:ascii="宋体" w:hAnsi="宋体" w:eastAsia="宋体" w:cs="宋体"/>
          <w:sz w:val="24"/>
          <w:szCs w:val="24"/>
          <w:highlight w:val="none"/>
          <w:u w:val="single"/>
        </w:rPr>
        <w:t xml:space="preserve"> </w:t>
      </w:r>
      <w:r>
        <w:rPr>
          <w:rFonts w:hint="eastAsia" w:ascii="宋体" w:hAnsi="宋体" w:cs="宋体"/>
          <w:color w:val="auto"/>
          <w:sz w:val="24"/>
          <w:szCs w:val="24"/>
          <w:highlight w:val="none"/>
          <w:u w:val="single"/>
          <w:lang w:eastAsia="zh-CN"/>
        </w:rPr>
        <w:t>2026年村内老旧道路维修改造项目</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（项目名称）已由</w:t>
      </w:r>
      <w:r>
        <w:rPr>
          <w:rFonts w:hint="eastAsia" w:ascii="宋体" w:hAnsi="宋体" w:cs="宋体"/>
          <w:color w:val="auto"/>
          <w:sz w:val="24"/>
          <w:szCs w:val="24"/>
          <w:highlight w:val="none"/>
          <w:u w:val="single"/>
          <w:lang w:eastAsia="zh-CN"/>
        </w:rPr>
        <w:t>盖州市交通运输局</w:t>
      </w:r>
      <w:r>
        <w:rPr>
          <w:rFonts w:hint="eastAsia" w:ascii="宋体" w:hAnsi="宋体" w:eastAsia="宋体" w:cs="宋体"/>
          <w:color w:val="auto"/>
          <w:sz w:val="24"/>
          <w:szCs w:val="24"/>
          <w:highlight w:val="none"/>
        </w:rPr>
        <w:t>（项目审批、核准或备案机关名称）以</w:t>
      </w:r>
      <w:r>
        <w:rPr>
          <w:rFonts w:hint="eastAsia" w:ascii="宋体" w:hAnsi="宋体" w:cs="宋体"/>
          <w:color w:val="auto"/>
          <w:sz w:val="24"/>
          <w:szCs w:val="24"/>
          <w:highlight w:val="none"/>
          <w:u w:val="single"/>
          <w:lang w:val="en-US" w:eastAsia="zh-CN"/>
        </w:rPr>
        <w:t xml:space="preserve"> 《关于盖州市2026年村内老旧道路维修改造项目施工图设计的批复》盖交发[2026]批05号 </w:t>
      </w:r>
      <w:r>
        <w:rPr>
          <w:rFonts w:hint="eastAsia" w:ascii="宋体" w:hAnsi="宋体" w:eastAsia="宋体" w:cs="宋体"/>
          <w:color w:val="auto"/>
          <w:sz w:val="24"/>
          <w:szCs w:val="24"/>
          <w:highlight w:val="none"/>
        </w:rPr>
        <w:t>（批文名称及编号）批准建设，建设资金来自</w:t>
      </w:r>
      <w:r>
        <w:rPr>
          <w:rFonts w:hint="eastAsia" w:ascii="宋体" w:hAnsi="宋体" w:cs="宋体"/>
          <w:color w:val="auto"/>
          <w:sz w:val="24"/>
          <w:szCs w:val="24"/>
          <w:highlight w:val="none"/>
          <w:u w:val="single"/>
          <w:lang w:val="en-US" w:eastAsia="zh-CN"/>
        </w:rPr>
        <w:t xml:space="preserve"> 省级专项资金</w:t>
      </w:r>
      <w:r>
        <w:rPr>
          <w:rFonts w:hint="eastAsia" w:ascii="宋体" w:hAnsi="宋体" w:eastAsia="宋体" w:cs="宋体"/>
          <w:color w:val="auto"/>
          <w:sz w:val="24"/>
          <w:szCs w:val="24"/>
          <w:highlight w:val="none"/>
        </w:rPr>
        <w:t>（资金来源），出资比例为</w:t>
      </w:r>
      <w:r>
        <w:rPr>
          <w:rFonts w:hint="eastAsia" w:ascii="宋体" w:hAnsi="宋体" w:cs="宋体"/>
          <w:color w:val="auto"/>
          <w:sz w:val="24"/>
          <w:szCs w:val="24"/>
          <w:highlight w:val="none"/>
          <w:u w:val="single"/>
          <w:lang w:val="en-US" w:eastAsia="zh-CN"/>
        </w:rPr>
        <w:t xml:space="preserve"> 省级专项资金100%</w:t>
      </w:r>
      <w:r>
        <w:rPr>
          <w:rFonts w:hint="eastAsia" w:ascii="宋体" w:hAnsi="宋体" w:eastAsia="宋体" w:cs="宋体"/>
          <w:color w:val="auto"/>
          <w:sz w:val="24"/>
          <w:szCs w:val="24"/>
          <w:highlight w:val="none"/>
        </w:rPr>
        <w:t>，招标人为</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eastAsia="zh-CN"/>
        </w:rPr>
        <w:t>盖州市财政局</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。项目已具备招标条件，项目已具备招标条件，现对该项目</w:t>
      </w:r>
      <w:r>
        <w:rPr>
          <w:rFonts w:hint="eastAsia" w:ascii="宋体" w:hAnsi="宋体" w:eastAsia="宋体" w:cs="宋体"/>
          <w:sz w:val="24"/>
          <w:szCs w:val="24"/>
          <w:highlight w:val="none"/>
          <w:u w:val="single"/>
        </w:rPr>
        <w:t xml:space="preserve"> </w:t>
      </w:r>
      <w:r>
        <w:rPr>
          <w:rFonts w:hint="eastAsia" w:ascii="宋体" w:hAnsi="宋体" w:cs="宋体"/>
          <w:color w:val="auto"/>
          <w:sz w:val="24"/>
          <w:szCs w:val="24"/>
          <w:highlight w:val="none"/>
          <w:u w:val="single"/>
          <w:lang w:eastAsia="zh-CN"/>
        </w:rPr>
        <w:t>2026年村内老旧道路维修改造项目</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eastAsia="zh-CN"/>
        </w:rPr>
        <w:t>（</w:t>
      </w:r>
      <w:r>
        <w:rPr>
          <w:rFonts w:hint="eastAsia" w:ascii="宋体" w:hAnsi="宋体" w:eastAsia="宋体" w:cs="宋体"/>
          <w:color w:val="auto"/>
          <w:sz w:val="24"/>
          <w:szCs w:val="24"/>
          <w:highlight w:val="none"/>
        </w:rPr>
        <w:t>标段名称）的施工进行公开招标。</w:t>
      </w:r>
    </w:p>
    <w:p w14:paraId="04EAC9C6">
      <w:pPr>
        <w:keepNext w:val="0"/>
        <w:keepLines w:val="0"/>
        <w:pageBreakBefore w:val="0"/>
        <w:widowControl w:val="0"/>
        <w:kinsoku/>
        <w:wordWrap/>
        <w:overflowPunct/>
        <w:topLinePunct w:val="0"/>
        <w:autoSpaceDE/>
        <w:autoSpaceDN/>
        <w:bidi w:val="0"/>
        <w:adjustRightInd/>
        <w:snapToGrid/>
        <w:spacing w:before="240" w:after="240" w:line="336" w:lineRule="auto"/>
        <w:textAlignment w:val="auto"/>
        <w:outlineLvl w:val="2"/>
        <w:rPr>
          <w:rFonts w:hint="default" w:ascii="黑体" w:hAnsi="黑体" w:eastAsia="黑体" w:cs="黑体"/>
          <w:color w:val="auto"/>
          <w:sz w:val="28"/>
          <w:szCs w:val="28"/>
          <w:highlight w:val="none"/>
        </w:rPr>
      </w:pPr>
      <w:bookmarkStart w:id="22" w:name="_Toc16754"/>
      <w:bookmarkStart w:id="23" w:name="_Toc13887"/>
      <w:bookmarkStart w:id="24" w:name="_Toc20166"/>
      <w:bookmarkStart w:id="25" w:name="_Toc470760974"/>
      <w:bookmarkStart w:id="26" w:name="_Toc30370"/>
      <w:r>
        <w:rPr>
          <w:rFonts w:hint="default" w:ascii="黑体" w:hAnsi="黑体" w:eastAsia="黑体" w:cs="黑体"/>
          <w:color w:val="auto"/>
          <w:sz w:val="28"/>
          <w:szCs w:val="28"/>
          <w:highlight w:val="none"/>
        </w:rPr>
        <w:t>2.项目概况与招标范围</w:t>
      </w:r>
      <w:bookmarkEnd w:id="22"/>
      <w:bookmarkEnd w:id="23"/>
      <w:bookmarkEnd w:id="24"/>
      <w:bookmarkEnd w:id="25"/>
      <w:bookmarkEnd w:id="26"/>
    </w:p>
    <w:p w14:paraId="7D7A3DF6">
      <w:pPr>
        <w:keepNext w:val="0"/>
        <w:keepLines w:val="0"/>
        <w:pageBreakBefore w:val="0"/>
        <w:widowControl w:val="0"/>
        <w:kinsoku/>
        <w:overflowPunct/>
        <w:topLinePunct w:val="0"/>
        <w:autoSpaceDE/>
        <w:autoSpaceDN/>
        <w:bidi w:val="0"/>
        <w:adjustRightInd/>
        <w:snapToGrid/>
        <w:spacing w:line="336"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2.1项目概况</w:t>
      </w:r>
    </w:p>
    <w:p w14:paraId="214826C5">
      <w:pPr>
        <w:keepNext w:val="0"/>
        <w:keepLines w:val="0"/>
        <w:pageBreakBefore w:val="0"/>
        <w:widowControl w:val="0"/>
        <w:kinsoku/>
        <w:overflowPunct/>
        <w:topLinePunct w:val="0"/>
        <w:autoSpaceDE/>
        <w:autoSpaceDN/>
        <w:bidi w:val="0"/>
        <w:adjustRightInd/>
        <w:snapToGrid/>
        <w:spacing w:line="336" w:lineRule="auto"/>
        <w:ind w:firstLine="480" w:firstLineChars="200"/>
        <w:textAlignment w:val="auto"/>
        <w:rPr>
          <w:rFonts w:hint="eastAsia" w:ascii="宋体" w:hAnsi="宋体" w:cs="宋体"/>
          <w:color w:val="auto"/>
          <w:sz w:val="24"/>
          <w:szCs w:val="24"/>
          <w:highlight w:val="none"/>
          <w:u w:val="single"/>
          <w:lang w:eastAsia="zh-CN"/>
        </w:rPr>
      </w:pPr>
      <w:r>
        <w:rPr>
          <w:rFonts w:hint="eastAsia" w:ascii="宋体" w:hAnsi="宋体" w:cs="宋体"/>
          <w:color w:val="auto"/>
          <w:sz w:val="24"/>
          <w:szCs w:val="24"/>
          <w:highlight w:val="none"/>
          <w:u w:val="single"/>
          <w:lang w:val="en-US" w:eastAsia="zh-CN"/>
        </w:rPr>
        <w:t>盖州市</w:t>
      </w:r>
      <w:r>
        <w:rPr>
          <w:rFonts w:hint="eastAsia" w:ascii="宋体" w:hAnsi="宋体" w:cs="宋体"/>
          <w:color w:val="auto"/>
          <w:sz w:val="24"/>
          <w:szCs w:val="24"/>
          <w:highlight w:val="none"/>
          <w:u w:val="single"/>
          <w:lang w:eastAsia="zh-CN"/>
        </w:rPr>
        <w:t>2026年村内老旧道路维修改造项目涉及9个乡镇(街道)，共修建村内道路32.69公里，其中：维修改造道路30.09公里，新建村内道路2.6公里。</w:t>
      </w:r>
    </w:p>
    <w:p w14:paraId="6E291F9B">
      <w:pPr>
        <w:keepNext w:val="0"/>
        <w:keepLines w:val="0"/>
        <w:pageBreakBefore w:val="0"/>
        <w:widowControl w:val="0"/>
        <w:kinsoku/>
        <w:overflowPunct/>
        <w:topLinePunct w:val="0"/>
        <w:autoSpaceDE/>
        <w:autoSpaceDN/>
        <w:bidi w:val="0"/>
        <w:adjustRightInd/>
        <w:snapToGrid/>
        <w:spacing w:line="336"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2.2标段划分</w:t>
      </w:r>
    </w:p>
    <w:p w14:paraId="2531C395">
      <w:pPr>
        <w:keepNext w:val="0"/>
        <w:keepLines w:val="0"/>
        <w:pageBreakBefore w:val="0"/>
        <w:widowControl w:val="0"/>
        <w:kinsoku/>
        <w:overflowPunct/>
        <w:topLinePunct w:val="0"/>
        <w:autoSpaceDE/>
        <w:autoSpaceDN/>
        <w:bidi w:val="0"/>
        <w:adjustRightInd/>
        <w:snapToGrid/>
        <w:spacing w:line="336"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本次招标项目的标段划分</w:t>
      </w:r>
      <w:r>
        <w:rPr>
          <w:rFonts w:hint="eastAsia" w:ascii="宋体" w:hAnsi="宋体" w:cs="宋体"/>
          <w:color w:val="auto"/>
          <w:sz w:val="24"/>
          <w:szCs w:val="24"/>
          <w:highlight w:val="none"/>
          <w:u w:val="single"/>
          <w:lang w:val="en-US" w:eastAsia="zh-CN"/>
        </w:rPr>
        <w:t>1</w:t>
      </w:r>
      <w:r>
        <w:rPr>
          <w:rFonts w:hint="eastAsia" w:ascii="宋体" w:hAnsi="宋体" w:eastAsia="宋体" w:cs="宋体"/>
          <w:color w:val="auto"/>
          <w:sz w:val="24"/>
          <w:szCs w:val="24"/>
          <w:highlight w:val="none"/>
          <w:u w:val="single"/>
        </w:rPr>
        <w:t>个标段。</w:t>
      </w:r>
    </w:p>
    <w:p w14:paraId="132DE856">
      <w:pPr>
        <w:keepNext w:val="0"/>
        <w:keepLines w:val="0"/>
        <w:pageBreakBefore w:val="0"/>
        <w:widowControl w:val="0"/>
        <w:kinsoku/>
        <w:overflowPunct/>
        <w:topLinePunct w:val="0"/>
        <w:autoSpaceDE/>
        <w:autoSpaceDN/>
        <w:bidi w:val="0"/>
        <w:adjustRightInd/>
        <w:snapToGrid/>
        <w:spacing w:line="336"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2.3招标范围</w:t>
      </w:r>
    </w:p>
    <w:p w14:paraId="258307FB">
      <w:pPr>
        <w:keepNext w:val="0"/>
        <w:keepLines w:val="0"/>
        <w:pageBreakBefore w:val="0"/>
        <w:widowControl w:val="0"/>
        <w:kinsoku/>
        <w:wordWrap w:val="0"/>
        <w:overflowPunct/>
        <w:topLinePunct w:val="0"/>
        <w:autoSpaceDE/>
        <w:autoSpaceDN/>
        <w:bidi w:val="0"/>
        <w:adjustRightInd/>
        <w:snapToGrid/>
        <w:spacing w:line="336" w:lineRule="auto"/>
        <w:ind w:firstLine="480" w:firstLineChars="200"/>
        <w:textAlignment w:val="auto"/>
        <w:outlineLvl w:val="9"/>
        <w:rPr>
          <w:rFonts w:hint="eastAsia" w:eastAsia="宋体" w:cs="Times New Roman"/>
          <w:color w:val="auto"/>
          <w:sz w:val="24"/>
          <w:highlight w:val="none"/>
          <w:u w:val="single"/>
          <w:lang w:val="en-US" w:eastAsia="zh-CN"/>
        </w:rPr>
      </w:pPr>
      <w:r>
        <w:rPr>
          <w:rFonts w:hint="eastAsia" w:ascii="宋体" w:hAnsi="宋体" w:cs="宋体"/>
          <w:color w:val="auto"/>
          <w:sz w:val="24"/>
          <w:szCs w:val="24"/>
          <w:highlight w:val="none"/>
          <w:u w:val="single"/>
          <w:lang w:val="en-US" w:eastAsia="zh-CN"/>
        </w:rPr>
        <w:t>盖州市2026年村内老旧道路维修改造项目涉及9个乡镇(街道)，共修建村内道路32.69公里，其中：维修改造道路30.09公里，新建村内道路2.6公里，</w:t>
      </w:r>
      <w:r>
        <w:rPr>
          <w:rFonts w:hint="eastAsia" w:ascii="宋体" w:hAnsi="宋体" w:eastAsia="宋体" w:cs="宋体"/>
          <w:color w:val="auto"/>
          <w:sz w:val="24"/>
          <w:szCs w:val="24"/>
          <w:highlight w:val="none"/>
          <w:u w:val="single"/>
        </w:rPr>
        <w:t>具体工程内容以工程量清单及施工图纸为准</w:t>
      </w:r>
      <w:r>
        <w:rPr>
          <w:rFonts w:hint="eastAsia" w:cs="Times New Roman"/>
          <w:color w:val="auto"/>
          <w:sz w:val="24"/>
          <w:highlight w:val="none"/>
          <w:u w:val="single"/>
          <w:lang w:eastAsia="zh-CN"/>
        </w:rPr>
        <w:t>。</w:t>
      </w:r>
    </w:p>
    <w:p w14:paraId="60EBFA57">
      <w:pPr>
        <w:keepNext w:val="0"/>
        <w:keepLines w:val="0"/>
        <w:pageBreakBefore w:val="0"/>
        <w:widowControl w:val="0"/>
        <w:kinsoku/>
        <w:wordWrap w:val="0"/>
        <w:overflowPunct/>
        <w:topLinePunct w:val="0"/>
        <w:autoSpaceDE/>
        <w:autoSpaceDN/>
        <w:bidi w:val="0"/>
        <w:adjustRightInd/>
        <w:snapToGrid/>
        <w:spacing w:line="336" w:lineRule="auto"/>
        <w:ind w:firstLine="480" w:firstLineChars="200"/>
        <w:textAlignment w:val="auto"/>
        <w:outlineLvl w:val="9"/>
        <w:rPr>
          <w:rFonts w:hint="eastAsia" w:cs="Times New Roman"/>
          <w:color w:val="auto"/>
          <w:sz w:val="24"/>
          <w:highlight w:val="none"/>
          <w:u w:val="none"/>
          <w:lang w:val="en-US" w:eastAsia="zh-CN"/>
        </w:rPr>
      </w:pPr>
      <w:r>
        <w:rPr>
          <w:rFonts w:hint="eastAsia" w:cs="Times New Roman"/>
          <w:color w:val="auto"/>
          <w:sz w:val="24"/>
          <w:highlight w:val="none"/>
          <w:u w:val="none"/>
          <w:lang w:val="en-US" w:eastAsia="zh-CN"/>
        </w:rPr>
        <w:t>2.4计划工期</w:t>
      </w:r>
    </w:p>
    <w:p w14:paraId="02B04CB7">
      <w:pPr>
        <w:keepNext w:val="0"/>
        <w:keepLines w:val="0"/>
        <w:pageBreakBefore w:val="0"/>
        <w:widowControl w:val="0"/>
        <w:kinsoku/>
        <w:wordWrap w:val="0"/>
        <w:overflowPunct/>
        <w:topLinePunct w:val="0"/>
        <w:autoSpaceDE/>
        <w:autoSpaceDN/>
        <w:bidi w:val="0"/>
        <w:adjustRightInd/>
        <w:snapToGrid/>
        <w:spacing w:line="336" w:lineRule="auto"/>
        <w:ind w:firstLine="480" w:firstLineChars="200"/>
        <w:textAlignment w:val="auto"/>
        <w:outlineLvl w:val="9"/>
        <w:rPr>
          <w:rFonts w:hint="default" w:ascii="Times New Roman" w:hAnsi="Times New Roman" w:cs="Times New Roman"/>
          <w:color w:val="auto"/>
          <w:sz w:val="24"/>
          <w:highlight w:val="none"/>
        </w:rPr>
      </w:pPr>
      <w:r>
        <w:rPr>
          <w:rFonts w:hint="eastAsia" w:ascii="宋体" w:hAnsi="宋体" w:eastAsia="宋体" w:cs="宋体"/>
          <w:color w:val="auto"/>
          <w:sz w:val="24"/>
          <w:szCs w:val="24"/>
          <w:highlight w:val="none"/>
          <w:u w:val="single"/>
        </w:rPr>
        <w:t>计划工期：</w:t>
      </w:r>
      <w:r>
        <w:rPr>
          <w:rFonts w:hint="eastAsia" w:ascii="宋体" w:hAnsi="宋体" w:cs="宋体"/>
          <w:color w:val="auto"/>
          <w:sz w:val="24"/>
          <w:szCs w:val="24"/>
          <w:highlight w:val="none"/>
          <w:u w:val="single"/>
          <w:lang w:eastAsia="zh-CN"/>
        </w:rPr>
        <w:t>202</w:t>
      </w:r>
      <w:r>
        <w:rPr>
          <w:rFonts w:hint="eastAsia" w:ascii="宋体" w:hAnsi="宋体" w:cs="宋体"/>
          <w:color w:val="auto"/>
          <w:sz w:val="24"/>
          <w:szCs w:val="24"/>
          <w:highlight w:val="none"/>
          <w:u w:val="single"/>
          <w:lang w:val="en-US" w:eastAsia="zh-CN"/>
        </w:rPr>
        <w:t>6</w:t>
      </w:r>
      <w:r>
        <w:rPr>
          <w:rFonts w:hint="eastAsia" w:ascii="宋体" w:hAnsi="宋体" w:cs="宋体"/>
          <w:color w:val="auto"/>
          <w:sz w:val="24"/>
          <w:szCs w:val="24"/>
          <w:highlight w:val="none"/>
          <w:u w:val="single"/>
          <w:lang w:eastAsia="zh-CN"/>
        </w:rPr>
        <w:t>年</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月</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日开工，</w:t>
      </w:r>
      <w:r>
        <w:rPr>
          <w:rFonts w:hint="eastAsia" w:ascii="宋体" w:hAnsi="宋体" w:cs="宋体"/>
          <w:color w:val="auto"/>
          <w:sz w:val="24"/>
          <w:szCs w:val="24"/>
          <w:highlight w:val="none"/>
          <w:u w:val="single"/>
          <w:lang w:eastAsia="zh-CN"/>
        </w:rPr>
        <w:t>202</w:t>
      </w:r>
      <w:r>
        <w:rPr>
          <w:rFonts w:hint="eastAsia" w:ascii="宋体" w:hAnsi="宋体" w:cs="宋体"/>
          <w:color w:val="auto"/>
          <w:sz w:val="24"/>
          <w:szCs w:val="24"/>
          <w:highlight w:val="none"/>
          <w:u w:val="single"/>
          <w:lang w:val="en-US" w:eastAsia="zh-CN"/>
        </w:rPr>
        <w:t>6</w:t>
      </w:r>
      <w:r>
        <w:rPr>
          <w:rFonts w:hint="eastAsia" w:ascii="宋体" w:hAnsi="宋体" w:cs="宋体"/>
          <w:color w:val="auto"/>
          <w:sz w:val="24"/>
          <w:szCs w:val="24"/>
          <w:highlight w:val="none"/>
          <w:u w:val="single"/>
          <w:lang w:eastAsia="zh-CN"/>
        </w:rPr>
        <w:t>年</w:t>
      </w:r>
      <w:r>
        <w:rPr>
          <w:rFonts w:hint="eastAsia" w:ascii="宋体" w:hAnsi="宋体" w:cs="宋体"/>
          <w:color w:val="auto"/>
          <w:sz w:val="24"/>
          <w:szCs w:val="24"/>
          <w:highlight w:val="none"/>
          <w:u w:val="single"/>
          <w:lang w:val="en-US" w:eastAsia="zh-CN"/>
        </w:rPr>
        <w:t>10</w:t>
      </w:r>
      <w:r>
        <w:rPr>
          <w:rFonts w:hint="eastAsia" w:ascii="宋体" w:hAnsi="宋体" w:eastAsia="宋体" w:cs="宋体"/>
          <w:color w:val="auto"/>
          <w:sz w:val="24"/>
          <w:szCs w:val="24"/>
          <w:highlight w:val="none"/>
          <w:u w:val="single"/>
        </w:rPr>
        <w:t>月</w:t>
      </w:r>
      <w:r>
        <w:rPr>
          <w:rFonts w:hint="eastAsia" w:ascii="宋体" w:hAnsi="宋体" w:cs="宋体"/>
          <w:color w:val="auto"/>
          <w:sz w:val="24"/>
          <w:szCs w:val="24"/>
          <w:highlight w:val="none"/>
          <w:u w:val="single"/>
          <w:lang w:val="en-US" w:eastAsia="zh-CN"/>
        </w:rPr>
        <w:t>31</w:t>
      </w:r>
      <w:r>
        <w:rPr>
          <w:rFonts w:hint="eastAsia" w:ascii="宋体" w:hAnsi="宋体" w:eastAsia="宋体" w:cs="宋体"/>
          <w:color w:val="auto"/>
          <w:sz w:val="24"/>
          <w:szCs w:val="24"/>
          <w:highlight w:val="none"/>
          <w:u w:val="single"/>
        </w:rPr>
        <w:t>日竣工，共计</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日历天（具体时间以签订合同为准）</w:t>
      </w:r>
      <w:r>
        <w:rPr>
          <w:rFonts w:hint="eastAsia" w:cs="Times New Roman"/>
          <w:color w:val="auto"/>
          <w:sz w:val="24"/>
          <w:highlight w:val="none"/>
          <w:u w:val="single"/>
          <w:lang w:eastAsia="zh-CN"/>
        </w:rPr>
        <w:t>。</w:t>
      </w:r>
    </w:p>
    <w:p w14:paraId="1EEC431D">
      <w:pPr>
        <w:pStyle w:val="5"/>
        <w:pageBreakBefore w:val="0"/>
        <w:widowControl w:val="0"/>
        <w:kinsoku/>
        <w:wordWrap w:val="0"/>
        <w:overflowPunct/>
        <w:topLinePunct w:val="0"/>
        <w:autoSpaceDE/>
        <w:autoSpaceDN/>
        <w:bidi w:val="0"/>
        <w:adjustRightInd/>
        <w:snapToGrid/>
        <w:spacing w:before="240" w:after="240" w:line="336" w:lineRule="auto"/>
        <w:jc w:val="both"/>
        <w:textAlignment w:val="auto"/>
        <w:outlineLvl w:val="2"/>
        <w:rPr>
          <w:rFonts w:hint="default" w:ascii="Times New Roman" w:hAnsi="Times New Roman" w:eastAsia="黑体" w:cs="Times New Roman"/>
          <w:color w:val="auto"/>
          <w:sz w:val="28"/>
          <w:szCs w:val="28"/>
          <w:highlight w:val="none"/>
        </w:rPr>
      </w:pPr>
      <w:bookmarkStart w:id="27" w:name="_Toc470760975"/>
      <w:bookmarkStart w:id="28" w:name="_Toc7392"/>
      <w:bookmarkStart w:id="29" w:name="_Toc9895"/>
      <w:bookmarkStart w:id="30" w:name="_Toc9236"/>
      <w:bookmarkStart w:id="31" w:name="_Toc1575"/>
      <w:r>
        <w:rPr>
          <w:rFonts w:hint="default" w:ascii="黑体" w:hAnsi="黑体" w:eastAsia="黑体" w:cs="黑体"/>
          <w:b w:val="0"/>
          <w:color w:val="auto"/>
          <w:kern w:val="2"/>
          <w:sz w:val="28"/>
          <w:szCs w:val="28"/>
          <w:highlight w:val="none"/>
          <w:lang w:val="en-US" w:eastAsia="zh-CN" w:bidi="ar-SA"/>
        </w:rPr>
        <w:t>3.投标人资格要求</w:t>
      </w:r>
      <w:bookmarkEnd w:id="27"/>
      <w:bookmarkEnd w:id="28"/>
      <w:bookmarkEnd w:id="29"/>
      <w:bookmarkEnd w:id="30"/>
      <w:bookmarkEnd w:id="31"/>
    </w:p>
    <w:p w14:paraId="76F2FD2F">
      <w:pPr>
        <w:keepNext w:val="0"/>
        <w:keepLines w:val="0"/>
        <w:pageBreakBefore w:val="0"/>
        <w:widowControl w:val="0"/>
        <w:numPr>
          <w:ilvl w:val="0"/>
          <w:numId w:val="0"/>
        </w:numPr>
        <w:kinsoku/>
        <w:overflowPunct/>
        <w:topLinePunct w:val="0"/>
        <w:autoSpaceDE/>
        <w:autoSpaceDN/>
        <w:bidi w:val="0"/>
        <w:adjustRightInd/>
        <w:snapToGrid/>
        <w:spacing w:line="336"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3.1本次招标要求投标人在人员、设备、资金等方面具有相应的施工能力，投标人须具备的资格条件如下：</w:t>
      </w:r>
    </w:p>
    <w:p w14:paraId="1DF149E2">
      <w:pPr>
        <w:pageBreakBefore w:val="0"/>
        <w:widowControl w:val="0"/>
        <w:kinsoku/>
        <w:wordWrap w:val="0"/>
        <w:overflowPunct/>
        <w:topLinePunct w:val="0"/>
        <w:autoSpaceDE/>
        <w:autoSpaceDN/>
        <w:bidi w:val="0"/>
        <w:adjustRightInd/>
        <w:snapToGrid/>
        <w:spacing w:line="336" w:lineRule="auto"/>
        <w:ind w:firstLine="480" w:firstLineChars="200"/>
        <w:jc w:val="left"/>
        <w:textAlignment w:val="auto"/>
        <w:rPr>
          <w:rFonts w:hint="eastAsia"/>
          <w:color w:val="auto"/>
          <w:sz w:val="24"/>
          <w:szCs w:val="24"/>
          <w:highlight w:val="none"/>
          <w:u w:val="none"/>
        </w:rPr>
      </w:pPr>
      <w:r>
        <w:rPr>
          <w:rFonts w:hint="eastAsia"/>
          <w:color w:val="auto"/>
          <w:sz w:val="24"/>
          <w:szCs w:val="24"/>
          <w:highlight w:val="none"/>
          <w:u w:val="none"/>
          <w:lang w:val="en-US" w:eastAsia="zh-CN"/>
        </w:rPr>
        <w:t>3.</w:t>
      </w:r>
      <w:r>
        <w:rPr>
          <w:rFonts w:hint="eastAsia"/>
          <w:color w:val="auto"/>
          <w:sz w:val="24"/>
          <w:szCs w:val="24"/>
          <w:highlight w:val="none"/>
          <w:u w:val="none"/>
        </w:rPr>
        <w:t>1.1资质要求</w:t>
      </w:r>
    </w:p>
    <w:p w14:paraId="1BC4C1A2">
      <w:pPr>
        <w:pageBreakBefore w:val="0"/>
        <w:widowControl w:val="0"/>
        <w:kinsoku/>
        <w:wordWrap w:val="0"/>
        <w:overflowPunct/>
        <w:topLinePunct w:val="0"/>
        <w:autoSpaceDE/>
        <w:autoSpaceDN/>
        <w:bidi w:val="0"/>
        <w:adjustRightInd/>
        <w:snapToGrid/>
        <w:spacing w:line="336" w:lineRule="auto"/>
        <w:ind w:firstLine="480" w:firstLineChars="200"/>
        <w:jc w:val="left"/>
        <w:textAlignment w:val="auto"/>
        <w:rPr>
          <w:rFonts w:hint="eastAsia"/>
          <w:color w:val="auto"/>
          <w:sz w:val="24"/>
          <w:szCs w:val="24"/>
          <w:highlight w:val="none"/>
          <w:u w:val="none"/>
          <w:lang w:val="en-US" w:eastAsia="zh-CN"/>
        </w:rPr>
      </w:pPr>
      <w:r>
        <w:rPr>
          <w:rFonts w:hint="eastAsia"/>
          <w:color w:val="auto"/>
          <w:sz w:val="24"/>
          <w:szCs w:val="24"/>
          <w:highlight w:val="none"/>
          <w:u w:val="none"/>
          <w:lang w:val="en-US" w:eastAsia="zh-CN"/>
        </w:rPr>
        <w:t>1 、投标人必须具有国内独立法人资格及有效的企业法人营业执照。</w:t>
      </w:r>
    </w:p>
    <w:p w14:paraId="79C93E13">
      <w:pPr>
        <w:pageBreakBefore w:val="0"/>
        <w:widowControl w:val="0"/>
        <w:kinsoku/>
        <w:wordWrap w:val="0"/>
        <w:overflowPunct/>
        <w:topLinePunct w:val="0"/>
        <w:autoSpaceDE/>
        <w:autoSpaceDN/>
        <w:bidi w:val="0"/>
        <w:adjustRightInd/>
        <w:snapToGrid/>
        <w:spacing w:line="336" w:lineRule="auto"/>
        <w:ind w:firstLine="480" w:firstLineChars="200"/>
        <w:jc w:val="left"/>
        <w:textAlignment w:val="auto"/>
        <w:rPr>
          <w:rFonts w:hint="eastAsia" w:ascii="Times New Roman" w:hAnsi="Times New Roman" w:eastAsia="宋体" w:cs="Times New Roman"/>
          <w:color w:val="auto"/>
          <w:sz w:val="24"/>
          <w:szCs w:val="24"/>
          <w:highlight w:val="none"/>
          <w:u w:val="none"/>
          <w:lang w:val="en-US" w:eastAsia="zh-CN"/>
        </w:rPr>
      </w:pPr>
      <w:r>
        <w:rPr>
          <w:rFonts w:hint="eastAsia" w:ascii="Times New Roman" w:hAnsi="Times New Roman" w:eastAsia="宋体" w:cs="Times New Roman"/>
          <w:color w:val="auto"/>
          <w:sz w:val="24"/>
          <w:szCs w:val="24"/>
          <w:highlight w:val="none"/>
          <w:u w:val="none"/>
          <w:lang w:val="en-US" w:eastAsia="zh-CN"/>
        </w:rPr>
        <w:t>2 、投标人须具有公路工程施工总承包叁级及以上资质。</w:t>
      </w:r>
    </w:p>
    <w:p w14:paraId="4552B06A">
      <w:pPr>
        <w:pageBreakBefore w:val="0"/>
        <w:widowControl w:val="0"/>
        <w:kinsoku/>
        <w:wordWrap w:val="0"/>
        <w:overflowPunct/>
        <w:topLinePunct w:val="0"/>
        <w:autoSpaceDE/>
        <w:autoSpaceDN/>
        <w:bidi w:val="0"/>
        <w:adjustRightInd/>
        <w:snapToGrid/>
        <w:spacing w:line="336" w:lineRule="auto"/>
        <w:ind w:firstLine="480" w:firstLineChars="200"/>
        <w:jc w:val="left"/>
        <w:textAlignment w:val="auto"/>
        <w:rPr>
          <w:rFonts w:hint="eastAsia"/>
          <w:color w:val="auto"/>
          <w:sz w:val="24"/>
          <w:szCs w:val="24"/>
          <w:highlight w:val="none"/>
          <w:u w:val="none"/>
          <w:lang w:val="en-US" w:eastAsia="zh-CN"/>
        </w:rPr>
      </w:pPr>
      <w:r>
        <w:rPr>
          <w:rFonts w:hint="eastAsia"/>
          <w:color w:val="auto"/>
          <w:sz w:val="24"/>
          <w:szCs w:val="24"/>
          <w:highlight w:val="none"/>
          <w:u w:val="none"/>
          <w:lang w:val="en-US" w:eastAsia="zh-CN"/>
        </w:rPr>
        <w:t>3 、投标人必须具有建设行政主管部门颁发的有效安全生产许可证。</w:t>
      </w:r>
    </w:p>
    <w:p w14:paraId="0930AAF1">
      <w:pPr>
        <w:pageBreakBefore w:val="0"/>
        <w:widowControl w:val="0"/>
        <w:kinsoku/>
        <w:wordWrap w:val="0"/>
        <w:overflowPunct/>
        <w:topLinePunct w:val="0"/>
        <w:autoSpaceDE/>
        <w:autoSpaceDN/>
        <w:bidi w:val="0"/>
        <w:adjustRightInd/>
        <w:snapToGrid/>
        <w:spacing w:line="336" w:lineRule="auto"/>
        <w:ind w:firstLine="480" w:firstLineChars="200"/>
        <w:jc w:val="left"/>
        <w:textAlignment w:val="auto"/>
        <w:rPr>
          <w:rFonts w:hint="eastAsia"/>
          <w:color w:val="auto"/>
          <w:sz w:val="24"/>
          <w:szCs w:val="24"/>
          <w:highlight w:val="none"/>
          <w:u w:val="none"/>
        </w:rPr>
      </w:pPr>
      <w:r>
        <w:rPr>
          <w:rFonts w:hint="eastAsia"/>
          <w:color w:val="auto"/>
          <w:sz w:val="24"/>
          <w:szCs w:val="24"/>
          <w:highlight w:val="none"/>
          <w:u w:val="none"/>
          <w:lang w:val="en-US" w:eastAsia="zh-CN"/>
        </w:rPr>
        <w:t>3.</w:t>
      </w:r>
      <w:r>
        <w:rPr>
          <w:rFonts w:hint="eastAsia"/>
          <w:color w:val="auto"/>
          <w:sz w:val="24"/>
          <w:szCs w:val="24"/>
          <w:highlight w:val="none"/>
          <w:u w:val="none"/>
        </w:rPr>
        <w:t>1.2财务要求</w:t>
      </w:r>
    </w:p>
    <w:p w14:paraId="031169ED">
      <w:pPr>
        <w:pageBreakBefore w:val="0"/>
        <w:widowControl w:val="0"/>
        <w:kinsoku/>
        <w:wordWrap w:val="0"/>
        <w:overflowPunct/>
        <w:topLinePunct w:val="0"/>
        <w:autoSpaceDE/>
        <w:autoSpaceDN/>
        <w:bidi w:val="0"/>
        <w:adjustRightInd/>
        <w:snapToGrid/>
        <w:spacing w:line="336" w:lineRule="auto"/>
        <w:ind w:firstLine="480" w:firstLineChars="200"/>
        <w:jc w:val="left"/>
        <w:textAlignment w:val="auto"/>
        <w:rPr>
          <w:rFonts w:hint="eastAsia"/>
          <w:color w:val="auto"/>
          <w:sz w:val="24"/>
          <w:szCs w:val="24"/>
          <w:highlight w:val="none"/>
          <w:u w:val="single"/>
        </w:rPr>
      </w:pPr>
      <w:r>
        <w:rPr>
          <w:rFonts w:hint="eastAsia" w:cstheme="minorBidi"/>
          <w:color w:val="auto"/>
          <w:kern w:val="2"/>
          <w:sz w:val="24"/>
          <w:szCs w:val="24"/>
          <w:highlight w:val="none"/>
          <w:u w:val="single"/>
          <w:lang w:val="en-US" w:eastAsia="zh-CN" w:bidi="ar-SA"/>
        </w:rPr>
        <w:t>无</w:t>
      </w:r>
    </w:p>
    <w:p w14:paraId="6AC21969">
      <w:pPr>
        <w:pageBreakBefore w:val="0"/>
        <w:widowControl w:val="0"/>
        <w:kinsoku/>
        <w:wordWrap w:val="0"/>
        <w:overflowPunct/>
        <w:topLinePunct w:val="0"/>
        <w:autoSpaceDE/>
        <w:autoSpaceDN/>
        <w:bidi w:val="0"/>
        <w:adjustRightInd/>
        <w:snapToGrid/>
        <w:spacing w:line="336" w:lineRule="auto"/>
        <w:ind w:firstLine="480" w:firstLineChars="200"/>
        <w:jc w:val="left"/>
        <w:textAlignment w:val="auto"/>
        <w:rPr>
          <w:rFonts w:hint="eastAsia"/>
          <w:color w:val="auto"/>
          <w:sz w:val="24"/>
          <w:szCs w:val="24"/>
          <w:highlight w:val="none"/>
          <w:u w:val="none"/>
          <w:lang w:eastAsia="zh-CN"/>
        </w:rPr>
      </w:pPr>
      <w:r>
        <w:rPr>
          <w:rFonts w:hint="eastAsia"/>
          <w:color w:val="auto"/>
          <w:sz w:val="24"/>
          <w:szCs w:val="24"/>
          <w:highlight w:val="none"/>
          <w:u w:val="none"/>
          <w:lang w:val="en-US" w:eastAsia="zh-CN"/>
        </w:rPr>
        <w:t>3.</w:t>
      </w:r>
      <w:r>
        <w:rPr>
          <w:rFonts w:hint="eastAsia"/>
          <w:color w:val="auto"/>
          <w:sz w:val="24"/>
          <w:szCs w:val="24"/>
          <w:highlight w:val="none"/>
          <w:u w:val="none"/>
        </w:rPr>
        <w:t>1.3业绩要求</w:t>
      </w:r>
      <w:r>
        <w:rPr>
          <w:rFonts w:hint="eastAsia"/>
          <w:color w:val="auto"/>
          <w:sz w:val="24"/>
          <w:szCs w:val="24"/>
          <w:highlight w:val="none"/>
          <w:u w:val="none"/>
          <w:lang w:eastAsia="zh-CN"/>
        </w:rPr>
        <w:t>：</w:t>
      </w:r>
    </w:p>
    <w:p w14:paraId="6138F8D2">
      <w:pPr>
        <w:pageBreakBefore w:val="0"/>
        <w:widowControl w:val="0"/>
        <w:kinsoku/>
        <w:wordWrap w:val="0"/>
        <w:overflowPunct/>
        <w:topLinePunct w:val="0"/>
        <w:autoSpaceDE/>
        <w:autoSpaceDN/>
        <w:bidi w:val="0"/>
        <w:adjustRightInd/>
        <w:snapToGrid/>
        <w:spacing w:line="336" w:lineRule="auto"/>
        <w:ind w:firstLine="480" w:firstLineChars="200"/>
        <w:jc w:val="left"/>
        <w:textAlignment w:val="auto"/>
        <w:rPr>
          <w:rFonts w:hint="eastAsia"/>
          <w:color w:val="auto"/>
          <w:sz w:val="24"/>
          <w:szCs w:val="24"/>
          <w:highlight w:val="none"/>
          <w:u w:val="single"/>
        </w:rPr>
      </w:pPr>
      <w:r>
        <w:rPr>
          <w:rFonts w:hint="eastAsia"/>
          <w:color w:val="auto"/>
          <w:sz w:val="24"/>
          <w:szCs w:val="24"/>
          <w:highlight w:val="none"/>
          <w:u w:val="single"/>
        </w:rPr>
        <w:t>投标人202</w:t>
      </w:r>
      <w:r>
        <w:rPr>
          <w:rFonts w:hint="eastAsia"/>
          <w:color w:val="auto"/>
          <w:sz w:val="24"/>
          <w:szCs w:val="24"/>
          <w:highlight w:val="none"/>
          <w:u w:val="single"/>
          <w:lang w:val="en-US" w:eastAsia="zh-CN"/>
        </w:rPr>
        <w:t>3</w:t>
      </w:r>
      <w:r>
        <w:rPr>
          <w:rFonts w:hint="eastAsia"/>
          <w:color w:val="auto"/>
          <w:sz w:val="24"/>
          <w:szCs w:val="24"/>
          <w:highlight w:val="none"/>
          <w:u w:val="single"/>
        </w:rPr>
        <w:t>年1月1日至投标文件递交截止时间（</w:t>
      </w:r>
      <w:r>
        <w:rPr>
          <w:rFonts w:hint="eastAsia" w:ascii="宋体" w:hAnsi="宋体" w:eastAsia="宋体" w:cs="宋体"/>
          <w:color w:val="auto"/>
          <w:sz w:val="24"/>
          <w:szCs w:val="24"/>
          <w:highlight w:val="none"/>
          <w:u w:val="single"/>
          <w:lang w:val="en-US" w:eastAsia="zh-CN"/>
        </w:rPr>
        <w:t>以竣工时间为准</w:t>
      </w:r>
      <w:r>
        <w:rPr>
          <w:rFonts w:hint="eastAsia"/>
          <w:color w:val="auto"/>
          <w:sz w:val="24"/>
          <w:szCs w:val="24"/>
          <w:highlight w:val="none"/>
          <w:u w:val="single"/>
        </w:rPr>
        <w:t>），完成过至少1项类似公路工程业绩。注：投标人应提供中标通知书、施工合同及竣工相关证明材料，三者缺一不可。</w:t>
      </w:r>
    </w:p>
    <w:p w14:paraId="7ADF2950">
      <w:pPr>
        <w:pageBreakBefore w:val="0"/>
        <w:widowControl w:val="0"/>
        <w:kinsoku/>
        <w:wordWrap w:val="0"/>
        <w:overflowPunct/>
        <w:topLinePunct w:val="0"/>
        <w:autoSpaceDE/>
        <w:autoSpaceDN/>
        <w:bidi w:val="0"/>
        <w:adjustRightInd/>
        <w:snapToGrid/>
        <w:spacing w:line="336" w:lineRule="auto"/>
        <w:ind w:firstLine="480" w:firstLineChars="200"/>
        <w:jc w:val="left"/>
        <w:textAlignment w:val="auto"/>
        <w:rPr>
          <w:rFonts w:hint="eastAsia"/>
          <w:color w:val="auto"/>
          <w:sz w:val="24"/>
          <w:szCs w:val="24"/>
          <w:highlight w:val="none"/>
          <w:u w:val="single"/>
        </w:rPr>
      </w:pPr>
      <w:r>
        <w:rPr>
          <w:rFonts w:hint="eastAsia"/>
          <w:color w:val="auto"/>
          <w:sz w:val="24"/>
          <w:szCs w:val="24"/>
          <w:highlight w:val="none"/>
          <w:u w:val="single"/>
          <w:lang w:eastAsia="zh-CN"/>
        </w:rPr>
        <w:t>（</w:t>
      </w:r>
      <w:r>
        <w:rPr>
          <w:rFonts w:hint="eastAsia"/>
          <w:color w:val="auto"/>
          <w:sz w:val="24"/>
          <w:szCs w:val="24"/>
          <w:highlight w:val="none"/>
          <w:u w:val="single"/>
          <w:lang w:val="en-US" w:eastAsia="zh-CN"/>
        </w:rPr>
        <w:t>1</w:t>
      </w:r>
      <w:r>
        <w:rPr>
          <w:rFonts w:hint="eastAsia"/>
          <w:color w:val="auto"/>
          <w:sz w:val="24"/>
          <w:szCs w:val="24"/>
          <w:highlight w:val="none"/>
          <w:u w:val="single"/>
          <w:lang w:eastAsia="zh-CN"/>
        </w:rPr>
        <w:t>）</w:t>
      </w:r>
      <w:r>
        <w:rPr>
          <w:rFonts w:hint="eastAsia"/>
          <w:color w:val="auto"/>
          <w:sz w:val="24"/>
          <w:szCs w:val="24"/>
          <w:highlight w:val="none"/>
          <w:u w:val="single"/>
        </w:rPr>
        <w:t>已录入“辽宁省公共资源交易平台主体交易库”中的企业业绩，可以从主体库中选取后关联至投标文件中，作为企业业绩的证明材料。</w:t>
      </w:r>
    </w:p>
    <w:p w14:paraId="571CDF51">
      <w:pPr>
        <w:pageBreakBefore w:val="0"/>
        <w:widowControl w:val="0"/>
        <w:kinsoku/>
        <w:wordWrap w:val="0"/>
        <w:overflowPunct/>
        <w:topLinePunct w:val="0"/>
        <w:autoSpaceDE/>
        <w:autoSpaceDN/>
        <w:bidi w:val="0"/>
        <w:adjustRightInd/>
        <w:snapToGrid/>
        <w:spacing w:line="336" w:lineRule="auto"/>
        <w:ind w:firstLine="480" w:firstLineChars="200"/>
        <w:jc w:val="left"/>
        <w:textAlignment w:val="auto"/>
        <w:rPr>
          <w:rFonts w:hint="eastAsia"/>
          <w:color w:val="auto"/>
          <w:sz w:val="24"/>
          <w:szCs w:val="24"/>
          <w:highlight w:val="none"/>
          <w:u w:val="single"/>
        </w:rPr>
      </w:pPr>
      <w:r>
        <w:rPr>
          <w:rFonts w:hint="eastAsia"/>
          <w:color w:val="auto"/>
          <w:sz w:val="24"/>
          <w:szCs w:val="24"/>
          <w:highlight w:val="none"/>
          <w:u w:val="single"/>
          <w:lang w:eastAsia="zh-CN"/>
        </w:rPr>
        <w:t>（</w:t>
      </w:r>
      <w:r>
        <w:rPr>
          <w:rFonts w:hint="eastAsia"/>
          <w:color w:val="auto"/>
          <w:sz w:val="24"/>
          <w:szCs w:val="24"/>
          <w:highlight w:val="none"/>
          <w:u w:val="single"/>
          <w:lang w:val="en-US" w:eastAsia="zh-CN"/>
        </w:rPr>
        <w:t>2</w:t>
      </w:r>
      <w:r>
        <w:rPr>
          <w:rFonts w:hint="eastAsia"/>
          <w:color w:val="auto"/>
          <w:sz w:val="24"/>
          <w:szCs w:val="24"/>
          <w:highlight w:val="none"/>
          <w:u w:val="single"/>
          <w:lang w:eastAsia="zh-CN"/>
        </w:rPr>
        <w:t>）</w:t>
      </w:r>
      <w:r>
        <w:rPr>
          <w:rFonts w:hint="eastAsia"/>
          <w:color w:val="auto"/>
          <w:sz w:val="24"/>
          <w:szCs w:val="24"/>
          <w:highlight w:val="none"/>
          <w:u w:val="single"/>
        </w:rPr>
        <w:t>未录入“辽宁省公共资源交易平台主体交易库”中的企业业绩，在投标文件第一个信封的“其他材料”中提供以下材料作为企业业绩证明材料：中标通知书、施工合同、竣工相关证明材料、中标结果公示网站截图；</w:t>
      </w:r>
    </w:p>
    <w:p w14:paraId="47548E75">
      <w:pPr>
        <w:pageBreakBefore w:val="0"/>
        <w:widowControl w:val="0"/>
        <w:kinsoku/>
        <w:wordWrap w:val="0"/>
        <w:overflowPunct/>
        <w:topLinePunct w:val="0"/>
        <w:autoSpaceDE/>
        <w:autoSpaceDN/>
        <w:bidi w:val="0"/>
        <w:adjustRightInd/>
        <w:snapToGrid/>
        <w:spacing w:line="336" w:lineRule="auto"/>
        <w:ind w:firstLine="480" w:firstLineChars="200"/>
        <w:jc w:val="left"/>
        <w:textAlignment w:val="auto"/>
        <w:rPr>
          <w:rFonts w:hint="eastAsia"/>
          <w:color w:val="auto"/>
          <w:sz w:val="24"/>
          <w:szCs w:val="24"/>
          <w:highlight w:val="none"/>
          <w:u w:val="single"/>
        </w:rPr>
      </w:pPr>
      <w:r>
        <w:rPr>
          <w:rFonts w:hint="eastAsia"/>
          <w:color w:val="auto"/>
          <w:sz w:val="24"/>
          <w:szCs w:val="24"/>
          <w:highlight w:val="none"/>
          <w:u w:val="single"/>
          <w:lang w:eastAsia="zh-CN"/>
        </w:rPr>
        <w:t>（</w:t>
      </w:r>
      <w:r>
        <w:rPr>
          <w:rFonts w:hint="eastAsia"/>
          <w:color w:val="auto"/>
          <w:sz w:val="24"/>
          <w:szCs w:val="24"/>
          <w:highlight w:val="none"/>
          <w:u w:val="single"/>
          <w:lang w:val="en-US" w:eastAsia="zh-CN"/>
        </w:rPr>
        <w:t>3</w:t>
      </w:r>
      <w:r>
        <w:rPr>
          <w:rFonts w:hint="eastAsia"/>
          <w:color w:val="auto"/>
          <w:sz w:val="24"/>
          <w:szCs w:val="24"/>
          <w:highlight w:val="none"/>
          <w:u w:val="single"/>
          <w:lang w:eastAsia="zh-CN"/>
        </w:rPr>
        <w:t>）</w:t>
      </w:r>
      <w:r>
        <w:rPr>
          <w:rFonts w:hint="eastAsia"/>
          <w:color w:val="auto"/>
          <w:sz w:val="24"/>
          <w:szCs w:val="24"/>
          <w:highlight w:val="none"/>
          <w:u w:val="single"/>
        </w:rPr>
        <w:t>如投标人法人机构发生变更或重组或法人名称变更时，应提供相关部门的合法批件。</w:t>
      </w:r>
    </w:p>
    <w:p w14:paraId="3BCCA5AC">
      <w:pPr>
        <w:pageBreakBefore w:val="0"/>
        <w:widowControl w:val="0"/>
        <w:kinsoku/>
        <w:wordWrap w:val="0"/>
        <w:overflowPunct/>
        <w:topLinePunct w:val="0"/>
        <w:autoSpaceDE/>
        <w:autoSpaceDN/>
        <w:bidi w:val="0"/>
        <w:adjustRightInd/>
        <w:snapToGrid/>
        <w:spacing w:line="336" w:lineRule="auto"/>
        <w:ind w:firstLine="480" w:firstLineChars="200"/>
        <w:jc w:val="left"/>
        <w:textAlignment w:val="auto"/>
        <w:rPr>
          <w:rFonts w:hint="eastAsia"/>
          <w:color w:val="auto"/>
          <w:sz w:val="24"/>
          <w:szCs w:val="24"/>
          <w:highlight w:val="none"/>
          <w:u w:val="none"/>
        </w:rPr>
      </w:pPr>
      <w:r>
        <w:rPr>
          <w:rFonts w:hint="eastAsia"/>
          <w:color w:val="auto"/>
          <w:sz w:val="24"/>
          <w:szCs w:val="24"/>
          <w:highlight w:val="none"/>
          <w:u w:val="none"/>
          <w:lang w:val="en-US" w:eastAsia="zh-CN"/>
        </w:rPr>
        <w:t>3.</w:t>
      </w:r>
      <w:r>
        <w:rPr>
          <w:rFonts w:hint="eastAsia"/>
          <w:color w:val="auto"/>
          <w:sz w:val="24"/>
          <w:szCs w:val="24"/>
          <w:highlight w:val="none"/>
          <w:u w:val="none"/>
        </w:rPr>
        <w:t>1.4项目经理和</w:t>
      </w:r>
      <w:r>
        <w:rPr>
          <w:rFonts w:hint="eastAsia"/>
          <w:color w:val="auto"/>
          <w:sz w:val="24"/>
          <w:szCs w:val="24"/>
          <w:highlight w:val="none"/>
          <w:u w:val="none"/>
          <w:lang w:val="en-US" w:eastAsia="zh-CN"/>
        </w:rPr>
        <w:t>项目总工</w:t>
      </w:r>
      <w:r>
        <w:rPr>
          <w:rFonts w:hint="eastAsia"/>
          <w:color w:val="auto"/>
          <w:sz w:val="24"/>
          <w:szCs w:val="24"/>
          <w:highlight w:val="none"/>
          <w:u w:val="none"/>
        </w:rPr>
        <w:t>要求</w:t>
      </w:r>
    </w:p>
    <w:p w14:paraId="20FEB59C">
      <w:pPr>
        <w:pageBreakBefore w:val="0"/>
        <w:kinsoku/>
        <w:wordWrap w:val="0"/>
        <w:autoSpaceDE/>
        <w:autoSpaceDN/>
        <w:bidi w:val="0"/>
        <w:adjustRightInd/>
        <w:snapToGrid/>
        <w:spacing w:line="336" w:lineRule="auto"/>
        <w:ind w:firstLine="480" w:firstLineChars="200"/>
        <w:textAlignment w:val="auto"/>
        <w:rPr>
          <w:rFonts w:hint="default"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u w:val="single"/>
          <w:lang w:val="en-US" w:eastAsia="zh-CN"/>
        </w:rPr>
        <w:t>（1）项目经理（1名）：具有公路工程专业二级及以上建造师证书以及交通运输主管部门颁发的安全生产考核合格“B”类证书</w:t>
      </w:r>
      <w:r>
        <w:rPr>
          <w:rFonts w:hint="eastAsia" w:ascii="宋体" w:hAnsi="宋体" w:cs="宋体"/>
          <w:color w:val="auto"/>
          <w:sz w:val="24"/>
          <w:szCs w:val="24"/>
          <w:highlight w:val="none"/>
          <w:u w:val="single"/>
          <w:lang w:val="en-US" w:eastAsia="zh-CN"/>
        </w:rPr>
        <w:t>，相关证书在有效期内且证书目前必须注册在投标人单位。</w:t>
      </w:r>
    </w:p>
    <w:p w14:paraId="4CDB4F5B">
      <w:pPr>
        <w:pageBreakBefore w:val="0"/>
        <w:kinsoku/>
        <w:wordWrap w:val="0"/>
        <w:autoSpaceDE/>
        <w:autoSpaceDN/>
        <w:bidi w:val="0"/>
        <w:adjustRightInd/>
        <w:snapToGrid/>
        <w:spacing w:line="336" w:lineRule="auto"/>
        <w:ind w:firstLine="480" w:firstLineChars="20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u w:val="single"/>
          <w:lang w:val="en-US" w:eastAsia="zh-CN"/>
        </w:rPr>
        <w:t>（2）项目总工程师（1名）：具有</w:t>
      </w:r>
      <w:r>
        <w:rPr>
          <w:rFonts w:hint="eastAsia" w:ascii="宋体" w:hAnsi="宋体" w:cs="宋体"/>
          <w:color w:val="auto"/>
          <w:sz w:val="24"/>
          <w:szCs w:val="24"/>
          <w:highlight w:val="none"/>
          <w:u w:val="single"/>
          <w:lang w:val="en-US" w:eastAsia="zh-CN"/>
        </w:rPr>
        <w:t>公路</w:t>
      </w:r>
      <w:r>
        <w:rPr>
          <w:rFonts w:hint="eastAsia" w:ascii="宋体" w:hAnsi="宋体" w:eastAsia="宋体" w:cs="宋体"/>
          <w:color w:val="auto"/>
          <w:sz w:val="24"/>
          <w:szCs w:val="24"/>
          <w:highlight w:val="none"/>
          <w:u w:val="single"/>
          <w:lang w:val="en-US" w:eastAsia="zh-CN"/>
        </w:rPr>
        <w:t>工程相关专业中级及以上技术职称。</w:t>
      </w:r>
    </w:p>
    <w:p w14:paraId="0D35073B">
      <w:pPr>
        <w:pageBreakBefore w:val="0"/>
        <w:kinsoku/>
        <w:wordWrap w:val="0"/>
        <w:autoSpaceDE/>
        <w:autoSpaceDN/>
        <w:bidi w:val="0"/>
        <w:adjustRightInd/>
        <w:snapToGrid/>
        <w:spacing w:line="336" w:lineRule="auto"/>
        <w:ind w:firstLine="480" w:firstLineChars="200"/>
        <w:textAlignment w:val="auto"/>
        <w:rPr>
          <w:rFonts w:hint="default"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u w:val="single"/>
          <w:lang w:val="en-US" w:eastAsia="zh-CN"/>
        </w:rPr>
        <w:t>注：项目经理和项目总工程师均不得同时在两个及以上项目任职。</w:t>
      </w:r>
    </w:p>
    <w:p w14:paraId="6807DA70">
      <w:pPr>
        <w:pageBreakBefore w:val="0"/>
        <w:widowControl w:val="0"/>
        <w:kinsoku/>
        <w:wordWrap w:val="0"/>
        <w:overflowPunct/>
        <w:topLinePunct w:val="0"/>
        <w:autoSpaceDE/>
        <w:autoSpaceDN/>
        <w:bidi w:val="0"/>
        <w:adjustRightInd/>
        <w:snapToGrid/>
        <w:spacing w:line="336" w:lineRule="auto"/>
        <w:ind w:firstLine="480" w:firstLineChars="200"/>
        <w:jc w:val="left"/>
        <w:textAlignment w:val="auto"/>
        <w:rPr>
          <w:rFonts w:hint="eastAsia"/>
          <w:color w:val="auto"/>
          <w:sz w:val="24"/>
          <w:szCs w:val="24"/>
          <w:highlight w:val="none"/>
          <w:u w:val="none"/>
        </w:rPr>
      </w:pPr>
      <w:r>
        <w:rPr>
          <w:rFonts w:hint="eastAsia"/>
          <w:color w:val="auto"/>
          <w:sz w:val="24"/>
          <w:szCs w:val="24"/>
          <w:highlight w:val="none"/>
          <w:u w:val="none"/>
          <w:lang w:val="en-US" w:eastAsia="zh-CN"/>
        </w:rPr>
        <w:t>3.</w:t>
      </w:r>
      <w:r>
        <w:rPr>
          <w:rFonts w:hint="eastAsia"/>
          <w:color w:val="auto"/>
          <w:sz w:val="24"/>
          <w:szCs w:val="24"/>
          <w:highlight w:val="none"/>
          <w:u w:val="none"/>
        </w:rPr>
        <w:t>1.5信誉要求</w:t>
      </w:r>
    </w:p>
    <w:p w14:paraId="27F09B3F">
      <w:pPr>
        <w:pStyle w:val="29"/>
        <w:pageBreakBefore w:val="0"/>
        <w:widowControl w:val="0"/>
        <w:kinsoku/>
        <w:overflowPunct/>
        <w:topLinePunct w:val="0"/>
        <w:autoSpaceDE/>
        <w:autoSpaceDN/>
        <w:bidi w:val="0"/>
        <w:adjustRightInd/>
        <w:snapToGrid/>
        <w:spacing w:line="336" w:lineRule="auto"/>
        <w:ind w:firstLine="480" w:firstLineChars="200"/>
        <w:jc w:val="left"/>
        <w:textAlignment w:val="auto"/>
        <w:rPr>
          <w:rFonts w:hint="eastAsia" w:asciiTheme="minorHAnsi" w:hAnsiTheme="minorHAnsi" w:eastAsiaTheme="minorEastAsia" w:cstheme="minorBidi"/>
          <w:color w:val="auto"/>
          <w:kern w:val="2"/>
          <w:sz w:val="24"/>
          <w:szCs w:val="24"/>
          <w:highlight w:val="none"/>
          <w:u w:val="single"/>
          <w:lang w:val="en-US" w:eastAsia="zh-CN" w:bidi="ar-SA"/>
        </w:rPr>
      </w:pPr>
      <w:r>
        <w:rPr>
          <w:rFonts w:hint="eastAsia" w:asciiTheme="minorHAnsi" w:hAnsiTheme="minorHAnsi" w:eastAsiaTheme="minorEastAsia" w:cstheme="minorBidi"/>
          <w:color w:val="auto"/>
          <w:kern w:val="2"/>
          <w:sz w:val="24"/>
          <w:szCs w:val="24"/>
          <w:highlight w:val="none"/>
          <w:u w:val="single"/>
          <w:lang w:val="en-US" w:eastAsia="zh-CN" w:bidi="ar-SA"/>
        </w:rPr>
        <w:t>（1）未被省级及以上交通运输主管部门取消招标项目所在地的投标资格且处于有效期内；</w:t>
      </w:r>
    </w:p>
    <w:p w14:paraId="02EC398A">
      <w:pPr>
        <w:pStyle w:val="29"/>
        <w:pageBreakBefore w:val="0"/>
        <w:widowControl w:val="0"/>
        <w:kinsoku/>
        <w:overflowPunct/>
        <w:topLinePunct w:val="0"/>
        <w:autoSpaceDE/>
        <w:autoSpaceDN/>
        <w:bidi w:val="0"/>
        <w:adjustRightInd/>
        <w:snapToGrid/>
        <w:spacing w:line="336" w:lineRule="auto"/>
        <w:ind w:firstLine="480" w:firstLineChars="200"/>
        <w:jc w:val="left"/>
        <w:textAlignment w:val="auto"/>
        <w:rPr>
          <w:rFonts w:hint="eastAsia" w:asciiTheme="minorHAnsi" w:hAnsiTheme="minorHAnsi" w:eastAsiaTheme="minorEastAsia" w:cstheme="minorBidi"/>
          <w:color w:val="auto"/>
          <w:kern w:val="2"/>
          <w:sz w:val="24"/>
          <w:szCs w:val="24"/>
          <w:highlight w:val="none"/>
          <w:u w:val="single"/>
          <w:lang w:val="en-US" w:eastAsia="zh-CN" w:bidi="ar-SA"/>
        </w:rPr>
      </w:pPr>
      <w:r>
        <w:rPr>
          <w:rFonts w:hint="eastAsia" w:asciiTheme="minorHAnsi" w:hAnsiTheme="minorHAnsi" w:eastAsiaTheme="minorEastAsia" w:cstheme="minorBidi"/>
          <w:color w:val="auto"/>
          <w:kern w:val="2"/>
          <w:sz w:val="24"/>
          <w:szCs w:val="24"/>
          <w:highlight w:val="none"/>
          <w:u w:val="single"/>
          <w:lang w:val="en-US" w:eastAsia="zh-CN" w:bidi="ar-SA"/>
        </w:rPr>
        <w:t>（2）未被责令停业，暂扣或吊销执照，或吊销资质证书；</w:t>
      </w:r>
    </w:p>
    <w:p w14:paraId="67D27197">
      <w:pPr>
        <w:pStyle w:val="29"/>
        <w:pageBreakBefore w:val="0"/>
        <w:widowControl w:val="0"/>
        <w:kinsoku/>
        <w:overflowPunct/>
        <w:topLinePunct w:val="0"/>
        <w:autoSpaceDE/>
        <w:autoSpaceDN/>
        <w:bidi w:val="0"/>
        <w:adjustRightInd/>
        <w:snapToGrid/>
        <w:spacing w:line="336" w:lineRule="auto"/>
        <w:ind w:firstLine="480" w:firstLineChars="200"/>
        <w:jc w:val="left"/>
        <w:textAlignment w:val="auto"/>
        <w:rPr>
          <w:rFonts w:hint="eastAsia" w:asciiTheme="minorHAnsi" w:hAnsiTheme="minorHAnsi" w:eastAsiaTheme="minorEastAsia" w:cstheme="minorBidi"/>
          <w:color w:val="auto"/>
          <w:kern w:val="2"/>
          <w:sz w:val="24"/>
          <w:szCs w:val="24"/>
          <w:highlight w:val="none"/>
          <w:u w:val="single"/>
          <w:lang w:val="en-US" w:eastAsia="zh-CN" w:bidi="ar-SA"/>
        </w:rPr>
      </w:pPr>
      <w:r>
        <w:rPr>
          <w:rFonts w:hint="eastAsia" w:asciiTheme="minorHAnsi" w:hAnsiTheme="minorHAnsi" w:eastAsiaTheme="minorEastAsia" w:cstheme="minorBidi"/>
          <w:color w:val="auto"/>
          <w:kern w:val="2"/>
          <w:sz w:val="24"/>
          <w:szCs w:val="24"/>
          <w:highlight w:val="none"/>
          <w:u w:val="single"/>
          <w:lang w:val="en-US" w:eastAsia="zh-CN" w:bidi="ar-SA"/>
        </w:rPr>
        <w:t>（3）未进入清算程序，或被宣告破产，或其他丧失履约能力的情形；</w:t>
      </w:r>
    </w:p>
    <w:p w14:paraId="5FA786DF">
      <w:pPr>
        <w:pStyle w:val="29"/>
        <w:pageBreakBefore w:val="0"/>
        <w:widowControl w:val="0"/>
        <w:kinsoku/>
        <w:overflowPunct/>
        <w:topLinePunct w:val="0"/>
        <w:autoSpaceDE/>
        <w:autoSpaceDN/>
        <w:bidi w:val="0"/>
        <w:adjustRightInd/>
        <w:snapToGrid/>
        <w:spacing w:line="336" w:lineRule="auto"/>
        <w:ind w:firstLine="480" w:firstLineChars="200"/>
        <w:jc w:val="left"/>
        <w:textAlignment w:val="auto"/>
        <w:rPr>
          <w:rFonts w:hint="eastAsia" w:asciiTheme="minorHAnsi" w:hAnsiTheme="minorHAnsi" w:eastAsiaTheme="minorEastAsia" w:cstheme="minorBidi"/>
          <w:color w:val="auto"/>
          <w:kern w:val="2"/>
          <w:sz w:val="24"/>
          <w:szCs w:val="24"/>
          <w:highlight w:val="none"/>
          <w:u w:val="single"/>
          <w:lang w:val="en-US" w:eastAsia="zh-CN" w:bidi="ar-SA"/>
        </w:rPr>
      </w:pPr>
      <w:r>
        <w:rPr>
          <w:rFonts w:hint="eastAsia" w:asciiTheme="minorHAnsi" w:hAnsiTheme="minorHAnsi" w:eastAsiaTheme="minorEastAsia" w:cstheme="minorBidi"/>
          <w:color w:val="auto"/>
          <w:kern w:val="2"/>
          <w:sz w:val="24"/>
          <w:szCs w:val="24"/>
          <w:highlight w:val="none"/>
          <w:u w:val="single"/>
          <w:lang w:val="en-US" w:eastAsia="zh-CN" w:bidi="ar-SA"/>
        </w:rPr>
        <w:t>（4）在国家企业信用信息公示系统（http：//www.gsxt.gov.cn）中未被列入严重违法失信企业名单；</w:t>
      </w:r>
    </w:p>
    <w:p w14:paraId="4496E1E0">
      <w:pPr>
        <w:pStyle w:val="29"/>
        <w:pageBreakBefore w:val="0"/>
        <w:widowControl w:val="0"/>
        <w:kinsoku/>
        <w:overflowPunct/>
        <w:topLinePunct w:val="0"/>
        <w:autoSpaceDE/>
        <w:autoSpaceDN/>
        <w:bidi w:val="0"/>
        <w:adjustRightInd/>
        <w:snapToGrid/>
        <w:spacing w:line="336" w:lineRule="auto"/>
        <w:ind w:firstLine="480" w:firstLineChars="200"/>
        <w:jc w:val="left"/>
        <w:textAlignment w:val="auto"/>
        <w:rPr>
          <w:rFonts w:hint="eastAsia" w:asciiTheme="minorHAnsi" w:hAnsiTheme="minorHAnsi" w:eastAsiaTheme="minorEastAsia" w:cstheme="minorBidi"/>
          <w:color w:val="auto"/>
          <w:kern w:val="2"/>
          <w:sz w:val="24"/>
          <w:szCs w:val="24"/>
          <w:highlight w:val="none"/>
          <w:u w:val="single"/>
          <w:lang w:val="en-US" w:eastAsia="zh-CN" w:bidi="ar-SA"/>
        </w:rPr>
      </w:pPr>
      <w:r>
        <w:rPr>
          <w:rFonts w:hint="eastAsia" w:asciiTheme="minorHAnsi" w:hAnsiTheme="minorHAnsi" w:eastAsiaTheme="minorEastAsia" w:cstheme="minorBidi"/>
          <w:color w:val="auto"/>
          <w:kern w:val="2"/>
          <w:sz w:val="24"/>
          <w:szCs w:val="24"/>
          <w:highlight w:val="none"/>
          <w:u w:val="single"/>
          <w:lang w:val="en-US" w:eastAsia="zh-CN" w:bidi="ar-SA"/>
        </w:rPr>
        <w:t>（5）在“信用中国”网站（http：//www.creditchina.gov.cn）中未被列入失信被执行人名单；</w:t>
      </w:r>
    </w:p>
    <w:p w14:paraId="3EF83375">
      <w:pPr>
        <w:pStyle w:val="29"/>
        <w:pageBreakBefore w:val="0"/>
        <w:widowControl w:val="0"/>
        <w:kinsoku/>
        <w:overflowPunct/>
        <w:topLinePunct w:val="0"/>
        <w:autoSpaceDE/>
        <w:autoSpaceDN/>
        <w:bidi w:val="0"/>
        <w:adjustRightInd/>
        <w:snapToGrid/>
        <w:spacing w:line="336" w:lineRule="auto"/>
        <w:ind w:firstLine="480" w:firstLineChars="200"/>
        <w:jc w:val="left"/>
        <w:textAlignment w:val="auto"/>
        <w:rPr>
          <w:rFonts w:hint="eastAsia" w:asciiTheme="minorHAnsi" w:hAnsiTheme="minorHAnsi" w:eastAsiaTheme="minorEastAsia" w:cstheme="minorBidi"/>
          <w:color w:val="auto"/>
          <w:kern w:val="2"/>
          <w:sz w:val="24"/>
          <w:szCs w:val="24"/>
          <w:highlight w:val="none"/>
          <w:u w:val="single"/>
          <w:lang w:val="en-US" w:eastAsia="zh-CN" w:bidi="ar-SA"/>
        </w:rPr>
      </w:pPr>
      <w:r>
        <w:rPr>
          <w:rFonts w:hint="eastAsia" w:asciiTheme="minorHAnsi" w:hAnsiTheme="minorHAnsi" w:eastAsiaTheme="minorEastAsia" w:cstheme="minorBidi"/>
          <w:color w:val="auto"/>
          <w:kern w:val="2"/>
          <w:sz w:val="24"/>
          <w:szCs w:val="24"/>
          <w:highlight w:val="none"/>
          <w:u w:val="single"/>
          <w:lang w:val="en-US" w:eastAsia="zh-CN" w:bidi="ar-SA"/>
        </w:rPr>
        <w:t>（6）投标人或其法定代表人、拟委任的项目经理在近三年内没有行贿犯罪行为的；</w:t>
      </w:r>
    </w:p>
    <w:p w14:paraId="041F1456">
      <w:pPr>
        <w:pStyle w:val="29"/>
        <w:pageBreakBefore w:val="0"/>
        <w:widowControl w:val="0"/>
        <w:kinsoku/>
        <w:overflowPunct/>
        <w:topLinePunct w:val="0"/>
        <w:autoSpaceDE/>
        <w:autoSpaceDN/>
        <w:bidi w:val="0"/>
        <w:adjustRightInd/>
        <w:snapToGrid/>
        <w:spacing w:line="336" w:lineRule="auto"/>
        <w:ind w:firstLine="480" w:firstLineChars="200"/>
        <w:jc w:val="left"/>
        <w:textAlignment w:val="auto"/>
        <w:rPr>
          <w:rFonts w:hint="eastAsia" w:asciiTheme="minorHAnsi" w:hAnsiTheme="minorHAnsi" w:eastAsiaTheme="minorEastAsia" w:cstheme="minorBidi"/>
          <w:color w:val="auto"/>
          <w:kern w:val="2"/>
          <w:sz w:val="24"/>
          <w:szCs w:val="24"/>
          <w:highlight w:val="none"/>
          <w:u w:val="single"/>
          <w:lang w:val="en-US" w:eastAsia="zh-CN" w:bidi="ar-SA"/>
        </w:rPr>
      </w:pPr>
      <w:r>
        <w:rPr>
          <w:rFonts w:hint="eastAsia" w:asciiTheme="minorHAnsi" w:hAnsiTheme="minorHAnsi" w:eastAsiaTheme="minorEastAsia" w:cstheme="minorBidi"/>
          <w:color w:val="auto"/>
          <w:kern w:val="2"/>
          <w:sz w:val="24"/>
          <w:szCs w:val="24"/>
          <w:highlight w:val="none"/>
          <w:u w:val="single"/>
          <w:lang w:val="en-US" w:eastAsia="zh-CN" w:bidi="ar-SA"/>
        </w:rPr>
        <w:t>（7）投标人在以往工程未因拖欠农民工工资、材料采购、工程分包款等，而受到省级有关部门的通报；</w:t>
      </w:r>
    </w:p>
    <w:p w14:paraId="4F6C880A">
      <w:pPr>
        <w:pageBreakBefore w:val="0"/>
        <w:widowControl w:val="0"/>
        <w:kinsoku/>
        <w:wordWrap w:val="0"/>
        <w:overflowPunct/>
        <w:topLinePunct w:val="0"/>
        <w:autoSpaceDE/>
        <w:autoSpaceDN/>
        <w:bidi w:val="0"/>
        <w:adjustRightInd/>
        <w:snapToGrid/>
        <w:spacing w:line="336" w:lineRule="auto"/>
        <w:ind w:firstLine="480" w:firstLineChars="200"/>
        <w:textAlignment w:val="auto"/>
        <w:rPr>
          <w:rFonts w:hint="eastAsia" w:asciiTheme="minorHAnsi" w:hAnsiTheme="minorHAnsi" w:eastAsiaTheme="minorEastAsia" w:cstheme="minorBidi"/>
          <w:color w:val="auto"/>
          <w:kern w:val="2"/>
          <w:sz w:val="24"/>
          <w:szCs w:val="24"/>
          <w:highlight w:val="none"/>
          <w:u w:val="single"/>
          <w:lang w:val="en-US" w:eastAsia="zh-CN" w:bidi="ar-SA"/>
        </w:rPr>
      </w:pPr>
      <w:r>
        <w:rPr>
          <w:rFonts w:hint="eastAsia" w:asciiTheme="minorHAnsi" w:hAnsiTheme="minorHAnsi" w:eastAsiaTheme="minorEastAsia" w:cstheme="minorBidi"/>
          <w:color w:val="auto"/>
          <w:kern w:val="2"/>
          <w:sz w:val="24"/>
          <w:szCs w:val="24"/>
          <w:highlight w:val="none"/>
          <w:u w:val="single"/>
          <w:lang w:val="en-US" w:eastAsia="zh-CN" w:bidi="ar-SA"/>
        </w:rPr>
        <w:t>（8）法律法规规定的其他情形。</w:t>
      </w:r>
    </w:p>
    <w:p w14:paraId="289AF1AE">
      <w:pPr>
        <w:pageBreakBefore w:val="0"/>
        <w:kinsoku/>
        <w:wordWrap w:val="0"/>
        <w:autoSpaceDE/>
        <w:autoSpaceDN/>
        <w:bidi w:val="0"/>
        <w:adjustRightInd/>
        <w:snapToGrid/>
        <w:spacing w:line="336" w:lineRule="auto"/>
        <w:ind w:firstLine="480" w:firstLineChars="200"/>
        <w:textAlignment w:val="auto"/>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3.1.6其他要求</w:t>
      </w:r>
    </w:p>
    <w:p w14:paraId="7E767B86">
      <w:pPr>
        <w:pageBreakBefore w:val="0"/>
        <w:numPr>
          <w:ilvl w:val="0"/>
          <w:numId w:val="0"/>
        </w:numPr>
        <w:kinsoku/>
        <w:wordWrap w:val="0"/>
        <w:autoSpaceDE/>
        <w:autoSpaceDN/>
        <w:bidi w:val="0"/>
        <w:adjustRightInd/>
        <w:snapToGrid/>
        <w:spacing w:line="336"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eastAsia="宋体" w:cs="Times New Roman"/>
          <w:color w:val="auto"/>
          <w:kern w:val="2"/>
          <w:sz w:val="24"/>
          <w:szCs w:val="24"/>
          <w:highlight w:val="none"/>
          <w:lang w:val="en-US" w:eastAsia="zh-CN" w:bidi="ar-SA"/>
        </w:rPr>
        <w:t>（1）</w:t>
      </w:r>
      <w:r>
        <w:rPr>
          <w:rFonts w:hint="default" w:ascii="Times New Roman" w:hAnsi="Times New Roman" w:cs="Times New Roman"/>
          <w:color w:val="auto"/>
          <w:sz w:val="24"/>
          <w:highlight w:val="none"/>
        </w:rPr>
        <w:t>根据《关于发布公路工程从业企业资质名录的通知》（厅公路字〔2011〕114号）要求，投标人如为名录范围的施工企业，则应进入交通运输部</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全国公路建设市场监督管理系统（https://hwdms.mot.gov.cn/BMWebSite/）</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中的公路工程施工资质企业名录，且投标人名称和资质与该名录中的相应企业名称和资质完全一致。</w:t>
      </w:r>
    </w:p>
    <w:p w14:paraId="3B562473">
      <w:pPr>
        <w:pageBreakBefore w:val="0"/>
        <w:numPr>
          <w:ilvl w:val="0"/>
          <w:numId w:val="0"/>
        </w:numPr>
        <w:kinsoku/>
        <w:wordWrap w:val="0"/>
        <w:autoSpaceDE/>
        <w:autoSpaceDN/>
        <w:bidi w:val="0"/>
        <w:adjustRightInd/>
        <w:snapToGrid/>
        <w:spacing w:line="336"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eastAsia="宋体" w:cs="Times New Roman"/>
          <w:color w:val="auto"/>
          <w:kern w:val="2"/>
          <w:sz w:val="24"/>
          <w:szCs w:val="24"/>
          <w:highlight w:val="none"/>
          <w:lang w:val="en-US" w:eastAsia="zh-CN" w:bidi="ar-SA"/>
        </w:rPr>
        <w:t>（2）</w:t>
      </w:r>
      <w:r>
        <w:rPr>
          <w:rFonts w:hint="eastAsia" w:asciiTheme="minorHAnsi" w:hAnsiTheme="minorHAnsi" w:eastAsiaTheme="minorEastAsia" w:cstheme="minorBidi"/>
          <w:color w:val="auto"/>
          <w:kern w:val="2"/>
          <w:sz w:val="24"/>
          <w:szCs w:val="24"/>
          <w:highlight w:val="none"/>
          <w:u w:val="single"/>
          <w:lang w:val="en-US" w:eastAsia="zh-CN" w:bidi="ar-SA"/>
        </w:rPr>
        <w:t xml:space="preserve">      /     。</w:t>
      </w:r>
    </w:p>
    <w:p w14:paraId="2768785F">
      <w:pPr>
        <w:pageBreakBefore w:val="0"/>
        <w:kinsoku/>
        <w:wordWrap w:val="0"/>
        <w:autoSpaceDE/>
        <w:autoSpaceDN/>
        <w:bidi w:val="0"/>
        <w:adjustRightInd/>
        <w:snapToGrid/>
        <w:spacing w:line="336" w:lineRule="auto"/>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3.2本次招标</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不接受</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（接受或不接受）联合体投标。</w:t>
      </w:r>
    </w:p>
    <w:p w14:paraId="2E6DFE0B">
      <w:pPr>
        <w:pageBreakBefore w:val="0"/>
        <w:kinsoku/>
        <w:wordWrap w:val="0"/>
        <w:autoSpaceDE/>
        <w:autoSpaceDN/>
        <w:bidi w:val="0"/>
        <w:adjustRightInd/>
        <w:snapToGrid/>
        <w:spacing w:line="336" w:lineRule="auto"/>
        <w:ind w:left="0" w:leftChars="0" w:firstLine="480" w:firstLineChars="200"/>
        <w:jc w:val="left"/>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3</w:t>
      </w:r>
      <w:r>
        <w:rPr>
          <w:rFonts w:hint="default" w:ascii="宋体" w:hAnsi="宋体" w:eastAsia="宋体" w:cs="宋体"/>
          <w:color w:val="auto"/>
          <w:sz w:val="24"/>
          <w:szCs w:val="24"/>
          <w:highlight w:val="none"/>
        </w:rPr>
        <w:t>与招标人存在利害关系可能影响招标公正性的单位，不得参加投标。单位负责人为同一人或存在控股、管理关系的不同单位，不得参加同</w:t>
      </w:r>
      <w:r>
        <w:rPr>
          <w:rFonts w:hint="eastAsia" w:ascii="宋体" w:hAnsi="宋体" w:eastAsia="宋体" w:cs="宋体"/>
          <w:color w:val="auto"/>
          <w:sz w:val="24"/>
          <w:szCs w:val="24"/>
          <w:highlight w:val="none"/>
          <w:lang w:val="en-US" w:eastAsia="zh-CN"/>
        </w:rPr>
        <w:t>一</w:t>
      </w:r>
      <w:r>
        <w:rPr>
          <w:rFonts w:hint="eastAsia" w:ascii="宋体" w:hAnsi="宋体" w:eastAsia="宋体" w:cs="宋体"/>
          <w:color w:val="auto"/>
          <w:sz w:val="24"/>
          <w:szCs w:val="24"/>
          <w:highlight w:val="none"/>
          <w:lang w:eastAsia="zh-CN"/>
        </w:rPr>
        <w:t>标段</w:t>
      </w:r>
      <w:r>
        <w:rPr>
          <w:rFonts w:hint="default" w:ascii="宋体" w:hAnsi="宋体" w:eastAsia="宋体" w:cs="宋体"/>
          <w:color w:val="auto"/>
          <w:sz w:val="24"/>
          <w:szCs w:val="24"/>
          <w:highlight w:val="none"/>
        </w:rPr>
        <w:t>投标，否则，相关投标均无效。</w:t>
      </w:r>
    </w:p>
    <w:p w14:paraId="7323EC11">
      <w:pPr>
        <w:pageBreakBefore w:val="0"/>
        <w:kinsoku/>
        <w:wordWrap w:val="0"/>
        <w:autoSpaceDE/>
        <w:autoSpaceDN/>
        <w:bidi w:val="0"/>
        <w:adjustRightInd/>
        <w:snapToGrid/>
        <w:spacing w:line="336" w:lineRule="auto"/>
        <w:ind w:left="0" w:leftChars="0" w:firstLine="480" w:firstLineChars="200"/>
        <w:jc w:val="left"/>
        <w:textAlignment w:val="auto"/>
        <w:rPr>
          <w:rFonts w:hint="default" w:ascii="Times New Roman" w:hAnsi="Times New Roman" w:cs="Times New Roman"/>
          <w:color w:val="auto"/>
          <w:kern w:val="28"/>
          <w:sz w:val="24"/>
          <w:highlight w:val="none"/>
        </w:rPr>
      </w:pPr>
      <w:r>
        <w:rPr>
          <w:rFonts w:hint="default"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4</w:t>
      </w:r>
      <w:r>
        <w:rPr>
          <w:rFonts w:hint="default" w:ascii="Times New Roman" w:hAnsi="Times New Roman" w:cs="Times New Roman"/>
          <w:color w:val="auto"/>
          <w:kern w:val="28"/>
          <w:sz w:val="24"/>
          <w:highlight w:val="none"/>
        </w:rPr>
        <w:t>存在下列不良状况或不良信用记录的单位，不得以任何形式参加投标：</w:t>
      </w:r>
    </w:p>
    <w:p w14:paraId="1728B3C9">
      <w:pPr>
        <w:pageBreakBefore w:val="0"/>
        <w:kinsoku/>
        <w:wordWrap w:val="0"/>
        <w:overflowPunct/>
        <w:autoSpaceDE/>
        <w:autoSpaceDN/>
        <w:bidi w:val="0"/>
        <w:adjustRightInd/>
        <w:snapToGrid/>
        <w:spacing w:line="336" w:lineRule="auto"/>
        <w:ind w:firstLine="480" w:firstLineChars="200"/>
        <w:textAlignment w:val="auto"/>
        <w:rPr>
          <w:rFonts w:hint="default" w:ascii="Times New Roman" w:hAnsi="Times New Roman" w:cs="Times New Roman"/>
          <w:color w:val="auto"/>
          <w:kern w:val="28"/>
          <w:sz w:val="24"/>
          <w:highlight w:val="none"/>
        </w:rPr>
      </w:pPr>
      <w:r>
        <w:rPr>
          <w:rFonts w:hint="default" w:ascii="Times New Roman" w:hAnsi="Times New Roman" w:cs="Times New Roman"/>
          <w:color w:val="auto"/>
          <w:kern w:val="28"/>
          <w:sz w:val="24"/>
          <w:highlight w:val="none"/>
        </w:rPr>
        <w:t>（1）被省级及以上交通运输主管部门取消招标项目所在地的投标资格且处于有效期内；</w:t>
      </w:r>
    </w:p>
    <w:p w14:paraId="4A5BCB5B">
      <w:pPr>
        <w:pageBreakBefore w:val="0"/>
        <w:kinsoku/>
        <w:wordWrap w:val="0"/>
        <w:overflowPunct/>
        <w:autoSpaceDE/>
        <w:autoSpaceDN/>
        <w:bidi w:val="0"/>
        <w:adjustRightInd/>
        <w:snapToGrid/>
        <w:spacing w:line="336" w:lineRule="auto"/>
        <w:ind w:firstLine="480" w:firstLineChars="200"/>
        <w:textAlignment w:val="auto"/>
        <w:rPr>
          <w:rFonts w:hint="default" w:ascii="Times New Roman" w:hAnsi="Times New Roman" w:cs="Times New Roman"/>
          <w:color w:val="auto"/>
          <w:kern w:val="28"/>
          <w:sz w:val="24"/>
          <w:highlight w:val="none"/>
        </w:rPr>
      </w:pPr>
      <w:r>
        <w:rPr>
          <w:rFonts w:hint="default" w:ascii="Times New Roman" w:hAnsi="Times New Roman" w:cs="Times New Roman"/>
          <w:color w:val="auto"/>
          <w:kern w:val="28"/>
          <w:sz w:val="24"/>
          <w:highlight w:val="none"/>
        </w:rPr>
        <w:t>（2）被责令停业，暂扣或吊销执照，或吊销资质证书；</w:t>
      </w:r>
    </w:p>
    <w:p w14:paraId="6EF18AA0">
      <w:pPr>
        <w:pageBreakBefore w:val="0"/>
        <w:kinsoku/>
        <w:wordWrap w:val="0"/>
        <w:overflowPunct/>
        <w:autoSpaceDE/>
        <w:autoSpaceDN/>
        <w:bidi w:val="0"/>
        <w:adjustRightInd/>
        <w:snapToGrid/>
        <w:spacing w:line="336" w:lineRule="auto"/>
        <w:ind w:firstLine="480" w:firstLineChars="200"/>
        <w:textAlignment w:val="auto"/>
        <w:rPr>
          <w:rFonts w:hint="default" w:ascii="Times New Roman" w:hAnsi="Times New Roman" w:cs="Times New Roman"/>
          <w:color w:val="auto"/>
          <w:kern w:val="28"/>
          <w:sz w:val="24"/>
          <w:highlight w:val="none"/>
        </w:rPr>
      </w:pPr>
      <w:r>
        <w:rPr>
          <w:rFonts w:hint="default" w:ascii="Times New Roman" w:hAnsi="Times New Roman" w:cs="Times New Roman"/>
          <w:color w:val="auto"/>
          <w:kern w:val="28"/>
          <w:sz w:val="24"/>
          <w:highlight w:val="none"/>
        </w:rPr>
        <w:t>（3）进入清算程序，或被宣告破产，或其他丧失履约能力的情形；</w:t>
      </w:r>
    </w:p>
    <w:p w14:paraId="16A849DD">
      <w:pPr>
        <w:pageBreakBefore w:val="0"/>
        <w:kinsoku/>
        <w:wordWrap w:val="0"/>
        <w:overflowPunct/>
        <w:autoSpaceDE/>
        <w:autoSpaceDN/>
        <w:bidi w:val="0"/>
        <w:adjustRightInd/>
        <w:snapToGrid/>
        <w:spacing w:line="336" w:lineRule="auto"/>
        <w:ind w:firstLine="480" w:firstLineChars="200"/>
        <w:textAlignment w:val="auto"/>
        <w:rPr>
          <w:rFonts w:hint="default" w:ascii="Times New Roman" w:hAnsi="Times New Roman" w:cs="Times New Roman"/>
          <w:color w:val="auto"/>
          <w:kern w:val="28"/>
          <w:sz w:val="24"/>
          <w:highlight w:val="none"/>
        </w:rPr>
      </w:pPr>
      <w:r>
        <w:rPr>
          <w:rFonts w:hint="default" w:ascii="Times New Roman" w:hAnsi="Times New Roman" w:cs="Times New Roman"/>
          <w:color w:val="auto"/>
          <w:kern w:val="28"/>
          <w:sz w:val="24"/>
          <w:highlight w:val="none"/>
        </w:rPr>
        <w:t>（4）在国家企业信用信息公示系统（http://www.gsxt.gov.cn）中被列入严重违法失信企业名单；</w:t>
      </w:r>
    </w:p>
    <w:p w14:paraId="59013676">
      <w:pPr>
        <w:pageBreakBefore w:val="0"/>
        <w:kinsoku/>
        <w:wordWrap w:val="0"/>
        <w:overflowPunct/>
        <w:autoSpaceDE/>
        <w:autoSpaceDN/>
        <w:bidi w:val="0"/>
        <w:adjustRightInd/>
        <w:snapToGrid/>
        <w:spacing w:line="336" w:lineRule="auto"/>
        <w:ind w:firstLine="480" w:firstLineChars="200"/>
        <w:textAlignment w:val="auto"/>
        <w:rPr>
          <w:rFonts w:hint="default" w:ascii="Times New Roman" w:hAnsi="Times New Roman" w:cs="Times New Roman"/>
          <w:color w:val="auto"/>
          <w:kern w:val="28"/>
          <w:sz w:val="24"/>
          <w:highlight w:val="none"/>
        </w:rPr>
      </w:pPr>
      <w:r>
        <w:rPr>
          <w:rFonts w:hint="default" w:ascii="Times New Roman" w:hAnsi="Times New Roman" w:cs="Times New Roman"/>
          <w:color w:val="auto"/>
          <w:kern w:val="28"/>
          <w:sz w:val="24"/>
          <w:highlight w:val="none"/>
        </w:rPr>
        <w:t>（5）在</w:t>
      </w:r>
      <w:r>
        <w:rPr>
          <w:rFonts w:hint="eastAsia" w:ascii="宋体" w:hAnsi="宋体" w:eastAsia="宋体" w:cs="宋体"/>
          <w:color w:val="auto"/>
          <w:kern w:val="28"/>
          <w:sz w:val="24"/>
          <w:highlight w:val="none"/>
        </w:rPr>
        <w:t>“</w:t>
      </w:r>
      <w:r>
        <w:rPr>
          <w:rFonts w:hint="default" w:ascii="Times New Roman" w:hAnsi="Times New Roman" w:cs="Times New Roman"/>
          <w:color w:val="auto"/>
          <w:kern w:val="28"/>
          <w:sz w:val="24"/>
          <w:highlight w:val="none"/>
        </w:rPr>
        <w:t>信用中国</w:t>
      </w:r>
      <w:r>
        <w:rPr>
          <w:rFonts w:hint="eastAsia" w:ascii="宋体" w:hAnsi="宋体" w:eastAsia="宋体" w:cs="宋体"/>
          <w:color w:val="auto"/>
          <w:kern w:val="28"/>
          <w:sz w:val="24"/>
          <w:highlight w:val="none"/>
        </w:rPr>
        <w:t>”</w:t>
      </w:r>
      <w:r>
        <w:rPr>
          <w:rFonts w:hint="default" w:ascii="Times New Roman" w:hAnsi="Times New Roman" w:cs="Times New Roman"/>
          <w:color w:val="auto"/>
          <w:kern w:val="28"/>
          <w:sz w:val="24"/>
          <w:highlight w:val="none"/>
        </w:rPr>
        <w:t>网站</w:t>
      </w:r>
      <w:r>
        <w:rPr>
          <w:rFonts w:hint="eastAsia" w:cs="Times New Roman"/>
          <w:color w:val="auto"/>
          <w:kern w:val="28"/>
          <w:sz w:val="24"/>
          <w:highlight w:val="none"/>
          <w:lang w:eastAsia="zh-CN"/>
        </w:rPr>
        <w:t>（</w:t>
      </w:r>
      <w:r>
        <w:rPr>
          <w:rFonts w:hint="default" w:ascii="Times New Roman" w:hAnsi="Times New Roman" w:cs="Times New Roman"/>
          <w:color w:val="auto"/>
          <w:kern w:val="28"/>
          <w:sz w:val="24"/>
          <w:highlight w:val="none"/>
        </w:rPr>
        <w:t>http://www.creditchina.gov.cn）（或中国执行信息公开网http://zxgk.court.gov.cn/shixin/）中被列入失信被执行人名单；</w:t>
      </w:r>
    </w:p>
    <w:p w14:paraId="78A8AC39">
      <w:pPr>
        <w:pageBreakBefore w:val="0"/>
        <w:kinsoku/>
        <w:wordWrap w:val="0"/>
        <w:overflowPunct/>
        <w:autoSpaceDE/>
        <w:autoSpaceDN/>
        <w:bidi w:val="0"/>
        <w:adjustRightInd/>
        <w:snapToGrid/>
        <w:spacing w:line="336" w:lineRule="auto"/>
        <w:ind w:firstLine="480" w:firstLineChars="200"/>
        <w:textAlignment w:val="auto"/>
        <w:rPr>
          <w:rFonts w:hint="default" w:ascii="Times New Roman" w:hAnsi="Times New Roman" w:cs="Times New Roman"/>
          <w:color w:val="auto"/>
          <w:kern w:val="28"/>
          <w:sz w:val="24"/>
          <w:highlight w:val="none"/>
        </w:rPr>
      </w:pPr>
      <w:r>
        <w:rPr>
          <w:rFonts w:hint="default" w:ascii="Times New Roman" w:hAnsi="Times New Roman" w:cs="Times New Roman"/>
          <w:color w:val="auto"/>
          <w:kern w:val="28"/>
          <w:sz w:val="24"/>
          <w:highlight w:val="none"/>
        </w:rPr>
        <w:t>（6）投标人或其法定代表人、拟委任的项目</w:t>
      </w:r>
      <w:r>
        <w:rPr>
          <w:rFonts w:hint="default" w:ascii="Times New Roman" w:hAnsi="Times New Roman" w:cs="Times New Roman"/>
          <w:color w:val="auto"/>
          <w:kern w:val="28"/>
          <w:sz w:val="24"/>
          <w:highlight w:val="none"/>
          <w:lang w:val="en-US" w:eastAsia="zh-CN"/>
        </w:rPr>
        <w:t>经理</w:t>
      </w:r>
      <w:r>
        <w:rPr>
          <w:rFonts w:hint="default" w:ascii="Times New Roman" w:hAnsi="Times New Roman" w:cs="Times New Roman"/>
          <w:color w:val="auto"/>
          <w:kern w:val="28"/>
          <w:sz w:val="24"/>
          <w:highlight w:val="none"/>
        </w:rPr>
        <w:t>在近三年内有行贿犯罪行为的；</w:t>
      </w:r>
    </w:p>
    <w:p w14:paraId="725E56F8">
      <w:pPr>
        <w:keepNext w:val="0"/>
        <w:keepLines w:val="0"/>
        <w:pageBreakBefore w:val="0"/>
        <w:widowControl w:val="0"/>
        <w:tabs>
          <w:tab w:val="left" w:pos="360"/>
        </w:tabs>
        <w:kinsoku/>
        <w:wordWrap w:val="0"/>
        <w:overflowPunct/>
        <w:topLinePunct w:val="0"/>
        <w:autoSpaceDE/>
        <w:autoSpaceDN/>
        <w:bidi w:val="0"/>
        <w:adjustRightInd/>
        <w:snapToGrid/>
        <w:spacing w:line="336" w:lineRule="auto"/>
        <w:ind w:firstLine="480" w:firstLineChars="200"/>
        <w:textAlignment w:val="auto"/>
        <w:outlineLvl w:val="9"/>
        <w:rPr>
          <w:rFonts w:hint="eastAsia" w:ascii="Times New Roman" w:hAnsi="Times New Roman" w:eastAsia="宋体" w:cs="Times New Roman"/>
          <w:color w:val="auto"/>
          <w:sz w:val="24"/>
          <w:highlight w:val="none"/>
          <w:lang w:eastAsia="zh-CN"/>
        </w:rPr>
      </w:pPr>
      <w:r>
        <w:rPr>
          <w:rFonts w:hint="default" w:ascii="Times New Roman" w:hAnsi="Times New Roman" w:cs="Times New Roman"/>
          <w:color w:val="auto"/>
          <w:kern w:val="28"/>
          <w:sz w:val="24"/>
          <w:highlight w:val="none"/>
        </w:rPr>
        <w:t>（7）法律法规规定的其他情形</w:t>
      </w:r>
      <w:r>
        <w:rPr>
          <w:rFonts w:hint="eastAsia" w:cs="Times New Roman"/>
          <w:color w:val="auto"/>
          <w:kern w:val="28"/>
          <w:sz w:val="24"/>
          <w:highlight w:val="none"/>
          <w:lang w:eastAsia="zh-CN"/>
        </w:rPr>
        <w:t>。</w:t>
      </w:r>
    </w:p>
    <w:p w14:paraId="1DFF131E">
      <w:pPr>
        <w:keepNext w:val="0"/>
        <w:keepLines w:val="0"/>
        <w:pageBreakBefore w:val="0"/>
        <w:widowControl w:val="0"/>
        <w:kinsoku/>
        <w:wordWrap/>
        <w:overflowPunct/>
        <w:topLinePunct w:val="0"/>
        <w:autoSpaceDE/>
        <w:autoSpaceDN/>
        <w:bidi w:val="0"/>
        <w:adjustRightInd/>
        <w:snapToGrid/>
        <w:spacing w:before="240" w:after="240" w:line="336" w:lineRule="auto"/>
        <w:textAlignment w:val="auto"/>
        <w:outlineLvl w:val="2"/>
        <w:rPr>
          <w:rFonts w:hint="default" w:ascii="黑体" w:hAnsi="黑体" w:eastAsia="黑体" w:cs="黑体"/>
          <w:color w:val="auto"/>
          <w:sz w:val="28"/>
          <w:szCs w:val="28"/>
          <w:highlight w:val="none"/>
        </w:rPr>
      </w:pPr>
      <w:bookmarkStart w:id="32" w:name="_Toc20700"/>
      <w:bookmarkStart w:id="33" w:name="_Toc31545"/>
      <w:bookmarkStart w:id="34" w:name="_Toc470760976"/>
      <w:bookmarkStart w:id="35" w:name="_Toc31217"/>
      <w:bookmarkStart w:id="36" w:name="_Toc3281"/>
      <w:r>
        <w:rPr>
          <w:rFonts w:hint="default" w:ascii="黑体" w:hAnsi="黑体" w:eastAsia="黑体" w:cs="黑体"/>
          <w:color w:val="auto"/>
          <w:sz w:val="28"/>
          <w:szCs w:val="28"/>
          <w:highlight w:val="none"/>
        </w:rPr>
        <w:t>4.招标文件的获取</w:t>
      </w:r>
      <w:bookmarkEnd w:id="32"/>
      <w:bookmarkEnd w:id="33"/>
      <w:bookmarkEnd w:id="34"/>
      <w:bookmarkEnd w:id="35"/>
      <w:bookmarkEnd w:id="36"/>
      <w:r>
        <w:rPr>
          <w:rFonts w:hint="default" w:ascii="黑体" w:hAnsi="黑体" w:eastAsia="黑体" w:cs="黑体"/>
          <w:color w:val="auto"/>
          <w:sz w:val="28"/>
          <w:szCs w:val="28"/>
          <w:highlight w:val="none"/>
        </w:rPr>
        <w:tab/>
      </w:r>
    </w:p>
    <w:p w14:paraId="3517938A">
      <w:pPr>
        <w:pageBreakBefore w:val="0"/>
        <w:tabs>
          <w:tab w:val="left" w:pos="360"/>
        </w:tabs>
        <w:kinsoku/>
        <w:wordWrap w:val="0"/>
        <w:autoSpaceDE/>
        <w:autoSpaceDN/>
        <w:bidi w:val="0"/>
        <w:adjustRightInd/>
        <w:snapToGrid/>
        <w:spacing w:line="336" w:lineRule="auto"/>
        <w:ind w:firstLine="540" w:firstLineChars="225"/>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4.1凡有意参加投标者，请在</w:t>
      </w:r>
      <w:r>
        <w:rPr>
          <w:rFonts w:hint="default" w:ascii="Times New Roman" w:hAnsi="Times New Roman" w:cs="Times New Roman"/>
          <w:color w:val="auto"/>
          <w:sz w:val="24"/>
          <w:szCs w:val="24"/>
          <w:highlight w:val="none"/>
          <w:u w:val="single"/>
        </w:rPr>
        <w:t>辽宁省公共资源交易</w:t>
      </w:r>
      <w:r>
        <w:rPr>
          <w:rFonts w:hint="eastAsia" w:ascii="宋体" w:hAnsi="宋体" w:eastAsia="宋体" w:cs="宋体"/>
          <w:color w:val="auto"/>
          <w:sz w:val="24"/>
          <w:szCs w:val="24"/>
          <w:highlight w:val="none"/>
          <w:u w:val="single"/>
        </w:rPr>
        <w:t>“</w:t>
      </w:r>
      <w:r>
        <w:rPr>
          <w:rFonts w:hint="default" w:ascii="Times New Roman" w:hAnsi="Times New Roman" w:cs="Times New Roman"/>
          <w:color w:val="auto"/>
          <w:sz w:val="24"/>
          <w:szCs w:val="24"/>
          <w:highlight w:val="none"/>
          <w:u w:val="single"/>
        </w:rPr>
        <w:t>一张网</w:t>
      </w:r>
      <w:r>
        <w:rPr>
          <w:rFonts w:hint="eastAsia" w:ascii="宋体" w:hAnsi="宋体" w:eastAsia="宋体" w:cs="宋体"/>
          <w:color w:val="auto"/>
          <w:sz w:val="24"/>
          <w:szCs w:val="24"/>
          <w:highlight w:val="none"/>
          <w:u w:val="single"/>
        </w:rPr>
        <w:t>”</w:t>
      </w:r>
      <w:r>
        <w:rPr>
          <w:rFonts w:hint="default" w:ascii="Times New Roman" w:hAnsi="Times New Roman" w:cs="Times New Roman"/>
          <w:color w:val="auto"/>
          <w:sz w:val="24"/>
          <w:szCs w:val="24"/>
          <w:highlight w:val="none"/>
          <w:u w:val="single"/>
        </w:rPr>
        <w:t>电子化平台</w:t>
      </w:r>
      <w:r>
        <w:rPr>
          <w:rFonts w:hint="default" w:ascii="Times New Roman" w:hAnsi="Times New Roman" w:cs="Times New Roman"/>
          <w:color w:val="auto"/>
          <w:sz w:val="24"/>
          <w:highlight w:val="none"/>
        </w:rPr>
        <w:t>（以下简称</w:t>
      </w:r>
      <w:r>
        <w:rPr>
          <w:rFonts w:hint="eastAsia" w:ascii="宋体" w:hAnsi="宋体" w:eastAsia="宋体" w:cs="宋体"/>
          <w:color w:val="auto"/>
          <w:sz w:val="24"/>
          <w:highlight w:val="none"/>
        </w:rPr>
        <w:t>“</w:t>
      </w:r>
      <w:r>
        <w:rPr>
          <w:rFonts w:hint="eastAsia" w:cs="Times New Roman"/>
          <w:color w:val="auto"/>
          <w:sz w:val="24"/>
          <w:highlight w:val="none"/>
          <w:lang w:eastAsia="zh-CN"/>
        </w:rPr>
        <w:t>电子交易平台</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，网址：</w:t>
      </w:r>
      <w:r>
        <w:rPr>
          <w:rFonts w:hint="default" w:ascii="Times New Roman" w:hAnsi="Times New Roman" w:cs="Times New Roman" w:eastAsiaTheme="minorEastAsia"/>
          <w:color w:val="auto"/>
          <w:sz w:val="24"/>
          <w:szCs w:val="24"/>
          <w:highlight w:val="none"/>
          <w:u w:val="single" w:color="auto"/>
          <w:lang w:val="en-US" w:eastAsia="zh-CN"/>
        </w:rPr>
        <w:t>https://www.lnsggzy.com/EpointSSO/login/oauth2login</w:t>
      </w:r>
      <w:r>
        <w:rPr>
          <w:rFonts w:hint="default" w:ascii="Times New Roman" w:hAnsi="Times New Roman" w:cs="Times New Roman"/>
          <w:color w:val="auto"/>
          <w:sz w:val="24"/>
          <w:highlight w:val="none"/>
        </w:rPr>
        <w:t>）进行注册，并</w:t>
      </w:r>
      <w:r>
        <w:rPr>
          <w:rFonts w:hint="eastAsia" w:cs="Times New Roman"/>
          <w:color w:val="auto"/>
          <w:sz w:val="24"/>
          <w:highlight w:val="none"/>
          <w:lang w:val="en-US" w:eastAsia="zh-CN"/>
        </w:rPr>
        <w:t>办理</w:t>
      </w:r>
      <w:r>
        <w:rPr>
          <w:rFonts w:hint="default" w:ascii="Times New Roman" w:hAnsi="Times New Roman" w:cs="Times New Roman"/>
          <w:color w:val="auto"/>
          <w:sz w:val="24"/>
          <w:highlight w:val="none"/>
        </w:rPr>
        <w:t>CA数字证书。</w:t>
      </w:r>
    </w:p>
    <w:p w14:paraId="7F79AD8E">
      <w:pPr>
        <w:pageBreakBefore w:val="0"/>
        <w:tabs>
          <w:tab w:val="left" w:pos="360"/>
        </w:tabs>
        <w:kinsoku/>
        <w:wordWrap w:val="0"/>
        <w:autoSpaceDE/>
        <w:autoSpaceDN/>
        <w:bidi w:val="0"/>
        <w:adjustRightInd/>
        <w:snapToGrid/>
        <w:spacing w:line="336"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4.2完成注册后，请于</w:t>
      </w:r>
      <w:r>
        <w:rPr>
          <w:rFonts w:hint="eastAsia" w:cs="Times New Roman"/>
          <w:color w:val="auto"/>
          <w:sz w:val="24"/>
          <w:highlight w:val="none"/>
          <w:u w:val="single"/>
          <w:lang w:val="en-US" w:eastAsia="zh-CN"/>
        </w:rPr>
        <w:t xml:space="preserve"> 2026 </w:t>
      </w:r>
      <w:r>
        <w:rPr>
          <w:rFonts w:hint="default" w:ascii="Times New Roman" w:hAnsi="Times New Roman" w:cs="Times New Roman"/>
          <w:color w:val="auto"/>
          <w:sz w:val="24"/>
          <w:highlight w:val="none"/>
        </w:rPr>
        <w:t>年</w:t>
      </w:r>
      <w:r>
        <w:rPr>
          <w:rFonts w:hint="eastAsia" w:cs="Times New Roman"/>
          <w:color w:val="auto"/>
          <w:sz w:val="24"/>
          <w:highlight w:val="none"/>
          <w:u w:val="single"/>
          <w:lang w:val="en-US" w:eastAsia="zh-CN"/>
        </w:rPr>
        <w:t xml:space="preserve">   </w:t>
      </w:r>
      <w:r>
        <w:rPr>
          <w:rFonts w:hint="default" w:ascii="Times New Roman" w:hAnsi="Times New Roman" w:cs="Times New Roman"/>
          <w:color w:val="auto"/>
          <w:sz w:val="24"/>
          <w:highlight w:val="none"/>
        </w:rPr>
        <w:t>月</w:t>
      </w:r>
      <w:r>
        <w:rPr>
          <w:rFonts w:hint="eastAsia" w:cs="Times New Roman"/>
          <w:color w:val="auto"/>
          <w:sz w:val="24"/>
          <w:highlight w:val="none"/>
          <w:u w:val="single"/>
          <w:lang w:val="en-US" w:eastAsia="zh-CN"/>
        </w:rPr>
        <w:t xml:space="preserve">   </w:t>
      </w:r>
      <w:r>
        <w:rPr>
          <w:rFonts w:hint="default" w:ascii="Times New Roman" w:hAnsi="Times New Roman" w:cs="Times New Roman"/>
          <w:color w:val="auto"/>
          <w:sz w:val="24"/>
          <w:highlight w:val="none"/>
        </w:rPr>
        <w:t>日</w:t>
      </w:r>
      <w:r>
        <w:rPr>
          <w:rFonts w:hint="eastAsia" w:cs="Times New Roman"/>
          <w:color w:val="auto"/>
          <w:sz w:val="24"/>
          <w:highlight w:val="none"/>
          <w:u w:val="single"/>
          <w:lang w:val="en-US" w:eastAsia="zh-CN"/>
        </w:rPr>
        <w:t xml:space="preserve"> 16 </w:t>
      </w:r>
      <w:r>
        <w:rPr>
          <w:rFonts w:ascii="Times New Roman" w:hAnsi="Times New Roman" w:eastAsia="宋体" w:cs="Times New Roman"/>
          <w:color w:val="auto"/>
          <w:sz w:val="24"/>
          <w:highlight w:val="none"/>
        </w:rPr>
        <w:t>时</w:t>
      </w:r>
      <w:r>
        <w:rPr>
          <w:rFonts w:hint="eastAsia" w:cs="Times New Roman"/>
          <w:color w:val="auto"/>
          <w:sz w:val="24"/>
          <w:highlight w:val="none"/>
          <w:u w:val="single"/>
          <w:lang w:val="en-US" w:eastAsia="zh-CN"/>
        </w:rPr>
        <w:t>00</w:t>
      </w:r>
      <w:r>
        <w:rPr>
          <w:rFonts w:ascii="Times New Roman" w:hAnsi="Times New Roman" w:eastAsia="宋体" w:cs="Times New Roman"/>
          <w:color w:val="auto"/>
          <w:sz w:val="24"/>
          <w:highlight w:val="none"/>
        </w:rPr>
        <w:t>分</w:t>
      </w:r>
      <w:r>
        <w:rPr>
          <w:rFonts w:hint="default" w:ascii="Times New Roman" w:hAnsi="Times New Roman" w:cs="Times New Roman"/>
          <w:color w:val="auto"/>
          <w:sz w:val="24"/>
          <w:highlight w:val="none"/>
        </w:rPr>
        <w:t>至</w:t>
      </w:r>
      <w:r>
        <w:rPr>
          <w:rFonts w:hint="eastAsia" w:cs="Times New Roman"/>
          <w:color w:val="auto"/>
          <w:sz w:val="24"/>
          <w:highlight w:val="none"/>
          <w:u w:val="single"/>
          <w:lang w:val="en-US" w:eastAsia="zh-CN"/>
        </w:rPr>
        <w:t xml:space="preserve"> 2026 </w:t>
      </w:r>
      <w:r>
        <w:rPr>
          <w:rFonts w:hint="default" w:ascii="Times New Roman" w:hAnsi="Times New Roman" w:cs="Times New Roman"/>
          <w:color w:val="auto"/>
          <w:sz w:val="24"/>
          <w:highlight w:val="none"/>
        </w:rPr>
        <w:t>年</w:t>
      </w:r>
      <w:r>
        <w:rPr>
          <w:rFonts w:hint="eastAsia" w:cs="Times New Roman"/>
          <w:color w:val="auto"/>
          <w:sz w:val="24"/>
          <w:highlight w:val="none"/>
          <w:u w:val="single"/>
          <w:lang w:val="en-US" w:eastAsia="zh-CN"/>
        </w:rPr>
        <w:t xml:space="preserve">    </w:t>
      </w:r>
      <w:r>
        <w:rPr>
          <w:rFonts w:hint="default" w:ascii="Times New Roman" w:hAnsi="Times New Roman" w:cs="Times New Roman"/>
          <w:color w:val="auto"/>
          <w:sz w:val="24"/>
          <w:highlight w:val="none"/>
        </w:rPr>
        <w:t>月</w:t>
      </w:r>
      <w:r>
        <w:rPr>
          <w:rFonts w:hint="eastAsia" w:cs="Times New Roman"/>
          <w:color w:val="auto"/>
          <w:sz w:val="24"/>
          <w:highlight w:val="none"/>
          <w:u w:val="single"/>
          <w:lang w:val="en-US" w:eastAsia="zh-CN"/>
        </w:rPr>
        <w:t xml:space="preserve">    </w:t>
      </w:r>
      <w:r>
        <w:rPr>
          <w:rFonts w:hint="default" w:ascii="Times New Roman" w:hAnsi="Times New Roman" w:cs="Times New Roman"/>
          <w:color w:val="auto"/>
          <w:sz w:val="24"/>
          <w:highlight w:val="none"/>
        </w:rPr>
        <w:t>日</w:t>
      </w:r>
      <w:r>
        <w:rPr>
          <w:rFonts w:hint="eastAsia" w:cs="Times New Roman"/>
          <w:color w:val="auto"/>
          <w:sz w:val="24"/>
          <w:highlight w:val="none"/>
          <w:u w:val="single"/>
          <w:lang w:val="en-US" w:eastAsia="zh-CN"/>
        </w:rPr>
        <w:t>16</w:t>
      </w:r>
      <w:r>
        <w:rPr>
          <w:rFonts w:ascii="Times New Roman" w:hAnsi="Times New Roman" w:eastAsia="宋体" w:cs="Times New Roman"/>
          <w:color w:val="auto"/>
          <w:sz w:val="24"/>
          <w:highlight w:val="none"/>
        </w:rPr>
        <w:t>时</w:t>
      </w:r>
      <w:r>
        <w:rPr>
          <w:rFonts w:hint="eastAsia" w:cs="Times New Roman"/>
          <w:color w:val="auto"/>
          <w:sz w:val="24"/>
          <w:highlight w:val="none"/>
          <w:u w:val="single"/>
          <w:lang w:val="en-US" w:eastAsia="zh-CN"/>
        </w:rPr>
        <w:t>00</w:t>
      </w:r>
      <w:r>
        <w:rPr>
          <w:rFonts w:ascii="Times New Roman" w:hAnsi="Times New Roman" w:eastAsia="宋体" w:cs="Times New Roman"/>
          <w:color w:val="auto"/>
          <w:sz w:val="24"/>
          <w:highlight w:val="none"/>
        </w:rPr>
        <w:t>分</w:t>
      </w:r>
      <w:r>
        <w:rPr>
          <w:rFonts w:hint="eastAsia" w:ascii="Times New Roman" w:hAnsi="Times New Roman" w:eastAsia="宋体" w:cs="Times New Roman"/>
          <w:color w:val="auto"/>
          <w:sz w:val="24"/>
          <w:highlight w:val="none"/>
        </w:rPr>
        <w:t>（北京时间，下同）</w:t>
      </w:r>
      <w:r>
        <w:rPr>
          <w:rFonts w:hint="default" w:ascii="Times New Roman" w:hAnsi="Times New Roman" w:cs="Times New Roman"/>
          <w:color w:val="auto"/>
          <w:sz w:val="24"/>
          <w:highlight w:val="none"/>
        </w:rPr>
        <w:t>，通过互联网使用CA数字证书登录</w:t>
      </w:r>
      <w:r>
        <w:rPr>
          <w:rFonts w:hint="eastAsia" w:ascii="宋体" w:hAnsi="宋体" w:eastAsia="宋体" w:cs="宋体"/>
          <w:color w:val="auto"/>
          <w:sz w:val="24"/>
          <w:highlight w:val="none"/>
        </w:rPr>
        <w:t>“</w:t>
      </w:r>
      <w:r>
        <w:rPr>
          <w:rFonts w:hint="eastAsia" w:cs="Times New Roman"/>
          <w:color w:val="auto"/>
          <w:sz w:val="24"/>
          <w:highlight w:val="none"/>
          <w:lang w:eastAsia="zh-CN"/>
        </w:rPr>
        <w:t>电子交易平台</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，明确所投标段，</w:t>
      </w:r>
      <w:r>
        <w:rPr>
          <w:rFonts w:hint="default" w:ascii="Times New Roman" w:hAnsi="Times New Roman" w:cs="Times New Roman"/>
          <w:color w:val="auto"/>
          <w:sz w:val="24"/>
          <w:highlight w:val="none"/>
          <w:lang w:val="en-US" w:eastAsia="zh-CN"/>
        </w:rPr>
        <w:t>匿名免费下载招标文件</w:t>
      </w:r>
      <w:r>
        <w:rPr>
          <w:rFonts w:hint="default" w:ascii="Times New Roman" w:hAnsi="Times New Roman" w:cs="Times New Roman"/>
          <w:color w:val="auto"/>
          <w:sz w:val="24"/>
          <w:highlight w:val="none"/>
        </w:rPr>
        <w:t>、图纸和参考资料。联合体投标的，由联合体牵头人完成招标文件等资料下载。</w:t>
      </w:r>
    </w:p>
    <w:p w14:paraId="29020819">
      <w:pPr>
        <w:keepNext w:val="0"/>
        <w:keepLines w:val="0"/>
        <w:pageBreakBefore w:val="0"/>
        <w:widowControl w:val="0"/>
        <w:kinsoku/>
        <w:wordWrap/>
        <w:overflowPunct/>
        <w:topLinePunct w:val="0"/>
        <w:autoSpaceDE/>
        <w:autoSpaceDN/>
        <w:bidi w:val="0"/>
        <w:adjustRightInd/>
        <w:snapToGrid/>
        <w:spacing w:before="240" w:after="240" w:line="336" w:lineRule="auto"/>
        <w:textAlignment w:val="auto"/>
        <w:outlineLvl w:val="2"/>
        <w:rPr>
          <w:rFonts w:hint="default" w:ascii="黑体" w:hAnsi="黑体" w:eastAsia="黑体" w:cs="黑体"/>
          <w:color w:val="auto"/>
          <w:sz w:val="28"/>
          <w:szCs w:val="28"/>
          <w:highlight w:val="none"/>
        </w:rPr>
      </w:pPr>
      <w:bookmarkStart w:id="37" w:name="_Toc25648"/>
      <w:bookmarkStart w:id="38" w:name="_Toc22946"/>
      <w:bookmarkStart w:id="39" w:name="_Toc26563"/>
      <w:bookmarkStart w:id="40" w:name="_Toc1300"/>
      <w:bookmarkStart w:id="41" w:name="_Toc470760977"/>
      <w:r>
        <w:rPr>
          <w:rFonts w:hint="default" w:ascii="黑体" w:hAnsi="黑体" w:eastAsia="黑体" w:cs="黑体"/>
          <w:color w:val="auto"/>
          <w:sz w:val="28"/>
          <w:szCs w:val="28"/>
          <w:highlight w:val="none"/>
        </w:rPr>
        <w:t>5.投标文件的递交及相关事宜</w:t>
      </w:r>
      <w:bookmarkEnd w:id="37"/>
      <w:bookmarkEnd w:id="38"/>
      <w:bookmarkEnd w:id="39"/>
      <w:bookmarkEnd w:id="40"/>
      <w:bookmarkEnd w:id="41"/>
    </w:p>
    <w:p w14:paraId="49E8B3B3">
      <w:pPr>
        <w:keepNext w:val="0"/>
        <w:keepLines w:val="0"/>
        <w:pageBreakBefore w:val="0"/>
        <w:widowControl w:val="0"/>
        <w:kinsoku/>
        <w:wordWrap/>
        <w:overflowPunct/>
        <w:topLinePunct w:val="0"/>
        <w:autoSpaceDE/>
        <w:autoSpaceDN/>
        <w:bidi w:val="0"/>
        <w:adjustRightInd/>
        <w:snapToGrid/>
        <w:spacing w:line="336" w:lineRule="auto"/>
        <w:ind w:right="0" w:rightChars="0" w:firstLine="480" w:firstLineChars="200"/>
        <w:textAlignment w:val="auto"/>
        <w:rPr>
          <w:rFonts w:hint="default" w:ascii="Times New Roman" w:hAnsi="Times New Roman" w:eastAsia="宋体" w:cs="Times New Roman"/>
          <w:b w:val="0"/>
          <w:bCs w:val="0"/>
          <w:color w:val="auto"/>
          <w:sz w:val="24"/>
          <w:szCs w:val="24"/>
          <w:highlight w:val="none"/>
        </w:rPr>
      </w:pPr>
      <w:r>
        <w:rPr>
          <w:rFonts w:hint="default" w:ascii="Times New Roman" w:hAnsi="Times New Roman" w:cs="Times New Roman"/>
          <w:color w:val="auto"/>
          <w:sz w:val="24"/>
          <w:highlight w:val="none"/>
        </w:rPr>
        <w:t>5.1招标人将</w:t>
      </w:r>
      <w:r>
        <w:rPr>
          <w:rFonts w:hint="eastAsia" w:cs="Times New Roman"/>
          <w:color w:val="auto"/>
          <w:sz w:val="24"/>
          <w:szCs w:val="24"/>
          <w:highlight w:val="none"/>
          <w:lang w:eastAsia="zh-CN"/>
        </w:rPr>
        <w:t>☑</w:t>
      </w:r>
      <w:r>
        <w:rPr>
          <w:rFonts w:hint="default" w:ascii="Times New Roman" w:hAnsi="Times New Roman" w:eastAsia="宋体" w:cs="Times New Roman"/>
          <w:b w:val="0"/>
          <w:bCs w:val="0"/>
          <w:color w:val="auto"/>
          <w:sz w:val="24"/>
          <w:szCs w:val="24"/>
          <w:highlight w:val="none"/>
        </w:rPr>
        <w:t>不组织进行工程现场踏勘和召开投标预备会。</w:t>
      </w:r>
    </w:p>
    <w:p w14:paraId="4AC8037B">
      <w:pPr>
        <w:keepNext w:val="0"/>
        <w:keepLines w:val="0"/>
        <w:pageBreakBefore w:val="0"/>
        <w:widowControl w:val="0"/>
        <w:kinsoku/>
        <w:wordWrap/>
        <w:overflowPunct/>
        <w:topLinePunct w:val="0"/>
        <w:autoSpaceDE/>
        <w:autoSpaceDN/>
        <w:bidi w:val="0"/>
        <w:adjustRightInd/>
        <w:snapToGrid/>
        <w:spacing w:line="336" w:lineRule="auto"/>
        <w:ind w:left="0" w:leftChars="0" w:right="0" w:rightChars="0" w:firstLine="2160" w:firstLineChars="900"/>
        <w:textAlignment w:val="auto"/>
        <w:rPr>
          <w:rFonts w:hint="default" w:ascii="Times New Roman" w:hAnsi="Times New Roman" w:eastAsia="宋体" w:cs="Times New Roman"/>
          <w:b w:val="0"/>
          <w:bCs w:val="0"/>
          <w:color w:val="auto"/>
          <w:sz w:val="24"/>
          <w:szCs w:val="24"/>
          <w:highlight w:val="none"/>
        </w:rPr>
      </w:pPr>
      <w:sdt>
        <w:sdtPr>
          <w:rPr>
            <w:rFonts w:hint="default" w:ascii="Times New Roman" w:hAnsi="Times New Roman" w:eastAsia="宋体" w:cs="Times New Roman"/>
            <w:b w:val="0"/>
            <w:bCs w:val="0"/>
            <w:color w:val="auto"/>
            <w:sz w:val="24"/>
            <w:szCs w:val="24"/>
            <w:highlight w:val="none"/>
            <w:shd w:val="clear" w:color="auto" w:fill="FFFFFF"/>
          </w:rPr>
          <w:id w:val="147465211"/>
          <w14:checkbox>
            <w14:checked w14:val="0"/>
            <w14:checkedState w14:val="0052" w14:font="Wingdings 2"/>
            <w14:uncheckedState w14:val="2610" w14:font="MS Gothic"/>
          </w14:checkbox>
        </w:sdtPr>
        <w:sdtEndPr>
          <w:rPr>
            <w:rFonts w:hint="default" w:ascii="Times New Roman" w:hAnsi="Times New Roman" w:eastAsia="宋体" w:cs="Times New Roman"/>
            <w:b w:val="0"/>
            <w:bCs w:val="0"/>
            <w:color w:val="auto"/>
            <w:sz w:val="24"/>
            <w:szCs w:val="24"/>
            <w:highlight w:val="none"/>
            <w:shd w:val="clear" w:color="auto" w:fill="FFFFFF"/>
          </w:rPr>
        </w:sdtEndPr>
        <w:sdtContent>
          <w:r>
            <w:rPr>
              <w:rFonts w:hint="default" w:ascii="Times New Roman" w:hAnsi="Times New Roman" w:eastAsia="MS Gothic" w:cs="Times New Roman"/>
              <w:b w:val="0"/>
              <w:bCs w:val="0"/>
              <w:color w:val="auto"/>
              <w:kern w:val="2"/>
              <w:sz w:val="24"/>
              <w:szCs w:val="24"/>
              <w:highlight w:val="none"/>
              <w:shd w:val="clear" w:color="auto" w:fill="FFFFFF"/>
              <w:lang w:val="en-US" w:eastAsia="zh-CN" w:bidi="ar-SA"/>
            </w:rPr>
            <w:t>☐</w:t>
          </w:r>
        </w:sdtContent>
      </w:sdt>
      <w:r>
        <w:rPr>
          <w:rFonts w:hint="default" w:ascii="Times New Roman" w:hAnsi="Times New Roman" w:eastAsia="宋体" w:cs="Times New Roman"/>
          <w:b w:val="0"/>
          <w:bCs w:val="0"/>
          <w:color w:val="auto"/>
          <w:sz w:val="24"/>
          <w:szCs w:val="24"/>
          <w:highlight w:val="none"/>
        </w:rPr>
        <w:t>组织进行工程现场踏勘和召开投标预备会，时间地点：</w:t>
      </w:r>
    </w:p>
    <w:p w14:paraId="13E207F5">
      <w:pPr>
        <w:pageBreakBefore w:val="0"/>
        <w:kinsoku/>
        <w:wordWrap w:val="0"/>
        <w:autoSpaceDE/>
        <w:autoSpaceDN/>
        <w:bidi w:val="0"/>
        <w:adjustRightInd/>
        <w:snapToGrid/>
        <w:spacing w:line="336"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5.2投标文件应为加密的投标文件。投标文件递交的截止时间（投标截止时间，下同）为</w:t>
      </w:r>
      <w:r>
        <w:rPr>
          <w:rFonts w:hint="eastAsia" w:cs="Times New Roman"/>
          <w:color w:val="auto"/>
          <w:sz w:val="24"/>
          <w:highlight w:val="none"/>
          <w:u w:val="single"/>
          <w:lang w:val="en-US" w:eastAsia="zh-CN"/>
        </w:rPr>
        <w:t xml:space="preserve"> 2026 </w:t>
      </w:r>
      <w:r>
        <w:rPr>
          <w:rFonts w:hint="default" w:ascii="Times New Roman" w:hAnsi="Times New Roman" w:cs="Times New Roman"/>
          <w:color w:val="auto"/>
          <w:sz w:val="24"/>
          <w:highlight w:val="none"/>
        </w:rPr>
        <w:t>年</w:t>
      </w:r>
      <w:r>
        <w:rPr>
          <w:rFonts w:hint="eastAsia" w:cs="Times New Roman"/>
          <w:color w:val="auto"/>
          <w:sz w:val="24"/>
          <w:highlight w:val="none"/>
          <w:u w:val="single"/>
          <w:lang w:val="en-US" w:eastAsia="zh-CN"/>
        </w:rPr>
        <w:t xml:space="preserve">     </w:t>
      </w:r>
      <w:r>
        <w:rPr>
          <w:rFonts w:hint="default" w:ascii="Times New Roman" w:hAnsi="Times New Roman" w:cs="Times New Roman"/>
          <w:color w:val="auto"/>
          <w:sz w:val="24"/>
          <w:highlight w:val="none"/>
        </w:rPr>
        <w:t>月</w:t>
      </w:r>
      <w:r>
        <w:rPr>
          <w:rFonts w:hint="eastAsia" w:cs="Times New Roman"/>
          <w:color w:val="auto"/>
          <w:sz w:val="24"/>
          <w:highlight w:val="none"/>
          <w:u w:val="single"/>
          <w:lang w:val="en-US" w:eastAsia="zh-CN"/>
        </w:rPr>
        <w:t xml:space="preserve">     </w:t>
      </w:r>
      <w:r>
        <w:rPr>
          <w:rFonts w:hint="default" w:ascii="Times New Roman" w:hAnsi="Times New Roman" w:cs="Times New Roman"/>
          <w:color w:val="auto"/>
          <w:sz w:val="24"/>
          <w:highlight w:val="none"/>
        </w:rPr>
        <w:t>日</w:t>
      </w:r>
      <w:r>
        <w:rPr>
          <w:rFonts w:hint="eastAsia" w:cs="Times New Roman"/>
          <w:color w:val="auto"/>
          <w:sz w:val="24"/>
          <w:highlight w:val="none"/>
          <w:u w:val="single"/>
          <w:lang w:val="en-US" w:eastAsia="zh-CN"/>
        </w:rPr>
        <w:t xml:space="preserve"> 10 </w:t>
      </w:r>
      <w:r>
        <w:rPr>
          <w:rFonts w:hint="default" w:ascii="Times New Roman" w:hAnsi="Times New Roman" w:cs="Times New Roman"/>
          <w:color w:val="auto"/>
          <w:sz w:val="24"/>
          <w:highlight w:val="none"/>
        </w:rPr>
        <w:t>时</w:t>
      </w:r>
      <w:r>
        <w:rPr>
          <w:rFonts w:hint="eastAsia" w:cs="Times New Roman"/>
          <w:color w:val="auto"/>
          <w:sz w:val="24"/>
          <w:highlight w:val="none"/>
          <w:u w:val="single"/>
          <w:lang w:val="en-US" w:eastAsia="zh-CN"/>
        </w:rPr>
        <w:t xml:space="preserve"> 00 </w:t>
      </w:r>
      <w:r>
        <w:rPr>
          <w:rFonts w:hint="default" w:ascii="Times New Roman" w:hAnsi="Times New Roman" w:cs="Times New Roman"/>
          <w:color w:val="auto"/>
          <w:sz w:val="24"/>
          <w:highlight w:val="none"/>
        </w:rPr>
        <w:t>分，投标人应在投标截止时间前，通过互联网使用CA数字证书登录</w:t>
      </w:r>
      <w:r>
        <w:rPr>
          <w:rFonts w:hint="eastAsia" w:ascii="宋体" w:hAnsi="宋体" w:eastAsia="宋体" w:cs="宋体"/>
          <w:color w:val="auto"/>
          <w:sz w:val="24"/>
          <w:highlight w:val="none"/>
        </w:rPr>
        <w:t>“</w:t>
      </w:r>
      <w:r>
        <w:rPr>
          <w:rFonts w:hint="eastAsia" w:cs="Times New Roman"/>
          <w:color w:val="auto"/>
          <w:sz w:val="24"/>
          <w:highlight w:val="none"/>
          <w:lang w:eastAsia="zh-CN"/>
        </w:rPr>
        <w:t>电子交易平台</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，将加密的投标文件上传。逾期未完成上传或未按规定加密的投标文件，招标人予以拒收。联合体投标的，由联合体牵头人完成</w:t>
      </w:r>
      <w:r>
        <w:rPr>
          <w:rFonts w:hint="eastAsia" w:cs="Times New Roman"/>
          <w:color w:val="auto"/>
          <w:sz w:val="24"/>
          <w:highlight w:val="none"/>
          <w:lang w:val="en-US" w:eastAsia="zh-CN"/>
        </w:rPr>
        <w:t>投标文件的上传等工作</w:t>
      </w:r>
      <w:r>
        <w:rPr>
          <w:rFonts w:hint="default" w:ascii="Times New Roman" w:hAnsi="Times New Roman" w:cs="Times New Roman"/>
          <w:color w:val="auto"/>
          <w:sz w:val="24"/>
          <w:highlight w:val="none"/>
        </w:rPr>
        <w:t>。</w:t>
      </w:r>
    </w:p>
    <w:p w14:paraId="7857913A">
      <w:pPr>
        <w:keepNext w:val="0"/>
        <w:keepLines w:val="0"/>
        <w:pageBreakBefore w:val="0"/>
        <w:widowControl w:val="0"/>
        <w:kinsoku/>
        <w:wordWrap/>
        <w:overflowPunct/>
        <w:topLinePunct w:val="0"/>
        <w:autoSpaceDE/>
        <w:autoSpaceDN/>
        <w:bidi w:val="0"/>
        <w:adjustRightInd/>
        <w:snapToGrid/>
        <w:spacing w:before="240" w:after="240" w:line="336" w:lineRule="auto"/>
        <w:textAlignment w:val="auto"/>
        <w:outlineLvl w:val="2"/>
        <w:rPr>
          <w:rFonts w:hint="default" w:ascii="黑体" w:hAnsi="黑体" w:eastAsia="黑体" w:cs="黑体"/>
          <w:color w:val="auto"/>
          <w:sz w:val="28"/>
          <w:szCs w:val="28"/>
          <w:highlight w:val="none"/>
          <w:lang w:val="en-US" w:eastAsia="zh-CN"/>
        </w:rPr>
      </w:pPr>
      <w:bookmarkStart w:id="42" w:name="_Toc29510"/>
      <w:bookmarkStart w:id="43" w:name="_Toc15086"/>
      <w:bookmarkStart w:id="44" w:name="_Toc31627"/>
      <w:bookmarkStart w:id="45" w:name="_Toc6994_WPSOffice_Level2"/>
      <w:bookmarkStart w:id="46" w:name="_Toc18524"/>
      <w:bookmarkStart w:id="47" w:name="_Toc22018"/>
      <w:bookmarkStart w:id="48" w:name="_Toc4681"/>
      <w:bookmarkStart w:id="49" w:name="_Toc234832850"/>
      <w:r>
        <w:rPr>
          <w:rFonts w:hint="default" w:ascii="黑体" w:hAnsi="黑体" w:eastAsia="黑体" w:cs="黑体"/>
          <w:color w:val="auto"/>
          <w:sz w:val="28"/>
          <w:szCs w:val="28"/>
          <w:highlight w:val="none"/>
          <w:lang w:val="en-US" w:eastAsia="zh-CN"/>
        </w:rPr>
        <w:t>6.评标办法</w:t>
      </w:r>
      <w:bookmarkEnd w:id="42"/>
      <w:bookmarkEnd w:id="43"/>
      <w:bookmarkEnd w:id="44"/>
      <w:bookmarkEnd w:id="45"/>
      <w:bookmarkEnd w:id="46"/>
      <w:bookmarkEnd w:id="47"/>
      <w:bookmarkEnd w:id="48"/>
    </w:p>
    <w:p w14:paraId="5F9D7F41">
      <w:pPr>
        <w:pageBreakBefore w:val="0"/>
        <w:shd w:val="clear"/>
        <w:kinsoku/>
        <w:wordWrap w:val="0"/>
        <w:overflowPunct w:val="0"/>
        <w:autoSpaceDE/>
        <w:autoSpaceDN/>
        <w:bidi w:val="0"/>
        <w:adjustRightInd/>
        <w:snapToGrid/>
        <w:spacing w:line="336" w:lineRule="auto"/>
        <w:ind w:firstLine="472" w:firstLineChars="200"/>
        <w:jc w:val="both"/>
        <w:textAlignment w:val="auto"/>
        <w:rPr>
          <w:rFonts w:hint="default" w:ascii="Times New Roman" w:hAnsi="Times New Roman" w:eastAsia="宋体" w:cs="Times New Roman"/>
          <w:color w:val="auto"/>
          <w:spacing w:val="-6"/>
          <w:sz w:val="24"/>
          <w:szCs w:val="24"/>
          <w:highlight w:val="none"/>
        </w:rPr>
      </w:pPr>
      <w:r>
        <w:rPr>
          <w:rFonts w:hint="default" w:ascii="Times New Roman" w:hAnsi="Times New Roman" w:eastAsia="宋体" w:cs="Times New Roman"/>
          <w:color w:val="auto"/>
          <w:spacing w:val="-2"/>
          <w:sz w:val="24"/>
          <w:szCs w:val="24"/>
          <w:highlight w:val="none"/>
        </w:rPr>
        <w:t>本项目评标办法采用</w:t>
      </w:r>
      <w:r>
        <w:rPr>
          <w:rFonts w:hint="eastAsia" w:cs="Times New Roman"/>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u w:val="single"/>
          <w:lang w:val="en-US" w:eastAsia="zh-CN"/>
        </w:rPr>
        <w:t>合理低价法</w:t>
      </w:r>
      <w:r>
        <w:rPr>
          <w:rFonts w:hint="eastAsia" w:ascii="宋体" w:hAnsi="宋体" w:cs="宋体"/>
          <w:color w:val="auto"/>
          <w:spacing w:val="-2"/>
          <w:sz w:val="24"/>
          <w:szCs w:val="24"/>
          <w:highlight w:val="none"/>
          <w:u w:val="single"/>
          <w:lang w:val="en-US" w:eastAsia="zh-CN"/>
        </w:rPr>
        <w:t xml:space="preserve"> </w:t>
      </w:r>
      <w:r>
        <w:rPr>
          <w:rFonts w:hint="default" w:ascii="Times New Roman" w:hAnsi="Times New Roman" w:cs="Times New Roman" w:eastAsiaTheme="minorEastAsia"/>
          <w:color w:val="auto"/>
          <w:spacing w:val="-2"/>
          <w:sz w:val="24"/>
          <w:szCs w:val="24"/>
          <w:highlight w:val="none"/>
          <w:u w:val="none"/>
          <w:lang w:eastAsia="zh-CN"/>
        </w:rPr>
        <w:t>（</w:t>
      </w:r>
      <w:r>
        <w:rPr>
          <w:rFonts w:hint="default" w:ascii="Times New Roman" w:hAnsi="Times New Roman" w:cs="Times New Roman" w:eastAsiaTheme="minorEastAsia"/>
          <w:color w:val="auto"/>
          <w:spacing w:val="-2"/>
          <w:sz w:val="24"/>
          <w:szCs w:val="24"/>
          <w:highlight w:val="none"/>
          <w:u w:val="none"/>
          <w:lang w:val="en-US" w:eastAsia="zh-CN"/>
        </w:rPr>
        <w:t>评标办法</w:t>
      </w:r>
      <w:r>
        <w:rPr>
          <w:rFonts w:hint="default" w:ascii="Times New Roman" w:hAnsi="Times New Roman" w:cs="Times New Roman" w:eastAsiaTheme="minorEastAsia"/>
          <w:color w:val="auto"/>
          <w:spacing w:val="-2"/>
          <w:sz w:val="24"/>
          <w:szCs w:val="24"/>
          <w:highlight w:val="none"/>
          <w:u w:val="none"/>
          <w:lang w:eastAsia="zh-CN"/>
        </w:rPr>
        <w:t>）</w:t>
      </w:r>
      <w:r>
        <w:rPr>
          <w:rFonts w:hint="default" w:ascii="Times New Roman" w:hAnsi="Times New Roman" w:eastAsia="宋体" w:cs="Times New Roman"/>
          <w:color w:val="auto"/>
          <w:spacing w:val="-2"/>
          <w:sz w:val="24"/>
          <w:szCs w:val="24"/>
          <w:highlight w:val="none"/>
        </w:rPr>
        <w:t>，评标标准和方法详见</w:t>
      </w:r>
      <w:r>
        <w:rPr>
          <w:rFonts w:hint="eastAsia" w:ascii="宋体" w:hAnsi="宋体" w:cs="宋体"/>
          <w:color w:val="auto"/>
          <w:spacing w:val="-2"/>
          <w:sz w:val="24"/>
          <w:szCs w:val="24"/>
          <w:highlight w:val="none"/>
          <w:u w:val="single"/>
          <w:lang w:val="en-US" w:eastAsia="zh-CN"/>
        </w:rPr>
        <w:t>招标文件</w:t>
      </w:r>
      <w:r>
        <w:rPr>
          <w:rFonts w:hint="default" w:ascii="Times New Roman" w:hAnsi="Times New Roman" w:eastAsia="宋体" w:cs="Times New Roman"/>
          <w:color w:val="auto"/>
          <w:spacing w:val="-6"/>
          <w:sz w:val="24"/>
          <w:szCs w:val="24"/>
          <w:highlight w:val="none"/>
        </w:rPr>
        <w:t>。</w:t>
      </w:r>
    </w:p>
    <w:p w14:paraId="3DC0AB10">
      <w:pPr>
        <w:keepNext w:val="0"/>
        <w:keepLines w:val="0"/>
        <w:pageBreakBefore w:val="0"/>
        <w:widowControl w:val="0"/>
        <w:kinsoku/>
        <w:wordWrap/>
        <w:overflowPunct/>
        <w:topLinePunct w:val="0"/>
        <w:autoSpaceDE/>
        <w:autoSpaceDN/>
        <w:bidi w:val="0"/>
        <w:adjustRightInd/>
        <w:snapToGrid/>
        <w:spacing w:before="240" w:after="240" w:line="336" w:lineRule="auto"/>
        <w:textAlignment w:val="auto"/>
        <w:outlineLvl w:val="2"/>
        <w:rPr>
          <w:rFonts w:hint="default" w:ascii="黑体" w:hAnsi="黑体" w:eastAsia="黑体" w:cs="黑体"/>
          <w:color w:val="auto"/>
          <w:sz w:val="28"/>
          <w:szCs w:val="28"/>
          <w:highlight w:val="none"/>
        </w:rPr>
      </w:pPr>
      <w:bookmarkStart w:id="50" w:name="_Toc1626"/>
      <w:bookmarkStart w:id="51" w:name="_Toc26836"/>
      <w:bookmarkStart w:id="52" w:name="_Toc26310"/>
      <w:bookmarkStart w:id="53" w:name="_Toc20659"/>
      <w:bookmarkStart w:id="54" w:name="_Toc4689"/>
      <w:r>
        <w:rPr>
          <w:rFonts w:hint="default" w:ascii="黑体" w:hAnsi="黑体" w:eastAsia="黑体" w:cs="黑体"/>
          <w:color w:val="auto"/>
          <w:sz w:val="28"/>
          <w:szCs w:val="28"/>
          <w:highlight w:val="none"/>
          <w:lang w:val="en-US" w:eastAsia="zh-CN"/>
        </w:rPr>
        <w:t>7</w:t>
      </w:r>
      <w:r>
        <w:rPr>
          <w:rFonts w:hint="default" w:ascii="黑体" w:hAnsi="黑体" w:eastAsia="黑体" w:cs="黑体"/>
          <w:color w:val="auto"/>
          <w:sz w:val="28"/>
          <w:szCs w:val="28"/>
          <w:highlight w:val="none"/>
        </w:rPr>
        <w:t>.发布公告的媒介</w:t>
      </w:r>
      <w:bookmarkEnd w:id="49"/>
      <w:bookmarkEnd w:id="50"/>
      <w:bookmarkEnd w:id="51"/>
      <w:bookmarkEnd w:id="52"/>
      <w:bookmarkEnd w:id="53"/>
      <w:bookmarkEnd w:id="54"/>
    </w:p>
    <w:p w14:paraId="12ACD50B">
      <w:pPr>
        <w:pStyle w:val="16"/>
        <w:pageBreakBefore w:val="0"/>
        <w:kinsoku/>
        <w:wordWrap w:val="0"/>
        <w:topLinePunct/>
        <w:autoSpaceDE/>
        <w:autoSpaceDN/>
        <w:bidi w:val="0"/>
        <w:adjustRightInd/>
        <w:snapToGrid/>
        <w:spacing w:line="336" w:lineRule="auto"/>
        <w:ind w:firstLine="480" w:firstLineChars="200"/>
        <w:textAlignment w:val="auto"/>
        <w:rPr>
          <w:rFonts w:hint="default" w:ascii="Times New Roman" w:hAnsi="Times New Roman" w:cs="Times New Roman"/>
          <w:color w:val="auto"/>
          <w:szCs w:val="24"/>
          <w:highlight w:val="none"/>
        </w:rPr>
      </w:pPr>
      <w:r>
        <w:rPr>
          <w:rFonts w:hint="default" w:ascii="Times New Roman" w:hAnsi="Times New Roman" w:cs="Times New Roman"/>
          <w:color w:val="auto"/>
          <w:sz w:val="24"/>
          <w:szCs w:val="24"/>
          <w:highlight w:val="none"/>
        </w:rPr>
        <w:t>本次招标公告同时在</w:t>
      </w:r>
      <w:r>
        <w:rPr>
          <w:rFonts w:hint="eastAsia" w:ascii="Times New Roman" w:cs="Times New Roman"/>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辽宁省公共资源交易一张网电子化平台</w:t>
      </w:r>
      <w:r>
        <w:rPr>
          <w:rFonts w:hint="eastAsia"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辽宁省招标投标监管网</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全国公共资源交易平台（辽宁·</w:t>
      </w:r>
      <w:r>
        <w:rPr>
          <w:rFonts w:hint="eastAsia" w:ascii="宋体" w:hAnsi="宋体" w:eastAsia="宋体" w:cs="宋体"/>
          <w:color w:val="auto"/>
          <w:sz w:val="24"/>
          <w:szCs w:val="24"/>
          <w:highlight w:val="none"/>
          <w:u w:val="single"/>
          <w:lang w:val="en-US" w:eastAsia="zh-CN"/>
        </w:rPr>
        <w:t>营口</w:t>
      </w:r>
      <w:r>
        <w:rPr>
          <w:rFonts w:hint="eastAsia" w:ascii="宋体" w:hAnsi="宋体" w:eastAsia="宋体" w:cs="宋体"/>
          <w:color w:val="auto"/>
          <w:sz w:val="24"/>
          <w:szCs w:val="24"/>
          <w:highlight w:val="none"/>
          <w:u w:val="single"/>
        </w:rPr>
        <w:t>）</w:t>
      </w:r>
      <w:r>
        <w:rPr>
          <w:rFonts w:hint="default" w:ascii="Times New Roman" w:hAnsi="Times New Roman" w:cs="Times New Roman"/>
          <w:color w:val="auto"/>
          <w:sz w:val="24"/>
          <w:szCs w:val="24"/>
          <w:highlight w:val="none"/>
        </w:rPr>
        <w:t>（发布公告的媒介名称）上发布</w:t>
      </w:r>
      <w:r>
        <w:rPr>
          <w:rFonts w:hint="default" w:ascii="Times New Roman" w:hAnsi="Times New Roman" w:cs="Times New Roman"/>
          <w:color w:val="auto"/>
          <w:szCs w:val="24"/>
          <w:highlight w:val="none"/>
        </w:rPr>
        <w:t>。</w:t>
      </w:r>
    </w:p>
    <w:p w14:paraId="4CEB0EAB">
      <w:pPr>
        <w:keepNext w:val="0"/>
        <w:keepLines w:val="0"/>
        <w:pageBreakBefore w:val="0"/>
        <w:widowControl w:val="0"/>
        <w:kinsoku/>
        <w:wordWrap/>
        <w:overflowPunct/>
        <w:topLinePunct w:val="0"/>
        <w:autoSpaceDE/>
        <w:autoSpaceDN/>
        <w:bidi w:val="0"/>
        <w:adjustRightInd/>
        <w:snapToGrid/>
        <w:spacing w:before="240" w:after="240" w:line="336" w:lineRule="auto"/>
        <w:textAlignment w:val="auto"/>
        <w:outlineLvl w:val="2"/>
        <w:rPr>
          <w:rFonts w:hint="default" w:ascii="黑体" w:hAnsi="黑体" w:eastAsia="黑体" w:cs="黑体"/>
          <w:color w:val="auto"/>
          <w:sz w:val="28"/>
          <w:szCs w:val="28"/>
          <w:highlight w:val="none"/>
        </w:rPr>
      </w:pPr>
      <w:bookmarkStart w:id="55" w:name="_Toc11952"/>
      <w:bookmarkStart w:id="56" w:name="_Toc11549"/>
      <w:bookmarkStart w:id="57" w:name="_Toc26506"/>
      <w:bookmarkStart w:id="58" w:name="_Toc31367"/>
      <w:bookmarkStart w:id="59" w:name="_Toc470760979"/>
      <w:r>
        <w:rPr>
          <w:rFonts w:hint="eastAsia" w:ascii="黑体" w:hAnsi="黑体" w:eastAsia="黑体" w:cs="黑体"/>
          <w:color w:val="auto"/>
          <w:sz w:val="28"/>
          <w:szCs w:val="28"/>
          <w:highlight w:val="none"/>
          <w:lang w:val="en-US" w:eastAsia="zh-CN"/>
        </w:rPr>
        <w:t>8</w:t>
      </w:r>
      <w:r>
        <w:rPr>
          <w:rFonts w:hint="default" w:ascii="黑体" w:hAnsi="黑体" w:eastAsia="黑体" w:cs="黑体"/>
          <w:color w:val="auto"/>
          <w:sz w:val="28"/>
          <w:szCs w:val="28"/>
          <w:highlight w:val="none"/>
        </w:rPr>
        <w:t>.联系方式</w:t>
      </w:r>
      <w:bookmarkEnd w:id="55"/>
      <w:bookmarkEnd w:id="56"/>
      <w:bookmarkEnd w:id="57"/>
      <w:bookmarkEnd w:id="58"/>
      <w:bookmarkEnd w:id="59"/>
    </w:p>
    <w:p w14:paraId="16123D02">
      <w:pPr>
        <w:keepNext w:val="0"/>
        <w:keepLines w:val="0"/>
        <w:pageBreakBefore w:val="0"/>
        <w:widowControl w:val="0"/>
        <w:kinsoku/>
        <w:wordWrap w:val="0"/>
        <w:overflowPunct/>
        <w:topLinePunct/>
        <w:autoSpaceDE/>
        <w:autoSpaceDN/>
        <w:bidi w:val="0"/>
        <w:adjustRightInd/>
        <w:snapToGrid/>
        <w:spacing w:line="336" w:lineRule="auto"/>
        <w:ind w:firstLine="480" w:firstLineChars="200"/>
        <w:textAlignment w:val="auto"/>
        <w:rPr>
          <w:rFonts w:hint="eastAsia" w:cs="Times New Roman"/>
          <w:color w:val="auto"/>
          <w:sz w:val="24"/>
          <w:szCs w:val="24"/>
          <w:highlight w:val="none"/>
          <w:u w:val="single"/>
          <w:lang w:val="en-US" w:eastAsia="zh-CN"/>
        </w:rPr>
      </w:pPr>
      <w:r>
        <w:rPr>
          <w:rFonts w:hint="default" w:ascii="Times New Roman" w:hAnsi="Times New Roman" w:cs="Times New Roman"/>
          <w:color w:val="auto"/>
          <w:sz w:val="24"/>
          <w:szCs w:val="24"/>
          <w:highlight w:val="none"/>
        </w:rPr>
        <w:t>监督部门：</w:t>
      </w:r>
      <w:r>
        <w:rPr>
          <w:rFonts w:hint="eastAsia" w:cs="Times New Roman"/>
          <w:color w:val="auto"/>
          <w:sz w:val="24"/>
          <w:szCs w:val="24"/>
          <w:highlight w:val="none"/>
          <w:u w:val="single"/>
          <w:lang w:eastAsia="zh-CN"/>
        </w:rPr>
        <w:t>盖州市发展和改革局</w:t>
      </w:r>
    </w:p>
    <w:p w14:paraId="5486941E">
      <w:pPr>
        <w:keepNext w:val="0"/>
        <w:keepLines w:val="0"/>
        <w:pageBreakBefore w:val="0"/>
        <w:widowControl w:val="0"/>
        <w:kinsoku/>
        <w:wordWrap w:val="0"/>
        <w:overflowPunct/>
        <w:topLinePunct/>
        <w:autoSpaceDE/>
        <w:autoSpaceDN/>
        <w:bidi w:val="0"/>
        <w:adjustRightInd/>
        <w:snapToGrid/>
        <w:spacing w:line="336" w:lineRule="auto"/>
        <w:ind w:firstLine="480" w:firstLineChars="200"/>
        <w:textAlignment w:val="auto"/>
        <w:rPr>
          <w:rFonts w:hint="eastAsia" w:cs="Times New Roman"/>
          <w:color w:val="auto"/>
          <w:sz w:val="24"/>
          <w:szCs w:val="24"/>
          <w:highlight w:val="yellow"/>
          <w:u w:val="single"/>
          <w:lang w:val="en-US" w:eastAsia="zh-CN"/>
        </w:rPr>
      </w:pPr>
      <w:r>
        <w:rPr>
          <w:rFonts w:hint="default" w:ascii="Times New Roman" w:hAnsi="Times New Roman" w:cs="Times New Roman"/>
          <w:color w:val="auto"/>
          <w:sz w:val="24"/>
          <w:szCs w:val="24"/>
          <w:highlight w:val="none"/>
        </w:rPr>
        <w:t>地</w:t>
      </w:r>
      <w:r>
        <w:rPr>
          <w:rFonts w:hint="eastAsia"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址：</w:t>
      </w:r>
      <w:r>
        <w:rPr>
          <w:rFonts w:hint="default" w:cs="Times New Roman"/>
          <w:color w:val="auto"/>
          <w:sz w:val="24"/>
          <w:szCs w:val="24"/>
          <w:highlight w:val="none"/>
          <w:u w:val="single"/>
          <w:lang w:eastAsia="zh-CN"/>
        </w:rPr>
        <w:t>盖州市市府路2号</w:t>
      </w:r>
    </w:p>
    <w:p w14:paraId="620EFC37">
      <w:pPr>
        <w:keepNext w:val="0"/>
        <w:keepLines w:val="0"/>
        <w:pageBreakBefore w:val="0"/>
        <w:widowControl w:val="0"/>
        <w:kinsoku/>
        <w:wordWrap w:val="0"/>
        <w:overflowPunct/>
        <w:topLinePunct/>
        <w:autoSpaceDE/>
        <w:autoSpaceDN/>
        <w:bidi w:val="0"/>
        <w:adjustRightInd/>
        <w:snapToGrid/>
        <w:spacing w:line="336" w:lineRule="auto"/>
        <w:ind w:firstLine="480" w:firstLineChars="200"/>
        <w:textAlignment w:val="auto"/>
        <w:rPr>
          <w:rFonts w:hint="default" w:ascii="Times New Roman" w:hAnsi="Times New Roman" w:eastAsia="黑体" w:cs="Times New Roman"/>
          <w:color w:val="auto"/>
          <w:sz w:val="24"/>
          <w:szCs w:val="24"/>
          <w:highlight w:val="none"/>
          <w:lang w:val="en-US" w:eastAsia="zh-CN"/>
        </w:rPr>
      </w:pPr>
      <w:r>
        <w:rPr>
          <w:rFonts w:hint="default" w:ascii="Times New Roman" w:hAnsi="Times New Roman" w:cs="Times New Roman"/>
          <w:color w:val="auto"/>
          <w:sz w:val="24"/>
          <w:szCs w:val="24"/>
          <w:highlight w:val="none"/>
        </w:rPr>
        <w:t>邮</w:t>
      </w:r>
      <w:r>
        <w:rPr>
          <w:rFonts w:hint="eastAsia"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编：</w:t>
      </w:r>
      <w:r>
        <w:rPr>
          <w:rFonts w:hint="eastAsia" w:eastAsia="黑体" w:cs="Times New Roman"/>
          <w:color w:val="auto"/>
          <w:sz w:val="24"/>
          <w:szCs w:val="24"/>
          <w:highlight w:val="none"/>
          <w:u w:val="single"/>
          <w:lang w:val="en-US" w:eastAsia="zh-CN"/>
        </w:rPr>
        <w:t xml:space="preserve"> 115200 </w:t>
      </w:r>
    </w:p>
    <w:p w14:paraId="55E8D984">
      <w:pPr>
        <w:keepNext w:val="0"/>
        <w:keepLines w:val="0"/>
        <w:pageBreakBefore w:val="0"/>
        <w:widowControl w:val="0"/>
        <w:kinsoku/>
        <w:wordWrap w:val="0"/>
        <w:overflowPunct/>
        <w:topLinePunct/>
        <w:autoSpaceDE/>
        <w:autoSpaceDN/>
        <w:bidi w:val="0"/>
        <w:adjustRightInd/>
        <w:snapToGrid/>
        <w:spacing w:line="336"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rPr>
        <w:t>联</w:t>
      </w:r>
      <w:r>
        <w:rPr>
          <w:rFonts w:hint="eastAsia"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系</w:t>
      </w:r>
      <w:r>
        <w:rPr>
          <w:rFonts w:hint="eastAsia"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人：</w:t>
      </w:r>
      <w:r>
        <w:rPr>
          <w:rFonts w:hint="eastAsia" w:cs="Times New Roman"/>
          <w:color w:val="auto"/>
          <w:sz w:val="24"/>
          <w:szCs w:val="24"/>
          <w:highlight w:val="none"/>
          <w:u w:val="single"/>
          <w:lang w:val="en-US" w:eastAsia="zh-CN"/>
        </w:rPr>
        <w:t xml:space="preserve"> 穆先生 </w:t>
      </w:r>
    </w:p>
    <w:p w14:paraId="2A4E70E9">
      <w:pPr>
        <w:keepNext w:val="0"/>
        <w:keepLines w:val="0"/>
        <w:pageBreakBefore w:val="0"/>
        <w:widowControl w:val="0"/>
        <w:tabs>
          <w:tab w:val="left" w:pos="7403"/>
        </w:tabs>
        <w:kinsoku/>
        <w:wordWrap w:val="0"/>
        <w:overflowPunct/>
        <w:topLinePunct/>
        <w:autoSpaceDE/>
        <w:autoSpaceDN/>
        <w:bidi w:val="0"/>
        <w:adjustRightInd/>
        <w:snapToGrid/>
        <w:spacing w:line="336" w:lineRule="auto"/>
        <w:ind w:firstLine="480" w:firstLineChars="200"/>
        <w:textAlignment w:val="auto"/>
        <w:rPr>
          <w:rFonts w:hint="default" w:ascii="宋体" w:hAnsi="宋体" w:eastAsia="宋体" w:cs="宋体"/>
          <w:color w:val="auto"/>
          <w:sz w:val="24"/>
          <w:szCs w:val="24"/>
          <w:highlight w:val="none"/>
          <w:u w:val="single"/>
          <w:lang w:val="en-US" w:eastAsia="zh-CN"/>
        </w:rPr>
      </w:pPr>
      <w:r>
        <w:rPr>
          <w:rFonts w:hint="default" w:ascii="Times New Roman" w:hAnsi="Times New Roman" w:cs="Times New Roman"/>
          <w:color w:val="auto"/>
          <w:sz w:val="24"/>
          <w:szCs w:val="24"/>
          <w:highlight w:val="none"/>
        </w:rPr>
        <w:t>电</w:t>
      </w:r>
      <w:r>
        <w:rPr>
          <w:rFonts w:hint="eastAsia"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话：</w:t>
      </w:r>
      <w:r>
        <w:rPr>
          <w:rFonts w:hint="eastAsia" w:cs="Times New Roman"/>
          <w:color w:val="auto"/>
          <w:sz w:val="24"/>
          <w:szCs w:val="24"/>
          <w:highlight w:val="none"/>
          <w:u w:val="single"/>
          <w:lang w:val="en-US" w:eastAsia="zh-CN"/>
        </w:rPr>
        <w:t xml:space="preserve"> 0417-7696991</w:t>
      </w:r>
    </w:p>
    <w:p w14:paraId="1D4F4C3E">
      <w:pPr>
        <w:keepNext w:val="0"/>
        <w:keepLines w:val="0"/>
        <w:pageBreakBefore w:val="0"/>
        <w:widowControl w:val="0"/>
        <w:kinsoku/>
        <w:wordWrap w:val="0"/>
        <w:overflowPunct/>
        <w:topLinePunct/>
        <w:autoSpaceDE/>
        <w:autoSpaceDN/>
        <w:bidi w:val="0"/>
        <w:adjustRightInd/>
        <w:snapToGrid/>
        <w:spacing w:line="336" w:lineRule="auto"/>
        <w:ind w:firstLine="480" w:firstLineChars="200"/>
        <w:textAlignment w:val="auto"/>
        <w:rPr>
          <w:rFonts w:hint="default" w:ascii="Times New Roman" w:hAnsi="Times New Roman" w:eastAsia="黑体" w:cs="Times New Roman"/>
          <w:color w:val="auto"/>
          <w:sz w:val="24"/>
          <w:szCs w:val="24"/>
          <w:highlight w:val="none"/>
          <w:lang w:val="en-US" w:eastAsia="zh-CN"/>
        </w:rPr>
      </w:pPr>
      <w:r>
        <w:rPr>
          <w:rFonts w:hint="default" w:ascii="Times New Roman" w:hAnsi="Times New Roman" w:cs="Times New Roman"/>
          <w:color w:val="auto"/>
          <w:sz w:val="24"/>
          <w:szCs w:val="24"/>
          <w:highlight w:val="none"/>
        </w:rPr>
        <w:t>传</w:t>
      </w:r>
      <w:r>
        <w:rPr>
          <w:rFonts w:hint="eastAsia"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真：</w:t>
      </w:r>
      <w:r>
        <w:rPr>
          <w:rFonts w:hint="eastAsia" w:cs="Times New Roman"/>
          <w:color w:val="auto"/>
          <w:sz w:val="24"/>
          <w:szCs w:val="24"/>
          <w:highlight w:val="none"/>
          <w:u w:val="single"/>
          <w:lang w:val="en-US" w:eastAsia="zh-CN"/>
        </w:rPr>
        <w:t xml:space="preserve">       </w:t>
      </w:r>
      <w:r>
        <w:rPr>
          <w:rFonts w:hint="eastAsia" w:eastAsia="黑体" w:cs="Times New Roman"/>
          <w:color w:val="auto"/>
          <w:sz w:val="24"/>
          <w:szCs w:val="24"/>
          <w:highlight w:val="none"/>
          <w:u w:val="single"/>
          <w:lang w:val="en-US" w:eastAsia="zh-CN"/>
        </w:rPr>
        <w:t xml:space="preserve">/     </w:t>
      </w:r>
    </w:p>
    <w:p w14:paraId="0771B990">
      <w:pPr>
        <w:keepNext w:val="0"/>
        <w:keepLines w:val="0"/>
        <w:pageBreakBefore w:val="0"/>
        <w:widowControl w:val="0"/>
        <w:kinsoku/>
        <w:wordWrap w:val="0"/>
        <w:overflowPunct/>
        <w:topLinePunct/>
        <w:autoSpaceDE/>
        <w:autoSpaceDN/>
        <w:bidi w:val="0"/>
        <w:adjustRightInd/>
        <w:snapToGrid/>
        <w:spacing w:line="336" w:lineRule="auto"/>
        <w:ind w:firstLine="480" w:firstLineChars="200"/>
        <w:textAlignment w:val="auto"/>
        <w:rPr>
          <w:rFonts w:hint="eastAsia" w:ascii="Times New Roman" w:hAnsi="Times New Roman" w:eastAsia="黑体" w:cs="Times New Roman"/>
          <w:color w:val="auto"/>
          <w:sz w:val="24"/>
          <w:szCs w:val="24"/>
          <w:highlight w:val="none"/>
          <w:u w:val="single"/>
          <w:lang w:eastAsia="zh-CN"/>
        </w:rPr>
      </w:pPr>
      <w:r>
        <w:rPr>
          <w:rFonts w:hint="default" w:ascii="Times New Roman" w:hAnsi="Times New Roman" w:cs="Times New Roman"/>
          <w:color w:val="auto"/>
          <w:sz w:val="24"/>
          <w:szCs w:val="24"/>
          <w:highlight w:val="none"/>
        </w:rPr>
        <w:t>电子邮件：</w:t>
      </w:r>
      <w:r>
        <w:rPr>
          <w:rFonts w:hint="eastAsia" w:cs="Times New Roman"/>
          <w:color w:val="auto"/>
          <w:sz w:val="24"/>
          <w:szCs w:val="24"/>
          <w:highlight w:val="none"/>
          <w:u w:val="single"/>
          <w:lang w:val="en-US" w:eastAsia="zh-CN"/>
        </w:rPr>
        <w:t xml:space="preserve">       </w:t>
      </w:r>
      <w:r>
        <w:rPr>
          <w:rFonts w:hint="eastAsia" w:eastAsia="黑体" w:cs="Times New Roman"/>
          <w:color w:val="auto"/>
          <w:sz w:val="24"/>
          <w:szCs w:val="24"/>
          <w:highlight w:val="none"/>
          <w:u w:val="single"/>
          <w:lang w:val="en-US" w:eastAsia="zh-CN"/>
        </w:rPr>
        <w:t xml:space="preserve">/     </w:t>
      </w:r>
    </w:p>
    <w:p w14:paraId="6183ACA8">
      <w:pPr>
        <w:keepNext w:val="0"/>
        <w:keepLines w:val="0"/>
        <w:pageBreakBefore w:val="0"/>
        <w:widowControl w:val="0"/>
        <w:kinsoku/>
        <w:wordWrap w:val="0"/>
        <w:overflowPunct/>
        <w:topLinePunct/>
        <w:autoSpaceDE/>
        <w:autoSpaceDN/>
        <w:bidi w:val="0"/>
        <w:adjustRightInd/>
        <w:snapToGrid/>
        <w:spacing w:line="336" w:lineRule="auto"/>
        <w:ind w:firstLine="480" w:firstLineChars="200"/>
        <w:textAlignment w:val="auto"/>
        <w:rPr>
          <w:rFonts w:hint="eastAsia" w:ascii="Times New Roman" w:hAnsi="Times New Roman" w:eastAsia="黑体" w:cs="Times New Roman"/>
          <w:color w:val="auto"/>
          <w:sz w:val="24"/>
          <w:szCs w:val="24"/>
          <w:highlight w:val="none"/>
          <w:u w:val="single"/>
          <w:lang w:eastAsia="zh-CN"/>
        </w:rPr>
      </w:pPr>
      <w:r>
        <w:rPr>
          <w:rFonts w:hint="default" w:ascii="Times New Roman" w:hAnsi="Times New Roman" w:cs="Times New Roman"/>
          <w:color w:val="auto"/>
          <w:sz w:val="24"/>
          <w:szCs w:val="24"/>
          <w:highlight w:val="none"/>
        </w:rPr>
        <w:t>网</w:t>
      </w:r>
      <w:r>
        <w:rPr>
          <w:rFonts w:hint="eastAsia"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址：</w:t>
      </w:r>
      <w:r>
        <w:rPr>
          <w:rFonts w:hint="eastAsia" w:cs="Times New Roman"/>
          <w:color w:val="auto"/>
          <w:sz w:val="24"/>
          <w:szCs w:val="24"/>
          <w:highlight w:val="none"/>
          <w:u w:val="single"/>
          <w:lang w:val="en-US" w:eastAsia="zh-CN"/>
        </w:rPr>
        <w:t xml:space="preserve">       </w:t>
      </w:r>
      <w:r>
        <w:rPr>
          <w:rFonts w:hint="eastAsia" w:eastAsia="黑体" w:cs="Times New Roman"/>
          <w:color w:val="auto"/>
          <w:sz w:val="24"/>
          <w:szCs w:val="24"/>
          <w:highlight w:val="none"/>
          <w:u w:val="single"/>
          <w:lang w:val="en-US" w:eastAsia="zh-CN"/>
        </w:rPr>
        <w:t xml:space="preserve">/     </w:t>
      </w:r>
    </w:p>
    <w:p w14:paraId="01846A32">
      <w:pPr>
        <w:pageBreakBefore w:val="0"/>
        <w:kinsoku/>
        <w:wordWrap w:val="0"/>
        <w:topLinePunct/>
        <w:autoSpaceDE/>
        <w:autoSpaceDN/>
        <w:bidi w:val="0"/>
        <w:adjustRightInd/>
        <w:snapToGrid/>
        <w:spacing w:line="336" w:lineRule="auto"/>
        <w:ind w:firstLine="480" w:firstLineChars="200"/>
        <w:textAlignment w:val="auto"/>
        <w:rPr>
          <w:rFonts w:hint="default" w:ascii="Times New Roman" w:hAnsi="Times New Roman" w:cs="Times New Roman"/>
          <w:color w:val="auto"/>
          <w:sz w:val="24"/>
          <w:szCs w:val="24"/>
          <w:highlight w:val="none"/>
        </w:rPr>
      </w:pPr>
    </w:p>
    <w:p w14:paraId="7ED46805">
      <w:pPr>
        <w:keepNext w:val="0"/>
        <w:keepLines w:val="0"/>
        <w:pageBreakBefore w:val="0"/>
        <w:widowControl w:val="0"/>
        <w:kinsoku/>
        <w:wordWrap w:val="0"/>
        <w:overflowPunct/>
        <w:topLinePunct/>
        <w:autoSpaceDE/>
        <w:autoSpaceDN/>
        <w:bidi w:val="0"/>
        <w:adjustRightInd/>
        <w:snapToGrid/>
        <w:spacing w:line="336" w:lineRule="auto"/>
        <w:ind w:firstLine="480" w:firstLineChars="200"/>
        <w:textAlignment w:val="auto"/>
        <w:rPr>
          <w:rFonts w:hint="default" w:ascii="Times New Roman" w:hAnsi="Times New Roman" w:cs="Times New Roman"/>
          <w:color w:val="auto"/>
          <w:sz w:val="24"/>
          <w:szCs w:val="24"/>
          <w:highlight w:val="none"/>
          <w:u w:val="single"/>
          <w:lang w:val="en-US" w:eastAsia="zh-CN"/>
        </w:rPr>
      </w:pPr>
      <w:r>
        <w:rPr>
          <w:rFonts w:hint="default" w:ascii="Times New Roman" w:hAnsi="Times New Roman" w:cs="Times New Roman"/>
          <w:color w:val="auto"/>
          <w:sz w:val="24"/>
          <w:szCs w:val="24"/>
          <w:highlight w:val="none"/>
        </w:rPr>
        <w:t>招</w:t>
      </w:r>
      <w:r>
        <w:rPr>
          <w:rFonts w:hint="eastAsia"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标</w:t>
      </w:r>
      <w:r>
        <w:rPr>
          <w:rFonts w:hint="eastAsia"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人：</w:t>
      </w:r>
      <w:r>
        <w:rPr>
          <w:rFonts w:hint="eastAsia" w:cs="Times New Roman"/>
          <w:color w:val="auto"/>
          <w:sz w:val="24"/>
          <w:szCs w:val="24"/>
          <w:highlight w:val="none"/>
          <w:u w:val="single"/>
          <w:lang w:val="en-US" w:eastAsia="zh-CN"/>
        </w:rPr>
        <w:t>盖州市财政局</w:t>
      </w:r>
    </w:p>
    <w:p w14:paraId="1B04C2DE">
      <w:pPr>
        <w:keepNext w:val="0"/>
        <w:keepLines w:val="0"/>
        <w:pageBreakBefore w:val="0"/>
        <w:widowControl w:val="0"/>
        <w:kinsoku/>
        <w:wordWrap w:val="0"/>
        <w:overflowPunct/>
        <w:topLinePunct/>
        <w:autoSpaceDE/>
        <w:autoSpaceDN/>
        <w:bidi w:val="0"/>
        <w:adjustRightInd/>
        <w:snapToGrid/>
        <w:spacing w:line="336" w:lineRule="auto"/>
        <w:ind w:firstLine="480" w:firstLineChars="200"/>
        <w:textAlignment w:val="auto"/>
        <w:rPr>
          <w:rFonts w:hint="eastAsia" w:ascii="Times New Roman" w:hAnsi="Times New Roman" w:cs="Times New Roman"/>
          <w:color w:val="auto"/>
          <w:sz w:val="24"/>
          <w:szCs w:val="24"/>
          <w:highlight w:val="none"/>
          <w:u w:val="single"/>
          <w:lang w:eastAsia="zh-CN"/>
        </w:rPr>
      </w:pPr>
      <w:r>
        <w:rPr>
          <w:rFonts w:hint="default" w:ascii="Times New Roman" w:hAnsi="Times New Roman" w:cs="Times New Roman"/>
          <w:color w:val="auto"/>
          <w:sz w:val="24"/>
          <w:szCs w:val="24"/>
          <w:highlight w:val="none"/>
        </w:rPr>
        <w:t>地</w:t>
      </w:r>
      <w:r>
        <w:rPr>
          <w:rFonts w:hint="eastAsia"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址：</w:t>
      </w:r>
      <w:r>
        <w:rPr>
          <w:rFonts w:hint="eastAsia" w:ascii="Times New Roman" w:hAnsi="Times New Roman" w:cs="Times New Roman"/>
          <w:color w:val="auto"/>
          <w:sz w:val="24"/>
          <w:szCs w:val="24"/>
          <w:highlight w:val="none"/>
          <w:u w:val="single"/>
          <w:lang w:val="en-US" w:eastAsia="zh-CN"/>
        </w:rPr>
        <w:t>盖州市市府大街12号</w:t>
      </w:r>
    </w:p>
    <w:p w14:paraId="60FFA151">
      <w:pPr>
        <w:keepNext w:val="0"/>
        <w:keepLines w:val="0"/>
        <w:pageBreakBefore w:val="0"/>
        <w:widowControl w:val="0"/>
        <w:kinsoku/>
        <w:wordWrap w:val="0"/>
        <w:overflowPunct/>
        <w:topLinePunct/>
        <w:autoSpaceDE/>
        <w:autoSpaceDN/>
        <w:bidi w:val="0"/>
        <w:adjustRightInd/>
        <w:snapToGrid/>
        <w:spacing w:line="336" w:lineRule="auto"/>
        <w:ind w:firstLine="480" w:firstLineChars="200"/>
        <w:textAlignment w:val="auto"/>
        <w:rPr>
          <w:rFonts w:hint="default" w:ascii="Times New Roman" w:hAnsi="Times New Roman" w:cs="Times New Roman"/>
          <w:color w:val="auto"/>
          <w:sz w:val="24"/>
          <w:szCs w:val="24"/>
          <w:highlight w:val="none"/>
          <w:u w:val="single"/>
          <w:lang w:val="en-US" w:eastAsia="zh-CN"/>
        </w:rPr>
      </w:pPr>
      <w:r>
        <w:rPr>
          <w:rFonts w:hint="default" w:ascii="Times New Roman" w:hAnsi="Times New Roman" w:cs="Times New Roman"/>
          <w:color w:val="auto"/>
          <w:sz w:val="24"/>
          <w:szCs w:val="24"/>
          <w:highlight w:val="none"/>
        </w:rPr>
        <w:t>邮</w:t>
      </w:r>
      <w:r>
        <w:rPr>
          <w:rFonts w:hint="eastAsia"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编：</w:t>
      </w:r>
      <w:r>
        <w:rPr>
          <w:rFonts w:hint="eastAsia" w:ascii="Times New Roman" w:hAnsi="Times New Roman" w:cs="Times New Roman"/>
          <w:color w:val="auto"/>
          <w:sz w:val="24"/>
          <w:szCs w:val="24"/>
          <w:highlight w:val="none"/>
          <w:u w:val="single"/>
          <w:lang w:val="en-US" w:eastAsia="zh-CN"/>
        </w:rPr>
        <w:t xml:space="preserve"> 115200 </w:t>
      </w:r>
    </w:p>
    <w:p w14:paraId="116D4AD8">
      <w:pPr>
        <w:keepNext w:val="0"/>
        <w:keepLines w:val="0"/>
        <w:pageBreakBefore w:val="0"/>
        <w:widowControl w:val="0"/>
        <w:kinsoku/>
        <w:wordWrap w:val="0"/>
        <w:overflowPunct/>
        <w:topLinePunct/>
        <w:autoSpaceDE/>
        <w:autoSpaceDN/>
        <w:bidi w:val="0"/>
        <w:adjustRightInd/>
        <w:snapToGrid/>
        <w:spacing w:line="336" w:lineRule="auto"/>
        <w:ind w:firstLine="480" w:firstLineChars="200"/>
        <w:textAlignment w:val="auto"/>
        <w:rPr>
          <w:rFonts w:hint="default" w:ascii="Times New Roman" w:hAnsi="Times New Roman" w:eastAsia="宋体" w:cs="Times New Roman"/>
          <w:color w:val="auto"/>
          <w:sz w:val="24"/>
          <w:szCs w:val="24"/>
          <w:highlight w:val="none"/>
          <w:u w:val="single"/>
          <w:lang w:val="en-US" w:eastAsia="zh-CN"/>
        </w:rPr>
      </w:pPr>
      <w:r>
        <w:rPr>
          <w:rFonts w:hint="default" w:ascii="Times New Roman" w:hAnsi="Times New Roman" w:cs="Times New Roman"/>
          <w:color w:val="auto"/>
          <w:sz w:val="24"/>
          <w:szCs w:val="24"/>
          <w:highlight w:val="none"/>
        </w:rPr>
        <w:t>联</w:t>
      </w:r>
      <w:r>
        <w:rPr>
          <w:rFonts w:hint="eastAsia"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系</w:t>
      </w:r>
      <w:r>
        <w:rPr>
          <w:rFonts w:hint="eastAsia"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人：</w:t>
      </w:r>
      <w:r>
        <w:rPr>
          <w:rFonts w:hint="eastAsia" w:cs="Times New Roman"/>
          <w:color w:val="auto"/>
          <w:sz w:val="24"/>
          <w:szCs w:val="24"/>
          <w:highlight w:val="none"/>
          <w:u w:val="single"/>
          <w:lang w:val="en-US" w:eastAsia="zh-CN"/>
        </w:rPr>
        <w:t xml:space="preserve"> 高先生 </w:t>
      </w:r>
    </w:p>
    <w:p w14:paraId="189511BE">
      <w:pPr>
        <w:keepNext w:val="0"/>
        <w:keepLines w:val="0"/>
        <w:pageBreakBefore w:val="0"/>
        <w:widowControl w:val="0"/>
        <w:kinsoku/>
        <w:wordWrap w:val="0"/>
        <w:overflowPunct/>
        <w:topLinePunct/>
        <w:autoSpaceDE/>
        <w:autoSpaceDN/>
        <w:bidi w:val="0"/>
        <w:adjustRightInd/>
        <w:snapToGrid/>
        <w:spacing w:line="336" w:lineRule="auto"/>
        <w:ind w:firstLine="480" w:firstLineChars="200"/>
        <w:textAlignment w:val="auto"/>
        <w:rPr>
          <w:rFonts w:hint="default" w:ascii="Times New Roman" w:hAnsi="Times New Roman" w:cs="Times New Roman"/>
          <w:color w:val="auto"/>
          <w:sz w:val="24"/>
          <w:szCs w:val="24"/>
          <w:highlight w:val="none"/>
          <w:u w:val="single"/>
          <w:lang w:val="en-US" w:eastAsia="zh-CN"/>
        </w:rPr>
      </w:pPr>
      <w:r>
        <w:rPr>
          <w:rFonts w:hint="default" w:ascii="Times New Roman" w:hAnsi="Times New Roman" w:cs="Times New Roman"/>
          <w:color w:val="auto"/>
          <w:sz w:val="24"/>
          <w:szCs w:val="24"/>
          <w:highlight w:val="none"/>
        </w:rPr>
        <w:t>电</w:t>
      </w:r>
      <w:r>
        <w:rPr>
          <w:rFonts w:hint="eastAsia"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话：</w:t>
      </w:r>
      <w:bookmarkStart w:id="60" w:name="_Toc369531496"/>
      <w:bookmarkStart w:id="61" w:name="_Toc247513933"/>
      <w:bookmarkStart w:id="62" w:name="_Toc300834928"/>
      <w:bookmarkStart w:id="63" w:name="_Toc361508561"/>
      <w:bookmarkStart w:id="64" w:name="_Toc352691454"/>
      <w:bookmarkStart w:id="65" w:name="_Toc3520"/>
      <w:bookmarkStart w:id="66" w:name="_Toc384308186"/>
      <w:bookmarkStart w:id="67" w:name="_Toc247527534"/>
      <w:r>
        <w:rPr>
          <w:rFonts w:hint="eastAsia" w:ascii="Times New Roman" w:hAnsi="Times New Roman" w:cs="Times New Roman"/>
          <w:color w:val="auto"/>
          <w:sz w:val="24"/>
          <w:szCs w:val="24"/>
          <w:highlight w:val="none"/>
          <w:u w:val="single"/>
          <w:lang w:val="en-US" w:eastAsia="zh-CN"/>
        </w:rPr>
        <w:t xml:space="preserve"> 0417</w:t>
      </w:r>
      <w:bookmarkEnd w:id="60"/>
      <w:bookmarkEnd w:id="61"/>
      <w:bookmarkEnd w:id="62"/>
      <w:bookmarkEnd w:id="63"/>
      <w:bookmarkEnd w:id="64"/>
      <w:bookmarkEnd w:id="65"/>
      <w:bookmarkEnd w:id="66"/>
      <w:bookmarkEnd w:id="67"/>
      <w:r>
        <w:rPr>
          <w:rFonts w:hint="eastAsia" w:ascii="Times New Roman" w:hAnsi="Times New Roman" w:cs="Times New Roman"/>
          <w:color w:val="auto"/>
          <w:sz w:val="24"/>
          <w:szCs w:val="24"/>
          <w:highlight w:val="none"/>
          <w:u w:val="single"/>
          <w:lang w:val="en-US" w:eastAsia="zh-CN"/>
        </w:rPr>
        <w:t>-7817800</w:t>
      </w:r>
      <w:r>
        <w:rPr>
          <w:rFonts w:hint="eastAsia" w:cs="Times New Roman"/>
          <w:color w:val="auto"/>
          <w:sz w:val="24"/>
          <w:szCs w:val="24"/>
          <w:highlight w:val="none"/>
          <w:u w:val="single"/>
          <w:lang w:val="en-US" w:eastAsia="zh-CN"/>
        </w:rPr>
        <w:t xml:space="preserve"> </w:t>
      </w:r>
    </w:p>
    <w:p w14:paraId="261BFCD0">
      <w:pPr>
        <w:keepNext w:val="0"/>
        <w:keepLines w:val="0"/>
        <w:pageBreakBefore w:val="0"/>
        <w:widowControl w:val="0"/>
        <w:kinsoku/>
        <w:wordWrap w:val="0"/>
        <w:overflowPunct/>
        <w:topLinePunct/>
        <w:autoSpaceDE/>
        <w:autoSpaceDN/>
        <w:bidi w:val="0"/>
        <w:adjustRightInd/>
        <w:snapToGrid/>
        <w:spacing w:line="336" w:lineRule="auto"/>
        <w:ind w:firstLine="480" w:firstLineChars="200"/>
        <w:textAlignment w:val="auto"/>
        <w:rPr>
          <w:rFonts w:hint="default" w:ascii="Times New Roman" w:hAnsi="Times New Roman" w:eastAsia="黑体" w:cs="Times New Roman"/>
          <w:color w:val="auto"/>
          <w:sz w:val="24"/>
          <w:szCs w:val="24"/>
          <w:highlight w:val="none"/>
          <w:lang w:val="en-US" w:eastAsia="zh-CN"/>
        </w:rPr>
      </w:pPr>
      <w:r>
        <w:rPr>
          <w:rFonts w:hint="default" w:ascii="Times New Roman" w:hAnsi="Times New Roman" w:cs="Times New Roman"/>
          <w:color w:val="auto"/>
          <w:sz w:val="24"/>
          <w:szCs w:val="24"/>
          <w:highlight w:val="none"/>
        </w:rPr>
        <w:t>传</w:t>
      </w:r>
      <w:r>
        <w:rPr>
          <w:rFonts w:hint="eastAsia"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真：</w:t>
      </w:r>
      <w:r>
        <w:rPr>
          <w:rFonts w:hint="eastAsia" w:cs="Times New Roman"/>
          <w:color w:val="auto"/>
          <w:sz w:val="24"/>
          <w:szCs w:val="24"/>
          <w:highlight w:val="none"/>
          <w:u w:val="single"/>
          <w:lang w:val="en-US" w:eastAsia="zh-CN"/>
        </w:rPr>
        <w:t xml:space="preserve">       </w:t>
      </w:r>
      <w:r>
        <w:rPr>
          <w:rFonts w:hint="eastAsia" w:eastAsia="黑体" w:cs="Times New Roman"/>
          <w:color w:val="auto"/>
          <w:sz w:val="24"/>
          <w:szCs w:val="24"/>
          <w:highlight w:val="none"/>
          <w:u w:val="single"/>
          <w:lang w:val="en-US" w:eastAsia="zh-CN"/>
        </w:rPr>
        <w:t xml:space="preserve">/     </w:t>
      </w:r>
    </w:p>
    <w:p w14:paraId="6D52FB36">
      <w:pPr>
        <w:keepNext w:val="0"/>
        <w:keepLines w:val="0"/>
        <w:pageBreakBefore w:val="0"/>
        <w:widowControl w:val="0"/>
        <w:kinsoku/>
        <w:wordWrap w:val="0"/>
        <w:overflowPunct/>
        <w:topLinePunct/>
        <w:autoSpaceDE/>
        <w:autoSpaceDN/>
        <w:bidi w:val="0"/>
        <w:adjustRightInd/>
        <w:snapToGrid/>
        <w:spacing w:line="336" w:lineRule="auto"/>
        <w:ind w:firstLine="480" w:firstLineChars="200"/>
        <w:textAlignment w:val="auto"/>
        <w:rPr>
          <w:rFonts w:hint="eastAsia" w:ascii="Times New Roman" w:hAnsi="Times New Roman" w:eastAsia="黑体" w:cs="Times New Roman"/>
          <w:color w:val="auto"/>
          <w:sz w:val="24"/>
          <w:szCs w:val="24"/>
          <w:highlight w:val="none"/>
          <w:u w:val="single"/>
          <w:lang w:eastAsia="zh-CN"/>
        </w:rPr>
      </w:pPr>
      <w:r>
        <w:rPr>
          <w:rFonts w:hint="default" w:ascii="Times New Roman" w:hAnsi="Times New Roman" w:cs="Times New Roman"/>
          <w:color w:val="auto"/>
          <w:sz w:val="24"/>
          <w:szCs w:val="24"/>
          <w:highlight w:val="none"/>
        </w:rPr>
        <w:t>电子邮件：</w:t>
      </w:r>
      <w:r>
        <w:rPr>
          <w:rFonts w:hint="eastAsia" w:cs="Times New Roman"/>
          <w:color w:val="auto"/>
          <w:sz w:val="24"/>
          <w:szCs w:val="24"/>
          <w:highlight w:val="none"/>
          <w:u w:val="single"/>
          <w:lang w:val="en-US" w:eastAsia="zh-CN"/>
        </w:rPr>
        <w:t xml:space="preserve">       </w:t>
      </w:r>
      <w:r>
        <w:rPr>
          <w:rFonts w:hint="eastAsia" w:eastAsia="黑体" w:cs="Times New Roman"/>
          <w:color w:val="auto"/>
          <w:sz w:val="24"/>
          <w:szCs w:val="24"/>
          <w:highlight w:val="none"/>
          <w:u w:val="single"/>
          <w:lang w:val="en-US" w:eastAsia="zh-CN"/>
        </w:rPr>
        <w:t xml:space="preserve">/     </w:t>
      </w:r>
    </w:p>
    <w:p w14:paraId="693C0B40">
      <w:pPr>
        <w:pageBreakBefore w:val="0"/>
        <w:kinsoku/>
        <w:wordWrap w:val="0"/>
        <w:topLinePunct/>
        <w:autoSpaceDE/>
        <w:autoSpaceDN/>
        <w:bidi w:val="0"/>
        <w:adjustRightInd/>
        <w:snapToGrid/>
        <w:spacing w:line="336" w:lineRule="auto"/>
        <w:ind w:firstLine="480" w:firstLineChars="200"/>
        <w:textAlignment w:val="auto"/>
        <w:rPr>
          <w:rFonts w:hint="eastAsia" w:eastAsia="黑体" w:cs="Times New Roman"/>
          <w:color w:val="auto"/>
          <w:sz w:val="24"/>
          <w:szCs w:val="24"/>
          <w:highlight w:val="none"/>
          <w:u w:val="single"/>
          <w:lang w:val="en-US" w:eastAsia="zh-CN"/>
        </w:rPr>
      </w:pPr>
      <w:r>
        <w:rPr>
          <w:rFonts w:hint="default" w:ascii="Times New Roman" w:hAnsi="Times New Roman" w:cs="Times New Roman"/>
          <w:color w:val="auto"/>
          <w:sz w:val="24"/>
          <w:szCs w:val="24"/>
          <w:highlight w:val="none"/>
        </w:rPr>
        <w:t>网</w:t>
      </w:r>
      <w:r>
        <w:rPr>
          <w:rFonts w:hint="eastAsia"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址：</w:t>
      </w:r>
      <w:r>
        <w:rPr>
          <w:rFonts w:hint="eastAsia" w:cs="Times New Roman"/>
          <w:color w:val="auto"/>
          <w:sz w:val="24"/>
          <w:szCs w:val="24"/>
          <w:highlight w:val="none"/>
          <w:u w:val="single"/>
          <w:lang w:val="en-US" w:eastAsia="zh-CN"/>
        </w:rPr>
        <w:t xml:space="preserve">       </w:t>
      </w:r>
      <w:r>
        <w:rPr>
          <w:rFonts w:hint="eastAsia" w:eastAsia="黑体" w:cs="Times New Roman"/>
          <w:color w:val="auto"/>
          <w:sz w:val="24"/>
          <w:szCs w:val="24"/>
          <w:highlight w:val="none"/>
          <w:u w:val="single"/>
          <w:lang w:val="en-US" w:eastAsia="zh-CN"/>
        </w:rPr>
        <w:t xml:space="preserve">/     </w:t>
      </w:r>
    </w:p>
    <w:p w14:paraId="47FD706F">
      <w:pPr>
        <w:pageBreakBefore w:val="0"/>
        <w:kinsoku/>
        <w:wordWrap w:val="0"/>
        <w:topLinePunct/>
        <w:autoSpaceDE/>
        <w:autoSpaceDN/>
        <w:bidi w:val="0"/>
        <w:adjustRightInd/>
        <w:snapToGrid/>
        <w:spacing w:line="336" w:lineRule="auto"/>
        <w:ind w:firstLine="480" w:firstLineChars="200"/>
        <w:textAlignment w:val="auto"/>
        <w:rPr>
          <w:rFonts w:hint="default" w:eastAsia="黑体" w:cs="Times New Roman"/>
          <w:color w:val="auto"/>
          <w:sz w:val="24"/>
          <w:szCs w:val="24"/>
          <w:highlight w:val="none"/>
          <w:u w:val="single"/>
          <w:lang w:val="en-US" w:eastAsia="zh-CN"/>
        </w:rPr>
      </w:pPr>
    </w:p>
    <w:p w14:paraId="6374932B">
      <w:pPr>
        <w:pageBreakBefore w:val="0"/>
        <w:kinsoku/>
        <w:wordWrap w:val="0"/>
        <w:topLinePunct/>
        <w:autoSpaceDE/>
        <w:autoSpaceDN/>
        <w:bidi w:val="0"/>
        <w:adjustRightInd/>
        <w:snapToGrid/>
        <w:spacing w:line="336"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招标代理机构</w:t>
      </w:r>
      <w:r>
        <w:rPr>
          <w:rFonts w:hint="default" w:ascii="Times New Roman" w:hAnsi="Times New Roman" w:cs="Times New Roman"/>
          <w:color w:val="auto"/>
          <w:sz w:val="24"/>
          <w:szCs w:val="24"/>
          <w:highlight w:val="none"/>
        </w:rPr>
        <w:t>：</w:t>
      </w:r>
      <w:r>
        <w:rPr>
          <w:rFonts w:hint="eastAsia" w:ascii="宋体" w:hAnsi="宋体" w:cs="宋体"/>
          <w:color w:val="auto"/>
          <w:sz w:val="24"/>
          <w:szCs w:val="24"/>
          <w:highlight w:val="none"/>
          <w:u w:val="single"/>
          <w:lang w:val="en-US" w:eastAsia="zh-CN"/>
        </w:rPr>
        <w:t>辽宁巨鸿建设工程造价咨询有限公司</w:t>
      </w:r>
    </w:p>
    <w:p w14:paraId="47B87297">
      <w:pPr>
        <w:pageBreakBefore w:val="0"/>
        <w:kinsoku/>
        <w:wordWrap w:val="0"/>
        <w:topLinePunct/>
        <w:autoSpaceDE/>
        <w:autoSpaceDN/>
        <w:bidi w:val="0"/>
        <w:adjustRightInd/>
        <w:snapToGrid/>
        <w:spacing w:line="336"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default" w:ascii="Times New Roman" w:hAnsi="Times New Roman" w:cs="Times New Roman"/>
          <w:color w:val="auto"/>
          <w:sz w:val="24"/>
          <w:szCs w:val="24"/>
          <w:highlight w:val="none"/>
        </w:rPr>
        <w:t>地址：</w:t>
      </w:r>
      <w:r>
        <w:rPr>
          <w:rFonts w:hint="default" w:ascii="Times New Roman" w:hAnsi="Times New Roman" w:cs="Times New Roman"/>
          <w:color w:val="auto"/>
          <w:sz w:val="24"/>
          <w:szCs w:val="24"/>
          <w:highlight w:val="none"/>
          <w:u w:val="single"/>
          <w:lang w:val="en-US" w:eastAsia="zh-CN"/>
        </w:rPr>
        <w:t>辽宁省营口北海经济开发区管理委员会办公楼8楼801室</w:t>
      </w:r>
    </w:p>
    <w:p w14:paraId="49324546">
      <w:pPr>
        <w:pageBreakBefore w:val="0"/>
        <w:kinsoku/>
        <w:wordWrap w:val="0"/>
        <w:topLinePunct/>
        <w:autoSpaceDE/>
        <w:autoSpaceDN/>
        <w:bidi w:val="0"/>
        <w:adjustRightInd/>
        <w:snapToGrid/>
        <w:spacing w:line="336"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rPr>
        <w:t>邮编：</w:t>
      </w:r>
      <w:r>
        <w:rPr>
          <w:rFonts w:hint="eastAsia" w:cs="Times New Roman"/>
          <w:color w:val="auto"/>
          <w:sz w:val="24"/>
          <w:szCs w:val="24"/>
          <w:highlight w:val="none"/>
          <w:u w:val="single"/>
          <w:lang w:val="en-US" w:eastAsia="zh-CN"/>
        </w:rPr>
        <w:t xml:space="preserve">    </w:t>
      </w:r>
      <w:r>
        <w:rPr>
          <w:rFonts w:hint="eastAsia" w:ascii="Times New Roman" w:hAnsi="Times New Roman" w:cs="Times New Roman"/>
          <w:color w:val="auto"/>
          <w:sz w:val="24"/>
          <w:szCs w:val="24"/>
          <w:highlight w:val="none"/>
          <w:u w:val="single"/>
          <w:lang w:val="en-US" w:eastAsia="zh-CN"/>
        </w:rPr>
        <w:t xml:space="preserve">115211 </w:t>
      </w:r>
      <w:r>
        <w:rPr>
          <w:rFonts w:hint="eastAsia" w:ascii="宋体" w:hAnsi="宋体" w:cs="宋体"/>
          <w:color w:val="auto"/>
          <w:sz w:val="24"/>
          <w:szCs w:val="24"/>
          <w:highlight w:val="none"/>
          <w:u w:val="single"/>
          <w:lang w:val="en-US" w:eastAsia="zh-CN"/>
        </w:rPr>
        <w:t xml:space="preserve">        </w:t>
      </w:r>
    </w:p>
    <w:p w14:paraId="4708C9F8">
      <w:pPr>
        <w:pageBreakBefore w:val="0"/>
        <w:kinsoku/>
        <w:wordWrap w:val="0"/>
        <w:topLinePunct/>
        <w:autoSpaceDE/>
        <w:autoSpaceDN/>
        <w:bidi w:val="0"/>
        <w:adjustRightInd/>
        <w:snapToGrid/>
        <w:spacing w:line="336"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rPr>
        <w:t>联系人：</w:t>
      </w:r>
      <w:r>
        <w:rPr>
          <w:rFonts w:hint="eastAsia" w:cs="Times New Roman"/>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张永波         </w:t>
      </w:r>
    </w:p>
    <w:p w14:paraId="21BD1F67">
      <w:pPr>
        <w:pageBreakBefore w:val="0"/>
        <w:kinsoku/>
        <w:wordWrap w:val="0"/>
        <w:topLinePunct/>
        <w:autoSpaceDE/>
        <w:autoSpaceDN/>
        <w:bidi w:val="0"/>
        <w:adjustRightInd/>
        <w:snapToGrid/>
        <w:spacing w:line="336"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rPr>
        <w:t>电话：</w:t>
      </w:r>
      <w:r>
        <w:rPr>
          <w:rFonts w:hint="eastAsia" w:cs="Times New Roman"/>
          <w:color w:val="auto"/>
          <w:sz w:val="24"/>
          <w:szCs w:val="24"/>
          <w:highlight w:val="none"/>
          <w:u w:val="single"/>
          <w:lang w:val="en-US" w:eastAsia="zh-CN"/>
        </w:rPr>
        <w:t xml:space="preserve">    0417-7748888</w:t>
      </w:r>
      <w:r>
        <w:rPr>
          <w:rFonts w:hint="eastAsia" w:ascii="Times New Roman" w:hAnsi="Times New Roman" w:cs="Times New Roman"/>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p>
    <w:p w14:paraId="557F51C9">
      <w:pPr>
        <w:pageBreakBefore w:val="0"/>
        <w:kinsoku/>
        <w:wordWrap w:val="0"/>
        <w:topLinePunct/>
        <w:autoSpaceDE/>
        <w:autoSpaceDN/>
        <w:bidi w:val="0"/>
        <w:adjustRightInd/>
        <w:snapToGrid/>
        <w:spacing w:line="336" w:lineRule="auto"/>
        <w:ind w:firstLine="480" w:firstLineChars="200"/>
        <w:textAlignment w:val="auto"/>
        <w:rPr>
          <w:rFonts w:hint="default" w:ascii="Times New Roman" w:hAnsi="Times New Roman" w:eastAsia="黑体" w:cs="Times New Roman"/>
          <w:color w:val="auto"/>
          <w:sz w:val="24"/>
          <w:szCs w:val="24"/>
          <w:highlight w:val="none"/>
          <w:lang w:val="en-US" w:eastAsia="zh-CN"/>
        </w:rPr>
      </w:pPr>
      <w:r>
        <w:rPr>
          <w:rFonts w:hint="default" w:ascii="Times New Roman" w:hAnsi="Times New Roman" w:cs="Times New Roman"/>
          <w:color w:val="auto"/>
          <w:sz w:val="24"/>
          <w:szCs w:val="24"/>
          <w:highlight w:val="none"/>
        </w:rPr>
        <w:t>传真：</w:t>
      </w:r>
      <w:r>
        <w:rPr>
          <w:rFonts w:hint="eastAsia" w:cs="Times New Roman"/>
          <w:color w:val="auto"/>
          <w:sz w:val="24"/>
          <w:szCs w:val="24"/>
          <w:highlight w:val="none"/>
          <w:u w:val="single"/>
          <w:lang w:val="en-US" w:eastAsia="zh-CN"/>
        </w:rPr>
        <w:t xml:space="preserve">     </w:t>
      </w:r>
      <w:r>
        <w:rPr>
          <w:rFonts w:hint="eastAsia" w:eastAsia="黑体" w:cs="Times New Roman"/>
          <w:color w:val="auto"/>
          <w:sz w:val="24"/>
          <w:szCs w:val="24"/>
          <w:highlight w:val="none"/>
          <w:u w:val="single"/>
          <w:lang w:val="en-US" w:eastAsia="zh-CN"/>
        </w:rPr>
        <w:t xml:space="preserve">/              </w:t>
      </w:r>
    </w:p>
    <w:p w14:paraId="081E25B4">
      <w:pPr>
        <w:pageBreakBefore w:val="0"/>
        <w:kinsoku/>
        <w:wordWrap w:val="0"/>
        <w:topLinePunct/>
        <w:autoSpaceDE/>
        <w:autoSpaceDN/>
        <w:bidi w:val="0"/>
        <w:adjustRightInd/>
        <w:snapToGrid/>
        <w:spacing w:line="336" w:lineRule="auto"/>
        <w:ind w:firstLine="480" w:firstLineChars="200"/>
        <w:textAlignment w:val="auto"/>
        <w:rPr>
          <w:rFonts w:hint="eastAsia" w:ascii="Times New Roman" w:hAnsi="Times New Roman" w:eastAsia="宋体" w:cs="Times New Roman"/>
          <w:color w:val="auto"/>
          <w:sz w:val="24"/>
          <w:szCs w:val="24"/>
          <w:highlight w:val="none"/>
          <w:u w:val="single"/>
          <w:lang w:eastAsia="zh-CN"/>
        </w:rPr>
      </w:pPr>
      <w:r>
        <w:rPr>
          <w:rFonts w:hint="default" w:ascii="Times New Roman" w:hAnsi="Times New Roman" w:cs="Times New Roman"/>
          <w:color w:val="auto"/>
          <w:sz w:val="24"/>
          <w:szCs w:val="24"/>
          <w:highlight w:val="none"/>
        </w:rPr>
        <w:t>电子邮件：</w:t>
      </w:r>
      <w:r>
        <w:rPr>
          <w:rFonts w:hint="default" w:ascii="Times New Roman" w:hAnsi="Times New Roman" w:cs="Times New Roman"/>
          <w:color w:val="auto"/>
          <w:sz w:val="24"/>
          <w:szCs w:val="24"/>
          <w:highlight w:val="none"/>
          <w:u w:val="single"/>
        </w:rPr>
        <w:t>lnjhzbdl@163.com</w:t>
      </w:r>
    </w:p>
    <w:p w14:paraId="1AE17376">
      <w:pPr>
        <w:pageBreakBefore w:val="0"/>
        <w:kinsoku/>
        <w:wordWrap w:val="0"/>
        <w:topLinePunct/>
        <w:autoSpaceDE/>
        <w:autoSpaceDN/>
        <w:bidi w:val="0"/>
        <w:adjustRightInd/>
        <w:snapToGrid/>
        <w:spacing w:line="336" w:lineRule="auto"/>
        <w:ind w:firstLine="480" w:firstLineChars="200"/>
        <w:textAlignment w:val="auto"/>
        <w:rPr>
          <w:rFonts w:hint="default" w:ascii="Times New Roman" w:hAnsi="Times New Roman" w:eastAsia="黑体" w:cs="Times New Roman"/>
          <w:color w:val="auto"/>
          <w:sz w:val="24"/>
          <w:highlight w:val="none"/>
          <w:lang w:val="en-US" w:eastAsia="zh-CN"/>
        </w:rPr>
      </w:pPr>
      <w:r>
        <w:rPr>
          <w:rFonts w:hint="default" w:ascii="Times New Roman" w:hAnsi="Times New Roman" w:cs="Times New Roman"/>
          <w:color w:val="auto"/>
          <w:sz w:val="24"/>
          <w:szCs w:val="24"/>
          <w:highlight w:val="none"/>
        </w:rPr>
        <w:t>网址：</w:t>
      </w:r>
      <w:r>
        <w:rPr>
          <w:rFonts w:hint="eastAsia" w:eastAsia="黑体" w:cs="Times New Roman"/>
          <w:color w:val="auto"/>
          <w:sz w:val="24"/>
          <w:szCs w:val="24"/>
          <w:highlight w:val="none"/>
          <w:u w:val="single"/>
          <w:lang w:val="en-US" w:eastAsia="zh-CN"/>
        </w:rPr>
        <w:t xml:space="preserve">         /          </w:t>
      </w:r>
    </w:p>
    <w:p w14:paraId="3FB21665">
      <w:pPr>
        <w:pageBreakBefore w:val="0"/>
        <w:widowControl/>
        <w:kinsoku/>
        <w:wordWrap w:val="0"/>
        <w:autoSpaceDE/>
        <w:autoSpaceDN/>
        <w:bidi w:val="0"/>
        <w:adjustRightInd/>
        <w:snapToGrid/>
        <w:spacing w:line="336" w:lineRule="auto"/>
        <w:ind w:firstLine="960" w:firstLineChars="400"/>
        <w:jc w:val="left"/>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w:t>
      </w:r>
    </w:p>
    <w:p w14:paraId="66D8B417">
      <w:pPr>
        <w:pageBreakBefore w:val="0"/>
        <w:kinsoku/>
        <w:wordWrap w:val="0"/>
        <w:topLinePunct/>
        <w:autoSpaceDE/>
        <w:autoSpaceDN/>
        <w:bidi w:val="0"/>
        <w:adjustRightInd/>
        <w:snapToGrid/>
        <w:spacing w:line="336" w:lineRule="auto"/>
        <w:ind w:right="31" w:rightChars="15"/>
        <w:jc w:val="center"/>
        <w:textAlignment w:val="auto"/>
        <w:rPr>
          <w:highlight w:val="none"/>
        </w:rPr>
      </w:pPr>
      <w:r>
        <w:rPr>
          <w:rFonts w:hint="eastAsia" w:cs="Times New Roman"/>
          <w:color w:val="auto"/>
          <w:sz w:val="24"/>
          <w:highlight w:val="none"/>
          <w:lang w:val="en-US" w:eastAsia="zh-CN"/>
        </w:rPr>
        <w:t xml:space="preserve">                 </w:t>
      </w:r>
      <w:r>
        <w:rPr>
          <w:rFonts w:hint="default" w:ascii="Times New Roman" w:hAnsi="Times New Roman" w:cs="Times New Roman"/>
          <w:color w:val="auto"/>
          <w:sz w:val="24"/>
          <w:highlight w:val="none"/>
        </w:rPr>
        <w:t>　　</w:t>
      </w:r>
      <w:r>
        <w:rPr>
          <w:rFonts w:hint="eastAsia" w:cs="Times New Roman"/>
          <w:color w:val="auto"/>
          <w:sz w:val="24"/>
          <w:highlight w:val="none"/>
          <w:u w:val="single"/>
          <w:lang w:val="en-US" w:eastAsia="zh-CN"/>
        </w:rPr>
        <w:t xml:space="preserve"> 2026 </w:t>
      </w:r>
      <w:r>
        <w:rPr>
          <w:rFonts w:hint="default" w:ascii="Times New Roman" w:hAnsi="Times New Roman" w:cs="Times New Roman"/>
          <w:color w:val="auto"/>
          <w:sz w:val="24"/>
          <w:highlight w:val="none"/>
        </w:rPr>
        <w:t xml:space="preserve">年 </w:t>
      </w:r>
      <w:r>
        <w:rPr>
          <w:rFonts w:hint="default" w:ascii="Times New Roman" w:hAnsi="Times New Roman" w:cs="Times New Roman"/>
          <w:color w:val="auto"/>
          <w:sz w:val="24"/>
          <w:highlight w:val="none"/>
          <w:u w:val="single"/>
        </w:rPr>
        <w:t xml:space="preserve"> </w:t>
      </w:r>
      <w:r>
        <w:rPr>
          <w:rFonts w:hint="eastAsia" w:cs="Times New Roman"/>
          <w:color w:val="auto"/>
          <w:sz w:val="24"/>
          <w:highlight w:val="none"/>
          <w:u w:val="single"/>
          <w:lang w:val="en-US" w:eastAsia="zh-CN"/>
        </w:rPr>
        <w:t xml:space="preserve">  </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月</w:t>
      </w:r>
      <w:r>
        <w:rPr>
          <w:rFonts w:hint="default" w:ascii="Times New Roman" w:hAnsi="Times New Roman" w:cs="Times New Roman"/>
          <w:color w:val="auto"/>
          <w:sz w:val="24"/>
          <w:highlight w:val="none"/>
          <w:u w:val="single"/>
        </w:rPr>
        <w:t xml:space="preserve">  </w:t>
      </w:r>
      <w:r>
        <w:rPr>
          <w:rFonts w:hint="eastAsia" w:cs="Times New Roman"/>
          <w:color w:val="auto"/>
          <w:sz w:val="24"/>
          <w:highlight w:val="none"/>
          <w:u w:val="single"/>
          <w:lang w:val="en-US" w:eastAsia="zh-CN"/>
        </w:rPr>
        <w:t xml:space="preserve">  </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日</w:t>
      </w:r>
    </w:p>
    <w:p w14:paraId="42576EC5">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29"/>
          <w:szCs w:val="29"/>
          <w:highlight w:val="none"/>
        </w:rPr>
      </w:pPr>
    </w:p>
    <w:p w14:paraId="5CC5B88F">
      <w:pPr>
        <w:rPr>
          <w:rFonts w:hint="default" w:ascii="Times New Roman" w:hAnsi="Times New Roman" w:eastAsia="黑体" w:cs="Times New Roman"/>
          <w:color w:val="auto"/>
          <w:sz w:val="29"/>
          <w:szCs w:val="29"/>
          <w:highlight w:val="none"/>
        </w:rPr>
      </w:pPr>
      <w:r>
        <w:rPr>
          <w:rFonts w:hint="default" w:ascii="Times New Roman" w:hAnsi="Times New Roman" w:eastAsia="黑体" w:cs="Times New Roman"/>
          <w:color w:val="auto"/>
          <w:sz w:val="29"/>
          <w:szCs w:val="29"/>
          <w:highlight w:val="none"/>
        </w:rPr>
        <w:br w:type="page"/>
      </w:r>
    </w:p>
    <w:p w14:paraId="50A1E67F">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29"/>
          <w:szCs w:val="29"/>
          <w:highlight w:val="none"/>
        </w:rPr>
      </w:pPr>
    </w:p>
    <w:p w14:paraId="4DCBFEB9">
      <w:pPr>
        <w:pageBreakBefore w:val="0"/>
        <w:kinsoku/>
        <w:wordWrap w:val="0"/>
        <w:topLinePunct/>
        <w:bidi w:val="0"/>
        <w:spacing w:line="440" w:lineRule="exact"/>
        <w:ind w:right="31" w:rightChars="15"/>
        <w:rPr>
          <w:rFonts w:hint="default" w:ascii="Times New Roman" w:hAnsi="Times New Roman" w:eastAsia="黑体" w:cs="Times New Roman"/>
          <w:color w:val="auto"/>
          <w:sz w:val="29"/>
          <w:szCs w:val="29"/>
          <w:highlight w:val="none"/>
        </w:rPr>
      </w:pPr>
    </w:p>
    <w:p w14:paraId="559286E4">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29"/>
          <w:szCs w:val="29"/>
          <w:highlight w:val="none"/>
        </w:rPr>
      </w:pPr>
    </w:p>
    <w:p w14:paraId="38AEB800">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29"/>
          <w:szCs w:val="29"/>
          <w:highlight w:val="none"/>
        </w:rPr>
      </w:pPr>
    </w:p>
    <w:p w14:paraId="16D841E8">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29"/>
          <w:szCs w:val="29"/>
          <w:highlight w:val="none"/>
        </w:rPr>
      </w:pPr>
    </w:p>
    <w:p w14:paraId="27CAB466">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29"/>
          <w:szCs w:val="29"/>
          <w:highlight w:val="none"/>
        </w:rPr>
      </w:pPr>
    </w:p>
    <w:p w14:paraId="6D48F07C">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29"/>
          <w:szCs w:val="29"/>
          <w:highlight w:val="none"/>
        </w:rPr>
      </w:pPr>
    </w:p>
    <w:p w14:paraId="1CA6845E">
      <w:pPr>
        <w:pageBreakBefore w:val="0"/>
        <w:kinsoku/>
        <w:wordWrap w:val="0"/>
        <w:topLinePunct/>
        <w:bidi w:val="0"/>
        <w:spacing w:line="240" w:lineRule="atLeast"/>
        <w:ind w:right="31" w:rightChars="15"/>
        <w:jc w:val="center"/>
        <w:rPr>
          <w:rFonts w:hint="default" w:ascii="Times New Roman" w:hAnsi="Times New Roman" w:eastAsia="黑体" w:cs="Times New Roman"/>
          <w:color w:val="auto"/>
          <w:sz w:val="56"/>
          <w:szCs w:val="56"/>
          <w:highlight w:val="none"/>
        </w:rPr>
      </w:pPr>
    </w:p>
    <w:p w14:paraId="4502DBDE">
      <w:pPr>
        <w:pageBreakBefore w:val="0"/>
        <w:kinsoku/>
        <w:wordWrap w:val="0"/>
        <w:topLinePunct/>
        <w:bidi w:val="0"/>
        <w:spacing w:line="240" w:lineRule="atLeast"/>
        <w:ind w:right="31" w:rightChars="15"/>
        <w:jc w:val="center"/>
        <w:rPr>
          <w:rFonts w:hint="default" w:ascii="Times New Roman" w:hAnsi="Times New Roman" w:eastAsia="黑体" w:cs="Times New Roman"/>
          <w:color w:val="auto"/>
          <w:sz w:val="56"/>
          <w:szCs w:val="56"/>
          <w:highlight w:val="none"/>
        </w:rPr>
      </w:pPr>
    </w:p>
    <w:p w14:paraId="53293682">
      <w:pPr>
        <w:pageBreakBefore w:val="0"/>
        <w:kinsoku/>
        <w:wordWrap w:val="0"/>
        <w:topLinePunct/>
        <w:bidi w:val="0"/>
        <w:spacing w:line="240" w:lineRule="atLeast"/>
        <w:ind w:right="31" w:rightChars="15"/>
        <w:jc w:val="center"/>
        <w:outlineLvl w:val="1"/>
        <w:rPr>
          <w:rFonts w:hint="default" w:ascii="Times New Roman" w:hAnsi="Times New Roman" w:eastAsia="黑体" w:cs="Times New Roman"/>
          <w:color w:val="auto"/>
          <w:sz w:val="56"/>
          <w:szCs w:val="56"/>
          <w:highlight w:val="none"/>
        </w:rPr>
      </w:pPr>
      <w:bookmarkStart w:id="68" w:name="_Toc31908"/>
      <w:bookmarkStart w:id="69" w:name="_Toc11201"/>
      <w:r>
        <w:rPr>
          <w:rFonts w:hint="default" w:ascii="Times New Roman" w:hAnsi="Times New Roman" w:eastAsia="黑体" w:cs="Times New Roman"/>
          <w:color w:val="auto"/>
          <w:sz w:val="56"/>
          <w:szCs w:val="56"/>
          <w:highlight w:val="none"/>
        </w:rPr>
        <w:t>第二章</w:t>
      </w:r>
      <w:r>
        <w:rPr>
          <w:rFonts w:hint="eastAsia" w:ascii="Times New Roman" w:hAnsi="Times New Roman" w:eastAsia="黑体" w:cs="Times New Roman"/>
          <w:color w:val="auto"/>
          <w:sz w:val="56"/>
          <w:szCs w:val="56"/>
          <w:highlight w:val="none"/>
          <w:lang w:val="en-US" w:eastAsia="zh-CN"/>
        </w:rPr>
        <w:t xml:space="preserve"> </w:t>
      </w:r>
      <w:r>
        <w:rPr>
          <w:rFonts w:hint="default" w:ascii="Times New Roman" w:hAnsi="Times New Roman" w:eastAsia="黑体" w:cs="Times New Roman"/>
          <w:color w:val="auto"/>
          <w:sz w:val="56"/>
          <w:szCs w:val="56"/>
          <w:highlight w:val="none"/>
        </w:rPr>
        <w:t>投标人须知</w:t>
      </w:r>
      <w:bookmarkEnd w:id="68"/>
      <w:bookmarkEnd w:id="69"/>
    </w:p>
    <w:p w14:paraId="48702411">
      <w:pPr>
        <w:pageBreakBefore w:val="0"/>
        <w:kinsoku/>
        <w:wordWrap w:val="0"/>
        <w:topLinePunct/>
        <w:bidi w:val="0"/>
        <w:spacing w:line="240" w:lineRule="atLeast"/>
        <w:ind w:right="31" w:rightChars="15"/>
        <w:jc w:val="center"/>
        <w:rPr>
          <w:rFonts w:hint="default" w:ascii="Times New Roman" w:hAnsi="Times New Roman" w:eastAsia="黑体" w:cs="Times New Roman"/>
          <w:color w:val="auto"/>
          <w:sz w:val="56"/>
          <w:szCs w:val="56"/>
          <w:highlight w:val="none"/>
        </w:rPr>
      </w:pPr>
    </w:p>
    <w:p w14:paraId="48837A9A">
      <w:pPr>
        <w:pageBreakBefore w:val="0"/>
        <w:kinsoku/>
        <w:wordWrap w:val="0"/>
        <w:topLinePunct/>
        <w:bidi w:val="0"/>
        <w:spacing w:line="240" w:lineRule="atLeast"/>
        <w:ind w:right="31" w:rightChars="15"/>
        <w:jc w:val="center"/>
        <w:rPr>
          <w:rFonts w:hint="default" w:ascii="Times New Roman" w:hAnsi="Times New Roman" w:eastAsia="黑体" w:cs="Times New Roman"/>
          <w:color w:val="auto"/>
          <w:sz w:val="56"/>
          <w:szCs w:val="56"/>
          <w:highlight w:val="none"/>
        </w:rPr>
        <w:sectPr>
          <w:headerReference r:id="rId15" w:type="default"/>
          <w:footerReference r:id="rId17" w:type="default"/>
          <w:headerReference r:id="rId16" w:type="even"/>
          <w:footerReference r:id="rId18" w:type="even"/>
          <w:footnotePr>
            <w:numFmt w:val="decimalEnclosedCircleChinese"/>
            <w:numRestart w:val="eachPage"/>
          </w:footnotePr>
          <w:pgSz w:w="11907" w:h="16840"/>
          <w:pgMar w:top="1588" w:right="1531" w:bottom="1644" w:left="1588" w:header="851" w:footer="851" w:gutter="0"/>
          <w:pgNumType w:fmt="decimal"/>
          <w:cols w:space="720" w:num="1"/>
          <w:docGrid w:linePitch="312" w:charSpace="0"/>
        </w:sectPr>
      </w:pPr>
    </w:p>
    <w:p w14:paraId="65E9556B">
      <w:pPr>
        <w:pageBreakBefore w:val="0"/>
        <w:kinsoku/>
        <w:wordWrap w:val="0"/>
        <w:bidi w:val="0"/>
        <w:spacing w:line="440" w:lineRule="exact"/>
        <w:jc w:val="center"/>
        <w:outlineLvl w:val="9"/>
        <w:rPr>
          <w:rStyle w:val="54"/>
          <w:rFonts w:hint="default" w:ascii="Times New Roman" w:hAnsi="Times New Roman" w:eastAsia="黑体" w:cs="Times New Roman"/>
          <w:color w:val="auto"/>
          <w:sz w:val="42"/>
          <w:szCs w:val="42"/>
          <w:highlight w:val="none"/>
        </w:rPr>
      </w:pPr>
      <w:bookmarkStart w:id="70" w:name="_Toc9806"/>
      <w:bookmarkStart w:id="71" w:name="_Toc10289"/>
      <w:bookmarkStart w:id="72" w:name="_Toc234832861"/>
      <w:bookmarkStart w:id="73" w:name="_Toc22430"/>
      <w:bookmarkStart w:id="74" w:name="_Toc15806"/>
      <w:r>
        <w:rPr>
          <w:rStyle w:val="54"/>
          <w:rFonts w:hint="default" w:ascii="Times New Roman" w:hAnsi="Times New Roman" w:eastAsia="黑体" w:cs="Times New Roman"/>
          <w:color w:val="auto"/>
          <w:sz w:val="42"/>
          <w:szCs w:val="42"/>
          <w:highlight w:val="none"/>
        </w:rPr>
        <w:t>第二章</w:t>
      </w:r>
      <w:r>
        <w:rPr>
          <w:rStyle w:val="54"/>
          <w:rFonts w:hint="eastAsia" w:eastAsia="黑体" w:cs="Times New Roman"/>
          <w:color w:val="auto"/>
          <w:sz w:val="42"/>
          <w:szCs w:val="42"/>
          <w:highlight w:val="none"/>
          <w:lang w:val="en-US"/>
        </w:rPr>
        <w:t xml:space="preserve"> </w:t>
      </w:r>
      <w:r>
        <w:rPr>
          <w:rStyle w:val="54"/>
          <w:rFonts w:hint="default" w:ascii="Times New Roman" w:hAnsi="Times New Roman" w:eastAsia="黑体" w:cs="Times New Roman"/>
          <w:color w:val="auto"/>
          <w:sz w:val="42"/>
          <w:szCs w:val="42"/>
          <w:highlight w:val="none"/>
        </w:rPr>
        <w:t>投标人须知</w:t>
      </w:r>
      <w:bookmarkEnd w:id="70"/>
      <w:bookmarkEnd w:id="71"/>
      <w:bookmarkEnd w:id="72"/>
    </w:p>
    <w:bookmarkEnd w:id="73"/>
    <w:bookmarkEnd w:id="74"/>
    <w:p w14:paraId="047A5BB3">
      <w:pPr>
        <w:pStyle w:val="5"/>
        <w:keepNext/>
        <w:keepLines/>
        <w:pageBreakBefore w:val="0"/>
        <w:widowControl w:val="0"/>
        <w:kinsoku/>
        <w:wordWrap w:val="0"/>
        <w:overflowPunct/>
        <w:topLinePunct w:val="0"/>
        <w:autoSpaceDE/>
        <w:autoSpaceDN/>
        <w:bidi w:val="0"/>
        <w:adjustRightInd/>
        <w:snapToGrid/>
        <w:spacing w:before="240" w:after="240" w:line="240" w:lineRule="atLeast"/>
        <w:jc w:val="both"/>
        <w:textAlignment w:val="auto"/>
        <w:outlineLvl w:val="2"/>
        <w:rPr>
          <w:rFonts w:hint="eastAsia" w:ascii="黑体" w:hAnsi="黑体" w:eastAsia="黑体" w:cs="黑体"/>
          <w:b w:val="0"/>
          <w:bCs/>
          <w:i w:val="0"/>
          <w:iCs w:val="0"/>
          <w:color w:val="auto"/>
          <w:sz w:val="28"/>
          <w:szCs w:val="28"/>
          <w:highlight w:val="none"/>
        </w:rPr>
      </w:pPr>
      <w:bookmarkStart w:id="75" w:name="_Toc29020"/>
      <w:bookmarkStart w:id="76" w:name="_Toc4367"/>
      <w:bookmarkStart w:id="77" w:name="_Toc29274"/>
      <w:bookmarkStart w:id="78" w:name="_Toc20369"/>
      <w:bookmarkStart w:id="79" w:name="_Toc234832862"/>
      <w:r>
        <w:rPr>
          <w:rFonts w:hint="eastAsia" w:ascii="黑体" w:hAnsi="黑体" w:eastAsia="黑体" w:cs="黑体"/>
          <w:b w:val="0"/>
          <w:bCs/>
          <w:i w:val="0"/>
          <w:iCs w:val="0"/>
          <w:color w:val="auto"/>
          <w:sz w:val="28"/>
          <w:szCs w:val="28"/>
          <w:highlight w:val="none"/>
        </w:rPr>
        <w:t>投标人须知前附表</w:t>
      </w:r>
      <w:r>
        <w:rPr>
          <w:rStyle w:val="48"/>
          <w:rFonts w:hint="eastAsia" w:ascii="黑体" w:hAnsi="黑体" w:eastAsia="黑体" w:cs="黑体"/>
          <w:b w:val="0"/>
          <w:bCs/>
          <w:i w:val="0"/>
          <w:iCs w:val="0"/>
          <w:color w:val="auto"/>
          <w:sz w:val="28"/>
          <w:szCs w:val="28"/>
          <w:highlight w:val="none"/>
        </w:rPr>
        <w:footnoteReference w:id="0"/>
      </w:r>
      <w:bookmarkEnd w:id="75"/>
      <w:bookmarkEnd w:id="76"/>
      <w:bookmarkEnd w:id="77"/>
      <w:bookmarkEnd w:id="78"/>
      <w:bookmarkEnd w:id="79"/>
    </w:p>
    <w:tbl>
      <w:tblPr>
        <w:tblStyle w:val="40"/>
        <w:tblW w:w="9216" w:type="dxa"/>
        <w:tblInd w:w="0" w:type="dxa"/>
        <w:tblLayout w:type="fixed"/>
        <w:tblCellMar>
          <w:top w:w="0" w:type="dxa"/>
          <w:left w:w="108" w:type="dxa"/>
          <w:bottom w:w="0" w:type="dxa"/>
          <w:right w:w="108" w:type="dxa"/>
        </w:tblCellMar>
      </w:tblPr>
      <w:tblGrid>
        <w:gridCol w:w="1036"/>
        <w:gridCol w:w="2779"/>
        <w:gridCol w:w="5401"/>
      </w:tblGrid>
      <w:tr w14:paraId="5525B28C">
        <w:tblPrEx>
          <w:tblCellMar>
            <w:top w:w="0" w:type="dxa"/>
            <w:left w:w="108" w:type="dxa"/>
            <w:bottom w:w="0" w:type="dxa"/>
            <w:right w:w="108" w:type="dxa"/>
          </w:tblCellMar>
        </w:tblPrEx>
        <w:trPr>
          <w:trHeight w:val="340" w:hRule="atLeast"/>
          <w:tblHeader/>
        </w:trPr>
        <w:tc>
          <w:tcPr>
            <w:tcW w:w="1036" w:type="dxa"/>
            <w:tcBorders>
              <w:top w:val="single" w:color="auto" w:sz="4" w:space="0"/>
              <w:left w:val="single" w:color="auto" w:sz="4" w:space="0"/>
              <w:bottom w:val="single" w:color="auto" w:sz="4" w:space="0"/>
              <w:right w:val="single" w:color="auto" w:sz="4" w:space="0"/>
            </w:tcBorders>
            <w:noWrap w:val="0"/>
            <w:vAlign w:val="center"/>
          </w:tcPr>
          <w:p w14:paraId="1D557085">
            <w:pPr>
              <w:pageBreakBefore w:val="0"/>
              <w:kinsoku/>
              <w:wordWrap w:val="0"/>
              <w:bidi w:val="0"/>
              <w:spacing w:line="440" w:lineRule="exact"/>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条款号</w:t>
            </w:r>
          </w:p>
        </w:tc>
        <w:tc>
          <w:tcPr>
            <w:tcW w:w="2779" w:type="dxa"/>
            <w:tcBorders>
              <w:top w:val="single" w:color="auto" w:sz="4" w:space="0"/>
              <w:left w:val="single" w:color="auto" w:sz="4" w:space="0"/>
              <w:bottom w:val="single" w:color="auto" w:sz="4" w:space="0"/>
              <w:right w:val="single" w:color="auto" w:sz="4" w:space="0"/>
            </w:tcBorders>
            <w:noWrap w:val="0"/>
            <w:vAlign w:val="center"/>
          </w:tcPr>
          <w:p w14:paraId="09766A1E">
            <w:pPr>
              <w:pageBreakBefore w:val="0"/>
              <w:kinsoku/>
              <w:wordWrap w:val="0"/>
              <w:bidi w:val="0"/>
              <w:spacing w:line="440" w:lineRule="exact"/>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条款名称</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53A7FA39">
            <w:pPr>
              <w:pageBreakBefore w:val="0"/>
              <w:kinsoku/>
              <w:wordWrap w:val="0"/>
              <w:bidi w:val="0"/>
              <w:spacing w:line="440" w:lineRule="exact"/>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编列内容</w:t>
            </w:r>
          </w:p>
        </w:tc>
      </w:tr>
      <w:tr w14:paraId="4E895BB7">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1D986859">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1.1.2</w:t>
            </w:r>
          </w:p>
        </w:tc>
        <w:tc>
          <w:tcPr>
            <w:tcW w:w="2779" w:type="dxa"/>
            <w:tcBorders>
              <w:top w:val="single" w:color="auto" w:sz="4" w:space="0"/>
              <w:left w:val="single" w:color="auto" w:sz="4" w:space="0"/>
              <w:bottom w:val="single" w:color="auto" w:sz="4" w:space="0"/>
              <w:right w:val="single" w:color="auto" w:sz="4" w:space="0"/>
            </w:tcBorders>
            <w:noWrap w:val="0"/>
            <w:vAlign w:val="center"/>
          </w:tcPr>
          <w:p w14:paraId="6885C6CA">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招标人</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5844E869">
            <w:pPr>
              <w:spacing w:line="440" w:lineRule="exac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详见</w:t>
            </w:r>
            <w:r>
              <w:rPr>
                <w:rFonts w:hint="default" w:ascii="Times New Roman" w:hAnsi="Times New Roman" w:cs="Times New Roman"/>
                <w:color w:val="auto"/>
                <w:sz w:val="24"/>
                <w:szCs w:val="24"/>
                <w:highlight w:val="none"/>
                <w:lang w:eastAsia="zh-CN"/>
              </w:rPr>
              <w:t>第一章</w:t>
            </w:r>
            <w:r>
              <w:rPr>
                <w:rFonts w:hint="eastAsia" w:ascii="宋体" w:hAnsi="宋体" w:eastAsia="宋体" w:cs="宋体"/>
                <w:color w:val="auto"/>
                <w:sz w:val="24"/>
                <w:szCs w:val="24"/>
                <w:highlight w:val="none"/>
                <w:lang w:eastAsia="zh-CN"/>
              </w:rPr>
              <w:t>“</w:t>
            </w:r>
            <w:r>
              <w:rPr>
                <w:rFonts w:hint="default" w:ascii="Times New Roman" w:hAnsi="Times New Roman" w:cs="Times New Roman"/>
                <w:color w:val="auto"/>
                <w:sz w:val="24"/>
                <w:szCs w:val="24"/>
                <w:highlight w:val="none"/>
                <w:lang w:eastAsia="zh-CN"/>
              </w:rPr>
              <w:t>招标公告</w:t>
            </w:r>
            <w:r>
              <w:rPr>
                <w:rFonts w:hint="eastAsia" w:ascii="宋体" w:hAnsi="宋体" w:eastAsia="宋体" w:cs="宋体"/>
                <w:color w:val="auto"/>
                <w:sz w:val="24"/>
                <w:szCs w:val="24"/>
                <w:highlight w:val="none"/>
                <w:lang w:eastAsia="zh-CN"/>
              </w:rPr>
              <w:t>”</w:t>
            </w:r>
          </w:p>
        </w:tc>
      </w:tr>
      <w:tr w14:paraId="5FB4489F">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656F6857">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1.1.3</w:t>
            </w:r>
          </w:p>
        </w:tc>
        <w:tc>
          <w:tcPr>
            <w:tcW w:w="2779" w:type="dxa"/>
            <w:tcBorders>
              <w:top w:val="single" w:color="auto" w:sz="4" w:space="0"/>
              <w:left w:val="single" w:color="auto" w:sz="4" w:space="0"/>
              <w:bottom w:val="single" w:color="auto" w:sz="4" w:space="0"/>
              <w:right w:val="single" w:color="auto" w:sz="4" w:space="0"/>
            </w:tcBorders>
            <w:noWrap w:val="0"/>
            <w:vAlign w:val="center"/>
          </w:tcPr>
          <w:p w14:paraId="3C5A1D0E">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招标代理机构</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5A8E4169">
            <w:pPr>
              <w:spacing w:line="440" w:lineRule="exac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详见</w:t>
            </w:r>
            <w:r>
              <w:rPr>
                <w:rFonts w:hint="default" w:ascii="Times New Roman" w:hAnsi="Times New Roman" w:cs="Times New Roman"/>
                <w:color w:val="auto"/>
                <w:sz w:val="24"/>
                <w:szCs w:val="24"/>
                <w:highlight w:val="none"/>
                <w:lang w:eastAsia="zh-CN"/>
              </w:rPr>
              <w:t>第一章</w:t>
            </w:r>
            <w:r>
              <w:rPr>
                <w:rFonts w:hint="eastAsia" w:ascii="宋体" w:hAnsi="宋体" w:eastAsia="宋体" w:cs="宋体"/>
                <w:color w:val="auto"/>
                <w:sz w:val="24"/>
                <w:szCs w:val="24"/>
                <w:highlight w:val="none"/>
                <w:lang w:eastAsia="zh-CN"/>
              </w:rPr>
              <w:t>“</w:t>
            </w:r>
            <w:r>
              <w:rPr>
                <w:rFonts w:hint="default" w:ascii="Times New Roman" w:hAnsi="Times New Roman" w:cs="Times New Roman"/>
                <w:color w:val="auto"/>
                <w:sz w:val="24"/>
                <w:szCs w:val="24"/>
                <w:highlight w:val="none"/>
                <w:lang w:eastAsia="zh-CN"/>
              </w:rPr>
              <w:t>招标公告</w:t>
            </w:r>
            <w:r>
              <w:rPr>
                <w:rFonts w:hint="eastAsia" w:ascii="宋体" w:hAnsi="宋体" w:eastAsia="宋体" w:cs="宋体"/>
                <w:color w:val="auto"/>
                <w:sz w:val="24"/>
                <w:szCs w:val="24"/>
                <w:highlight w:val="none"/>
                <w:lang w:eastAsia="zh-CN"/>
              </w:rPr>
              <w:t>”</w:t>
            </w:r>
          </w:p>
        </w:tc>
      </w:tr>
      <w:tr w14:paraId="6FCA2855">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420FA89E">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1.1.4</w:t>
            </w:r>
          </w:p>
        </w:tc>
        <w:tc>
          <w:tcPr>
            <w:tcW w:w="2779" w:type="dxa"/>
            <w:tcBorders>
              <w:top w:val="single" w:color="auto" w:sz="4" w:space="0"/>
              <w:left w:val="single" w:color="auto" w:sz="4" w:space="0"/>
              <w:bottom w:val="single" w:color="auto" w:sz="4" w:space="0"/>
              <w:right w:val="single" w:color="auto" w:sz="4" w:space="0"/>
            </w:tcBorders>
            <w:noWrap w:val="0"/>
            <w:vAlign w:val="center"/>
          </w:tcPr>
          <w:p w14:paraId="00DED3C6">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招标项目名称</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2135690F">
            <w:pPr>
              <w:spacing w:line="440" w:lineRule="exac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详见</w:t>
            </w:r>
            <w:r>
              <w:rPr>
                <w:rFonts w:hint="default" w:ascii="Times New Roman" w:hAnsi="Times New Roman" w:cs="Times New Roman"/>
                <w:color w:val="auto"/>
                <w:sz w:val="24"/>
                <w:szCs w:val="24"/>
                <w:highlight w:val="none"/>
                <w:lang w:eastAsia="zh-CN"/>
              </w:rPr>
              <w:t>第一章</w:t>
            </w:r>
            <w:r>
              <w:rPr>
                <w:rFonts w:hint="eastAsia" w:ascii="宋体" w:hAnsi="宋体" w:eastAsia="宋体" w:cs="宋体"/>
                <w:color w:val="auto"/>
                <w:sz w:val="24"/>
                <w:szCs w:val="24"/>
                <w:highlight w:val="none"/>
                <w:lang w:eastAsia="zh-CN"/>
              </w:rPr>
              <w:t>“</w:t>
            </w:r>
            <w:r>
              <w:rPr>
                <w:rFonts w:hint="default" w:ascii="Times New Roman" w:hAnsi="Times New Roman" w:cs="Times New Roman"/>
                <w:color w:val="auto"/>
                <w:sz w:val="24"/>
                <w:szCs w:val="24"/>
                <w:highlight w:val="none"/>
                <w:lang w:eastAsia="zh-CN"/>
              </w:rPr>
              <w:t>招标公告</w:t>
            </w:r>
            <w:r>
              <w:rPr>
                <w:rFonts w:hint="eastAsia" w:ascii="宋体" w:hAnsi="宋体" w:eastAsia="宋体" w:cs="宋体"/>
                <w:color w:val="auto"/>
                <w:sz w:val="24"/>
                <w:szCs w:val="24"/>
                <w:highlight w:val="none"/>
                <w:lang w:eastAsia="zh-CN"/>
              </w:rPr>
              <w:t>”</w:t>
            </w:r>
          </w:p>
        </w:tc>
      </w:tr>
      <w:tr w14:paraId="17C92AE2">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22914775">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1.1.5</w:t>
            </w:r>
          </w:p>
        </w:tc>
        <w:tc>
          <w:tcPr>
            <w:tcW w:w="2779" w:type="dxa"/>
            <w:tcBorders>
              <w:top w:val="single" w:color="auto" w:sz="4" w:space="0"/>
              <w:left w:val="single" w:color="auto" w:sz="4" w:space="0"/>
              <w:bottom w:val="single" w:color="auto" w:sz="4" w:space="0"/>
              <w:right w:val="single" w:color="auto" w:sz="4" w:space="0"/>
            </w:tcBorders>
            <w:noWrap w:val="0"/>
            <w:vAlign w:val="center"/>
          </w:tcPr>
          <w:p w14:paraId="15A1C837">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标段建设地点</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7B2A82C5">
            <w:pPr>
              <w:spacing w:line="440" w:lineRule="exac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详见</w:t>
            </w:r>
            <w:r>
              <w:rPr>
                <w:rFonts w:hint="default" w:ascii="Times New Roman" w:hAnsi="Times New Roman" w:cs="Times New Roman"/>
                <w:color w:val="auto"/>
                <w:sz w:val="24"/>
                <w:szCs w:val="24"/>
                <w:highlight w:val="none"/>
                <w:lang w:eastAsia="zh-CN"/>
              </w:rPr>
              <w:t>第一章</w:t>
            </w:r>
            <w:r>
              <w:rPr>
                <w:rFonts w:hint="eastAsia" w:ascii="宋体" w:hAnsi="宋体" w:eastAsia="宋体" w:cs="宋体"/>
                <w:color w:val="auto"/>
                <w:sz w:val="24"/>
                <w:szCs w:val="24"/>
                <w:highlight w:val="none"/>
                <w:lang w:eastAsia="zh-CN"/>
              </w:rPr>
              <w:t>“</w:t>
            </w:r>
            <w:r>
              <w:rPr>
                <w:rFonts w:hint="default" w:ascii="Times New Roman" w:hAnsi="Times New Roman" w:cs="Times New Roman"/>
                <w:color w:val="auto"/>
                <w:sz w:val="24"/>
                <w:szCs w:val="24"/>
                <w:highlight w:val="none"/>
                <w:lang w:eastAsia="zh-CN"/>
              </w:rPr>
              <w:t>招标公告</w:t>
            </w:r>
            <w:r>
              <w:rPr>
                <w:rFonts w:hint="eastAsia" w:ascii="宋体" w:hAnsi="宋体" w:eastAsia="宋体" w:cs="宋体"/>
                <w:color w:val="auto"/>
                <w:sz w:val="24"/>
                <w:szCs w:val="24"/>
                <w:highlight w:val="none"/>
                <w:lang w:eastAsia="zh-CN"/>
              </w:rPr>
              <w:t>”</w:t>
            </w:r>
          </w:p>
        </w:tc>
      </w:tr>
      <w:tr w14:paraId="4862A7E3">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366B6265">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1.2.1</w:t>
            </w:r>
          </w:p>
        </w:tc>
        <w:tc>
          <w:tcPr>
            <w:tcW w:w="2779" w:type="dxa"/>
            <w:tcBorders>
              <w:top w:val="single" w:color="auto" w:sz="4" w:space="0"/>
              <w:left w:val="single" w:color="auto" w:sz="4" w:space="0"/>
              <w:bottom w:val="single" w:color="auto" w:sz="4" w:space="0"/>
              <w:right w:val="single" w:color="auto" w:sz="4" w:space="0"/>
            </w:tcBorders>
            <w:noWrap w:val="0"/>
            <w:vAlign w:val="center"/>
          </w:tcPr>
          <w:p w14:paraId="32323CF0">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资金来源及比例</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549D12B6">
            <w:pPr>
              <w:spacing w:line="440" w:lineRule="exac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详见</w:t>
            </w:r>
            <w:r>
              <w:rPr>
                <w:rFonts w:hint="default" w:ascii="Times New Roman" w:hAnsi="Times New Roman" w:cs="Times New Roman"/>
                <w:color w:val="auto"/>
                <w:sz w:val="24"/>
                <w:szCs w:val="24"/>
                <w:highlight w:val="none"/>
                <w:lang w:eastAsia="zh-CN"/>
              </w:rPr>
              <w:t>第一章</w:t>
            </w:r>
            <w:r>
              <w:rPr>
                <w:rFonts w:hint="eastAsia" w:ascii="宋体" w:hAnsi="宋体" w:eastAsia="宋体" w:cs="宋体"/>
                <w:color w:val="auto"/>
                <w:sz w:val="24"/>
                <w:szCs w:val="24"/>
                <w:highlight w:val="none"/>
                <w:lang w:eastAsia="zh-CN"/>
              </w:rPr>
              <w:t>“</w:t>
            </w:r>
            <w:r>
              <w:rPr>
                <w:rFonts w:hint="default" w:ascii="Times New Roman" w:hAnsi="Times New Roman" w:cs="Times New Roman"/>
                <w:color w:val="auto"/>
                <w:sz w:val="24"/>
                <w:szCs w:val="24"/>
                <w:highlight w:val="none"/>
                <w:lang w:eastAsia="zh-CN"/>
              </w:rPr>
              <w:t>招标公告</w:t>
            </w:r>
            <w:r>
              <w:rPr>
                <w:rFonts w:hint="eastAsia" w:ascii="宋体" w:hAnsi="宋体" w:eastAsia="宋体" w:cs="宋体"/>
                <w:color w:val="auto"/>
                <w:sz w:val="24"/>
                <w:szCs w:val="24"/>
                <w:highlight w:val="none"/>
                <w:lang w:eastAsia="zh-CN"/>
              </w:rPr>
              <w:t>”</w:t>
            </w:r>
          </w:p>
        </w:tc>
      </w:tr>
      <w:tr w14:paraId="0BBC3E31">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5AC8A0A5">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1.2.2</w:t>
            </w:r>
          </w:p>
        </w:tc>
        <w:tc>
          <w:tcPr>
            <w:tcW w:w="2779" w:type="dxa"/>
            <w:tcBorders>
              <w:top w:val="single" w:color="auto" w:sz="4" w:space="0"/>
              <w:left w:val="single" w:color="auto" w:sz="4" w:space="0"/>
              <w:bottom w:val="single" w:color="auto" w:sz="4" w:space="0"/>
              <w:right w:val="single" w:color="auto" w:sz="4" w:space="0"/>
            </w:tcBorders>
            <w:noWrap w:val="0"/>
            <w:vAlign w:val="center"/>
          </w:tcPr>
          <w:p w14:paraId="47CFB58B">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资金落实情况</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0C4BF00B">
            <w:pPr>
              <w:spacing w:line="440" w:lineRule="exac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详见</w:t>
            </w:r>
            <w:r>
              <w:rPr>
                <w:rFonts w:hint="default" w:ascii="Times New Roman" w:hAnsi="Times New Roman" w:cs="Times New Roman"/>
                <w:color w:val="auto"/>
                <w:sz w:val="24"/>
                <w:szCs w:val="24"/>
                <w:highlight w:val="none"/>
                <w:lang w:eastAsia="zh-CN"/>
              </w:rPr>
              <w:t>第一章</w:t>
            </w:r>
            <w:r>
              <w:rPr>
                <w:rFonts w:hint="eastAsia" w:ascii="宋体" w:hAnsi="宋体" w:eastAsia="宋体" w:cs="宋体"/>
                <w:color w:val="auto"/>
                <w:sz w:val="24"/>
                <w:szCs w:val="24"/>
                <w:highlight w:val="none"/>
                <w:lang w:eastAsia="zh-CN"/>
              </w:rPr>
              <w:t>“</w:t>
            </w:r>
            <w:r>
              <w:rPr>
                <w:rFonts w:hint="default" w:ascii="Times New Roman" w:hAnsi="Times New Roman" w:cs="Times New Roman"/>
                <w:color w:val="auto"/>
                <w:sz w:val="24"/>
                <w:szCs w:val="24"/>
                <w:highlight w:val="none"/>
                <w:lang w:eastAsia="zh-CN"/>
              </w:rPr>
              <w:t>招标公告</w:t>
            </w:r>
            <w:r>
              <w:rPr>
                <w:rFonts w:hint="eastAsia" w:ascii="宋体" w:hAnsi="宋体" w:eastAsia="宋体" w:cs="宋体"/>
                <w:color w:val="auto"/>
                <w:sz w:val="24"/>
                <w:szCs w:val="24"/>
                <w:highlight w:val="none"/>
                <w:lang w:eastAsia="zh-CN"/>
              </w:rPr>
              <w:t>”</w:t>
            </w:r>
          </w:p>
        </w:tc>
      </w:tr>
      <w:tr w14:paraId="06B0912C">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0EF4B411">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1.3.1</w:t>
            </w:r>
          </w:p>
        </w:tc>
        <w:tc>
          <w:tcPr>
            <w:tcW w:w="2779" w:type="dxa"/>
            <w:tcBorders>
              <w:top w:val="single" w:color="auto" w:sz="4" w:space="0"/>
              <w:left w:val="single" w:color="auto" w:sz="4" w:space="0"/>
              <w:bottom w:val="single" w:color="auto" w:sz="4" w:space="0"/>
              <w:right w:val="single" w:color="auto" w:sz="4" w:space="0"/>
            </w:tcBorders>
            <w:noWrap w:val="0"/>
            <w:vAlign w:val="center"/>
          </w:tcPr>
          <w:p w14:paraId="5E25540A">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招标范围</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07F3ED51">
            <w:pPr>
              <w:spacing w:line="440" w:lineRule="exac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详见</w:t>
            </w:r>
            <w:r>
              <w:rPr>
                <w:rFonts w:hint="default" w:ascii="Times New Roman" w:hAnsi="Times New Roman" w:cs="Times New Roman"/>
                <w:color w:val="auto"/>
                <w:sz w:val="24"/>
                <w:szCs w:val="24"/>
                <w:highlight w:val="none"/>
                <w:lang w:eastAsia="zh-CN"/>
              </w:rPr>
              <w:t>第一章</w:t>
            </w:r>
            <w:r>
              <w:rPr>
                <w:rFonts w:hint="eastAsia" w:ascii="宋体" w:hAnsi="宋体" w:eastAsia="宋体" w:cs="宋体"/>
                <w:color w:val="auto"/>
                <w:sz w:val="24"/>
                <w:szCs w:val="24"/>
                <w:highlight w:val="none"/>
                <w:lang w:eastAsia="zh-CN"/>
              </w:rPr>
              <w:t>“</w:t>
            </w:r>
            <w:r>
              <w:rPr>
                <w:rFonts w:hint="default" w:ascii="Times New Roman" w:hAnsi="Times New Roman" w:cs="Times New Roman"/>
                <w:color w:val="auto"/>
                <w:sz w:val="24"/>
                <w:szCs w:val="24"/>
                <w:highlight w:val="none"/>
                <w:lang w:eastAsia="zh-CN"/>
              </w:rPr>
              <w:t>招标公告</w:t>
            </w:r>
            <w:r>
              <w:rPr>
                <w:rFonts w:hint="eastAsia" w:ascii="宋体" w:hAnsi="宋体" w:eastAsia="宋体" w:cs="宋体"/>
                <w:color w:val="auto"/>
                <w:sz w:val="24"/>
                <w:szCs w:val="24"/>
                <w:highlight w:val="none"/>
                <w:lang w:eastAsia="zh-CN"/>
              </w:rPr>
              <w:t>”</w:t>
            </w:r>
          </w:p>
        </w:tc>
      </w:tr>
      <w:tr w14:paraId="0F28689B">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2EED9337">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1.3.2</w:t>
            </w:r>
          </w:p>
        </w:tc>
        <w:tc>
          <w:tcPr>
            <w:tcW w:w="2779" w:type="dxa"/>
            <w:tcBorders>
              <w:top w:val="single" w:color="auto" w:sz="4" w:space="0"/>
              <w:left w:val="single" w:color="auto" w:sz="4" w:space="0"/>
              <w:bottom w:val="single" w:color="auto" w:sz="4" w:space="0"/>
              <w:right w:val="single" w:color="auto" w:sz="4" w:space="0"/>
            </w:tcBorders>
            <w:noWrap w:val="0"/>
            <w:vAlign w:val="center"/>
          </w:tcPr>
          <w:p w14:paraId="1EE47A8C">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计划工期</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5C507577">
            <w:pPr>
              <w:spacing w:line="440" w:lineRule="exac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详见</w:t>
            </w:r>
            <w:r>
              <w:rPr>
                <w:rFonts w:hint="default" w:ascii="Times New Roman" w:hAnsi="Times New Roman" w:cs="Times New Roman"/>
                <w:color w:val="auto"/>
                <w:sz w:val="24"/>
                <w:szCs w:val="24"/>
                <w:highlight w:val="none"/>
                <w:lang w:eastAsia="zh-CN"/>
              </w:rPr>
              <w:t>第一章</w:t>
            </w:r>
            <w:r>
              <w:rPr>
                <w:rFonts w:hint="eastAsia" w:ascii="宋体" w:hAnsi="宋体" w:eastAsia="宋体" w:cs="宋体"/>
                <w:color w:val="auto"/>
                <w:sz w:val="24"/>
                <w:szCs w:val="24"/>
                <w:highlight w:val="none"/>
                <w:lang w:eastAsia="zh-CN"/>
              </w:rPr>
              <w:t>“</w:t>
            </w:r>
            <w:r>
              <w:rPr>
                <w:rFonts w:hint="default" w:ascii="Times New Roman" w:hAnsi="Times New Roman" w:cs="Times New Roman"/>
                <w:color w:val="auto"/>
                <w:sz w:val="24"/>
                <w:szCs w:val="24"/>
                <w:highlight w:val="none"/>
                <w:lang w:eastAsia="zh-CN"/>
              </w:rPr>
              <w:t>招标公告</w:t>
            </w:r>
            <w:r>
              <w:rPr>
                <w:rFonts w:hint="eastAsia" w:ascii="宋体" w:hAnsi="宋体" w:eastAsia="宋体" w:cs="宋体"/>
                <w:color w:val="auto"/>
                <w:sz w:val="24"/>
                <w:szCs w:val="24"/>
                <w:highlight w:val="none"/>
                <w:lang w:eastAsia="zh-CN"/>
              </w:rPr>
              <w:t>”</w:t>
            </w:r>
          </w:p>
        </w:tc>
      </w:tr>
      <w:tr w14:paraId="71F2CBFF">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57403B17">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1.3.3</w:t>
            </w:r>
          </w:p>
        </w:tc>
        <w:tc>
          <w:tcPr>
            <w:tcW w:w="2779" w:type="dxa"/>
            <w:tcBorders>
              <w:top w:val="single" w:color="auto" w:sz="4" w:space="0"/>
              <w:left w:val="single" w:color="auto" w:sz="4" w:space="0"/>
              <w:bottom w:val="single" w:color="auto" w:sz="4" w:space="0"/>
              <w:right w:val="single" w:color="auto" w:sz="4" w:space="0"/>
            </w:tcBorders>
            <w:noWrap w:val="0"/>
            <w:vAlign w:val="center"/>
          </w:tcPr>
          <w:p w14:paraId="3980BB56">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质量要求</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34652800">
            <w:pPr>
              <w:pStyle w:val="16"/>
              <w:pageBreakBefore w:val="0"/>
              <w:kinsoku/>
              <w:wordWrap w:val="0"/>
              <w:topLinePunct/>
              <w:bidi w:val="0"/>
              <w:spacing w:line="360" w:lineRule="atLeast"/>
              <w:rPr>
                <w:rFonts w:hint="eastAsia" w:ascii="Times New Roman" w:hAnsi="Times New Roman" w:eastAsia="宋体" w:cs="Times New Roman"/>
                <w:color w:val="auto"/>
                <w:sz w:val="24"/>
                <w:szCs w:val="24"/>
                <w:highlight w:val="none"/>
                <w:lang w:eastAsia="zh-CN"/>
              </w:rPr>
            </w:pPr>
            <w:r>
              <w:rPr>
                <w:rFonts w:hint="default" w:ascii="Times New Roman" w:hAnsi="Times New Roman" w:cs="Times New Roman"/>
                <w:color w:val="auto"/>
                <w:sz w:val="24"/>
                <w:szCs w:val="24"/>
                <w:highlight w:val="none"/>
              </w:rPr>
              <w:t>标段工程交工验收的质量评定：</w:t>
            </w:r>
            <w:r>
              <w:rPr>
                <w:rFonts w:hint="default" w:ascii="Times New Roman" w:hAnsi="Times New Roman" w:cs="Times New Roman"/>
                <w:color w:val="auto"/>
                <w:sz w:val="24"/>
                <w:szCs w:val="24"/>
                <w:highlight w:val="none"/>
                <w:u w:val="single"/>
              </w:rPr>
              <w:t>合格</w:t>
            </w:r>
          </w:p>
          <w:p w14:paraId="2F9128B5">
            <w:pPr>
              <w:pStyle w:val="16"/>
              <w:pageBreakBefore w:val="0"/>
              <w:kinsoku/>
              <w:wordWrap w:val="0"/>
              <w:topLinePunct/>
              <w:bidi w:val="0"/>
              <w:spacing w:line="440" w:lineRule="exact"/>
              <w:rPr>
                <w:rFonts w:hint="eastAsia" w:ascii="Times New Roman" w:hAnsi="Times New Roman" w:eastAsia="宋体" w:cs="Times New Roman"/>
                <w:color w:val="auto"/>
                <w:sz w:val="24"/>
                <w:szCs w:val="24"/>
                <w:highlight w:val="none"/>
                <w:u w:val="single"/>
                <w:lang w:val="en-US" w:eastAsia="zh-CN"/>
              </w:rPr>
            </w:pPr>
            <w:r>
              <w:rPr>
                <w:rFonts w:hint="default" w:ascii="Times New Roman" w:hAnsi="Times New Roman" w:cs="Times New Roman"/>
                <w:color w:val="auto"/>
                <w:sz w:val="24"/>
                <w:szCs w:val="24"/>
                <w:highlight w:val="none"/>
              </w:rPr>
              <w:t>竣工验收的质量评定：</w:t>
            </w:r>
            <w:r>
              <w:rPr>
                <w:rFonts w:hint="default" w:ascii="Times New Roman" w:hAnsi="Times New Roman" w:cs="Times New Roman"/>
                <w:color w:val="auto"/>
                <w:sz w:val="24"/>
                <w:szCs w:val="24"/>
                <w:highlight w:val="none"/>
                <w:u w:val="single"/>
              </w:rPr>
              <w:t>合格</w:t>
            </w:r>
          </w:p>
        </w:tc>
      </w:tr>
      <w:tr w14:paraId="7B47F794">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26A54CC7">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bCs/>
                <w:color w:val="auto"/>
                <w:sz w:val="24"/>
                <w:szCs w:val="24"/>
                <w:highlight w:val="none"/>
              </w:rPr>
              <w:t>1.3.4</w:t>
            </w:r>
          </w:p>
        </w:tc>
        <w:tc>
          <w:tcPr>
            <w:tcW w:w="2779" w:type="dxa"/>
            <w:tcBorders>
              <w:top w:val="single" w:color="auto" w:sz="4" w:space="0"/>
              <w:left w:val="single" w:color="auto" w:sz="4" w:space="0"/>
              <w:bottom w:val="single" w:color="auto" w:sz="4" w:space="0"/>
              <w:right w:val="single" w:color="auto" w:sz="4" w:space="0"/>
            </w:tcBorders>
            <w:noWrap w:val="0"/>
            <w:vAlign w:val="center"/>
          </w:tcPr>
          <w:p w14:paraId="104DDEDE">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安全目标</w:t>
            </w:r>
            <w:r>
              <w:rPr>
                <w:rStyle w:val="48"/>
                <w:rFonts w:hint="default" w:ascii="Times New Roman" w:hAnsi="Times New Roman" w:eastAsia="黑体" w:cs="Times New Roman"/>
                <w:color w:val="auto"/>
                <w:sz w:val="24"/>
                <w:szCs w:val="24"/>
                <w:highlight w:val="none"/>
              </w:rPr>
              <w:footnoteReference w:id="1"/>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2817854B">
            <w:pPr>
              <w:pStyle w:val="16"/>
              <w:pageBreakBefore w:val="0"/>
              <w:numPr>
                <w:ilvl w:val="0"/>
                <w:numId w:val="0"/>
              </w:numPr>
              <w:kinsoku/>
              <w:wordWrap w:val="0"/>
              <w:topLinePunct/>
              <w:bidi w:val="0"/>
              <w:spacing w:line="360" w:lineRule="atLeast"/>
              <w:rPr>
                <w:rFonts w:hint="eastAsia" w:ascii="Times New Roman" w:cs="Times New Roman"/>
                <w:color w:val="auto"/>
                <w:sz w:val="24"/>
                <w:szCs w:val="24"/>
                <w:highlight w:val="none"/>
                <w:lang w:val="en-US" w:eastAsia="zh-CN"/>
              </w:rPr>
            </w:pPr>
            <w:r>
              <w:rPr>
                <w:rFonts w:hint="eastAsia" w:ascii="Times New Roman" w:cs="Times New Roman"/>
                <w:color w:val="auto"/>
                <w:sz w:val="24"/>
                <w:szCs w:val="24"/>
                <w:highlight w:val="none"/>
                <w:lang w:val="en-US" w:eastAsia="zh-CN"/>
              </w:rPr>
              <w:t>（1）安全生产“零死亡”；</w:t>
            </w:r>
          </w:p>
          <w:p w14:paraId="0646D0AA">
            <w:pPr>
              <w:pStyle w:val="16"/>
              <w:pageBreakBefore w:val="0"/>
              <w:numPr>
                <w:ilvl w:val="-1"/>
                <w:numId w:val="0"/>
              </w:numPr>
              <w:kinsoku/>
              <w:wordWrap w:val="0"/>
              <w:topLinePunct/>
              <w:bidi w:val="0"/>
              <w:spacing w:line="440" w:lineRule="exact"/>
              <w:rPr>
                <w:rFonts w:hint="default" w:ascii="Times New Roman" w:cs="Times New Roman"/>
                <w:color w:val="auto"/>
                <w:sz w:val="24"/>
                <w:szCs w:val="24"/>
                <w:highlight w:val="none"/>
                <w:lang w:val="en-US" w:eastAsia="zh-CN"/>
              </w:rPr>
            </w:pPr>
            <w:r>
              <w:rPr>
                <w:rFonts w:hint="eastAsia" w:ascii="Times New Roman" w:cs="Times New Roman"/>
                <w:color w:val="auto"/>
                <w:sz w:val="24"/>
                <w:szCs w:val="24"/>
                <w:highlight w:val="none"/>
                <w:lang w:val="en-US" w:eastAsia="zh-CN"/>
              </w:rPr>
              <w:t>（2）其他：</w:t>
            </w:r>
            <w:r>
              <w:rPr>
                <w:rFonts w:hint="eastAsia" w:ascii="Times New Roman" w:cs="Times New Roman"/>
                <w:color w:val="auto"/>
                <w:sz w:val="24"/>
                <w:szCs w:val="24"/>
                <w:highlight w:val="none"/>
                <w:u w:val="single"/>
                <w:lang w:val="en-US" w:eastAsia="zh-CN"/>
              </w:rPr>
              <w:t xml:space="preserve">     /       </w:t>
            </w:r>
          </w:p>
        </w:tc>
      </w:tr>
      <w:tr w14:paraId="3DFFC716">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745F0972">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1.4.1</w:t>
            </w:r>
          </w:p>
        </w:tc>
        <w:tc>
          <w:tcPr>
            <w:tcW w:w="2779" w:type="dxa"/>
            <w:tcBorders>
              <w:top w:val="single" w:color="auto" w:sz="4" w:space="0"/>
              <w:left w:val="single" w:color="auto" w:sz="4" w:space="0"/>
              <w:bottom w:val="single" w:color="auto" w:sz="4" w:space="0"/>
              <w:right w:val="single" w:color="auto" w:sz="4" w:space="0"/>
            </w:tcBorders>
            <w:noWrap w:val="0"/>
            <w:vAlign w:val="center"/>
          </w:tcPr>
          <w:p w14:paraId="0C306385">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投标人资质条件、能力和信誉</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0E7EFDA6">
            <w:pPr>
              <w:pStyle w:val="16"/>
              <w:pageBreakBefore w:val="0"/>
              <w:kinsoku/>
              <w:wordWrap w:val="0"/>
              <w:topLinePunct/>
              <w:bidi w:val="0"/>
              <w:spacing w:line="440" w:lineRule="exact"/>
              <w:rPr>
                <w:rFonts w:hint="default" w:ascii="Times New Roman" w:hAnsi="Times New Roman" w:eastAsia="宋体" w:cs="Times New Roman"/>
                <w:color w:val="auto"/>
                <w:sz w:val="24"/>
                <w:szCs w:val="24"/>
                <w:highlight w:val="none"/>
              </w:rPr>
            </w:pPr>
            <w:r>
              <w:rPr>
                <w:rFonts w:hint="default" w:ascii="Times New Roman" w:hAnsi="Times New Roman" w:cs="Times New Roman"/>
                <w:color w:val="auto"/>
                <w:sz w:val="24"/>
                <w:szCs w:val="24"/>
                <w:highlight w:val="none"/>
              </w:rPr>
              <w:t>资质要求</w:t>
            </w:r>
            <w:r>
              <w:rPr>
                <w:rFonts w:hint="default" w:ascii="Times New Roman" w:hAnsi="Times New Roman" w:eastAsia="宋体" w:cs="Times New Roman"/>
                <w:color w:val="auto"/>
                <w:sz w:val="24"/>
                <w:szCs w:val="24"/>
                <w:highlight w:val="none"/>
              </w:rPr>
              <w:t>：见附录1</w:t>
            </w:r>
          </w:p>
          <w:p w14:paraId="7B77EB4D">
            <w:pPr>
              <w:pStyle w:val="16"/>
              <w:pageBreakBefore w:val="0"/>
              <w:kinsoku/>
              <w:wordWrap w:val="0"/>
              <w:topLinePunct/>
              <w:bidi w:val="0"/>
              <w:spacing w:line="440" w:lineRule="exac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财务要求：见附录2</w:t>
            </w:r>
          </w:p>
          <w:p w14:paraId="313858D6">
            <w:pPr>
              <w:pStyle w:val="16"/>
              <w:pageBreakBefore w:val="0"/>
              <w:kinsoku/>
              <w:wordWrap w:val="0"/>
              <w:topLinePunct/>
              <w:bidi w:val="0"/>
              <w:spacing w:line="440" w:lineRule="exac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业绩要求：见附录3</w:t>
            </w:r>
          </w:p>
          <w:p w14:paraId="05BAA2C6">
            <w:pPr>
              <w:pStyle w:val="16"/>
              <w:pageBreakBefore w:val="0"/>
              <w:kinsoku/>
              <w:wordWrap w:val="0"/>
              <w:topLinePunct/>
              <w:bidi w:val="0"/>
              <w:spacing w:line="440" w:lineRule="exac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信誉要求：见附录4</w:t>
            </w:r>
          </w:p>
          <w:p w14:paraId="5555C800">
            <w:pPr>
              <w:pStyle w:val="16"/>
              <w:pageBreakBefore w:val="0"/>
              <w:kinsoku/>
              <w:wordWrap w:val="0"/>
              <w:topLinePunct/>
              <w:bidi w:val="0"/>
              <w:spacing w:line="440" w:lineRule="exac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项目经理和项目总工资格</w:t>
            </w:r>
            <w:r>
              <w:rPr>
                <w:rFonts w:hint="default" w:ascii="Times New Roman" w:hAnsi="Times New Roman" w:eastAsia="宋体" w:cs="Times New Roman"/>
                <w:color w:val="auto"/>
                <w:sz w:val="24"/>
                <w:szCs w:val="24"/>
                <w:highlight w:val="none"/>
              </w:rPr>
              <w:t>：见附录5</w:t>
            </w:r>
          </w:p>
          <w:p w14:paraId="56B1F652">
            <w:pPr>
              <w:pageBreakBefore w:val="0"/>
              <w:kinsoku/>
              <w:wordWrap w:val="0"/>
              <w:bidi w:val="0"/>
              <w:spacing w:line="440" w:lineRule="exac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rPr>
              <w:t>其他要求：</w:t>
            </w:r>
            <w:r>
              <w:rPr>
                <w:rStyle w:val="48"/>
                <w:rFonts w:hint="default" w:ascii="Times New Roman" w:hAnsi="Times New Roman" w:eastAsia="黑体" w:cs="Times New Roman"/>
                <w:color w:val="auto"/>
                <w:sz w:val="24"/>
                <w:szCs w:val="24"/>
                <w:highlight w:val="none"/>
              </w:rPr>
              <w:footnoteReference w:id="2"/>
            </w:r>
            <w:r>
              <w:rPr>
                <w:rFonts w:hint="eastAsia" w:cs="Times New Roman"/>
                <w:color w:val="auto"/>
                <w:sz w:val="24"/>
                <w:szCs w:val="24"/>
                <w:highlight w:val="none"/>
                <w:u w:val="single"/>
                <w:lang w:val="en-US" w:eastAsia="zh-CN"/>
              </w:rPr>
              <w:t xml:space="preserve"> / </w:t>
            </w:r>
          </w:p>
        </w:tc>
      </w:tr>
      <w:tr w14:paraId="620F9956">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53F252B0">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1.4.2</w:t>
            </w:r>
          </w:p>
        </w:tc>
        <w:tc>
          <w:tcPr>
            <w:tcW w:w="2779" w:type="dxa"/>
            <w:tcBorders>
              <w:top w:val="single" w:color="auto" w:sz="4" w:space="0"/>
              <w:left w:val="single" w:color="auto" w:sz="4" w:space="0"/>
              <w:bottom w:val="single" w:color="auto" w:sz="4" w:space="0"/>
              <w:right w:val="single" w:color="auto" w:sz="4" w:space="0"/>
            </w:tcBorders>
            <w:noWrap w:val="0"/>
            <w:vAlign w:val="center"/>
          </w:tcPr>
          <w:p w14:paraId="66131086">
            <w:pPr>
              <w:pageBreakBefore w:val="0"/>
              <w:kinsoku/>
              <w:wordWrap w:val="0"/>
              <w:bidi w:val="0"/>
              <w:spacing w:line="440" w:lineRule="exact"/>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是否接受联合体投标</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2797FB73">
            <w:pPr>
              <w:pageBreakBefore w:val="0"/>
              <w:kinsoku/>
              <w:wordWrap w:val="0"/>
              <w:topLinePunct/>
              <w:bidi w:val="0"/>
              <w:spacing w:line="440" w:lineRule="exact"/>
              <w:rPr>
                <w:rFonts w:hint="default" w:ascii="Times New Roman" w:hAnsi="Times New Roman" w:cs="Times New Roman"/>
                <w:color w:val="000000"/>
                <w:sz w:val="24"/>
                <w:szCs w:val="24"/>
                <w:highlight w:val="none"/>
              </w:rPr>
            </w:pPr>
            <w:r>
              <w:rPr>
                <w:rFonts w:hint="eastAsia" w:cs="Times New Roman"/>
                <w:color w:val="000000"/>
                <w:sz w:val="24"/>
                <w:szCs w:val="24"/>
                <w:highlight w:val="none"/>
                <w:lang w:eastAsia="zh-CN"/>
              </w:rPr>
              <w:t>☑</w:t>
            </w:r>
            <w:r>
              <w:rPr>
                <w:rFonts w:hint="default" w:ascii="Times New Roman" w:hAnsi="Times New Roman" w:cs="Times New Roman"/>
                <w:color w:val="000000"/>
                <w:sz w:val="24"/>
                <w:szCs w:val="24"/>
                <w:highlight w:val="none"/>
                <w:u w:val="single"/>
                <w:lang w:val="en-US" w:eastAsia="zh-CN"/>
              </w:rPr>
              <w:t xml:space="preserve">   </w:t>
            </w:r>
            <w:r>
              <w:rPr>
                <w:rFonts w:hint="eastAsia" w:cs="Times New Roman"/>
                <w:color w:val="000000"/>
                <w:sz w:val="24"/>
                <w:szCs w:val="24"/>
                <w:highlight w:val="none"/>
                <w:u w:val="single"/>
                <w:lang w:val="en-US" w:eastAsia="zh-CN"/>
              </w:rPr>
              <w:t>一</w:t>
            </w:r>
            <w:r>
              <w:rPr>
                <w:rFonts w:hint="default" w:ascii="Times New Roman" w:hAnsi="Times New Roman" w:cs="Times New Roman"/>
                <w:color w:val="000000"/>
                <w:sz w:val="24"/>
                <w:szCs w:val="24"/>
                <w:highlight w:val="none"/>
                <w:u w:val="single"/>
                <w:lang w:val="en-US" w:eastAsia="zh-CN"/>
              </w:rPr>
              <w:t xml:space="preserve">   </w:t>
            </w:r>
            <w:r>
              <w:rPr>
                <w:rFonts w:hint="default" w:ascii="Times New Roman" w:hAnsi="Times New Roman" w:cs="Times New Roman"/>
                <w:color w:val="000000"/>
                <w:sz w:val="24"/>
                <w:szCs w:val="24"/>
                <w:highlight w:val="none"/>
                <w:lang w:val="en-US" w:eastAsia="zh-CN"/>
              </w:rPr>
              <w:t>标段，</w:t>
            </w:r>
            <w:r>
              <w:rPr>
                <w:rFonts w:hint="default" w:ascii="Times New Roman" w:hAnsi="Times New Roman" w:cs="Times New Roman"/>
                <w:color w:val="000000"/>
                <w:sz w:val="24"/>
                <w:szCs w:val="24"/>
                <w:highlight w:val="none"/>
              </w:rPr>
              <w:t>不</w:t>
            </w:r>
            <w:r>
              <w:rPr>
                <w:rFonts w:hint="default" w:ascii="Times New Roman" w:hAnsi="Times New Roman" w:cs="Times New Roman"/>
                <w:sz w:val="24"/>
                <w:szCs w:val="24"/>
                <w:highlight w:val="none"/>
              </w:rPr>
              <w:t>接受</w:t>
            </w:r>
          </w:p>
          <w:p w14:paraId="3A840BF5">
            <w:pPr>
              <w:pageBreakBefore w:val="0"/>
              <w:kinsoku/>
              <w:wordWrap w:val="0"/>
              <w:bidi w:val="0"/>
              <w:spacing w:line="440" w:lineRule="exact"/>
              <w:rPr>
                <w:rFonts w:hint="eastAsia" w:ascii="Times New Roman" w:hAnsi="Times New Roman" w:eastAsia="宋体" w:cs="Times New Roman"/>
                <w:color w:val="auto"/>
                <w:kern w:val="2"/>
                <w:sz w:val="24"/>
                <w:szCs w:val="24"/>
                <w:highlight w:val="none"/>
                <w:lang w:val="en-US" w:eastAsia="zh-CN" w:bidi="ar-SA"/>
              </w:rPr>
            </w:pPr>
            <w:r>
              <w:rPr>
                <w:rFonts w:hint="eastAsia" w:cs="Times New Roman"/>
                <w:sz w:val="24"/>
                <w:szCs w:val="24"/>
                <w:highlight w:val="none"/>
                <w:lang w:eastAsia="zh-CN"/>
              </w:rPr>
              <w:t>□</w:t>
            </w:r>
            <w:r>
              <w:rPr>
                <w:rFonts w:hint="default" w:ascii="Times New Roman" w:hAnsi="Times New Roman" w:cs="Times New Roman"/>
                <w:color w:val="000000"/>
                <w:sz w:val="24"/>
                <w:szCs w:val="24"/>
                <w:highlight w:val="none"/>
                <w:u w:val="single"/>
                <w:lang w:val="en-US" w:eastAsia="zh-CN"/>
              </w:rPr>
              <w:t xml:space="preserve">      </w:t>
            </w:r>
            <w:r>
              <w:rPr>
                <w:rFonts w:hint="default" w:ascii="Times New Roman" w:hAnsi="Times New Roman" w:cs="Times New Roman"/>
                <w:color w:val="000000"/>
                <w:sz w:val="24"/>
                <w:szCs w:val="24"/>
                <w:highlight w:val="none"/>
                <w:lang w:val="en-US" w:eastAsia="zh-CN"/>
              </w:rPr>
              <w:t>标段，</w:t>
            </w:r>
            <w:r>
              <w:rPr>
                <w:rFonts w:hint="default" w:ascii="Times New Roman" w:hAnsi="Times New Roman" w:cs="Times New Roman"/>
                <w:sz w:val="24"/>
                <w:szCs w:val="24"/>
                <w:highlight w:val="none"/>
              </w:rPr>
              <w:t>接受，应满足下列要求：</w:t>
            </w:r>
            <w:r>
              <w:rPr>
                <w:rFonts w:hint="eastAsia" w:ascii="Times New Roman" w:hAnsi="Times New Roman" w:cs="Times New Roman"/>
                <w:sz w:val="24"/>
                <w:szCs w:val="24"/>
                <w:highlight w:val="none"/>
                <w:lang w:val="en-US" w:eastAsia="zh-CN"/>
              </w:rPr>
              <w:t>/</w:t>
            </w:r>
          </w:p>
        </w:tc>
      </w:tr>
      <w:tr w14:paraId="4C50D719">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6C7E622C">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1.4.3</w:t>
            </w:r>
          </w:p>
        </w:tc>
        <w:tc>
          <w:tcPr>
            <w:tcW w:w="2779" w:type="dxa"/>
            <w:tcBorders>
              <w:top w:val="single" w:color="auto" w:sz="4" w:space="0"/>
              <w:left w:val="single" w:color="auto" w:sz="4" w:space="0"/>
              <w:bottom w:val="single" w:color="auto" w:sz="4" w:space="0"/>
              <w:right w:val="single" w:color="auto" w:sz="4" w:space="0"/>
            </w:tcBorders>
            <w:noWrap w:val="0"/>
            <w:vAlign w:val="center"/>
          </w:tcPr>
          <w:p w14:paraId="7BF1A6D8">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投标人不得存在的其他关联情形</w:t>
            </w:r>
          </w:p>
        </w:tc>
        <w:tc>
          <w:tcPr>
            <w:tcW w:w="540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E71652E">
            <w:pPr>
              <w:pageBreakBefore w:val="0"/>
              <w:kinsoku/>
              <w:wordWrap w:val="0"/>
              <w:bidi w:val="0"/>
              <w:spacing w:line="360" w:lineRule="atLeast"/>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sz w:val="24"/>
                <w:szCs w:val="24"/>
                <w:highlight w:val="none"/>
                <w:lang w:val="en-US" w:eastAsia="zh-CN"/>
              </w:rPr>
              <w:t>与招标人存在利害关系可能影响招标公正性的单位，不得参加投标。单位负责人为同一人或存在控股、管理关系的不同单位，不得参加同</w:t>
            </w:r>
            <w:r>
              <w:rPr>
                <w:rFonts w:hint="eastAsia" w:cs="Times New Roman"/>
                <w:color w:val="auto"/>
                <w:sz w:val="24"/>
                <w:szCs w:val="24"/>
                <w:highlight w:val="none"/>
                <w:lang w:val="en-US" w:eastAsia="zh-CN"/>
              </w:rPr>
              <w:t>一标段</w:t>
            </w:r>
            <w:r>
              <w:rPr>
                <w:rFonts w:hint="eastAsia" w:ascii="Times New Roman" w:hAnsi="Times New Roman" w:eastAsia="宋体" w:cs="Times New Roman"/>
                <w:color w:val="auto"/>
                <w:sz w:val="24"/>
                <w:szCs w:val="24"/>
                <w:highlight w:val="none"/>
                <w:lang w:val="en-US" w:eastAsia="zh-CN"/>
              </w:rPr>
              <w:t>投标，否则相关投标均无效。</w:t>
            </w:r>
          </w:p>
        </w:tc>
      </w:tr>
      <w:tr w14:paraId="39EE75A6">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3582BA57">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1.4.4</w:t>
            </w:r>
          </w:p>
        </w:tc>
        <w:tc>
          <w:tcPr>
            <w:tcW w:w="2779" w:type="dxa"/>
            <w:tcBorders>
              <w:top w:val="single" w:color="auto" w:sz="4" w:space="0"/>
              <w:left w:val="single" w:color="auto" w:sz="4" w:space="0"/>
              <w:bottom w:val="single" w:color="auto" w:sz="4" w:space="0"/>
              <w:right w:val="single" w:color="auto" w:sz="4" w:space="0"/>
            </w:tcBorders>
            <w:noWrap w:val="0"/>
            <w:vAlign w:val="center"/>
          </w:tcPr>
          <w:p w14:paraId="2DE9F4B7">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投标人不得存在的其他不良状况或不良信用记录</w:t>
            </w:r>
          </w:p>
        </w:tc>
        <w:tc>
          <w:tcPr>
            <w:tcW w:w="540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7DB40A1">
            <w:pPr>
              <w:pageBreakBefore w:val="0"/>
              <w:numPr>
                <w:ilvl w:val="0"/>
                <w:numId w:val="0"/>
              </w:numPr>
              <w:kinsoku/>
              <w:wordWrap w:val="0"/>
              <w:bidi w:val="0"/>
              <w:spacing w:line="360" w:lineRule="atLeast"/>
              <w:rPr>
                <w:rFonts w:hint="default" w:ascii="Times New Roman" w:hAnsi="Times New Roman" w:cs="Times New Roman"/>
                <w:color w:val="auto"/>
                <w:sz w:val="24"/>
                <w:szCs w:val="24"/>
                <w:highlight w:val="none"/>
              </w:rPr>
            </w:pPr>
            <w:r>
              <w:rPr>
                <w:rFonts w:hint="default" w:ascii="Times New Roman" w:hAnsi="Times New Roman" w:eastAsia="宋体" w:cs="Times New Roman"/>
                <w:color w:val="auto"/>
                <w:kern w:val="2"/>
                <w:sz w:val="24"/>
                <w:szCs w:val="24"/>
                <w:highlight w:val="none"/>
                <w:lang w:val="en-US" w:eastAsia="zh-CN" w:bidi="ar-SA"/>
              </w:rPr>
              <w:t>（1）</w:t>
            </w:r>
            <w:r>
              <w:rPr>
                <w:rFonts w:hint="default" w:ascii="Times New Roman" w:hAnsi="Times New Roman" w:cs="Times New Roman"/>
                <w:color w:val="auto"/>
                <w:sz w:val="24"/>
                <w:szCs w:val="24"/>
                <w:highlight w:val="none"/>
              </w:rPr>
              <w:t>被省级及以上交通运输主管部门取消招标项目所在地的投标资格且处于有效期内；</w:t>
            </w:r>
          </w:p>
          <w:p w14:paraId="65B49EFC">
            <w:pPr>
              <w:pageBreakBefore w:val="0"/>
              <w:numPr>
                <w:ilvl w:val="0"/>
                <w:numId w:val="0"/>
              </w:numPr>
              <w:kinsoku/>
              <w:wordWrap w:val="0"/>
              <w:bidi w:val="0"/>
              <w:spacing w:line="360" w:lineRule="atLeas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（2）被责令停业，暂扣或吊销执照，或吊销资质证书；</w:t>
            </w:r>
          </w:p>
          <w:p w14:paraId="4B6C438E">
            <w:pPr>
              <w:pageBreakBefore w:val="0"/>
              <w:numPr>
                <w:ilvl w:val="0"/>
                <w:numId w:val="0"/>
              </w:numPr>
              <w:kinsoku/>
              <w:wordWrap w:val="0"/>
              <w:bidi w:val="0"/>
              <w:spacing w:line="360" w:lineRule="atLeas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（3）进入清算程序，或被宣告破产，或其他丧失履约能力的情形；</w:t>
            </w:r>
          </w:p>
          <w:p w14:paraId="5B0BE75A">
            <w:pPr>
              <w:pageBreakBefore w:val="0"/>
              <w:numPr>
                <w:ilvl w:val="0"/>
                <w:numId w:val="0"/>
              </w:numPr>
              <w:kinsoku/>
              <w:wordWrap w:val="0"/>
              <w:bidi w:val="0"/>
              <w:spacing w:line="360" w:lineRule="atLeas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（4）在国家企业信用信息公示系统（http：//www.gsxt.gov.cn）中被列入严重违法失信企业名单；</w:t>
            </w:r>
          </w:p>
          <w:p w14:paraId="1E408DB3">
            <w:pPr>
              <w:pageBreakBefore w:val="0"/>
              <w:numPr>
                <w:ilvl w:val="0"/>
                <w:numId w:val="0"/>
              </w:numPr>
              <w:kinsoku/>
              <w:wordWrap w:val="0"/>
              <w:bidi w:val="0"/>
              <w:spacing w:line="360" w:lineRule="atLeas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（5）在“信用中国”网站（http：//www.creditchina.gov.cn）中被列入失信被执行人名单；</w:t>
            </w:r>
          </w:p>
          <w:p w14:paraId="3FA86B52">
            <w:pPr>
              <w:pageBreakBefore w:val="0"/>
              <w:numPr>
                <w:ilvl w:val="0"/>
                <w:numId w:val="0"/>
              </w:numPr>
              <w:kinsoku/>
              <w:wordWrap w:val="0"/>
              <w:bidi w:val="0"/>
              <w:spacing w:line="360" w:lineRule="atLeas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（6）投标人或其法定代表人、拟委任的项目经理在近三年内有行贿犯罪行为的；</w:t>
            </w:r>
          </w:p>
          <w:p w14:paraId="4DFFCBFF">
            <w:pPr>
              <w:pageBreakBefore w:val="0"/>
              <w:numPr>
                <w:ilvl w:val="0"/>
                <w:numId w:val="0"/>
              </w:numPr>
              <w:kinsoku/>
              <w:wordWrap w:val="0"/>
              <w:bidi w:val="0"/>
              <w:spacing w:line="360" w:lineRule="atLeas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（7）投标人在以往工程未因拖欠农民工工资、材料采购、工程分包款等，而受到省级有关部门的通报；</w:t>
            </w:r>
          </w:p>
          <w:p w14:paraId="397CAE71">
            <w:pPr>
              <w:pageBreakBefore w:val="0"/>
              <w:numPr>
                <w:ilvl w:val="0"/>
                <w:numId w:val="0"/>
              </w:numPr>
              <w:kinsoku/>
              <w:wordWrap w:val="0"/>
              <w:bidi w:val="0"/>
              <w:spacing w:line="360" w:lineRule="atLeas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（8）法律法规或投标人须知前附表规定的其他情形。</w:t>
            </w:r>
          </w:p>
        </w:tc>
      </w:tr>
      <w:tr w14:paraId="7E2AB666">
        <w:tblPrEx>
          <w:tblCellMar>
            <w:top w:w="0" w:type="dxa"/>
            <w:left w:w="108" w:type="dxa"/>
            <w:bottom w:w="0" w:type="dxa"/>
            <w:right w:w="108" w:type="dxa"/>
          </w:tblCellMar>
        </w:tblPrEx>
        <w:trPr>
          <w:trHeight w:val="340" w:hRule="atLeast"/>
        </w:trPr>
        <w:tc>
          <w:tcPr>
            <w:tcW w:w="1036" w:type="dxa"/>
            <w:vMerge w:val="restart"/>
            <w:tcBorders>
              <w:top w:val="single" w:color="auto" w:sz="4" w:space="0"/>
              <w:left w:val="single" w:color="auto" w:sz="4" w:space="0"/>
              <w:right w:val="single" w:color="auto" w:sz="4" w:space="0"/>
            </w:tcBorders>
            <w:noWrap w:val="0"/>
            <w:vAlign w:val="center"/>
          </w:tcPr>
          <w:p w14:paraId="01F7BAFA">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1.10.2</w:t>
            </w:r>
          </w:p>
        </w:tc>
        <w:tc>
          <w:tcPr>
            <w:tcW w:w="2779" w:type="dxa"/>
            <w:vMerge w:val="restart"/>
            <w:tcBorders>
              <w:top w:val="single" w:color="auto" w:sz="4" w:space="0"/>
              <w:left w:val="single" w:color="auto" w:sz="4" w:space="0"/>
              <w:right w:val="single" w:color="auto" w:sz="4" w:space="0"/>
            </w:tcBorders>
            <w:noWrap w:val="0"/>
            <w:vAlign w:val="center"/>
          </w:tcPr>
          <w:p w14:paraId="78E2CC0F">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投标人在投标预备会前提出问题</w:t>
            </w:r>
          </w:p>
        </w:tc>
        <w:tc>
          <w:tcPr>
            <w:tcW w:w="540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BB6C4D9">
            <w:pPr>
              <w:pageBreakBefore w:val="0"/>
              <w:kinsoku/>
              <w:wordWrap w:val="0"/>
              <w:bidi w:val="0"/>
              <w:spacing w:line="440" w:lineRule="exac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时间：</w:t>
            </w:r>
            <w:r>
              <w:rPr>
                <w:rFonts w:hint="eastAsia" w:cs="Times New Roman"/>
                <w:color w:val="auto"/>
                <w:sz w:val="24"/>
                <w:szCs w:val="24"/>
                <w:highlight w:val="none"/>
                <w:lang w:val="en-US" w:eastAsia="zh-CN"/>
              </w:rPr>
              <w:t>/</w:t>
            </w:r>
          </w:p>
        </w:tc>
      </w:tr>
      <w:tr w14:paraId="06BA87F4">
        <w:tblPrEx>
          <w:tblCellMar>
            <w:top w:w="0" w:type="dxa"/>
            <w:left w:w="108" w:type="dxa"/>
            <w:bottom w:w="0" w:type="dxa"/>
            <w:right w:w="108" w:type="dxa"/>
          </w:tblCellMar>
        </w:tblPrEx>
        <w:trPr>
          <w:trHeight w:val="340" w:hRule="atLeast"/>
        </w:trPr>
        <w:tc>
          <w:tcPr>
            <w:tcW w:w="1036" w:type="dxa"/>
            <w:vMerge w:val="continue"/>
            <w:tcBorders>
              <w:left w:val="single" w:color="auto" w:sz="4" w:space="0"/>
              <w:bottom w:val="single" w:color="auto" w:sz="4" w:space="0"/>
              <w:right w:val="single" w:color="auto" w:sz="4" w:space="0"/>
            </w:tcBorders>
            <w:noWrap w:val="0"/>
            <w:vAlign w:val="center"/>
          </w:tcPr>
          <w:p w14:paraId="2FAB4984">
            <w:pPr>
              <w:pageBreakBefore w:val="0"/>
              <w:kinsoku/>
              <w:wordWrap w:val="0"/>
              <w:bidi w:val="0"/>
              <w:spacing w:line="440" w:lineRule="exact"/>
              <w:jc w:val="center"/>
              <w:rPr>
                <w:rFonts w:hint="default" w:ascii="Times New Roman" w:hAnsi="Times New Roman" w:cs="Times New Roman"/>
                <w:color w:val="auto"/>
                <w:sz w:val="24"/>
                <w:szCs w:val="24"/>
                <w:highlight w:val="none"/>
              </w:rPr>
            </w:pPr>
          </w:p>
        </w:tc>
        <w:tc>
          <w:tcPr>
            <w:tcW w:w="2779" w:type="dxa"/>
            <w:vMerge w:val="continue"/>
            <w:tcBorders>
              <w:left w:val="single" w:color="auto" w:sz="4" w:space="0"/>
              <w:bottom w:val="single" w:color="auto" w:sz="4" w:space="0"/>
              <w:right w:val="single" w:color="auto" w:sz="4" w:space="0"/>
            </w:tcBorders>
            <w:noWrap w:val="0"/>
            <w:vAlign w:val="center"/>
          </w:tcPr>
          <w:p w14:paraId="04C36145">
            <w:pPr>
              <w:pageBreakBefore w:val="0"/>
              <w:kinsoku/>
              <w:wordWrap w:val="0"/>
              <w:bidi w:val="0"/>
              <w:spacing w:line="440" w:lineRule="exact"/>
              <w:jc w:val="center"/>
              <w:rPr>
                <w:rFonts w:hint="default" w:ascii="Times New Roman" w:hAnsi="Times New Roman" w:cs="Times New Roman"/>
                <w:color w:val="auto"/>
                <w:sz w:val="24"/>
                <w:szCs w:val="24"/>
                <w:highlight w:val="none"/>
              </w:rPr>
            </w:pPr>
          </w:p>
        </w:tc>
        <w:tc>
          <w:tcPr>
            <w:tcW w:w="540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C0C8A34">
            <w:pPr>
              <w:pageBreakBefore w:val="0"/>
              <w:kinsoku/>
              <w:wordWrap w:val="0"/>
              <w:bidi w:val="0"/>
              <w:spacing w:line="440" w:lineRule="exac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形式：使用CA数字证书登录</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电子交易平台</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，在</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lang w:eastAsia="zh-CN"/>
              </w:rPr>
              <w:t>答疑澄清</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菜单以书面形式将提出的问题送达招标人</w:t>
            </w:r>
          </w:p>
        </w:tc>
      </w:tr>
      <w:tr w14:paraId="58DAE834">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2260A1B8">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1.11.1</w:t>
            </w:r>
          </w:p>
        </w:tc>
        <w:tc>
          <w:tcPr>
            <w:tcW w:w="2779" w:type="dxa"/>
            <w:tcBorders>
              <w:top w:val="single" w:color="auto" w:sz="4" w:space="0"/>
              <w:left w:val="single" w:color="auto" w:sz="4" w:space="0"/>
              <w:bottom w:val="single" w:color="auto" w:sz="4" w:space="0"/>
              <w:right w:val="single" w:color="auto" w:sz="4" w:space="0"/>
            </w:tcBorders>
            <w:noWrap w:val="0"/>
            <w:vAlign w:val="center"/>
          </w:tcPr>
          <w:p w14:paraId="6200ECEB">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分包</w:t>
            </w:r>
          </w:p>
        </w:tc>
        <w:tc>
          <w:tcPr>
            <w:tcW w:w="540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5321693">
            <w:pPr>
              <w:pageBreakBefore w:val="0"/>
              <w:kinsoku/>
              <w:wordWrap w:val="0"/>
              <w:bidi w:val="0"/>
              <w:spacing w:line="360" w:lineRule="atLeast"/>
              <w:rPr>
                <w:rFonts w:hint="default" w:ascii="Times New Roman" w:hAnsi="Times New Roman" w:cs="Times New Roman"/>
                <w:color w:val="auto"/>
                <w:sz w:val="24"/>
                <w:szCs w:val="24"/>
                <w:highlight w:val="none"/>
              </w:rPr>
            </w:pP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rPr>
              <w:t>不允许</w:t>
            </w:r>
          </w:p>
          <w:p w14:paraId="4227F737">
            <w:pPr>
              <w:pStyle w:val="15"/>
              <w:pageBreakBefore w:val="0"/>
              <w:kinsoku/>
              <w:wordWrap w:val="0"/>
              <w:bidi w:val="0"/>
              <w:spacing w:line="360" w:lineRule="atLeast"/>
              <w:ind w:firstLine="120" w:firstLineChars="50"/>
              <w:jc w:val="both"/>
              <w:rPr>
                <w:rFonts w:hint="eastAsia" w:ascii="Times New Roman" w:hAnsi="Times New Roman" w:eastAsia="宋体" w:cs="Times New Roman"/>
                <w:color w:val="auto"/>
                <w:kern w:val="2"/>
                <w:sz w:val="24"/>
                <w:szCs w:val="24"/>
                <w:highlight w:val="none"/>
                <w:lang w:val="en-US" w:eastAsia="zh-CN" w:bidi="ar-SA"/>
              </w:rPr>
            </w:pPr>
            <w:r>
              <w:rPr>
                <w:rFonts w:hint="eastAsia" w:cs="Times New Roman"/>
                <w:color w:val="auto"/>
                <w:sz w:val="24"/>
                <w:szCs w:val="24"/>
                <w:highlight w:val="none"/>
                <w:lang w:eastAsia="zh-CN"/>
              </w:rPr>
              <w:t>□</w:t>
            </w:r>
            <w:r>
              <w:rPr>
                <w:rFonts w:hint="eastAsia" w:ascii="宋体" w:hAnsi="宋体" w:eastAsia="宋体" w:cs="宋体"/>
                <w:color w:val="auto"/>
                <w:sz w:val="24"/>
                <w:szCs w:val="24"/>
                <w:highlight w:val="none"/>
                <w:lang w:val="en-US" w:eastAsia="zh-CN"/>
              </w:rPr>
              <w:t>允许，</w:t>
            </w:r>
            <w:r>
              <w:rPr>
                <w:rFonts w:hint="eastAsia" w:ascii="宋体" w:hAnsi="宋体" w:eastAsia="宋体" w:cs="宋体"/>
                <w:color w:val="auto"/>
                <w:sz w:val="24"/>
                <w:szCs w:val="24"/>
                <w:highlight w:val="none"/>
              </w:rPr>
              <w:t>承包人按照合同约定或者经发包人书面同意，可以将中标项目中负面清单以外的部分单位工程、分部工程或者分项工程分包给满足相应条件的其他专业施工单位完成。</w:t>
            </w:r>
          </w:p>
        </w:tc>
      </w:tr>
      <w:tr w14:paraId="50C2EE25">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3A1FED94">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2.1</w:t>
            </w:r>
          </w:p>
        </w:tc>
        <w:tc>
          <w:tcPr>
            <w:tcW w:w="2779" w:type="dxa"/>
            <w:tcBorders>
              <w:top w:val="single" w:color="auto" w:sz="4" w:space="0"/>
              <w:left w:val="single" w:color="auto" w:sz="4" w:space="0"/>
              <w:bottom w:val="single" w:color="auto" w:sz="4" w:space="0"/>
              <w:right w:val="single" w:color="auto" w:sz="4" w:space="0"/>
            </w:tcBorders>
            <w:noWrap w:val="0"/>
            <w:vAlign w:val="center"/>
          </w:tcPr>
          <w:p w14:paraId="3B44E00E">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构成招标文件的其他资料</w:t>
            </w:r>
          </w:p>
        </w:tc>
        <w:tc>
          <w:tcPr>
            <w:tcW w:w="540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675538F">
            <w:pPr>
              <w:pageBreakBefore w:val="0"/>
              <w:kinsoku/>
              <w:wordWrap w:val="0"/>
              <w:bidi w:val="0"/>
              <w:spacing w:line="360" w:lineRule="atLeas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招标文件的澄清文件和修改文件均构成招标文件的组成部分，对所有投标人均具有约束力。当招标文件、招标文件的澄清或修改等在同一内容的表述上不一致时，以电子交易平台最后发出的书面文件为准。</w:t>
            </w:r>
          </w:p>
        </w:tc>
      </w:tr>
      <w:tr w14:paraId="4314300B">
        <w:tblPrEx>
          <w:tblCellMar>
            <w:top w:w="0" w:type="dxa"/>
            <w:left w:w="108" w:type="dxa"/>
            <w:bottom w:w="0" w:type="dxa"/>
            <w:right w:w="108" w:type="dxa"/>
          </w:tblCellMar>
        </w:tblPrEx>
        <w:trPr>
          <w:trHeight w:val="340" w:hRule="atLeast"/>
        </w:trPr>
        <w:tc>
          <w:tcPr>
            <w:tcW w:w="1036" w:type="dxa"/>
            <w:vMerge w:val="restart"/>
            <w:tcBorders>
              <w:top w:val="single" w:color="auto" w:sz="4" w:space="0"/>
              <w:left w:val="single" w:color="auto" w:sz="4" w:space="0"/>
              <w:right w:val="single" w:color="auto" w:sz="4" w:space="0"/>
            </w:tcBorders>
            <w:noWrap w:val="0"/>
            <w:vAlign w:val="center"/>
          </w:tcPr>
          <w:p w14:paraId="0A27F565">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2.2.1</w:t>
            </w:r>
          </w:p>
        </w:tc>
        <w:tc>
          <w:tcPr>
            <w:tcW w:w="2779" w:type="dxa"/>
            <w:vMerge w:val="restart"/>
            <w:tcBorders>
              <w:top w:val="single" w:color="auto" w:sz="4" w:space="0"/>
              <w:left w:val="single" w:color="auto" w:sz="4" w:space="0"/>
              <w:right w:val="single" w:color="auto" w:sz="4" w:space="0"/>
            </w:tcBorders>
            <w:noWrap w:val="0"/>
            <w:vAlign w:val="center"/>
          </w:tcPr>
          <w:p w14:paraId="377CF168">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投标人要求澄清招标文件</w:t>
            </w:r>
          </w:p>
        </w:tc>
        <w:tc>
          <w:tcPr>
            <w:tcW w:w="540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DA4FC1C">
            <w:pPr>
              <w:pageBreakBefore w:val="0"/>
              <w:kinsoku/>
              <w:wordWrap w:val="0"/>
              <w:bidi w:val="0"/>
              <w:spacing w:line="440" w:lineRule="exac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时间：递交投标文件截止之日</w:t>
            </w:r>
            <w:r>
              <w:rPr>
                <w:rFonts w:hint="eastAsia" w:cs="Times New Roman"/>
                <w:color w:val="auto"/>
                <w:sz w:val="24"/>
                <w:szCs w:val="24"/>
                <w:highlight w:val="none"/>
                <w:u w:val="single"/>
                <w:lang w:val="en-US" w:eastAsia="zh-CN"/>
              </w:rPr>
              <w:t>10</w:t>
            </w:r>
            <w:r>
              <w:rPr>
                <w:rFonts w:hint="default" w:ascii="Times New Roman" w:hAnsi="Times New Roman" w:cs="Times New Roman"/>
                <w:color w:val="auto"/>
                <w:sz w:val="24"/>
                <w:szCs w:val="24"/>
                <w:highlight w:val="none"/>
              </w:rPr>
              <w:t>天前（以发出时间为准）</w:t>
            </w:r>
          </w:p>
        </w:tc>
      </w:tr>
      <w:tr w14:paraId="0FD59EE6">
        <w:tblPrEx>
          <w:tblCellMar>
            <w:top w:w="0" w:type="dxa"/>
            <w:left w:w="108" w:type="dxa"/>
            <w:bottom w:w="0" w:type="dxa"/>
            <w:right w:w="108" w:type="dxa"/>
          </w:tblCellMar>
        </w:tblPrEx>
        <w:trPr>
          <w:trHeight w:val="340" w:hRule="atLeast"/>
        </w:trPr>
        <w:tc>
          <w:tcPr>
            <w:tcW w:w="1036" w:type="dxa"/>
            <w:vMerge w:val="continue"/>
            <w:tcBorders>
              <w:left w:val="single" w:color="auto" w:sz="4" w:space="0"/>
              <w:bottom w:val="single" w:color="auto" w:sz="4" w:space="0"/>
              <w:right w:val="single" w:color="auto" w:sz="4" w:space="0"/>
            </w:tcBorders>
            <w:noWrap w:val="0"/>
            <w:vAlign w:val="center"/>
          </w:tcPr>
          <w:p w14:paraId="6DB1C808">
            <w:pPr>
              <w:pageBreakBefore w:val="0"/>
              <w:kinsoku/>
              <w:wordWrap w:val="0"/>
              <w:bidi w:val="0"/>
              <w:spacing w:line="440" w:lineRule="exact"/>
              <w:jc w:val="center"/>
              <w:rPr>
                <w:rFonts w:hint="default" w:ascii="Times New Roman" w:hAnsi="Times New Roman" w:cs="Times New Roman"/>
                <w:color w:val="auto"/>
                <w:sz w:val="24"/>
                <w:szCs w:val="24"/>
                <w:highlight w:val="none"/>
              </w:rPr>
            </w:pPr>
          </w:p>
        </w:tc>
        <w:tc>
          <w:tcPr>
            <w:tcW w:w="2779" w:type="dxa"/>
            <w:vMerge w:val="continue"/>
            <w:tcBorders>
              <w:left w:val="single" w:color="auto" w:sz="4" w:space="0"/>
              <w:bottom w:val="single" w:color="auto" w:sz="4" w:space="0"/>
              <w:right w:val="single" w:color="auto" w:sz="4" w:space="0"/>
            </w:tcBorders>
            <w:noWrap w:val="0"/>
            <w:vAlign w:val="center"/>
          </w:tcPr>
          <w:p w14:paraId="7187FEAE">
            <w:pPr>
              <w:pageBreakBefore w:val="0"/>
              <w:kinsoku/>
              <w:wordWrap w:val="0"/>
              <w:bidi w:val="0"/>
              <w:spacing w:line="440" w:lineRule="exact"/>
              <w:jc w:val="center"/>
              <w:rPr>
                <w:rFonts w:hint="default" w:ascii="Times New Roman" w:hAnsi="Times New Roman" w:cs="Times New Roman"/>
                <w:color w:val="auto"/>
                <w:sz w:val="24"/>
                <w:szCs w:val="24"/>
                <w:highlight w:val="none"/>
              </w:rPr>
            </w:pPr>
          </w:p>
        </w:tc>
        <w:tc>
          <w:tcPr>
            <w:tcW w:w="540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4E60952">
            <w:pPr>
              <w:pageBreakBefore w:val="0"/>
              <w:kinsoku/>
              <w:wordWrap w:val="0"/>
              <w:bidi w:val="0"/>
              <w:spacing w:line="440" w:lineRule="exac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形式：使用CA数字证书登录</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电子交易平台</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，在</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lang w:eastAsia="zh-CN"/>
              </w:rPr>
              <w:t>答疑澄清</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菜单以书面形式将提出的问题送达招标人</w:t>
            </w:r>
          </w:p>
        </w:tc>
      </w:tr>
      <w:tr w14:paraId="6C723EED">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22832CB9">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2.2.2</w:t>
            </w:r>
          </w:p>
        </w:tc>
        <w:tc>
          <w:tcPr>
            <w:tcW w:w="2779" w:type="dxa"/>
            <w:tcBorders>
              <w:top w:val="single" w:color="auto" w:sz="4" w:space="0"/>
              <w:left w:val="single" w:color="auto" w:sz="4" w:space="0"/>
              <w:bottom w:val="single" w:color="auto" w:sz="4" w:space="0"/>
              <w:right w:val="single" w:color="auto" w:sz="4" w:space="0"/>
            </w:tcBorders>
            <w:noWrap w:val="0"/>
            <w:vAlign w:val="center"/>
          </w:tcPr>
          <w:p w14:paraId="00F89870">
            <w:pPr>
              <w:pageBreakBefore w:val="0"/>
              <w:kinsoku/>
              <w:wordWrap w:val="0"/>
              <w:bidi w:val="0"/>
              <w:spacing w:line="440" w:lineRule="exact"/>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招标文件澄清发出的形式</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15FAD505">
            <w:pPr>
              <w:pageBreakBefore w:val="0"/>
              <w:kinsoku/>
              <w:wordWrap w:val="0"/>
              <w:bidi w:val="0"/>
              <w:spacing w:line="440" w:lineRule="exac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通过</w:t>
            </w:r>
            <w:r>
              <w:rPr>
                <w:rFonts w:hint="eastAsia" w:ascii="宋体" w:hAnsi="宋体" w:eastAsia="宋体" w:cs="宋体"/>
                <w:color w:val="auto"/>
                <w:sz w:val="24"/>
                <w:szCs w:val="24"/>
                <w:highlight w:val="none"/>
              </w:rPr>
              <w:t>“</w:t>
            </w:r>
            <w:r>
              <w:rPr>
                <w:rFonts w:hint="eastAsia" w:cs="Times New Roman"/>
                <w:color w:val="auto"/>
                <w:sz w:val="24"/>
                <w:szCs w:val="24"/>
                <w:highlight w:val="none"/>
                <w:lang w:eastAsia="zh-CN"/>
              </w:rPr>
              <w:t>电子交易平台</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发出招标文件澄清</w:t>
            </w:r>
          </w:p>
        </w:tc>
      </w:tr>
      <w:tr w14:paraId="2A5AEFE8">
        <w:tblPrEx>
          <w:tblCellMar>
            <w:top w:w="0" w:type="dxa"/>
            <w:left w:w="108" w:type="dxa"/>
            <w:bottom w:w="0" w:type="dxa"/>
            <w:right w:w="108" w:type="dxa"/>
          </w:tblCellMar>
        </w:tblPrEx>
        <w:trPr>
          <w:trHeight w:val="720" w:hRule="atLeast"/>
        </w:trPr>
        <w:tc>
          <w:tcPr>
            <w:tcW w:w="1036" w:type="dxa"/>
            <w:tcBorders>
              <w:top w:val="single" w:color="auto" w:sz="4" w:space="0"/>
              <w:left w:val="single" w:color="auto" w:sz="4" w:space="0"/>
              <w:right w:val="single" w:color="auto" w:sz="4" w:space="0"/>
            </w:tcBorders>
            <w:noWrap w:val="0"/>
            <w:vAlign w:val="center"/>
          </w:tcPr>
          <w:p w14:paraId="216ACD23">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2.2.3</w:t>
            </w:r>
          </w:p>
        </w:tc>
        <w:tc>
          <w:tcPr>
            <w:tcW w:w="2779" w:type="dxa"/>
            <w:tcBorders>
              <w:top w:val="single" w:color="auto" w:sz="4" w:space="0"/>
              <w:left w:val="single" w:color="auto" w:sz="4" w:space="0"/>
              <w:right w:val="single" w:color="auto" w:sz="4" w:space="0"/>
            </w:tcBorders>
            <w:noWrap w:val="0"/>
            <w:vAlign w:val="center"/>
          </w:tcPr>
          <w:p w14:paraId="7FB20322">
            <w:pPr>
              <w:pageBreakBefore w:val="0"/>
              <w:kinsoku/>
              <w:wordWrap w:val="0"/>
              <w:bidi w:val="0"/>
              <w:spacing w:line="440" w:lineRule="exact"/>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投标人确认收到招标文件澄清</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782EE4CF">
            <w:pPr>
              <w:pageBreakBefore w:val="0"/>
              <w:kinsoku/>
              <w:wordWrap w:val="0"/>
              <w:bidi w:val="0"/>
              <w:spacing w:line="440" w:lineRule="exac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招标文件</w:t>
            </w:r>
            <w:r>
              <w:rPr>
                <w:rFonts w:hint="default" w:ascii="Times New Roman" w:hAnsi="Times New Roman" w:cs="Times New Roman"/>
                <w:color w:val="auto"/>
                <w:sz w:val="24"/>
                <w:szCs w:val="24"/>
                <w:highlight w:val="none"/>
                <w:lang w:val="en-US" w:eastAsia="zh-CN"/>
              </w:rPr>
              <w:t>澄清</w:t>
            </w:r>
            <w:r>
              <w:rPr>
                <w:rFonts w:hint="default" w:ascii="Times New Roman" w:hAnsi="Times New Roman" w:cs="Times New Roman"/>
                <w:color w:val="auto"/>
                <w:sz w:val="24"/>
                <w:szCs w:val="24"/>
                <w:highlight w:val="none"/>
              </w:rPr>
              <w:t>通过</w:t>
            </w:r>
            <w:r>
              <w:rPr>
                <w:rFonts w:hint="eastAsia" w:ascii="宋体" w:hAnsi="宋体" w:eastAsia="宋体" w:cs="宋体"/>
                <w:color w:val="auto"/>
                <w:sz w:val="24"/>
                <w:szCs w:val="24"/>
                <w:highlight w:val="none"/>
              </w:rPr>
              <w:t>“</w:t>
            </w:r>
            <w:r>
              <w:rPr>
                <w:rFonts w:hint="eastAsia" w:cs="Times New Roman"/>
                <w:color w:val="auto"/>
                <w:sz w:val="24"/>
                <w:szCs w:val="24"/>
                <w:highlight w:val="none"/>
                <w:lang w:eastAsia="zh-CN"/>
              </w:rPr>
              <w:t>电子交易平台</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发出完成即视为潜在投标人已收悉，无</w:t>
            </w:r>
            <w:r>
              <w:rPr>
                <w:rFonts w:hint="default" w:ascii="Times New Roman" w:hAnsi="Times New Roman" w:cs="Times New Roman"/>
                <w:color w:val="auto"/>
                <w:sz w:val="24"/>
                <w:szCs w:val="24"/>
                <w:highlight w:val="none"/>
                <w:lang w:val="en-US" w:eastAsia="zh-CN"/>
              </w:rPr>
              <w:t>需</w:t>
            </w:r>
            <w:r>
              <w:rPr>
                <w:rFonts w:hint="default" w:ascii="Times New Roman" w:hAnsi="Times New Roman" w:cs="Times New Roman"/>
                <w:color w:val="auto"/>
                <w:sz w:val="24"/>
                <w:szCs w:val="24"/>
                <w:highlight w:val="none"/>
              </w:rPr>
              <w:t>回函确认。</w:t>
            </w:r>
          </w:p>
        </w:tc>
      </w:tr>
      <w:tr w14:paraId="387C2FF3">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34CA7C1E">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2.3.1</w:t>
            </w:r>
          </w:p>
        </w:tc>
        <w:tc>
          <w:tcPr>
            <w:tcW w:w="2779" w:type="dxa"/>
            <w:tcBorders>
              <w:top w:val="single" w:color="auto" w:sz="4" w:space="0"/>
              <w:left w:val="single" w:color="auto" w:sz="4" w:space="0"/>
              <w:bottom w:val="single" w:color="auto" w:sz="4" w:space="0"/>
              <w:right w:val="single" w:color="auto" w:sz="4" w:space="0"/>
            </w:tcBorders>
            <w:noWrap w:val="0"/>
            <w:vAlign w:val="center"/>
          </w:tcPr>
          <w:p w14:paraId="25972558">
            <w:pPr>
              <w:pageBreakBefore w:val="0"/>
              <w:kinsoku/>
              <w:wordWrap w:val="0"/>
              <w:bidi w:val="0"/>
              <w:spacing w:line="440" w:lineRule="exact"/>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招标文件</w:t>
            </w:r>
            <w:r>
              <w:rPr>
                <w:rFonts w:hint="eastAsia" w:cs="Times New Roman"/>
                <w:color w:val="auto"/>
                <w:sz w:val="24"/>
                <w:szCs w:val="24"/>
                <w:highlight w:val="none"/>
                <w:lang w:val="en-US" w:eastAsia="zh-CN"/>
              </w:rPr>
              <w:t>修改</w:t>
            </w:r>
            <w:r>
              <w:rPr>
                <w:rFonts w:hint="default" w:ascii="Times New Roman" w:hAnsi="Times New Roman" w:cs="Times New Roman"/>
                <w:color w:val="auto"/>
                <w:sz w:val="24"/>
                <w:szCs w:val="24"/>
                <w:highlight w:val="none"/>
              </w:rPr>
              <w:t>发出的形式</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395ADC98">
            <w:pPr>
              <w:pageBreakBefore w:val="0"/>
              <w:kinsoku/>
              <w:wordWrap w:val="0"/>
              <w:bidi w:val="0"/>
              <w:spacing w:line="440" w:lineRule="exact"/>
              <w:rPr>
                <w:rFonts w:hint="eastAsia"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通过</w:t>
            </w:r>
            <w:r>
              <w:rPr>
                <w:rFonts w:hint="eastAsia" w:ascii="宋体" w:hAnsi="宋体" w:eastAsia="宋体" w:cs="宋体"/>
                <w:color w:val="auto"/>
                <w:sz w:val="24"/>
                <w:szCs w:val="24"/>
                <w:highlight w:val="none"/>
              </w:rPr>
              <w:t>“</w:t>
            </w:r>
            <w:r>
              <w:rPr>
                <w:rFonts w:hint="eastAsia" w:cs="Times New Roman"/>
                <w:color w:val="auto"/>
                <w:sz w:val="24"/>
                <w:szCs w:val="24"/>
                <w:highlight w:val="none"/>
                <w:lang w:eastAsia="zh-CN"/>
              </w:rPr>
              <w:t>电子交易平台</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发出招标文件</w:t>
            </w:r>
            <w:r>
              <w:rPr>
                <w:rFonts w:hint="eastAsia" w:cs="Times New Roman"/>
                <w:color w:val="auto"/>
                <w:sz w:val="24"/>
                <w:szCs w:val="24"/>
                <w:highlight w:val="none"/>
                <w:lang w:val="en-US" w:eastAsia="zh-CN"/>
              </w:rPr>
              <w:t>澄清</w:t>
            </w:r>
          </w:p>
        </w:tc>
      </w:tr>
      <w:tr w14:paraId="3C568692">
        <w:tblPrEx>
          <w:tblCellMar>
            <w:top w:w="0" w:type="dxa"/>
            <w:left w:w="108" w:type="dxa"/>
            <w:bottom w:w="0" w:type="dxa"/>
            <w:right w:w="108" w:type="dxa"/>
          </w:tblCellMar>
        </w:tblPrEx>
        <w:trPr>
          <w:trHeight w:val="720" w:hRule="atLeast"/>
        </w:trPr>
        <w:tc>
          <w:tcPr>
            <w:tcW w:w="1036" w:type="dxa"/>
            <w:tcBorders>
              <w:top w:val="single" w:color="auto" w:sz="4" w:space="0"/>
              <w:left w:val="single" w:color="auto" w:sz="4" w:space="0"/>
              <w:right w:val="single" w:color="auto" w:sz="4" w:space="0"/>
            </w:tcBorders>
            <w:noWrap w:val="0"/>
            <w:vAlign w:val="center"/>
          </w:tcPr>
          <w:p w14:paraId="007C2D29">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2.3.2</w:t>
            </w:r>
          </w:p>
        </w:tc>
        <w:tc>
          <w:tcPr>
            <w:tcW w:w="2779" w:type="dxa"/>
            <w:tcBorders>
              <w:top w:val="single" w:color="auto" w:sz="4" w:space="0"/>
              <w:left w:val="single" w:color="auto" w:sz="4" w:space="0"/>
              <w:right w:val="single" w:color="auto" w:sz="4" w:space="0"/>
            </w:tcBorders>
            <w:noWrap w:val="0"/>
            <w:vAlign w:val="center"/>
          </w:tcPr>
          <w:p w14:paraId="24890002">
            <w:pPr>
              <w:pageBreakBefore w:val="0"/>
              <w:kinsoku/>
              <w:wordWrap w:val="0"/>
              <w:bidi w:val="0"/>
              <w:spacing w:line="440" w:lineRule="exact"/>
              <w:jc w:val="center"/>
              <w:rPr>
                <w:rFonts w:hint="eastAsia"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投标人确认收到招标文件</w:t>
            </w:r>
            <w:r>
              <w:rPr>
                <w:rFonts w:hint="eastAsia" w:cs="Times New Roman"/>
                <w:color w:val="auto"/>
                <w:sz w:val="24"/>
                <w:szCs w:val="24"/>
                <w:highlight w:val="none"/>
                <w:lang w:val="en-US" w:eastAsia="zh-CN"/>
              </w:rPr>
              <w:t>修改</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247BF4CD">
            <w:pPr>
              <w:pageBreakBefore w:val="0"/>
              <w:kinsoku/>
              <w:wordWrap w:val="0"/>
              <w:bidi w:val="0"/>
              <w:spacing w:line="440" w:lineRule="exac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招标文件</w:t>
            </w:r>
            <w:r>
              <w:rPr>
                <w:rFonts w:hint="eastAsia" w:cs="Times New Roman"/>
                <w:color w:val="auto"/>
                <w:sz w:val="24"/>
                <w:szCs w:val="24"/>
                <w:highlight w:val="none"/>
                <w:lang w:val="en-US" w:eastAsia="zh-CN"/>
              </w:rPr>
              <w:t>澄清</w:t>
            </w:r>
            <w:r>
              <w:rPr>
                <w:rFonts w:hint="default" w:ascii="Times New Roman" w:hAnsi="Times New Roman" w:cs="Times New Roman"/>
                <w:color w:val="auto"/>
                <w:sz w:val="24"/>
                <w:szCs w:val="24"/>
                <w:highlight w:val="none"/>
              </w:rPr>
              <w:t>通过</w:t>
            </w:r>
            <w:r>
              <w:rPr>
                <w:rFonts w:hint="eastAsia" w:ascii="宋体" w:hAnsi="宋体" w:eastAsia="宋体" w:cs="宋体"/>
                <w:color w:val="auto"/>
                <w:sz w:val="24"/>
                <w:szCs w:val="24"/>
                <w:highlight w:val="none"/>
              </w:rPr>
              <w:t>“</w:t>
            </w:r>
            <w:r>
              <w:rPr>
                <w:rFonts w:hint="eastAsia" w:cs="Times New Roman"/>
                <w:color w:val="auto"/>
                <w:sz w:val="24"/>
                <w:szCs w:val="24"/>
                <w:highlight w:val="none"/>
                <w:lang w:eastAsia="zh-CN"/>
              </w:rPr>
              <w:t>电子交易平台</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发出完成即视为潜在投标人已收悉，无</w:t>
            </w:r>
            <w:r>
              <w:rPr>
                <w:rFonts w:hint="default" w:ascii="Times New Roman" w:hAnsi="Times New Roman" w:cs="Times New Roman"/>
                <w:color w:val="auto"/>
                <w:sz w:val="24"/>
                <w:szCs w:val="24"/>
                <w:highlight w:val="none"/>
                <w:lang w:val="en-US" w:eastAsia="zh-CN"/>
              </w:rPr>
              <w:t>需</w:t>
            </w:r>
            <w:r>
              <w:rPr>
                <w:rFonts w:hint="default" w:ascii="Times New Roman" w:hAnsi="Times New Roman" w:cs="Times New Roman"/>
                <w:color w:val="auto"/>
                <w:sz w:val="24"/>
                <w:szCs w:val="24"/>
                <w:highlight w:val="none"/>
              </w:rPr>
              <w:t>回函确认。</w:t>
            </w:r>
          </w:p>
        </w:tc>
      </w:tr>
      <w:tr w14:paraId="69A14A82">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27AD3E8B">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3.1.1</w:t>
            </w:r>
          </w:p>
        </w:tc>
        <w:tc>
          <w:tcPr>
            <w:tcW w:w="2779" w:type="dxa"/>
            <w:tcBorders>
              <w:top w:val="single" w:color="auto" w:sz="4" w:space="0"/>
              <w:left w:val="single" w:color="auto" w:sz="4" w:space="0"/>
              <w:bottom w:val="single" w:color="auto" w:sz="4" w:space="0"/>
              <w:right w:val="single" w:color="auto" w:sz="4" w:space="0"/>
            </w:tcBorders>
            <w:noWrap w:val="0"/>
            <w:vAlign w:val="center"/>
          </w:tcPr>
          <w:p w14:paraId="14875320">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构成投标文件的其他资料</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3F853416">
            <w:pPr>
              <w:pageBreakBefore w:val="0"/>
              <w:kinsoku/>
              <w:wordWrap w:val="0"/>
              <w:bidi w:val="0"/>
              <w:spacing w:line="440" w:lineRule="exact"/>
              <w:rPr>
                <w:rFonts w:hint="default" w:ascii="Times New Roman" w:hAnsi="Times New Roman" w:cs="Times New Roman"/>
                <w:color w:val="auto"/>
                <w:sz w:val="24"/>
                <w:szCs w:val="24"/>
                <w:highlight w:val="none"/>
              </w:rPr>
            </w:pPr>
            <w:r>
              <w:rPr>
                <w:rFonts w:hint="eastAsia" w:ascii="宋体" w:hAnsi="宋体" w:eastAsia="宋体" w:cs="宋体"/>
                <w:color w:val="auto"/>
                <w:sz w:val="24"/>
                <w:szCs w:val="24"/>
                <w:highlight w:val="none"/>
                <w:lang w:eastAsia="zh-CN"/>
              </w:rPr>
              <w:t>无</w:t>
            </w:r>
          </w:p>
        </w:tc>
      </w:tr>
      <w:tr w14:paraId="5141EFEC">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14EE87CE">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3.2.1</w:t>
            </w:r>
          </w:p>
        </w:tc>
        <w:tc>
          <w:tcPr>
            <w:tcW w:w="2779" w:type="dxa"/>
            <w:tcBorders>
              <w:top w:val="single" w:color="auto" w:sz="4" w:space="0"/>
              <w:left w:val="single" w:color="auto" w:sz="4" w:space="0"/>
              <w:bottom w:val="single" w:color="auto" w:sz="4" w:space="0"/>
              <w:right w:val="single" w:color="auto" w:sz="4" w:space="0"/>
            </w:tcBorders>
            <w:noWrap w:val="0"/>
            <w:vAlign w:val="center"/>
          </w:tcPr>
          <w:p w14:paraId="674D6D5B">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增值税税金的计算方法</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33461EB6">
            <w:pPr>
              <w:spacing w:line="440" w:lineRule="exact"/>
              <w:rPr>
                <w:rFonts w:hint="eastAsia" w:ascii="宋体" w:hAnsi="宋体" w:eastAsia="宋体" w:cs="宋体"/>
                <w:color w:val="auto"/>
                <w:sz w:val="24"/>
                <w:szCs w:val="24"/>
                <w:highlight w:val="none"/>
              </w:rPr>
            </w:pPr>
            <w:r>
              <w:rPr>
                <w:rFonts w:hint="eastAsia"/>
                <w:color w:val="auto"/>
                <w:sz w:val="24"/>
                <w:highlight w:val="none"/>
                <w:lang w:eastAsia="zh-CN"/>
              </w:rPr>
              <w:t>☑</w:t>
            </w:r>
            <w:r>
              <w:rPr>
                <w:rFonts w:hint="eastAsia" w:ascii="宋体" w:hAnsi="宋体" w:eastAsia="宋体" w:cs="宋体"/>
                <w:color w:val="auto"/>
                <w:sz w:val="24"/>
                <w:szCs w:val="24"/>
                <w:highlight w:val="none"/>
              </w:rPr>
              <w:t>一般计税法</w:t>
            </w:r>
          </w:p>
          <w:p w14:paraId="19E99B92">
            <w:pPr>
              <w:spacing w:line="440" w:lineRule="exact"/>
              <w:rPr>
                <w:rFonts w:hint="eastAsia" w:ascii="宋体" w:hAnsi="宋体" w:eastAsia="宋体" w:cs="宋体"/>
                <w:color w:val="auto"/>
                <w:sz w:val="24"/>
                <w:szCs w:val="24"/>
                <w:highlight w:val="none"/>
              </w:rPr>
            </w:pPr>
            <w:r>
              <w:rPr>
                <w:rFonts w:hint="eastAsia"/>
                <w:color w:val="auto"/>
                <w:sz w:val="24"/>
                <w:highlight w:val="none"/>
                <w:lang w:eastAsia="zh-CN"/>
              </w:rPr>
              <w:t>□</w:t>
            </w:r>
            <w:r>
              <w:rPr>
                <w:rFonts w:hint="eastAsia" w:ascii="宋体" w:hAnsi="宋体" w:eastAsia="宋体" w:cs="宋体"/>
                <w:color w:val="auto"/>
                <w:sz w:val="24"/>
                <w:szCs w:val="24"/>
                <w:highlight w:val="none"/>
              </w:rPr>
              <w:t>简易计税法</w:t>
            </w:r>
          </w:p>
          <w:p w14:paraId="5C4FEE46">
            <w:pPr>
              <w:spacing w:line="440" w:lineRule="exact"/>
              <w:rPr>
                <w:rFonts w:hint="eastAsia" w:ascii="宋体" w:hAnsi="宋体" w:eastAsia="宋体" w:cs="宋体"/>
                <w:color w:val="auto"/>
                <w:sz w:val="24"/>
                <w:szCs w:val="24"/>
                <w:highlight w:val="none"/>
              </w:rPr>
            </w:pPr>
            <w:r>
              <w:rPr>
                <w:rFonts w:hint="eastAsia"/>
                <w:color w:val="auto"/>
                <w:sz w:val="24"/>
                <w:highlight w:val="none"/>
                <w:lang w:eastAsia="zh-CN"/>
              </w:rPr>
              <w:t>□</w:t>
            </w:r>
            <w:r>
              <w:rPr>
                <w:rFonts w:hint="eastAsia" w:ascii="宋体" w:hAnsi="宋体" w:eastAsia="宋体" w:cs="宋体"/>
                <w:color w:val="auto"/>
                <w:sz w:val="24"/>
                <w:szCs w:val="24"/>
                <w:highlight w:val="none"/>
              </w:rPr>
              <w:t>扣缴计税法</w:t>
            </w:r>
          </w:p>
          <w:p w14:paraId="68F9C27B">
            <w:pPr>
              <w:pageBreakBefore w:val="0"/>
              <w:kinsoku/>
              <w:wordWrap w:val="0"/>
              <w:bidi w:val="0"/>
              <w:spacing w:line="440" w:lineRule="exact"/>
              <w:ind w:left="460" w:hanging="480" w:hangingChars="200"/>
              <w:rPr>
                <w:rFonts w:hint="default" w:ascii="Times New Roman" w:hAnsi="Times New Roman" w:cs="Times New Roman"/>
                <w:color w:val="auto"/>
                <w:spacing w:val="10"/>
                <w:sz w:val="24"/>
                <w:szCs w:val="24"/>
                <w:highlight w:val="none"/>
                <w:bdr w:val="single" w:color="auto" w:sz="4" w:space="0"/>
              </w:rPr>
            </w:pPr>
            <w:r>
              <w:rPr>
                <w:rFonts w:hint="eastAsia"/>
                <w:color w:val="auto"/>
                <w:sz w:val="24"/>
                <w:highlight w:val="none"/>
                <w:lang w:eastAsia="zh-CN"/>
              </w:rPr>
              <w:t>□</w:t>
            </w:r>
            <w:r>
              <w:rPr>
                <w:rFonts w:hint="eastAsia" w:ascii="宋体" w:hAnsi="宋体" w:eastAsia="宋体" w:cs="宋体"/>
                <w:color w:val="auto"/>
                <w:sz w:val="24"/>
                <w:szCs w:val="24"/>
                <w:highlight w:val="none"/>
              </w:rPr>
              <w:t xml:space="preserve"> 其他</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计税法</w:t>
            </w:r>
          </w:p>
        </w:tc>
      </w:tr>
      <w:tr w14:paraId="42E2F8A9">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724FDB41">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3.2.1</w:t>
            </w:r>
          </w:p>
        </w:tc>
        <w:tc>
          <w:tcPr>
            <w:tcW w:w="2779" w:type="dxa"/>
            <w:tcBorders>
              <w:top w:val="single" w:color="auto" w:sz="4" w:space="0"/>
              <w:left w:val="single" w:color="auto" w:sz="4" w:space="0"/>
              <w:bottom w:val="single" w:color="auto" w:sz="4" w:space="0"/>
              <w:right w:val="single" w:color="auto" w:sz="4" w:space="0"/>
            </w:tcBorders>
            <w:noWrap w:val="0"/>
            <w:vAlign w:val="center"/>
          </w:tcPr>
          <w:p w14:paraId="2A403355">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工程量清单的填写方式</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2E78D9F7">
            <w:pPr>
              <w:pageBreakBefore w:val="0"/>
              <w:kinsoku/>
              <w:wordWrap w:val="0"/>
              <w:bidi w:val="0"/>
              <w:spacing w:line="440" w:lineRule="exact"/>
              <w:ind w:left="160" w:hanging="120" w:hangingChars="50"/>
              <w:rPr>
                <w:rFonts w:hint="default" w:ascii="Times New Roman" w:hAnsi="Times New Roman" w:cs="Times New Roman"/>
                <w:color w:val="auto"/>
                <w:sz w:val="24"/>
                <w:szCs w:val="24"/>
                <w:highlight w:val="none"/>
                <w:u w:val="single"/>
                <w:lang w:val="en-US"/>
              </w:rPr>
            </w:pPr>
            <w:r>
              <w:rPr>
                <w:rFonts w:hint="eastAsia"/>
                <w:color w:val="auto"/>
                <w:sz w:val="24"/>
                <w:highlight w:val="none"/>
                <w:lang w:eastAsia="zh-CN"/>
              </w:rPr>
              <w:t>☑</w:t>
            </w:r>
            <w:r>
              <w:rPr>
                <w:rFonts w:hint="default" w:ascii="Times New Roman" w:hAnsi="Times New Roman" w:cs="Times New Roman"/>
                <w:color w:val="auto"/>
                <w:sz w:val="24"/>
                <w:szCs w:val="24"/>
                <w:highlight w:val="none"/>
              </w:rPr>
              <w:t>投标人按照招标人提供的工程量清单电子文件填写工程量清单，下载网站：</w:t>
            </w:r>
            <w:r>
              <w:rPr>
                <w:rFonts w:hint="default" w:ascii="Times New Roman" w:hAnsi="Times New Roman" w:cs="Times New Roman"/>
                <w:color w:val="auto"/>
                <w:sz w:val="24"/>
                <w:szCs w:val="24"/>
                <w:highlight w:val="none"/>
                <w:u w:val="single"/>
              </w:rPr>
              <w:t>通过</w:t>
            </w:r>
            <w:r>
              <w:rPr>
                <w:rFonts w:hint="eastAsia" w:ascii="宋体" w:hAnsi="宋体" w:eastAsia="宋体" w:cs="宋体"/>
                <w:color w:val="auto"/>
                <w:sz w:val="24"/>
                <w:szCs w:val="24"/>
                <w:highlight w:val="none"/>
                <w:u w:val="single"/>
              </w:rPr>
              <w:t>“</w:t>
            </w:r>
            <w:r>
              <w:rPr>
                <w:rFonts w:hint="eastAsia" w:cs="Times New Roman"/>
                <w:color w:val="auto"/>
                <w:sz w:val="24"/>
                <w:szCs w:val="24"/>
                <w:highlight w:val="none"/>
                <w:u w:val="single"/>
                <w:lang w:eastAsia="zh-CN"/>
              </w:rPr>
              <w:t>电子交易平台</w:t>
            </w:r>
            <w:r>
              <w:rPr>
                <w:rFonts w:hint="eastAsia" w:ascii="宋体" w:hAnsi="宋体" w:eastAsia="宋体" w:cs="宋体"/>
                <w:color w:val="auto"/>
                <w:sz w:val="24"/>
                <w:szCs w:val="24"/>
                <w:highlight w:val="none"/>
                <w:u w:val="single"/>
              </w:rPr>
              <w:t>”</w:t>
            </w:r>
            <w:r>
              <w:rPr>
                <w:rFonts w:hint="default" w:ascii="Times New Roman" w:hAnsi="Times New Roman" w:cs="Times New Roman"/>
                <w:color w:val="auto"/>
                <w:sz w:val="24"/>
                <w:szCs w:val="24"/>
                <w:highlight w:val="none"/>
                <w:u w:val="single"/>
              </w:rPr>
              <w:t>发出</w:t>
            </w:r>
          </w:p>
        </w:tc>
      </w:tr>
      <w:tr w14:paraId="2D632EB3">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7154104E">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3.2.3</w:t>
            </w:r>
          </w:p>
        </w:tc>
        <w:tc>
          <w:tcPr>
            <w:tcW w:w="2779" w:type="dxa"/>
            <w:tcBorders>
              <w:top w:val="single" w:color="auto" w:sz="4" w:space="0"/>
              <w:left w:val="single" w:color="auto" w:sz="4" w:space="0"/>
              <w:bottom w:val="single" w:color="auto" w:sz="4" w:space="0"/>
              <w:right w:val="single" w:color="auto" w:sz="4" w:space="0"/>
            </w:tcBorders>
            <w:noWrap w:val="0"/>
            <w:vAlign w:val="center"/>
          </w:tcPr>
          <w:p w14:paraId="7C3A4020">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报价方式</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29EEC2BF">
            <w:pPr>
              <w:pageBreakBefore w:val="0"/>
              <w:kinsoku/>
              <w:wordWrap w:val="0"/>
              <w:bidi w:val="0"/>
              <w:spacing w:line="440" w:lineRule="exact"/>
              <w:rPr>
                <w:rFonts w:hint="default" w:ascii="Times New Roman" w:hAnsi="Times New Roman" w:cs="Times New Roman"/>
                <w:color w:val="auto"/>
                <w:sz w:val="24"/>
                <w:szCs w:val="24"/>
                <w:highlight w:val="none"/>
              </w:rPr>
            </w:pPr>
            <w:r>
              <w:rPr>
                <w:rFonts w:hint="eastAsia"/>
                <w:color w:val="auto"/>
                <w:sz w:val="24"/>
                <w:highlight w:val="none"/>
                <w:lang w:eastAsia="zh-CN"/>
              </w:rPr>
              <w:t>□</w:t>
            </w:r>
            <w:r>
              <w:rPr>
                <w:rFonts w:hint="default" w:ascii="Times New Roman" w:hAnsi="Times New Roman" w:cs="Times New Roman"/>
                <w:color w:val="auto"/>
                <w:sz w:val="24"/>
                <w:szCs w:val="24"/>
                <w:highlight w:val="none"/>
              </w:rPr>
              <w:t>单价</w:t>
            </w:r>
          </w:p>
          <w:p w14:paraId="134DCE89">
            <w:pPr>
              <w:pageBreakBefore w:val="0"/>
              <w:kinsoku/>
              <w:wordWrap w:val="0"/>
              <w:bidi w:val="0"/>
              <w:spacing w:line="440" w:lineRule="exact"/>
              <w:rPr>
                <w:rFonts w:hint="default" w:ascii="Times New Roman" w:hAnsi="Times New Roman" w:cs="Times New Roman"/>
                <w:color w:val="auto"/>
                <w:sz w:val="24"/>
                <w:szCs w:val="24"/>
                <w:highlight w:val="none"/>
              </w:rPr>
            </w:pPr>
            <w:r>
              <w:rPr>
                <w:rFonts w:hint="eastAsia"/>
                <w:color w:val="auto"/>
                <w:sz w:val="24"/>
                <w:highlight w:val="none"/>
                <w:lang w:eastAsia="zh-CN"/>
              </w:rPr>
              <w:t>☑</w:t>
            </w:r>
            <w:r>
              <w:rPr>
                <w:rFonts w:hint="default" w:ascii="Times New Roman" w:hAnsi="Times New Roman" w:cs="Times New Roman"/>
                <w:color w:val="auto"/>
                <w:sz w:val="24"/>
                <w:szCs w:val="24"/>
                <w:highlight w:val="none"/>
              </w:rPr>
              <w:t>总价</w:t>
            </w:r>
          </w:p>
        </w:tc>
      </w:tr>
      <w:tr w14:paraId="40EEEFB0">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7F055FBB">
            <w:pPr>
              <w:pageBreakBefore w:val="0"/>
              <w:kinsoku/>
              <w:wordWrap w:val="0"/>
              <w:bidi w:val="0"/>
              <w:spacing w:line="440" w:lineRule="exact"/>
              <w:jc w:val="center"/>
              <w:rPr>
                <w:rFonts w:hint="eastAsia" w:ascii="Times New Roman" w:hAnsi="Times New Roman" w:eastAsia="宋体" w:cs="Times New Roman"/>
                <w:color w:val="auto"/>
                <w:sz w:val="24"/>
                <w:szCs w:val="24"/>
                <w:highlight w:val="none"/>
                <w:lang w:eastAsia="zh-CN"/>
              </w:rPr>
            </w:pPr>
            <w:r>
              <w:rPr>
                <w:rFonts w:hint="default" w:ascii="Times New Roman" w:hAnsi="Times New Roman" w:cs="Times New Roman"/>
                <w:color w:val="auto"/>
                <w:sz w:val="24"/>
                <w:szCs w:val="24"/>
                <w:highlight w:val="none"/>
              </w:rPr>
              <w:t>3.2.</w:t>
            </w:r>
            <w:r>
              <w:rPr>
                <w:rFonts w:hint="eastAsia" w:cs="Times New Roman"/>
                <w:color w:val="auto"/>
                <w:sz w:val="24"/>
                <w:szCs w:val="24"/>
                <w:highlight w:val="none"/>
                <w:lang w:val="en-US" w:eastAsia="zh-CN"/>
              </w:rPr>
              <w:t>7</w:t>
            </w:r>
          </w:p>
        </w:tc>
        <w:tc>
          <w:tcPr>
            <w:tcW w:w="2779" w:type="dxa"/>
            <w:tcBorders>
              <w:top w:val="single" w:color="auto" w:sz="4" w:space="0"/>
              <w:left w:val="single" w:color="auto" w:sz="4" w:space="0"/>
              <w:bottom w:val="single" w:color="auto" w:sz="4" w:space="0"/>
              <w:right w:val="single" w:color="auto" w:sz="4" w:space="0"/>
            </w:tcBorders>
            <w:noWrap w:val="0"/>
            <w:vAlign w:val="center"/>
          </w:tcPr>
          <w:p w14:paraId="32AD9A98">
            <w:pPr>
              <w:pageBreakBefore w:val="0"/>
              <w:kinsoku/>
              <w:wordWrap w:val="0"/>
              <w:overflowPunct/>
              <w:bidi w:val="0"/>
              <w:spacing w:line="440" w:lineRule="exact"/>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最高投标限价</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0B58AAA1">
            <w:pPr>
              <w:pageBreakBefore w:val="0"/>
              <w:kinsoku/>
              <w:wordWrap w:val="0"/>
              <w:bidi w:val="0"/>
              <w:spacing w:line="440" w:lineRule="exact"/>
              <w:rPr>
                <w:rFonts w:hint="default" w:ascii="Times New Roman" w:hAnsi="Times New Roman" w:cs="Times New Roman"/>
                <w:color w:val="auto"/>
                <w:sz w:val="24"/>
                <w:szCs w:val="24"/>
                <w:highlight w:val="none"/>
              </w:rPr>
            </w:pPr>
            <w:r>
              <w:rPr>
                <w:rFonts w:hint="eastAsia"/>
                <w:color w:val="auto"/>
                <w:sz w:val="24"/>
                <w:highlight w:val="none"/>
                <w:lang w:eastAsia="zh-CN"/>
              </w:rPr>
              <w:t>□</w:t>
            </w:r>
            <w:r>
              <w:rPr>
                <w:rFonts w:hint="default" w:ascii="Times New Roman" w:hAnsi="Times New Roman" w:cs="Times New Roman"/>
                <w:color w:val="auto"/>
                <w:sz w:val="24"/>
                <w:szCs w:val="24"/>
                <w:highlight w:val="none"/>
              </w:rPr>
              <w:t>无</w:t>
            </w:r>
          </w:p>
          <w:p w14:paraId="3C2AE1BE">
            <w:pPr>
              <w:pageBreakBefore w:val="0"/>
              <w:kinsoku/>
              <w:wordWrap w:val="0"/>
              <w:bidi w:val="0"/>
              <w:spacing w:line="440" w:lineRule="exact"/>
              <w:rPr>
                <w:rFonts w:hint="default" w:cs="Times New Roman"/>
                <w:color w:val="auto"/>
                <w:sz w:val="24"/>
                <w:szCs w:val="24"/>
                <w:highlight w:val="none"/>
                <w:lang w:val="en-US" w:eastAsia="zh-CN"/>
              </w:rPr>
            </w:pPr>
            <w:r>
              <w:rPr>
                <w:rFonts w:hint="eastAsia"/>
                <w:color w:val="auto"/>
                <w:sz w:val="24"/>
                <w:highlight w:val="none"/>
                <w:lang w:eastAsia="zh-CN"/>
              </w:rPr>
              <w:t>☑</w:t>
            </w:r>
            <w:r>
              <w:rPr>
                <w:rFonts w:hint="default" w:ascii="Times New Roman" w:hAnsi="Times New Roman" w:cs="Times New Roman"/>
                <w:color w:val="auto"/>
                <w:sz w:val="24"/>
                <w:szCs w:val="24"/>
                <w:highlight w:val="none"/>
              </w:rPr>
              <w:t>有</w:t>
            </w:r>
            <w:r>
              <w:rPr>
                <w:rFonts w:hint="default" w:ascii="Times New Roman" w:hAnsi="Times New Roman" w:cs="Times New Roman"/>
                <w:color w:val="auto"/>
                <w:sz w:val="24"/>
                <w:szCs w:val="24"/>
                <w:highlight w:val="none"/>
                <w:shd w:val="clear"/>
              </w:rPr>
              <w:t>，最高投标限价：</w:t>
            </w:r>
            <w:r>
              <w:rPr>
                <w:rFonts w:hint="default" w:ascii="Times New Roman" w:hAnsi="Times New Roman" w:cs="Times New Roman"/>
                <w:color w:val="auto"/>
                <w:sz w:val="24"/>
                <w:szCs w:val="24"/>
                <w:highlight w:val="none"/>
                <w:shd w:val="clear"/>
                <w:lang w:val="en-US" w:eastAsia="zh-CN"/>
              </w:rPr>
              <w:t>5,399,975.00</w:t>
            </w:r>
            <w:r>
              <w:rPr>
                <w:rFonts w:hint="eastAsia" w:cs="Times New Roman"/>
                <w:color w:val="auto"/>
                <w:sz w:val="24"/>
                <w:szCs w:val="24"/>
                <w:highlight w:val="none"/>
                <w:shd w:val="clear"/>
                <w:lang w:val="en-US" w:eastAsia="zh-CN"/>
              </w:rPr>
              <w:t>元（大写人民币伍佰叁拾玖万玖仟玖佰柒拾伍元整）（含税）</w:t>
            </w:r>
          </w:p>
          <w:p w14:paraId="775B64F8">
            <w:pPr>
              <w:pStyle w:val="16"/>
              <w:pageBreakBefore w:val="0"/>
              <w:kinsoku/>
              <w:wordWrap w:val="0"/>
              <w:overflowPunct/>
              <w:topLinePunct/>
              <w:bidi w:val="0"/>
              <w:spacing w:line="440" w:lineRule="exact"/>
              <w:rPr>
                <w:rFonts w:hint="default" w:ascii="Times New Roman" w:hAnsi="Times New Roman" w:eastAsia="宋体" w:cs="Times New Roman"/>
                <w:color w:val="auto"/>
                <w:kern w:val="2"/>
                <w:sz w:val="24"/>
                <w:szCs w:val="24"/>
                <w:highlight w:val="none"/>
                <w:lang w:val="en-US" w:eastAsia="zh-CN" w:bidi="ar-SA"/>
              </w:rPr>
            </w:pPr>
            <w:r>
              <w:rPr>
                <w:rFonts w:hint="eastAsia"/>
                <w:color w:val="auto"/>
                <w:sz w:val="24"/>
                <w:highlight w:val="none"/>
                <w:lang w:eastAsia="zh-CN"/>
              </w:rPr>
              <w:t>□</w:t>
            </w:r>
            <w:r>
              <w:rPr>
                <w:rFonts w:hint="default" w:ascii="Times New Roman" w:hAnsi="Times New Roman" w:cs="Times New Roman"/>
                <w:color w:val="auto"/>
                <w:sz w:val="24"/>
                <w:szCs w:val="24"/>
                <w:highlight w:val="none"/>
              </w:rPr>
              <w:t>有，最高投标限价以补遗书的形式通过</w:t>
            </w:r>
            <w:r>
              <w:rPr>
                <w:rFonts w:hint="eastAsia" w:ascii="宋体" w:hAnsi="宋体" w:eastAsia="宋体" w:cs="宋体"/>
                <w:color w:val="auto"/>
                <w:sz w:val="24"/>
                <w:szCs w:val="24"/>
                <w:highlight w:val="none"/>
              </w:rPr>
              <w:t>“</w:t>
            </w:r>
            <w:r>
              <w:rPr>
                <w:rFonts w:hint="eastAsia" w:ascii="Times New Roman" w:cs="Times New Roman"/>
                <w:color w:val="auto"/>
                <w:sz w:val="24"/>
                <w:szCs w:val="24"/>
                <w:highlight w:val="none"/>
                <w:lang w:eastAsia="zh-CN"/>
              </w:rPr>
              <w:t>电子交易平台</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发布</w:t>
            </w:r>
          </w:p>
        </w:tc>
      </w:tr>
      <w:tr w14:paraId="754848B0">
        <w:tblPrEx>
          <w:tblCellMar>
            <w:top w:w="0" w:type="dxa"/>
            <w:left w:w="108" w:type="dxa"/>
            <w:bottom w:w="0" w:type="dxa"/>
            <w:right w:w="108" w:type="dxa"/>
          </w:tblCellMar>
        </w:tblPrEx>
        <w:trPr>
          <w:trHeight w:val="3003"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19DE04C0">
            <w:pPr>
              <w:pageBreakBefore w:val="0"/>
              <w:kinsoku/>
              <w:wordWrap w:val="0"/>
              <w:bidi w:val="0"/>
              <w:spacing w:line="440" w:lineRule="exact"/>
              <w:jc w:val="center"/>
              <w:rPr>
                <w:rFonts w:hint="eastAsia" w:ascii="Times New Roman" w:hAnsi="Times New Roman" w:eastAsia="宋体" w:cs="Times New Roman"/>
                <w:color w:val="auto"/>
                <w:sz w:val="24"/>
                <w:szCs w:val="24"/>
                <w:highlight w:val="none"/>
                <w:lang w:eastAsia="zh-CN"/>
              </w:rPr>
            </w:pPr>
            <w:r>
              <w:rPr>
                <w:rFonts w:hint="default" w:ascii="Times New Roman" w:hAnsi="Times New Roman" w:cs="Times New Roman"/>
                <w:color w:val="auto"/>
                <w:sz w:val="24"/>
                <w:szCs w:val="24"/>
                <w:highlight w:val="none"/>
              </w:rPr>
              <w:t>3.2.</w:t>
            </w:r>
            <w:r>
              <w:rPr>
                <w:rFonts w:hint="eastAsia" w:cs="Times New Roman"/>
                <w:color w:val="auto"/>
                <w:sz w:val="24"/>
                <w:szCs w:val="24"/>
                <w:highlight w:val="none"/>
                <w:lang w:val="en-US" w:eastAsia="zh-CN"/>
              </w:rPr>
              <w:t>8</w:t>
            </w:r>
          </w:p>
        </w:tc>
        <w:tc>
          <w:tcPr>
            <w:tcW w:w="2779" w:type="dxa"/>
            <w:tcBorders>
              <w:top w:val="single" w:color="auto" w:sz="4" w:space="0"/>
              <w:left w:val="single" w:color="auto" w:sz="4" w:space="0"/>
              <w:bottom w:val="single" w:color="auto" w:sz="4" w:space="0"/>
              <w:right w:val="single" w:color="auto" w:sz="4" w:space="0"/>
            </w:tcBorders>
            <w:noWrap w:val="0"/>
            <w:vAlign w:val="center"/>
          </w:tcPr>
          <w:p w14:paraId="63852EB2">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投标报价的其他要求</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0C5D1530">
            <w:pPr>
              <w:pageBreakBefore w:val="0"/>
              <w:kinsoku/>
              <w:wordWrap w:val="0"/>
              <w:bidi w:val="0"/>
              <w:spacing w:line="360" w:lineRule="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本工程招标采用限价招标，招标人设有最高投标限价。投标人的投标报价不得超过最高投标限价，也不得在报价文件中改动招标人给定的相关费用，否则评标委员会将否决其投标，最高投标限价及招标人给定的安全生产费用如下：</w:t>
            </w:r>
          </w:p>
          <w:p w14:paraId="2813B6AF">
            <w:pPr>
              <w:pageBreakBefore w:val="0"/>
              <w:kinsoku/>
              <w:wordWrap w:val="0"/>
              <w:bidi w:val="0"/>
              <w:spacing w:line="360" w:lineRule="auto"/>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本项目最高投标限价</w:t>
            </w:r>
            <w:r>
              <w:rPr>
                <w:rFonts w:hint="eastAsia" w:cs="Times New Roman"/>
                <w:b/>
                <w:bCs/>
                <w:color w:val="auto"/>
                <w:sz w:val="24"/>
                <w:szCs w:val="24"/>
                <w:highlight w:val="none"/>
                <w:u w:val="single"/>
                <w:lang w:val="en-US" w:eastAsia="zh-CN"/>
              </w:rPr>
              <w:t xml:space="preserve"> 5,399,975.00 </w:t>
            </w:r>
            <w:r>
              <w:rPr>
                <w:rFonts w:hint="default" w:ascii="Times New Roman" w:hAnsi="Times New Roman" w:cs="Times New Roman"/>
                <w:b/>
                <w:bCs/>
                <w:color w:val="auto"/>
                <w:sz w:val="24"/>
                <w:szCs w:val="24"/>
                <w:highlight w:val="none"/>
                <w:lang w:val="en-US" w:eastAsia="zh-CN"/>
              </w:rPr>
              <w:t>元</w:t>
            </w:r>
            <w:r>
              <w:rPr>
                <w:rFonts w:hint="default" w:ascii="Times New Roman" w:hAnsi="Times New Roman" w:cs="Times New Roman"/>
                <w:b/>
                <w:bCs/>
                <w:color w:val="auto"/>
                <w:sz w:val="24"/>
                <w:szCs w:val="24"/>
                <w:highlight w:val="none"/>
              </w:rPr>
              <w:t>，其中安全生产费用</w:t>
            </w:r>
            <w:r>
              <w:rPr>
                <w:rFonts w:hint="default" w:ascii="Times New Roman" w:hAnsi="Times New Roman" w:cs="Times New Roman"/>
                <w:b/>
                <w:bCs/>
                <w:color w:val="auto"/>
                <w:sz w:val="24"/>
                <w:szCs w:val="24"/>
                <w:highlight w:val="none"/>
                <w:lang w:eastAsia="zh-CN"/>
              </w:rPr>
              <w:t>：</w:t>
            </w:r>
            <w:r>
              <w:rPr>
                <w:rFonts w:hint="eastAsia" w:cs="Times New Roman"/>
                <w:b/>
                <w:bCs/>
                <w:color w:val="auto"/>
                <w:sz w:val="24"/>
                <w:szCs w:val="24"/>
                <w:highlight w:val="none"/>
                <w:u w:val="single"/>
                <w:lang w:val="en-US" w:eastAsia="zh-CN"/>
              </w:rPr>
              <w:t xml:space="preserve"> 81,000.00 </w:t>
            </w:r>
            <w:r>
              <w:rPr>
                <w:rFonts w:hint="default" w:ascii="Times New Roman" w:hAnsi="Times New Roman" w:cs="Times New Roman"/>
                <w:b/>
                <w:bCs/>
                <w:color w:val="auto"/>
                <w:sz w:val="24"/>
                <w:szCs w:val="24"/>
                <w:highlight w:val="none"/>
                <w:lang w:val="en-US" w:eastAsia="zh-CN"/>
              </w:rPr>
              <w:t>元</w:t>
            </w:r>
            <w:r>
              <w:rPr>
                <w:rFonts w:hint="default" w:ascii="Times New Roman" w:hAnsi="Times New Roman" w:cs="Times New Roman"/>
                <w:b/>
                <w:bCs/>
                <w:color w:val="auto"/>
                <w:sz w:val="24"/>
                <w:szCs w:val="24"/>
                <w:highlight w:val="none"/>
              </w:rPr>
              <w:t>。</w:t>
            </w:r>
          </w:p>
          <w:p w14:paraId="484B2657">
            <w:pPr>
              <w:pageBreakBefore w:val="0"/>
              <w:kinsoku/>
              <w:wordWrap w:val="0"/>
              <w:bidi w:val="0"/>
              <w:spacing w:line="360" w:lineRule="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1</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rPr>
              <w:t>施工用电和水应由投标人自行调查解决，所需费用均应已含入工程量清单各支付子目的单价或总额价中，并计入签约合同价，招标人将不另行支付。</w:t>
            </w:r>
          </w:p>
          <w:p w14:paraId="7C53FBF0">
            <w:pPr>
              <w:pageBreakBefore w:val="0"/>
              <w:kinsoku/>
              <w:wordWrap w:val="0"/>
              <w:bidi w:val="0"/>
              <w:spacing w:line="360" w:lineRule="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2</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rPr>
              <w:t>中标人应根据工程实际情况确定临时占地最长使用期限，临时占地的租地费用由投标人在投标阶段综合考虑并计入相关清单子目报价中，招标人将不另行支付。</w:t>
            </w:r>
          </w:p>
          <w:p w14:paraId="0F35C49E">
            <w:pPr>
              <w:pageBreakBefore w:val="0"/>
              <w:kinsoku/>
              <w:wordWrap w:val="0"/>
              <w:bidi w:val="0"/>
              <w:spacing w:line="360" w:lineRule="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3</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rPr>
              <w:t>投标人的投标报价中应含各类保险费。各类保险费均应已含入工程量清单各支付子目的单价中，并计入签约合同价，招标人将不另行支付。</w:t>
            </w:r>
          </w:p>
          <w:p w14:paraId="42EF0707">
            <w:pPr>
              <w:pageBreakBefore w:val="0"/>
              <w:kinsoku/>
              <w:wordWrap w:val="0"/>
              <w:bidi w:val="0"/>
              <w:spacing w:line="360" w:lineRule="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4</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rPr>
              <w:t>投标人的投标价应包括投标人完成本招标项目施工、缺陷修复工作的全部费用。投标人应依据相应的工程量计算规则和定额等计价依据计算报价。</w:t>
            </w:r>
          </w:p>
          <w:p w14:paraId="3679B349">
            <w:pPr>
              <w:pageBreakBefore w:val="0"/>
              <w:kinsoku/>
              <w:wordWrap w:val="0"/>
              <w:bidi w:val="0"/>
              <w:spacing w:line="360" w:lineRule="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5</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rPr>
              <w:t>投标人应自行踏勘现场以充分了解工地位置、情况、道路、储存空间、装卸限制及任何其他足以影响投标报价的情况，任何因忽视或误解工地情况而导致的索赔或工期延长申请将不被批准。</w:t>
            </w:r>
          </w:p>
          <w:p w14:paraId="27CB45D8">
            <w:pPr>
              <w:pageBreakBefore w:val="0"/>
              <w:kinsoku/>
              <w:wordWrap w:val="0"/>
              <w:bidi w:val="0"/>
              <w:spacing w:line="360" w:lineRule="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6</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rPr>
              <w:t>施工期间承包人必须严格执行国家、地方政府有关施工安全管理方面的法律、法规及规章制度，同时严格执行发包人制订的本项目安全生产管理方面的规章制度、安全检查程序及施工安全管理要求，所需费用均已含入工程量清单各支付子目的单价或总额价中，并计入签约合同价，招标人将不另行支付。</w:t>
            </w:r>
          </w:p>
          <w:p w14:paraId="120156C2">
            <w:pPr>
              <w:pageBreakBefore w:val="0"/>
              <w:kinsoku/>
              <w:wordWrap w:val="0"/>
              <w:bidi w:val="0"/>
              <w:spacing w:line="360" w:lineRule="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7</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rPr>
              <w:t>投标人应充分考虑采购满足招标人要求的材料所需的一切费用，所需费用均应已含入工程量清单各支付子目的单价或总额价中，并计入签约合同价，招标人将不另行支付。</w:t>
            </w:r>
          </w:p>
          <w:p w14:paraId="43687BCC">
            <w:pPr>
              <w:pageBreakBefore w:val="0"/>
              <w:kinsoku/>
              <w:wordWrap w:val="0"/>
              <w:bidi w:val="0"/>
              <w:spacing w:line="360" w:lineRule="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8</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rPr>
              <w:t>投标人应充分考虑将本项目旧钢护栏、旧标志标牌等原有设施(如有)运送到招标人指定地点以及对已有的里程碑、百米桩进行维护所需的一切费用，上述材料及设施归招标人所有，所需运输费用均已含入工程量清单各支付子目的单价或总额价中，并计入签约合同价，招标人将不另行支付。投标人在投标报价时无需单独考虑该部分费用。</w:t>
            </w:r>
          </w:p>
          <w:p w14:paraId="762CB89E">
            <w:pPr>
              <w:pageBreakBefore w:val="0"/>
              <w:kinsoku/>
              <w:wordWrap w:val="0"/>
              <w:bidi w:val="0"/>
              <w:spacing w:line="360" w:lineRule="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9</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rPr>
              <w:t>投标人应充分考虑本项目施工过程中为保证道路通行所采取的各项必要措施，所需费用均已含入工程量清单各支付子目的单价或总额价中，并计入签约合同价，招标人将不另行支付。</w:t>
            </w:r>
          </w:p>
          <w:p w14:paraId="56B92B85">
            <w:pPr>
              <w:pageBreakBefore w:val="0"/>
              <w:kinsoku/>
              <w:wordWrap w:val="0"/>
              <w:bidi w:val="0"/>
              <w:spacing w:line="360" w:lineRule="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10</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rPr>
              <w:t>投标人应充分考虑不间断施工所需的生产生活相关费用，所需费用均已含入工程量清单各支付子目的单价或总额价中，并计入签约合同价，招标人将不另行支付。</w:t>
            </w:r>
          </w:p>
          <w:p w14:paraId="31729380">
            <w:pPr>
              <w:pageBreakBefore w:val="0"/>
              <w:kinsoku/>
              <w:wordWrap w:val="0"/>
              <w:bidi w:val="0"/>
              <w:spacing w:line="360" w:lineRule="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11</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rPr>
              <w:t>本项目承包人的临时用地选址应由投标人自行调查解决，各投标人应对临时用地位置和面积合理设置施工所需的生产生活设施，所需费用均已含入工程量清单各支付子目的单价或总额价中，并计入签约合同价，招标人将不另行支付。</w:t>
            </w:r>
          </w:p>
          <w:p w14:paraId="4A4B7FB1">
            <w:pPr>
              <w:pageBreakBefore w:val="0"/>
              <w:kinsoku/>
              <w:wordWrap w:val="0"/>
              <w:bidi w:val="0"/>
              <w:spacing w:line="360" w:lineRule="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12</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rPr>
              <w:t>投标人应充分考虑本项目施工可能与其他工程等发生的干扰与交叉，并将因此带来的费用含入工程量清单各支付子目的单价或总额价中，并计入签约合同价，招标人将不另行支付。</w:t>
            </w:r>
          </w:p>
          <w:p w14:paraId="6D1DCC64">
            <w:pPr>
              <w:pageBreakBefore w:val="0"/>
              <w:kinsoku/>
              <w:wordWrap w:val="0"/>
              <w:bidi w:val="0"/>
              <w:spacing w:line="360" w:lineRule="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13</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rPr>
              <w:t>除招标文件另有规定外，根据国家和辽宁省有关的法律、法规的规定，以投标人作为征收对象的所有税费，包括因国家实行营业税改增值税征收税费而引起的费用的变化，均包含在投标人的工程量清单各子目的综合单价中，并计入签约合同价，招标人不另行支付(增加或扣减)，中标人按照国家相关税收法律、法规出具各支付款项的增值税专用(或普通)发票。</w:t>
            </w:r>
          </w:p>
        </w:tc>
      </w:tr>
      <w:tr w14:paraId="412CF0A0">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2D2B37BA">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3.3.1</w:t>
            </w:r>
          </w:p>
        </w:tc>
        <w:tc>
          <w:tcPr>
            <w:tcW w:w="2779" w:type="dxa"/>
            <w:tcBorders>
              <w:top w:val="single" w:color="auto" w:sz="4" w:space="0"/>
              <w:left w:val="single" w:color="auto" w:sz="4" w:space="0"/>
              <w:bottom w:val="single" w:color="auto" w:sz="4" w:space="0"/>
              <w:right w:val="single" w:color="auto" w:sz="4" w:space="0"/>
            </w:tcBorders>
            <w:noWrap w:val="0"/>
            <w:vAlign w:val="center"/>
          </w:tcPr>
          <w:p w14:paraId="2F134502">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投标有效期</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29116EFB">
            <w:pPr>
              <w:pageBreakBefore w:val="0"/>
              <w:kinsoku/>
              <w:wordWrap w:val="0"/>
              <w:bidi w:val="0"/>
              <w:spacing w:line="360" w:lineRule="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自投标人提交投标文件截止之日起计算</w:t>
            </w:r>
            <w:r>
              <w:rPr>
                <w:rFonts w:hint="eastAsia" w:cs="Times New Roman"/>
                <w:color w:val="auto"/>
                <w:sz w:val="24"/>
                <w:szCs w:val="24"/>
                <w:highlight w:val="none"/>
                <w:u w:val="single"/>
                <w:lang w:val="en-US" w:eastAsia="zh-CN"/>
              </w:rPr>
              <w:t>90</w:t>
            </w:r>
            <w:r>
              <w:rPr>
                <w:rFonts w:hint="default" w:ascii="Times New Roman" w:hAnsi="Times New Roman" w:cs="Times New Roman"/>
                <w:color w:val="auto"/>
                <w:sz w:val="24"/>
                <w:szCs w:val="24"/>
                <w:highlight w:val="none"/>
              </w:rPr>
              <w:t>日</w:t>
            </w:r>
          </w:p>
        </w:tc>
      </w:tr>
      <w:tr w14:paraId="33D976F5">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293DDA2B">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3.4.1</w:t>
            </w:r>
          </w:p>
        </w:tc>
        <w:tc>
          <w:tcPr>
            <w:tcW w:w="2779" w:type="dxa"/>
            <w:tcBorders>
              <w:top w:val="single" w:color="auto" w:sz="4" w:space="0"/>
              <w:left w:val="single" w:color="auto" w:sz="4" w:space="0"/>
              <w:bottom w:val="single" w:color="auto" w:sz="4" w:space="0"/>
              <w:right w:val="single" w:color="auto" w:sz="4" w:space="0"/>
            </w:tcBorders>
            <w:noWrap w:val="0"/>
            <w:vAlign w:val="center"/>
          </w:tcPr>
          <w:p w14:paraId="7E673530">
            <w:pPr>
              <w:spacing w:line="440" w:lineRule="exact"/>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投标保证金</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6CB215D6">
            <w:pPr>
              <w:pStyle w:val="16"/>
              <w:topLinePunct/>
              <w:spacing w:line="360" w:lineRule="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是否要求投标人递交投标保证金：</w:t>
            </w:r>
          </w:p>
          <w:p w14:paraId="1E7F4CFA">
            <w:pPr>
              <w:pStyle w:val="16"/>
              <w:topLinePunct/>
              <w:spacing w:line="360" w:lineRule="auto"/>
              <w:rPr>
                <w:rFonts w:hint="default" w:ascii="Times New Roman" w:hAnsi="Times New Roman" w:cs="Times New Roman"/>
                <w:color w:val="auto"/>
                <w:sz w:val="24"/>
                <w:szCs w:val="24"/>
                <w:highlight w:val="none"/>
                <w:lang w:eastAsia="zh-CN"/>
              </w:rPr>
            </w:pPr>
            <w:r>
              <w:rPr>
                <w:rFonts w:hint="eastAsia"/>
                <w:color w:val="auto"/>
                <w:sz w:val="24"/>
                <w:highlight w:val="none"/>
                <w:lang w:eastAsia="zh-CN"/>
              </w:rPr>
              <w:t>☑</w:t>
            </w:r>
            <w:r>
              <w:rPr>
                <w:rFonts w:hint="default" w:ascii="Times New Roman" w:hAnsi="Times New Roman" w:cs="Times New Roman"/>
                <w:color w:val="auto"/>
                <w:sz w:val="24"/>
                <w:szCs w:val="24"/>
                <w:highlight w:val="none"/>
              </w:rPr>
              <w:t>要求</w:t>
            </w:r>
            <w:r>
              <w:rPr>
                <w:rFonts w:hint="default" w:ascii="Times New Roman" w:hAnsi="Times New Roman" w:cs="Times New Roman"/>
                <w:color w:val="auto"/>
                <w:sz w:val="24"/>
                <w:szCs w:val="24"/>
                <w:highlight w:val="none"/>
                <w:lang w:eastAsia="zh-CN"/>
              </w:rPr>
              <w:t>：</w:t>
            </w:r>
          </w:p>
          <w:p w14:paraId="0CE868F4">
            <w:pPr>
              <w:pStyle w:val="16"/>
              <w:topLinePunct/>
              <w:spacing w:line="360" w:lineRule="auto"/>
              <w:rPr>
                <w:rFonts w:hint="eastAsia" w:ascii="Times New Roman" w:hAnsi="Times New Roman" w:eastAsia="宋体" w:cs="Times New Roman"/>
                <w:color w:val="auto"/>
                <w:sz w:val="24"/>
                <w:szCs w:val="24"/>
                <w:highlight w:val="none"/>
                <w:lang w:eastAsia="zh-CN"/>
              </w:rPr>
            </w:pP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投标保证金的金额：</w:t>
            </w:r>
            <w:r>
              <w:rPr>
                <w:rFonts w:hint="eastAsia" w:ascii="Times New Roman" w:cs="Times New Roman"/>
                <w:color w:val="auto"/>
                <w:sz w:val="24"/>
                <w:szCs w:val="24"/>
                <w:highlight w:val="none"/>
                <w:u w:val="single"/>
                <w:lang w:val="en-US" w:eastAsia="zh-CN"/>
              </w:rPr>
              <w:t>5万元</w:t>
            </w:r>
          </w:p>
          <w:p w14:paraId="2482C74F">
            <w:pPr>
              <w:pStyle w:val="16"/>
              <w:topLinePunct/>
              <w:spacing w:line="360" w:lineRule="auto"/>
              <w:rPr>
                <w:rFonts w:hint="default" w:ascii="Times New Roman" w:hAnsi="Times New Roman" w:cs="Times New Roman"/>
                <w:color w:val="auto"/>
                <w:sz w:val="24"/>
                <w:szCs w:val="24"/>
                <w:highlight w:val="none"/>
                <w:u w:val="single"/>
              </w:rPr>
            </w:pP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2</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投标保证金</w:t>
            </w:r>
            <w:r>
              <w:rPr>
                <w:rFonts w:hint="default" w:ascii="Times New Roman" w:hAnsi="Times New Roman" w:cs="Times New Roman"/>
                <w:color w:val="auto"/>
                <w:sz w:val="24"/>
                <w:szCs w:val="24"/>
                <w:highlight w:val="none"/>
                <w:lang w:eastAsia="zh-CN"/>
              </w:rPr>
              <w:t>的</w:t>
            </w:r>
            <w:r>
              <w:rPr>
                <w:rFonts w:hint="default" w:ascii="Times New Roman" w:hAnsi="Times New Roman" w:cs="Times New Roman"/>
                <w:color w:val="auto"/>
                <w:sz w:val="24"/>
                <w:szCs w:val="24"/>
                <w:highlight w:val="none"/>
              </w:rPr>
              <w:t>形式</w:t>
            </w:r>
          </w:p>
          <w:p w14:paraId="1A82FE7E">
            <w:pPr>
              <w:keepNext w:val="0"/>
              <w:keepLines w:val="0"/>
              <w:pageBreakBefore w:val="0"/>
              <w:widowControl w:val="0"/>
              <w:kinsoku/>
              <w:wordWrap/>
              <w:overflowPunct/>
              <w:autoSpaceDE/>
              <w:autoSpaceDN/>
              <w:bidi w:val="0"/>
              <w:adjustRightInd/>
              <w:snapToGrid/>
              <w:spacing w:line="360" w:lineRule="auto"/>
              <w:ind w:firstLine="240" w:firstLineChars="100"/>
              <w:textAlignment w:val="auto"/>
              <w:rPr>
                <w:rFonts w:hint="default" w:ascii="Times New Roman" w:hAnsi="Times New Roman" w:cs="Times New Roman"/>
                <w:color w:val="auto"/>
                <w:sz w:val="24"/>
                <w:szCs w:val="24"/>
                <w:highlight w:val="none"/>
              </w:rPr>
            </w:pPr>
            <w:r>
              <w:rPr>
                <w:rFonts w:hint="eastAsia"/>
                <w:color w:val="auto"/>
                <w:sz w:val="24"/>
                <w:highlight w:val="none"/>
                <w:lang w:eastAsia="zh-CN"/>
              </w:rPr>
              <w:t>☑</w:t>
            </w:r>
            <w:r>
              <w:rPr>
                <w:rFonts w:hint="default" w:ascii="Times New Roman" w:hAnsi="Times New Roman" w:cs="Times New Roman"/>
                <w:color w:val="auto"/>
                <w:sz w:val="24"/>
                <w:szCs w:val="24"/>
                <w:highlight w:val="none"/>
              </w:rPr>
              <w:t>采用现金（银行电汇或网银转账或转账支票）形式：</w:t>
            </w:r>
          </w:p>
          <w:p w14:paraId="663B2717">
            <w:pPr>
              <w:keepNext w:val="0"/>
              <w:keepLines w:val="0"/>
              <w:pageBreakBefore w:val="0"/>
              <w:widowControl w:val="0"/>
              <w:kinsoku/>
              <w:wordWrap/>
              <w:overflowPunct/>
              <w:autoSpaceDE/>
              <w:autoSpaceDN/>
              <w:bidi w:val="0"/>
              <w:adjustRightInd/>
              <w:snapToGrid/>
              <w:spacing w:line="360" w:lineRule="auto"/>
              <w:ind w:firstLine="240" w:firstLineChars="100"/>
              <w:textAlignment w:val="auto"/>
              <w:rPr>
                <w:rFonts w:hint="default" w:ascii="Times New Roman" w:hAnsi="Times New Roman" w:eastAsia="黑体" w:cs="Times New Roman"/>
                <w:bCs/>
                <w:i/>
                <w:iCs/>
                <w:color w:val="auto"/>
                <w:sz w:val="24"/>
                <w:szCs w:val="24"/>
                <w:highlight w:val="none"/>
              </w:rPr>
            </w:pPr>
            <w:r>
              <w:rPr>
                <w:rFonts w:hint="default" w:ascii="Times New Roman" w:hAnsi="Times New Roman" w:cs="Times New Roman"/>
                <w:color w:val="auto"/>
                <w:sz w:val="24"/>
                <w:szCs w:val="24"/>
                <w:highlight w:val="none"/>
              </w:rPr>
              <w:t>招标人指定的开户银行及账号如下：</w:t>
            </w:r>
          </w:p>
          <w:p w14:paraId="70AFFEE5">
            <w:pPr>
              <w:keepNext w:val="0"/>
              <w:keepLines w:val="0"/>
              <w:pageBreakBefore w:val="0"/>
              <w:widowControl w:val="0"/>
              <w:kinsoku/>
              <w:wordWrap/>
              <w:overflowPunct/>
              <w:topLinePunct/>
              <w:autoSpaceDE/>
              <w:autoSpaceDN/>
              <w:bidi w:val="0"/>
              <w:adjustRightInd/>
              <w:snapToGrid/>
              <w:spacing w:line="360" w:lineRule="auto"/>
              <w:textAlignment w:val="auto"/>
              <w:rPr>
                <w:rFonts w:hint="default" w:ascii="Times New Roman" w:hAnsi="Times New Roman" w:cs="Times New Roman"/>
                <w:color w:val="auto"/>
                <w:sz w:val="24"/>
                <w:szCs w:val="24"/>
                <w:highlight w:val="none"/>
                <w:u w:val="single"/>
              </w:rPr>
            </w:pPr>
            <w:r>
              <w:rPr>
                <w:rFonts w:hint="default" w:ascii="Times New Roman" w:hAnsi="Times New Roman" w:cs="Times New Roman"/>
                <w:color w:val="auto"/>
                <w:sz w:val="24"/>
                <w:szCs w:val="24"/>
                <w:highlight w:val="none"/>
                <w:u w:val="single"/>
              </w:rPr>
              <w:t>开户银行：</w:t>
            </w:r>
            <w:r>
              <w:rPr>
                <w:rFonts w:hint="default" w:ascii="Times New Roman" w:hAnsi="Times New Roman" w:cs="Times New Roman"/>
                <w:color w:val="auto"/>
                <w:sz w:val="24"/>
                <w:szCs w:val="24"/>
                <w:highlight w:val="none"/>
                <w:u w:val="single"/>
                <w:lang w:eastAsia="zh-CN"/>
              </w:rPr>
              <w:t>中国建设银行股份有限公司盖州支行</w:t>
            </w:r>
          </w:p>
          <w:p w14:paraId="5758FDEB">
            <w:pPr>
              <w:keepNext w:val="0"/>
              <w:keepLines w:val="0"/>
              <w:pageBreakBefore w:val="0"/>
              <w:widowControl w:val="0"/>
              <w:kinsoku/>
              <w:wordWrap/>
              <w:overflowPunct/>
              <w:topLinePunct/>
              <w:autoSpaceDE/>
              <w:autoSpaceDN/>
              <w:bidi w:val="0"/>
              <w:adjustRightInd/>
              <w:snapToGrid/>
              <w:spacing w:line="360" w:lineRule="auto"/>
              <w:textAlignment w:val="auto"/>
              <w:rPr>
                <w:rFonts w:hint="default" w:ascii="Times New Roman" w:hAnsi="Times New Roman" w:cs="Times New Roman"/>
                <w:color w:val="auto"/>
                <w:sz w:val="24"/>
                <w:szCs w:val="24"/>
                <w:highlight w:val="none"/>
                <w:u w:val="single"/>
              </w:rPr>
            </w:pPr>
            <w:r>
              <w:rPr>
                <w:rFonts w:hint="default" w:ascii="Times New Roman" w:hAnsi="Times New Roman" w:cs="Times New Roman"/>
                <w:color w:val="auto"/>
                <w:sz w:val="24"/>
                <w:szCs w:val="24"/>
                <w:highlight w:val="none"/>
                <w:u w:val="single"/>
              </w:rPr>
              <w:t>账户名称：</w:t>
            </w:r>
            <w:r>
              <w:rPr>
                <w:rFonts w:hint="eastAsia" w:cs="Times New Roman"/>
                <w:color w:val="auto"/>
                <w:sz w:val="24"/>
                <w:szCs w:val="24"/>
                <w:highlight w:val="none"/>
                <w:u w:val="single"/>
                <w:lang w:eastAsia="zh-CN"/>
              </w:rPr>
              <w:t>辽宁巨鸿建设工程造价咨询有限公司</w:t>
            </w:r>
          </w:p>
          <w:p w14:paraId="5AF3A010">
            <w:pPr>
              <w:keepNext w:val="0"/>
              <w:keepLines w:val="0"/>
              <w:pageBreakBefore w:val="0"/>
              <w:widowControl w:val="0"/>
              <w:kinsoku/>
              <w:wordWrap/>
              <w:overflowPunct/>
              <w:topLinePunct/>
              <w:autoSpaceDE/>
              <w:autoSpaceDN/>
              <w:bidi w:val="0"/>
              <w:adjustRightInd/>
              <w:snapToGrid/>
              <w:spacing w:line="360" w:lineRule="auto"/>
              <w:textAlignment w:val="auto"/>
              <w:rPr>
                <w:rFonts w:hint="default" w:ascii="Times New Roman" w:hAnsi="Times New Roman" w:cs="Times New Roman"/>
                <w:color w:val="auto"/>
                <w:sz w:val="24"/>
                <w:szCs w:val="24"/>
                <w:highlight w:val="none"/>
                <w:u w:val="single"/>
              </w:rPr>
            </w:pPr>
            <w:r>
              <w:rPr>
                <w:rFonts w:hint="default" w:ascii="Times New Roman" w:hAnsi="Times New Roman" w:cs="Times New Roman"/>
                <w:color w:val="auto"/>
                <w:sz w:val="24"/>
                <w:szCs w:val="24"/>
                <w:highlight w:val="none"/>
                <w:u w:val="single"/>
              </w:rPr>
              <w:t>账号：</w:t>
            </w:r>
            <w:r>
              <w:rPr>
                <w:rFonts w:hint="default" w:ascii="Times New Roman" w:hAnsi="Times New Roman" w:cs="Times New Roman"/>
                <w:color w:val="auto"/>
                <w:sz w:val="24"/>
                <w:szCs w:val="24"/>
                <w:highlight w:val="none"/>
                <w:u w:val="single"/>
                <w:lang w:val="en-US" w:eastAsia="zh-CN"/>
              </w:rPr>
              <w:t>21050168610400000839</w:t>
            </w:r>
          </w:p>
          <w:p w14:paraId="45ECC0DD">
            <w:pPr>
              <w:keepNext w:val="0"/>
              <w:keepLines w:val="0"/>
              <w:pageBreakBefore w:val="0"/>
              <w:widowControl w:val="0"/>
              <w:kinsoku/>
              <w:wordWrap/>
              <w:overflowPunct/>
              <w:autoSpaceDE/>
              <w:autoSpaceDN/>
              <w:bidi w:val="0"/>
              <w:adjustRightInd/>
              <w:snapToGrid/>
              <w:spacing w:line="360" w:lineRule="auto"/>
              <w:ind w:firstLine="240" w:firstLineChars="1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为确保在</w:t>
            </w:r>
            <w:r>
              <w:rPr>
                <w:rFonts w:hint="default" w:ascii="Times New Roman" w:hAnsi="Times New Roman" w:cs="Times New Roman"/>
                <w:color w:val="auto"/>
                <w:sz w:val="24"/>
                <w:szCs w:val="24"/>
                <w:highlight w:val="none"/>
                <w:lang w:val="en-US" w:eastAsia="zh-CN"/>
              </w:rPr>
              <w:t>规定</w:t>
            </w:r>
            <w:r>
              <w:rPr>
                <w:rFonts w:hint="default" w:ascii="Times New Roman" w:hAnsi="Times New Roman" w:cs="Times New Roman"/>
                <w:color w:val="auto"/>
                <w:sz w:val="24"/>
                <w:szCs w:val="24"/>
                <w:highlight w:val="none"/>
              </w:rPr>
              <w:t>时间前投标保证金能到达招标人指定账户，投标人在汇款时须充分考虑银行汇款的时间误差风险，否则所造成的后果由投标人自负。</w:t>
            </w:r>
          </w:p>
          <w:p w14:paraId="6D3ED587">
            <w:pPr>
              <w:pStyle w:val="16"/>
              <w:keepNext w:val="0"/>
              <w:keepLines w:val="0"/>
              <w:pageBreakBefore w:val="0"/>
              <w:widowControl w:val="0"/>
              <w:kinsoku/>
              <w:wordWrap/>
              <w:overflowPunct/>
              <w:topLinePunct/>
              <w:autoSpaceDE/>
              <w:autoSpaceDN/>
              <w:bidi w:val="0"/>
              <w:adjustRightInd/>
              <w:snapToGrid/>
              <w:spacing w:line="360" w:lineRule="auto"/>
              <w:ind w:firstLine="240" w:firstLineChars="100"/>
              <w:textAlignment w:val="auto"/>
              <w:rPr>
                <w:rFonts w:hint="default" w:ascii="Times New Roman" w:hAnsi="Times New Roman" w:cs="Times New Roman"/>
                <w:color w:val="auto"/>
                <w:spacing w:val="-8"/>
                <w:sz w:val="24"/>
                <w:szCs w:val="24"/>
                <w:highlight w:val="none"/>
                <w:lang w:val="en-US" w:eastAsia="zh-CN"/>
              </w:rPr>
            </w:pPr>
            <w:r>
              <w:rPr>
                <w:rFonts w:hint="eastAsia"/>
                <w:color w:val="auto"/>
                <w:sz w:val="24"/>
                <w:highlight w:val="none"/>
                <w:lang w:eastAsia="zh-CN"/>
              </w:rPr>
              <w:t>☑</w:t>
            </w:r>
            <w:r>
              <w:rPr>
                <w:rFonts w:hint="default" w:ascii="Times New Roman" w:hAnsi="Times New Roman" w:cs="Times New Roman"/>
                <w:color w:val="auto"/>
                <w:spacing w:val="-8"/>
                <w:sz w:val="24"/>
                <w:szCs w:val="24"/>
                <w:highlight w:val="none"/>
              </w:rPr>
              <w:t>采用银行保函</w:t>
            </w:r>
            <w:r>
              <w:rPr>
                <w:rFonts w:hint="default" w:ascii="Times New Roman" w:hAnsi="Times New Roman" w:cs="Times New Roman"/>
                <w:color w:val="auto"/>
                <w:spacing w:val="-8"/>
                <w:sz w:val="24"/>
                <w:szCs w:val="24"/>
                <w:highlight w:val="none"/>
                <w:lang w:val="en-US" w:eastAsia="zh-CN"/>
              </w:rPr>
              <w:t>形式：</w:t>
            </w:r>
          </w:p>
          <w:p w14:paraId="6F2747E2">
            <w:pPr>
              <w:pStyle w:val="16"/>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imes New Roman" w:hAnsi="Times New Roman" w:eastAsia="宋体" w:cs="Times New Roman"/>
                <w:color w:val="auto"/>
                <w:sz w:val="24"/>
                <w:szCs w:val="24"/>
                <w:highlight w:val="none"/>
                <w:u w:val="single"/>
                <w:lang w:eastAsia="zh-CN"/>
              </w:rPr>
            </w:pPr>
            <w:r>
              <w:rPr>
                <w:rFonts w:hint="default" w:ascii="Times New Roman" w:hAnsi="Times New Roman" w:cs="Times New Roman"/>
                <w:color w:val="auto"/>
                <w:sz w:val="24"/>
                <w:szCs w:val="24"/>
                <w:highlight w:val="none"/>
              </w:rPr>
              <w:t>出具保函的银行级别：</w:t>
            </w:r>
            <w:r>
              <w:rPr>
                <w:rFonts w:hint="eastAsia" w:ascii="Times New Roman" w:cs="Times New Roman"/>
                <w:color w:val="auto"/>
                <w:sz w:val="24"/>
                <w:szCs w:val="24"/>
                <w:highlight w:val="none"/>
                <w:u w:val="single"/>
                <w:lang w:val="en-US" w:eastAsia="zh-CN"/>
              </w:rPr>
              <w:t xml:space="preserve">  /   </w:t>
            </w:r>
          </w:p>
          <w:p w14:paraId="38300250">
            <w:pPr>
              <w:pStyle w:val="16"/>
              <w:keepNext w:val="0"/>
              <w:keepLines w:val="0"/>
              <w:pageBreakBefore w:val="0"/>
              <w:widowControl w:val="0"/>
              <w:kinsoku/>
              <w:wordWrap/>
              <w:overflowPunct/>
              <w:topLinePunct/>
              <w:autoSpaceDE/>
              <w:autoSpaceDN/>
              <w:bidi w:val="0"/>
              <w:adjustRightInd/>
              <w:snapToGrid/>
              <w:spacing w:line="360" w:lineRule="auto"/>
              <w:ind w:firstLine="240" w:firstLineChars="100"/>
              <w:textAlignment w:val="auto"/>
              <w:rPr>
                <w:rFonts w:hint="default" w:ascii="Times New Roman" w:hAnsi="Times New Roman" w:cs="Times New Roman"/>
                <w:color w:val="auto"/>
                <w:sz w:val="24"/>
                <w:szCs w:val="24"/>
                <w:highlight w:val="none"/>
                <w:u w:val="single"/>
              </w:rPr>
            </w:pPr>
            <w:r>
              <w:rPr>
                <w:rFonts w:hint="default" w:ascii="Times New Roman" w:hAnsi="Times New Roman" w:cs="Times New Roman"/>
                <w:color w:val="auto"/>
                <w:sz w:val="24"/>
                <w:szCs w:val="24"/>
                <w:highlight w:val="none"/>
                <w:u w:val="none"/>
              </w:rPr>
              <w:t>银行保函应采用招标文件提供的格式，若采用银行自有格式，其提交的银行保函内容不得对担保金额、担保范围、担保期限、担保内容作出降低担保效力的实质性修改。</w:t>
            </w:r>
          </w:p>
          <w:p w14:paraId="1F62C2B4">
            <w:pPr>
              <w:pStyle w:val="16"/>
              <w:keepNext w:val="0"/>
              <w:keepLines w:val="0"/>
              <w:pageBreakBefore w:val="0"/>
              <w:widowControl w:val="0"/>
              <w:kinsoku/>
              <w:wordWrap/>
              <w:overflowPunct/>
              <w:topLinePunct/>
              <w:autoSpaceDE/>
              <w:autoSpaceDN/>
              <w:bidi w:val="0"/>
              <w:adjustRightInd/>
              <w:snapToGrid/>
              <w:spacing w:line="360" w:lineRule="auto"/>
              <w:ind w:firstLine="240" w:firstLineChars="100"/>
              <w:textAlignment w:val="auto"/>
              <w:rPr>
                <w:rFonts w:hint="default" w:ascii="Times New Roman" w:hAnsi="Times New Roman" w:cs="Times New Roman"/>
                <w:color w:val="auto"/>
                <w:sz w:val="24"/>
                <w:szCs w:val="24"/>
                <w:highlight w:val="none"/>
                <w:lang w:val="en-US" w:eastAsia="zh-CN"/>
              </w:rPr>
            </w:pPr>
            <w:r>
              <w:rPr>
                <w:rFonts w:hint="eastAsia"/>
                <w:color w:val="auto"/>
                <w:sz w:val="24"/>
                <w:highlight w:val="none"/>
                <w:lang w:eastAsia="zh-CN"/>
              </w:rPr>
              <w:t>☑</w:t>
            </w:r>
            <w:r>
              <w:rPr>
                <w:rFonts w:hint="default" w:ascii="Times New Roman" w:hAnsi="Times New Roman" w:cs="Times New Roman"/>
                <w:color w:val="auto"/>
                <w:sz w:val="24"/>
                <w:szCs w:val="24"/>
                <w:highlight w:val="none"/>
                <w:lang w:val="en-US" w:eastAsia="zh-CN"/>
              </w:rPr>
              <w:t>采用电子保函形式：</w:t>
            </w:r>
          </w:p>
          <w:p w14:paraId="652A6F42">
            <w:pPr>
              <w:pStyle w:val="16"/>
              <w:keepNext w:val="0"/>
              <w:keepLines w:val="0"/>
              <w:pageBreakBefore w:val="0"/>
              <w:widowControl w:val="0"/>
              <w:kinsoku/>
              <w:wordWrap/>
              <w:overflowPunct/>
              <w:topLinePunct/>
              <w:autoSpaceDE/>
              <w:autoSpaceDN/>
              <w:bidi w:val="0"/>
              <w:adjustRightInd/>
              <w:snapToGrid/>
              <w:spacing w:line="360" w:lineRule="auto"/>
              <w:ind w:firstLine="240" w:firstLineChars="100"/>
              <w:textAlignment w:val="auto"/>
              <w:rPr>
                <w:rFonts w:hint="default" w:ascii="Times New Roman" w:hAnsi="Times New Roman" w:cs="Times New Roman"/>
                <w:b w:val="0"/>
                <w:bCs w:val="0"/>
                <w:color w:val="auto"/>
                <w:sz w:val="24"/>
                <w:szCs w:val="24"/>
                <w:highlight w:val="none"/>
                <w:lang w:val="en-US" w:eastAsia="zh-CN"/>
              </w:rPr>
            </w:pPr>
            <w:r>
              <w:rPr>
                <w:rFonts w:hint="default" w:ascii="Times New Roman" w:hAnsi="Times New Roman" w:cs="Times New Roman"/>
                <w:b w:val="0"/>
                <w:bCs w:val="0"/>
                <w:color w:val="auto"/>
                <w:sz w:val="24"/>
                <w:szCs w:val="24"/>
                <w:highlight w:val="none"/>
                <w:lang w:val="en-US" w:eastAsia="zh-CN"/>
              </w:rPr>
              <w:t>保函应由投标人自主</w:t>
            </w:r>
            <w:r>
              <w:rPr>
                <w:rFonts w:hint="eastAsia" w:ascii="Times New Roman" w:cs="Times New Roman"/>
                <w:b w:val="0"/>
                <w:bCs w:val="0"/>
                <w:color w:val="auto"/>
                <w:sz w:val="24"/>
                <w:szCs w:val="24"/>
                <w:highlight w:val="none"/>
                <w:lang w:val="en-US" w:eastAsia="zh-CN"/>
              </w:rPr>
              <w:t>选择</w:t>
            </w:r>
            <w:r>
              <w:rPr>
                <w:rFonts w:hint="default" w:ascii="Times New Roman" w:hAnsi="Times New Roman" w:cs="Times New Roman"/>
                <w:b w:val="0"/>
                <w:bCs w:val="0"/>
                <w:color w:val="auto"/>
                <w:sz w:val="24"/>
                <w:szCs w:val="24"/>
                <w:highlight w:val="none"/>
                <w:lang w:val="en-US" w:eastAsia="zh-CN"/>
              </w:rPr>
              <w:t>具有金融服务担保能力的机构出具，保函办理机构应提供电子化保函验真渠道和保函财务费用支付</w:t>
            </w:r>
            <w:r>
              <w:rPr>
                <w:rFonts w:hint="eastAsia" w:ascii="Times New Roman" w:cs="Times New Roman"/>
                <w:b w:val="0"/>
                <w:bCs w:val="0"/>
                <w:color w:val="auto"/>
                <w:sz w:val="24"/>
                <w:szCs w:val="24"/>
                <w:highlight w:val="none"/>
                <w:lang w:val="en-US" w:eastAsia="zh-CN"/>
              </w:rPr>
              <w:t>凭证（保函财务费用应从投标人基本账户支出）</w:t>
            </w:r>
            <w:r>
              <w:rPr>
                <w:rFonts w:hint="default" w:ascii="Times New Roman" w:hAnsi="Times New Roman" w:cs="Times New Roman"/>
                <w:b w:val="0"/>
                <w:bCs w:val="0"/>
                <w:color w:val="auto"/>
                <w:sz w:val="24"/>
                <w:szCs w:val="24"/>
                <w:highlight w:val="none"/>
                <w:lang w:val="en-US" w:eastAsia="zh-CN"/>
              </w:rPr>
              <w:t>。</w:t>
            </w:r>
          </w:p>
          <w:p w14:paraId="5704067A">
            <w:pPr>
              <w:pStyle w:val="16"/>
              <w:keepNext w:val="0"/>
              <w:keepLines w:val="0"/>
              <w:pageBreakBefore w:val="0"/>
              <w:widowControl w:val="0"/>
              <w:kinsoku/>
              <w:wordWrap/>
              <w:overflowPunct/>
              <w:topLinePunct/>
              <w:autoSpaceDE/>
              <w:autoSpaceDN/>
              <w:bidi w:val="0"/>
              <w:adjustRightInd/>
              <w:snapToGrid/>
              <w:spacing w:line="360" w:lineRule="auto"/>
              <w:ind w:firstLine="240" w:firstLineChars="100"/>
              <w:textAlignment w:val="auto"/>
              <w:rPr>
                <w:rFonts w:hint="eastAsia" w:ascii="Times New Roman" w:cs="Times New Roman"/>
                <w:color w:val="auto"/>
                <w:sz w:val="24"/>
                <w:szCs w:val="24"/>
                <w:highlight w:val="none"/>
                <w:u w:val="single"/>
                <w:lang w:val="en-US" w:eastAsia="zh-CN"/>
              </w:rPr>
            </w:pPr>
            <w:r>
              <w:rPr>
                <w:rFonts w:hint="eastAsia"/>
                <w:color w:val="auto"/>
                <w:sz w:val="24"/>
                <w:highlight w:val="none"/>
                <w:lang w:eastAsia="zh-CN"/>
              </w:rPr>
              <w:t>☑</w:t>
            </w:r>
            <w:r>
              <w:rPr>
                <w:rFonts w:hint="default" w:ascii="Times New Roman" w:hAnsi="Times New Roman" w:cs="Times New Roman"/>
                <w:color w:val="auto"/>
                <w:sz w:val="24"/>
                <w:szCs w:val="24"/>
                <w:highlight w:val="none"/>
                <w:lang w:val="en-US" w:eastAsia="zh-CN"/>
              </w:rPr>
              <w:t>其他</w:t>
            </w:r>
            <w:r>
              <w:rPr>
                <w:rFonts w:hint="eastAsia" w:ascii="Times New Roman" w:cs="Times New Roman"/>
                <w:color w:val="auto"/>
                <w:sz w:val="24"/>
                <w:szCs w:val="24"/>
                <w:highlight w:val="none"/>
                <w:lang w:val="en-US" w:eastAsia="zh-CN"/>
              </w:rPr>
              <w:t>要求</w:t>
            </w:r>
            <w:r>
              <w:rPr>
                <w:rFonts w:hint="default" w:ascii="Times New Roman" w:hAnsi="Times New Roman" w:cs="Times New Roman"/>
                <w:color w:val="auto"/>
                <w:sz w:val="24"/>
                <w:szCs w:val="24"/>
                <w:highlight w:val="none"/>
                <w:lang w:val="en-US" w:eastAsia="zh-CN"/>
              </w:rPr>
              <w:t>：</w:t>
            </w:r>
            <w:r>
              <w:rPr>
                <w:rFonts w:hint="eastAsia" w:ascii="Times New Roman" w:cs="Times New Roman"/>
                <w:color w:val="auto"/>
                <w:sz w:val="24"/>
                <w:szCs w:val="24"/>
                <w:highlight w:val="none"/>
                <w:u w:val="single"/>
                <w:lang w:val="en-US" w:eastAsia="zh-CN"/>
              </w:rPr>
              <w:t>1.采用电汇或转账方式缴纳的，应在投标截止时间前通过企业基本户缴纳至指定账户，并按照招标文件中投标文件格式要求填写缴纳信息和上传缴纳凭证、基本户开户许可证等证明材料，投标保证金截止时间之后递交的投标保证金将被拒绝。请投标人在汇款时务必注明所投标项目名称及标段（可简写），否则因款项用途不明导致投标无效等后果由投标人自行承担；</w:t>
            </w:r>
          </w:p>
          <w:p w14:paraId="7AC928FF">
            <w:pPr>
              <w:pStyle w:val="16"/>
              <w:keepNext w:val="0"/>
              <w:keepLines w:val="0"/>
              <w:pageBreakBefore w:val="0"/>
              <w:widowControl w:val="0"/>
              <w:kinsoku/>
              <w:wordWrap/>
              <w:overflowPunct/>
              <w:topLinePunct/>
              <w:autoSpaceDE/>
              <w:autoSpaceDN/>
              <w:bidi w:val="0"/>
              <w:adjustRightInd/>
              <w:snapToGrid/>
              <w:spacing w:line="360" w:lineRule="auto"/>
              <w:ind w:firstLine="240" w:firstLineChars="100"/>
              <w:textAlignment w:val="auto"/>
              <w:rPr>
                <w:rFonts w:hint="eastAsia" w:ascii="Times New Roman" w:cs="Times New Roman"/>
                <w:color w:val="auto"/>
                <w:sz w:val="24"/>
                <w:szCs w:val="24"/>
                <w:highlight w:val="none"/>
                <w:u w:val="single"/>
                <w:lang w:val="en-US" w:eastAsia="zh-CN"/>
              </w:rPr>
            </w:pPr>
            <w:r>
              <w:rPr>
                <w:rFonts w:hint="eastAsia" w:ascii="Times New Roman" w:cs="Times New Roman"/>
                <w:color w:val="auto"/>
                <w:sz w:val="24"/>
                <w:szCs w:val="24"/>
                <w:highlight w:val="none"/>
                <w:u w:val="single"/>
                <w:lang w:val="en-US" w:eastAsia="zh-CN"/>
              </w:rPr>
              <w:t>2.使用银行保函或担保保函形式缴纳投标保证金，保函需制作为电子图片，附加在“投标文件格式”指定位置。投标人提供的保函需注明所投标项目、标段名称，否则，由此导致投标无效等后果由投标人自行承担。保函的有效期应与投标有效期一致或长于投标有效期；</w:t>
            </w:r>
          </w:p>
          <w:p w14:paraId="6658F0C0">
            <w:pPr>
              <w:pStyle w:val="16"/>
              <w:keepNext w:val="0"/>
              <w:keepLines w:val="0"/>
              <w:pageBreakBefore w:val="0"/>
              <w:widowControl w:val="0"/>
              <w:kinsoku/>
              <w:wordWrap/>
              <w:overflowPunct/>
              <w:topLinePunct/>
              <w:autoSpaceDE/>
              <w:autoSpaceDN/>
              <w:bidi w:val="0"/>
              <w:adjustRightInd/>
              <w:snapToGrid/>
              <w:spacing w:line="360" w:lineRule="auto"/>
              <w:ind w:firstLine="240" w:firstLineChars="100"/>
              <w:textAlignment w:val="auto"/>
              <w:rPr>
                <w:rFonts w:hint="eastAsia" w:ascii="Times New Roman" w:cs="Times New Roman"/>
                <w:color w:val="auto"/>
                <w:sz w:val="24"/>
                <w:szCs w:val="24"/>
                <w:highlight w:val="none"/>
                <w:u w:val="single"/>
                <w:lang w:val="en-US" w:eastAsia="zh-CN"/>
              </w:rPr>
            </w:pPr>
            <w:r>
              <w:rPr>
                <w:rFonts w:hint="eastAsia" w:ascii="Times New Roman" w:cs="Times New Roman"/>
                <w:color w:val="auto"/>
                <w:sz w:val="24"/>
                <w:szCs w:val="24"/>
                <w:highlight w:val="none"/>
                <w:u w:val="single"/>
                <w:lang w:val="en-US" w:eastAsia="zh-CN"/>
              </w:rPr>
              <w:t>3.采用电子保函方式缴纳的，应在投标截止时间前开具完成，按照招标文件中投标文件格式要求填写缴纳信息和上传担保文书、保函财务费用支付凭证、基本户开户许可证等证明材料，并提供查询平台网址，如验证未通过则视为投标保函未提交；</w:t>
            </w:r>
          </w:p>
          <w:p w14:paraId="024EE7FD">
            <w:pPr>
              <w:pStyle w:val="16"/>
              <w:keepNext w:val="0"/>
              <w:keepLines w:val="0"/>
              <w:pageBreakBefore w:val="0"/>
              <w:widowControl w:val="0"/>
              <w:kinsoku/>
              <w:wordWrap/>
              <w:overflowPunct/>
              <w:topLinePunct/>
              <w:autoSpaceDE/>
              <w:autoSpaceDN/>
              <w:bidi w:val="0"/>
              <w:adjustRightInd/>
              <w:snapToGrid/>
              <w:spacing w:line="360" w:lineRule="auto"/>
              <w:ind w:firstLine="240" w:firstLineChars="100"/>
              <w:textAlignment w:val="auto"/>
              <w:rPr>
                <w:rFonts w:hint="default" w:ascii="Times New Roman" w:hAnsi="Times New Roman" w:cs="Times New Roman"/>
                <w:color w:val="auto"/>
                <w:sz w:val="24"/>
                <w:szCs w:val="24"/>
                <w:highlight w:val="none"/>
                <w:u w:val="single"/>
                <w:lang w:val="en-US" w:eastAsia="zh-CN"/>
              </w:rPr>
            </w:pPr>
            <w:r>
              <w:rPr>
                <w:rFonts w:hint="eastAsia" w:ascii="Times New Roman" w:cs="Times New Roman"/>
                <w:color w:val="auto"/>
                <w:sz w:val="24"/>
                <w:szCs w:val="24"/>
                <w:highlight w:val="none"/>
                <w:u w:val="single"/>
                <w:lang w:val="en-US" w:eastAsia="zh-CN"/>
              </w:rPr>
              <w:t>4.投标人应按照招标文件中给定的投标文件格式完整准确填写投标保证金缴纳信息、缴纳凭证等证明材料，否则由此造成的不一致或错误由投标人自行承担。</w:t>
            </w:r>
          </w:p>
          <w:p w14:paraId="7B27CA9A">
            <w:pPr>
              <w:spacing w:line="360" w:lineRule="auto"/>
              <w:rPr>
                <w:rFonts w:hint="default" w:ascii="Times New Roman" w:hAnsi="Times New Roman" w:eastAsia="宋体" w:cs="Times New Roman"/>
                <w:color w:val="auto"/>
                <w:kern w:val="2"/>
                <w:sz w:val="24"/>
                <w:szCs w:val="24"/>
                <w:highlight w:val="none"/>
                <w:lang w:val="en-US" w:eastAsia="zh-CN" w:bidi="ar-SA"/>
              </w:rPr>
            </w:pPr>
            <w:r>
              <w:rPr>
                <w:rFonts w:hint="eastAsia"/>
                <w:color w:val="auto"/>
                <w:sz w:val="24"/>
                <w:highlight w:val="none"/>
                <w:lang w:eastAsia="zh-CN"/>
              </w:rPr>
              <w:t>□</w:t>
            </w:r>
            <w:r>
              <w:rPr>
                <w:rFonts w:hint="default" w:ascii="Times New Roman" w:hAnsi="Times New Roman" w:cs="Times New Roman"/>
                <w:color w:val="auto"/>
                <w:sz w:val="24"/>
                <w:szCs w:val="24"/>
                <w:highlight w:val="none"/>
              </w:rPr>
              <w:t>不要求</w:t>
            </w:r>
          </w:p>
        </w:tc>
      </w:tr>
      <w:tr w14:paraId="7A5B28BD">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021E7C1B">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3.4.3</w:t>
            </w:r>
          </w:p>
        </w:tc>
        <w:tc>
          <w:tcPr>
            <w:tcW w:w="2779" w:type="dxa"/>
            <w:tcBorders>
              <w:top w:val="single" w:color="auto" w:sz="4" w:space="0"/>
              <w:left w:val="single" w:color="auto" w:sz="4" w:space="0"/>
              <w:bottom w:val="single" w:color="auto" w:sz="4" w:space="0"/>
              <w:right w:val="single" w:color="auto" w:sz="4" w:space="0"/>
            </w:tcBorders>
            <w:noWrap w:val="0"/>
            <w:vAlign w:val="center"/>
          </w:tcPr>
          <w:p w14:paraId="06211757">
            <w:pPr>
              <w:spacing w:line="440" w:lineRule="exact"/>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eastAsiaTheme="minorEastAsia"/>
                <w:color w:val="auto"/>
                <w:sz w:val="24"/>
                <w:szCs w:val="24"/>
                <w:highlight w:val="none"/>
              </w:rPr>
              <w:t>投标保证金利息计算原则</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0B9F1783">
            <w:pPr>
              <w:pStyle w:val="16"/>
              <w:spacing w:line="360" w:lineRule="auto"/>
              <w:rPr>
                <w:rFonts w:hint="default" w:ascii="Times New Roman" w:hAnsi="Times New Roman" w:eastAsia="宋体" w:cs="Times New Roman"/>
                <w:color w:val="auto"/>
                <w:kern w:val="2"/>
                <w:sz w:val="24"/>
                <w:szCs w:val="24"/>
                <w:highlight w:val="none"/>
                <w:lang w:val="en-US" w:eastAsia="zh-CN" w:bidi="ar-SA"/>
              </w:rPr>
            </w:pPr>
            <w:r>
              <w:rPr>
                <w:rFonts w:hint="eastAsia" w:hAnsi="宋体" w:cs="宋体"/>
                <w:color w:val="auto"/>
                <w:spacing w:val="-6"/>
                <w:highlight w:val="none"/>
                <w:u w:val="single"/>
                <w:lang w:val="en-US" w:eastAsia="zh-CN"/>
              </w:rPr>
              <w:t xml:space="preserve">  /  </w:t>
            </w:r>
          </w:p>
        </w:tc>
      </w:tr>
      <w:tr w14:paraId="0C4DC770">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1B0942D5">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3.4.4</w:t>
            </w:r>
          </w:p>
        </w:tc>
        <w:tc>
          <w:tcPr>
            <w:tcW w:w="2779" w:type="dxa"/>
            <w:tcBorders>
              <w:top w:val="single" w:color="auto" w:sz="4" w:space="0"/>
              <w:left w:val="single" w:color="auto" w:sz="4" w:space="0"/>
              <w:bottom w:val="single" w:color="auto" w:sz="4" w:space="0"/>
              <w:right w:val="single" w:color="auto" w:sz="4" w:space="0"/>
            </w:tcBorders>
            <w:noWrap w:val="0"/>
            <w:vAlign w:val="center"/>
          </w:tcPr>
          <w:p w14:paraId="6427A45C">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其他可以不予退还投标保证金的情形</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4B6F5700">
            <w:pPr>
              <w:spacing w:line="360" w:lineRule="auto"/>
              <w:rPr>
                <w:rFonts w:hint="eastAsia"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有下列情形之一的，投标保证金可不予退还：</w:t>
            </w:r>
          </w:p>
          <w:p w14:paraId="21188BAC">
            <w:pPr>
              <w:spacing w:line="360" w:lineRule="auto"/>
              <w:rPr>
                <w:rFonts w:hint="eastAsia"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（1）投标人不接受依据评标办法的规定对其投标文件中细微偏差进行澄清和补正；</w:t>
            </w:r>
          </w:p>
          <w:p w14:paraId="17CB32D1">
            <w:pPr>
              <w:spacing w:line="360" w:lineRule="auto"/>
              <w:rPr>
                <w:rFonts w:hint="eastAsia"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（2）</w:t>
            </w:r>
            <w:r>
              <w:rPr>
                <w:rFonts w:hint="eastAsia" w:ascii="Times New Roman" w:hAnsi="Times New Roman" w:cs="Times New Roman"/>
                <w:color w:val="auto"/>
                <w:sz w:val="24"/>
                <w:szCs w:val="24"/>
                <w:highlight w:val="none"/>
              </w:rPr>
              <w:t>投标人在规定的投标有效期内撤销或修改其投标文件，包括在收到中标通知书前放弃中标候选人资格的情形；</w:t>
            </w:r>
          </w:p>
          <w:p w14:paraId="36825166">
            <w:pPr>
              <w:spacing w:line="360" w:lineRule="auto"/>
              <w:rPr>
                <w:rFonts w:hint="eastAsia"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（3）中标人在收到中标通知书后，无正当理由拒签合同协议书；</w:t>
            </w:r>
          </w:p>
          <w:p w14:paraId="1AA4A176">
            <w:pPr>
              <w:spacing w:line="360" w:lineRule="auto"/>
              <w:rPr>
                <w:rFonts w:hint="eastAsia"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（4）中标人在签订合同时向招标人提出附加条件，或不按照招标文件要求提交履约保证金；</w:t>
            </w:r>
          </w:p>
          <w:p w14:paraId="3A81C00B">
            <w:pPr>
              <w:spacing w:line="360" w:lineRule="auto"/>
              <w:rPr>
                <w:rFonts w:hint="eastAsia"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（5）投标人提交了虚假资料；</w:t>
            </w:r>
          </w:p>
          <w:p w14:paraId="577FF709">
            <w:pPr>
              <w:spacing w:line="360" w:lineRule="auto"/>
              <w:rPr>
                <w:rFonts w:hint="eastAsia" w:ascii="Times New Roman" w:hAnsi="Times New Roman" w:eastAsia="宋体" w:cs="Times New Roman"/>
                <w:color w:val="auto"/>
                <w:sz w:val="24"/>
                <w:szCs w:val="24"/>
                <w:highlight w:val="none"/>
                <w:u w:val="single"/>
                <w:lang w:eastAsia="zh-CN"/>
              </w:rPr>
            </w:pPr>
            <w:r>
              <w:rPr>
                <w:rFonts w:hint="eastAsia" w:ascii="Times New Roman" w:hAnsi="Times New Roman" w:cs="Times New Roman"/>
                <w:color w:val="auto"/>
                <w:sz w:val="24"/>
                <w:szCs w:val="24"/>
                <w:highlight w:val="none"/>
              </w:rPr>
              <w:t>（6）投标人有串标、围标、“挂靠”其他单位参与投标，贿赂评标专家或招标工作人员，以及其他违反国家招标投标管理有关规定的行为</w:t>
            </w:r>
            <w:r>
              <w:rPr>
                <w:rFonts w:hint="eastAsia" w:ascii="Times New Roman" w:hAnsi="Times New Roman" w:cs="Times New Roman"/>
                <w:color w:val="auto"/>
                <w:sz w:val="24"/>
                <w:szCs w:val="24"/>
                <w:highlight w:val="none"/>
                <w:lang w:eastAsia="zh-CN"/>
              </w:rPr>
              <w:t>。</w:t>
            </w:r>
          </w:p>
        </w:tc>
      </w:tr>
      <w:tr w14:paraId="3A9994B1">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64632F6A">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3.5</w:t>
            </w:r>
          </w:p>
        </w:tc>
        <w:tc>
          <w:tcPr>
            <w:tcW w:w="2779" w:type="dxa"/>
            <w:tcBorders>
              <w:top w:val="single" w:color="auto" w:sz="4" w:space="0"/>
              <w:left w:val="single" w:color="auto" w:sz="4" w:space="0"/>
              <w:bottom w:val="single" w:color="auto" w:sz="4" w:space="0"/>
              <w:right w:val="single" w:color="auto" w:sz="4" w:space="0"/>
            </w:tcBorders>
            <w:noWrap w:val="0"/>
            <w:vAlign w:val="center"/>
          </w:tcPr>
          <w:p w14:paraId="4CD232C4">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资格审查资料的特殊要求</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2FCD4E41">
            <w:pPr>
              <w:pStyle w:val="16"/>
              <w:pageBreakBefore w:val="0"/>
              <w:kinsoku/>
              <w:wordWrap w:val="0"/>
              <w:topLinePunct/>
              <w:bidi w:val="0"/>
              <w:spacing w:line="440" w:lineRule="exact"/>
              <w:rPr>
                <w:rFonts w:hint="default" w:ascii="Times New Roman" w:hAnsi="Times New Roman" w:cs="Times New Roman"/>
                <w:color w:val="auto"/>
                <w:sz w:val="24"/>
                <w:szCs w:val="24"/>
                <w:highlight w:val="none"/>
              </w:rPr>
            </w:pPr>
            <w:r>
              <w:rPr>
                <w:rFonts w:hint="eastAsia"/>
                <w:color w:val="auto"/>
                <w:sz w:val="24"/>
                <w:highlight w:val="none"/>
                <w:lang w:eastAsia="zh-CN"/>
              </w:rPr>
              <w:t>□</w:t>
            </w:r>
            <w:r>
              <w:rPr>
                <w:rFonts w:hint="default" w:ascii="Times New Roman" w:hAnsi="Times New Roman" w:cs="Times New Roman"/>
                <w:color w:val="auto"/>
                <w:sz w:val="24"/>
                <w:szCs w:val="24"/>
                <w:highlight w:val="none"/>
              </w:rPr>
              <w:t>无</w:t>
            </w:r>
          </w:p>
          <w:p w14:paraId="07F4B17A">
            <w:pPr>
              <w:pStyle w:val="16"/>
              <w:pageBreakBefore w:val="0"/>
              <w:kinsoku/>
              <w:wordWrap w:val="0"/>
              <w:topLinePunct/>
              <w:bidi w:val="0"/>
              <w:spacing w:line="440" w:lineRule="exact"/>
              <w:rPr>
                <w:rFonts w:hint="default" w:ascii="Times New Roman" w:hAnsi="Times New Roman" w:cs="Times New Roman"/>
                <w:color w:val="auto"/>
                <w:sz w:val="24"/>
                <w:szCs w:val="24"/>
                <w:highlight w:val="none"/>
                <w:u w:val="single"/>
              </w:rPr>
            </w:pPr>
            <w:r>
              <w:rPr>
                <w:rFonts w:hint="eastAsia"/>
                <w:color w:val="auto"/>
                <w:sz w:val="24"/>
                <w:highlight w:val="none"/>
                <w:lang w:eastAsia="zh-CN"/>
              </w:rPr>
              <w:t>☑</w:t>
            </w:r>
            <w:r>
              <w:rPr>
                <w:rFonts w:hint="default" w:ascii="Times New Roman" w:hAnsi="Times New Roman" w:cs="Times New Roman"/>
                <w:color w:val="auto"/>
                <w:sz w:val="24"/>
                <w:szCs w:val="24"/>
                <w:highlight w:val="none"/>
              </w:rPr>
              <w:t>有，具体要求：</w:t>
            </w:r>
            <w:r>
              <w:rPr>
                <w:rFonts w:hint="default" w:ascii="Times New Roman" w:hAnsi="Times New Roman" w:cs="Times New Roman"/>
                <w:color w:val="auto"/>
                <w:sz w:val="24"/>
                <w:szCs w:val="24"/>
                <w:highlight w:val="none"/>
                <w:u w:val="single"/>
                <w:lang w:val="en-US" w:eastAsia="zh-CN"/>
              </w:rPr>
              <w:t>投标文件“资格审查资料”各项表格应提供的证明材料以本附表各附录中的规定为准</w:t>
            </w:r>
            <w:r>
              <w:rPr>
                <w:rFonts w:hint="eastAsia" w:ascii="Times New Roman" w:cs="Times New Roman"/>
                <w:color w:val="auto"/>
                <w:sz w:val="24"/>
                <w:szCs w:val="24"/>
                <w:highlight w:val="none"/>
                <w:u w:val="single"/>
                <w:lang w:val="en-US" w:eastAsia="zh-CN"/>
              </w:rPr>
              <w:t>。</w:t>
            </w:r>
          </w:p>
        </w:tc>
      </w:tr>
      <w:tr w14:paraId="43F0A140">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3CC8574D">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3.5.2</w:t>
            </w:r>
          </w:p>
        </w:tc>
        <w:tc>
          <w:tcPr>
            <w:tcW w:w="2779" w:type="dxa"/>
            <w:tcBorders>
              <w:top w:val="single" w:color="auto" w:sz="4" w:space="0"/>
              <w:left w:val="single" w:color="auto" w:sz="4" w:space="0"/>
              <w:bottom w:val="single" w:color="auto" w:sz="4" w:space="0"/>
              <w:right w:val="single" w:color="auto" w:sz="4" w:space="0"/>
            </w:tcBorders>
            <w:noWrap w:val="0"/>
            <w:vAlign w:val="center"/>
          </w:tcPr>
          <w:p w14:paraId="63957D59">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近年财务状况的年份要求</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5E0C7DE6">
            <w:pPr>
              <w:pageBreakBefore w:val="0"/>
              <w:kinsoku/>
              <w:wordWrap w:val="0"/>
              <w:bidi w:val="0"/>
              <w:spacing w:line="360" w:lineRule="atLeast"/>
              <w:rPr>
                <w:rFonts w:hint="default" w:ascii="Times New Roman" w:hAnsi="Times New Roman" w:cs="Times New Roman"/>
                <w:color w:val="auto"/>
                <w:sz w:val="24"/>
                <w:szCs w:val="24"/>
                <w:highlight w:val="none"/>
              </w:rPr>
            </w:pPr>
            <w:r>
              <w:rPr>
                <w:rFonts w:hint="default" w:ascii="Times New Roman" w:hAnsi="Times New Roman" w:eastAsia="黑体" w:cs="Times New Roman"/>
                <w:color w:val="auto"/>
                <w:sz w:val="24"/>
                <w:szCs w:val="24"/>
                <w:highlight w:val="none"/>
                <w:u w:val="single"/>
              </w:rPr>
              <w:t xml:space="preserve">  </w:t>
            </w:r>
            <w:r>
              <w:rPr>
                <w:rFonts w:hint="eastAsia" w:eastAsia="黑体" w:cs="Times New Roman"/>
                <w:color w:val="auto"/>
                <w:sz w:val="24"/>
                <w:szCs w:val="24"/>
                <w:highlight w:val="none"/>
                <w:u w:val="single"/>
                <w:lang w:val="en-US" w:eastAsia="zh-CN"/>
              </w:rPr>
              <w:t>/</w:t>
            </w:r>
            <w:r>
              <w:rPr>
                <w:rFonts w:hint="default" w:ascii="Times New Roman" w:hAnsi="Times New Roman" w:eastAsia="黑体" w:cs="Times New Roman"/>
                <w:color w:val="auto"/>
                <w:sz w:val="24"/>
                <w:szCs w:val="24"/>
                <w:highlight w:val="none"/>
                <w:u w:val="single"/>
              </w:rPr>
              <w:t xml:space="preserve">  </w:t>
            </w:r>
            <w:r>
              <w:rPr>
                <w:rFonts w:hint="default" w:ascii="Times New Roman" w:hAnsi="Times New Roman" w:cs="Times New Roman"/>
                <w:color w:val="auto"/>
                <w:sz w:val="24"/>
                <w:szCs w:val="24"/>
                <w:highlight w:val="none"/>
              </w:rPr>
              <w:t>年至</w:t>
            </w:r>
            <w:r>
              <w:rPr>
                <w:rFonts w:hint="default" w:ascii="Times New Roman" w:hAnsi="Times New Roman" w:eastAsia="黑体" w:cs="Times New Roman"/>
                <w:color w:val="auto"/>
                <w:sz w:val="24"/>
                <w:szCs w:val="24"/>
                <w:highlight w:val="none"/>
                <w:u w:val="single"/>
              </w:rPr>
              <w:t xml:space="preserve">   </w:t>
            </w:r>
            <w:r>
              <w:rPr>
                <w:rFonts w:hint="eastAsia" w:eastAsia="黑体" w:cs="Times New Roman"/>
                <w:color w:val="auto"/>
                <w:sz w:val="24"/>
                <w:szCs w:val="24"/>
                <w:highlight w:val="none"/>
                <w:u w:val="single"/>
                <w:lang w:val="en-US" w:eastAsia="zh-CN"/>
              </w:rPr>
              <w:t xml:space="preserve">/ </w:t>
            </w:r>
            <w:r>
              <w:rPr>
                <w:rFonts w:hint="default" w:ascii="Times New Roman" w:hAnsi="Times New Roman" w:eastAsia="黑体" w:cs="Times New Roman"/>
                <w:color w:val="auto"/>
                <w:sz w:val="24"/>
                <w:szCs w:val="24"/>
                <w:highlight w:val="none"/>
                <w:u w:val="single"/>
              </w:rPr>
              <w:t xml:space="preserve"> </w:t>
            </w:r>
            <w:r>
              <w:rPr>
                <w:rFonts w:hint="default" w:ascii="Times New Roman" w:hAnsi="Times New Roman" w:cs="Times New Roman"/>
                <w:color w:val="auto"/>
                <w:sz w:val="24"/>
                <w:szCs w:val="24"/>
                <w:highlight w:val="none"/>
              </w:rPr>
              <w:t>年</w:t>
            </w:r>
          </w:p>
        </w:tc>
      </w:tr>
      <w:tr w14:paraId="53AE5D94">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10A7020B">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3.5.3</w:t>
            </w:r>
          </w:p>
        </w:tc>
        <w:tc>
          <w:tcPr>
            <w:tcW w:w="2779" w:type="dxa"/>
            <w:tcBorders>
              <w:top w:val="single" w:color="auto" w:sz="4" w:space="0"/>
              <w:left w:val="single" w:color="auto" w:sz="4" w:space="0"/>
              <w:bottom w:val="single" w:color="auto" w:sz="4" w:space="0"/>
              <w:right w:val="single" w:color="auto" w:sz="4" w:space="0"/>
            </w:tcBorders>
            <w:noWrap w:val="0"/>
            <w:vAlign w:val="center"/>
          </w:tcPr>
          <w:p w14:paraId="2428FB7F">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近年完成的类似项目情况的时间要求</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5E90396A">
            <w:pPr>
              <w:pageBreakBefore w:val="0"/>
              <w:kinsoku/>
              <w:wordWrap w:val="0"/>
              <w:bidi w:val="0"/>
              <w:spacing w:line="360" w:lineRule="atLeast"/>
              <w:rPr>
                <w:rFonts w:hint="default" w:ascii="Times New Roman" w:hAnsi="Times New Roman" w:cs="Times New Roman"/>
                <w:color w:val="auto"/>
                <w:sz w:val="24"/>
                <w:szCs w:val="24"/>
                <w:highlight w:val="none"/>
                <w:shd w:val="clear" w:color="auto" w:fill="auto"/>
              </w:rPr>
            </w:pPr>
            <w:r>
              <w:rPr>
                <w:rFonts w:hint="default" w:ascii="Times New Roman" w:hAnsi="Times New Roman" w:eastAsia="黑体" w:cs="Times New Roman"/>
                <w:color w:val="auto"/>
                <w:sz w:val="24"/>
                <w:szCs w:val="24"/>
                <w:highlight w:val="none"/>
                <w:u w:val="single"/>
                <w:shd w:val="clear" w:color="auto" w:fill="auto"/>
              </w:rPr>
              <w:t xml:space="preserve">  </w:t>
            </w:r>
            <w:r>
              <w:rPr>
                <w:rFonts w:hint="eastAsia" w:eastAsia="黑体" w:cs="Times New Roman"/>
                <w:color w:val="auto"/>
                <w:sz w:val="24"/>
                <w:szCs w:val="24"/>
                <w:highlight w:val="none"/>
                <w:u w:val="single"/>
                <w:shd w:val="clear" w:color="auto" w:fill="auto"/>
                <w:lang w:val="en-US" w:eastAsia="zh-CN"/>
              </w:rPr>
              <w:t>2023</w:t>
            </w:r>
            <w:r>
              <w:rPr>
                <w:rFonts w:hint="default" w:ascii="Times New Roman" w:hAnsi="Times New Roman" w:eastAsia="黑体" w:cs="Times New Roman"/>
                <w:color w:val="auto"/>
                <w:sz w:val="24"/>
                <w:szCs w:val="24"/>
                <w:highlight w:val="none"/>
                <w:u w:val="single"/>
                <w:shd w:val="clear" w:color="auto" w:fill="auto"/>
              </w:rPr>
              <w:t xml:space="preserve"> </w:t>
            </w:r>
            <w:r>
              <w:rPr>
                <w:rFonts w:hint="default" w:ascii="Times New Roman" w:hAnsi="Times New Roman" w:cs="Times New Roman"/>
                <w:color w:val="auto"/>
                <w:sz w:val="24"/>
                <w:szCs w:val="24"/>
                <w:highlight w:val="none"/>
                <w:shd w:val="clear" w:color="auto" w:fill="auto"/>
              </w:rPr>
              <w:t>年</w:t>
            </w:r>
            <w:r>
              <w:rPr>
                <w:rFonts w:hint="default" w:ascii="Times New Roman" w:hAnsi="Times New Roman" w:eastAsia="黑体" w:cs="Times New Roman"/>
                <w:color w:val="auto"/>
                <w:sz w:val="24"/>
                <w:szCs w:val="24"/>
                <w:highlight w:val="none"/>
                <w:u w:val="single"/>
                <w:shd w:val="clear" w:color="auto" w:fill="auto"/>
              </w:rPr>
              <w:t xml:space="preserve">  </w:t>
            </w:r>
            <w:r>
              <w:rPr>
                <w:rFonts w:hint="eastAsia" w:eastAsia="黑体" w:cs="Times New Roman"/>
                <w:color w:val="auto"/>
                <w:sz w:val="24"/>
                <w:szCs w:val="24"/>
                <w:highlight w:val="none"/>
                <w:u w:val="single"/>
                <w:shd w:val="clear" w:color="auto" w:fill="auto"/>
                <w:lang w:val="en-US" w:eastAsia="zh-CN"/>
              </w:rPr>
              <w:t>01</w:t>
            </w:r>
            <w:r>
              <w:rPr>
                <w:rFonts w:hint="default" w:ascii="Times New Roman" w:hAnsi="Times New Roman" w:eastAsia="黑体" w:cs="Times New Roman"/>
                <w:color w:val="auto"/>
                <w:sz w:val="24"/>
                <w:szCs w:val="24"/>
                <w:highlight w:val="none"/>
                <w:u w:val="single"/>
                <w:shd w:val="clear" w:color="auto" w:fill="auto"/>
              </w:rPr>
              <w:t xml:space="preserve"> </w:t>
            </w:r>
            <w:r>
              <w:rPr>
                <w:rFonts w:hint="default" w:ascii="Times New Roman" w:hAnsi="Times New Roman" w:cs="Times New Roman"/>
                <w:color w:val="auto"/>
                <w:sz w:val="24"/>
                <w:szCs w:val="24"/>
                <w:highlight w:val="none"/>
                <w:shd w:val="clear" w:color="auto" w:fill="auto"/>
              </w:rPr>
              <w:t>月</w:t>
            </w:r>
            <w:r>
              <w:rPr>
                <w:rFonts w:hint="default" w:ascii="Times New Roman" w:hAnsi="Times New Roman" w:eastAsia="黑体" w:cs="Times New Roman"/>
                <w:color w:val="auto"/>
                <w:sz w:val="24"/>
                <w:szCs w:val="24"/>
                <w:highlight w:val="none"/>
                <w:u w:val="single"/>
                <w:shd w:val="clear" w:color="auto" w:fill="auto"/>
              </w:rPr>
              <w:t xml:space="preserve">  </w:t>
            </w:r>
            <w:r>
              <w:rPr>
                <w:rFonts w:hint="eastAsia" w:eastAsia="黑体" w:cs="Times New Roman"/>
                <w:color w:val="auto"/>
                <w:sz w:val="24"/>
                <w:szCs w:val="24"/>
                <w:highlight w:val="none"/>
                <w:u w:val="single"/>
                <w:shd w:val="clear" w:color="auto" w:fill="auto"/>
                <w:lang w:val="en-US" w:eastAsia="zh-CN"/>
              </w:rPr>
              <w:t>01</w:t>
            </w:r>
            <w:r>
              <w:rPr>
                <w:rFonts w:hint="default" w:ascii="Times New Roman" w:hAnsi="Times New Roman" w:eastAsia="黑体" w:cs="Times New Roman"/>
                <w:color w:val="auto"/>
                <w:sz w:val="24"/>
                <w:szCs w:val="24"/>
                <w:highlight w:val="none"/>
                <w:u w:val="single"/>
                <w:shd w:val="clear" w:color="auto" w:fill="auto"/>
              </w:rPr>
              <w:t xml:space="preserve"> </w:t>
            </w:r>
            <w:r>
              <w:rPr>
                <w:rFonts w:hint="default" w:ascii="Times New Roman" w:hAnsi="Times New Roman" w:cs="Times New Roman"/>
                <w:color w:val="auto"/>
                <w:sz w:val="24"/>
                <w:szCs w:val="24"/>
                <w:highlight w:val="none"/>
                <w:shd w:val="clear" w:color="auto" w:fill="auto"/>
              </w:rPr>
              <w:t>日至投标文件递交截止日</w:t>
            </w:r>
          </w:p>
        </w:tc>
      </w:tr>
      <w:tr w14:paraId="6FA46879">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68BDCAD3">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3.6.1</w:t>
            </w:r>
          </w:p>
        </w:tc>
        <w:tc>
          <w:tcPr>
            <w:tcW w:w="2779" w:type="dxa"/>
            <w:tcBorders>
              <w:top w:val="single" w:color="auto" w:sz="4" w:space="0"/>
              <w:left w:val="single" w:color="auto" w:sz="4" w:space="0"/>
              <w:bottom w:val="single" w:color="auto" w:sz="4" w:space="0"/>
              <w:right w:val="single" w:color="auto" w:sz="4" w:space="0"/>
            </w:tcBorders>
            <w:noWrap w:val="0"/>
            <w:vAlign w:val="center"/>
          </w:tcPr>
          <w:p w14:paraId="381B3AA1">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是否允许递交备选投标方案</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76A64DA6">
            <w:pPr>
              <w:pStyle w:val="16"/>
              <w:pageBreakBefore w:val="0"/>
              <w:kinsoku/>
              <w:wordWrap w:val="0"/>
              <w:topLinePunct/>
              <w:bidi w:val="0"/>
              <w:spacing w:line="440" w:lineRule="exact"/>
              <w:rPr>
                <w:rFonts w:hint="default" w:ascii="Times New Roman" w:hAnsi="Times New Roman" w:cs="Times New Roman"/>
                <w:color w:val="auto"/>
                <w:sz w:val="24"/>
                <w:szCs w:val="24"/>
                <w:highlight w:val="none"/>
              </w:rPr>
            </w:pPr>
            <w:r>
              <w:rPr>
                <w:rFonts w:hint="eastAsia"/>
                <w:color w:val="auto"/>
                <w:sz w:val="24"/>
                <w:highlight w:val="none"/>
                <w:lang w:eastAsia="zh-CN"/>
              </w:rPr>
              <w:t>☑</w:t>
            </w:r>
            <w:r>
              <w:rPr>
                <w:rFonts w:hint="default" w:ascii="Times New Roman" w:hAnsi="Times New Roman" w:cs="Times New Roman"/>
                <w:color w:val="auto"/>
                <w:sz w:val="24"/>
                <w:szCs w:val="24"/>
                <w:highlight w:val="none"/>
              </w:rPr>
              <w:t>不允许</w:t>
            </w:r>
          </w:p>
          <w:p w14:paraId="58FF1E35">
            <w:pPr>
              <w:pageBreakBefore w:val="0"/>
              <w:kinsoku/>
              <w:wordWrap w:val="0"/>
              <w:bidi w:val="0"/>
              <w:spacing w:line="440" w:lineRule="exact"/>
              <w:rPr>
                <w:rFonts w:hint="default" w:ascii="Times New Roman" w:hAnsi="Times New Roman" w:cs="Times New Roman"/>
                <w:color w:val="auto"/>
                <w:sz w:val="24"/>
                <w:szCs w:val="24"/>
                <w:highlight w:val="none"/>
              </w:rPr>
            </w:pPr>
            <w:r>
              <w:rPr>
                <w:rFonts w:hint="eastAsia"/>
                <w:color w:val="auto"/>
                <w:sz w:val="24"/>
                <w:highlight w:val="none"/>
                <w:lang w:eastAsia="zh-CN"/>
              </w:rPr>
              <w:t>□</w:t>
            </w:r>
            <w:r>
              <w:rPr>
                <w:rFonts w:hint="default" w:ascii="Times New Roman" w:hAnsi="Times New Roman" w:cs="Times New Roman"/>
                <w:color w:val="auto"/>
                <w:sz w:val="24"/>
                <w:szCs w:val="24"/>
                <w:highlight w:val="none"/>
              </w:rPr>
              <w:t>允许</w:t>
            </w:r>
          </w:p>
        </w:tc>
      </w:tr>
      <w:tr w14:paraId="7028200C">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0B3ED631">
            <w:pPr>
              <w:pageBreakBefore w:val="0"/>
              <w:kinsoku/>
              <w:wordWrap w:val="0"/>
              <w:overflowPunct/>
              <w:bidi w:val="0"/>
              <w:spacing w:line="440" w:lineRule="exact"/>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br w:type="page"/>
            </w:r>
            <w:r>
              <w:rPr>
                <w:rFonts w:hint="default" w:ascii="Times New Roman" w:hAnsi="Times New Roman" w:cs="Times New Roman"/>
                <w:color w:val="auto"/>
                <w:sz w:val="24"/>
                <w:szCs w:val="24"/>
                <w:highlight w:val="none"/>
              </w:rPr>
              <w:t>3.7.</w:t>
            </w:r>
            <w:r>
              <w:rPr>
                <w:rFonts w:hint="default" w:ascii="Times New Roman" w:hAnsi="Times New Roman" w:cs="Times New Roman"/>
                <w:color w:val="auto"/>
                <w:sz w:val="24"/>
                <w:szCs w:val="24"/>
                <w:highlight w:val="none"/>
                <w:lang w:val="en-US" w:eastAsia="zh-CN"/>
              </w:rPr>
              <w:t>5</w:t>
            </w:r>
          </w:p>
        </w:tc>
        <w:tc>
          <w:tcPr>
            <w:tcW w:w="2779" w:type="dxa"/>
            <w:tcBorders>
              <w:top w:val="single" w:color="auto" w:sz="4" w:space="0"/>
              <w:left w:val="single" w:color="auto" w:sz="4" w:space="0"/>
              <w:bottom w:val="single" w:color="auto" w:sz="4" w:space="0"/>
              <w:right w:val="single" w:color="auto" w:sz="4" w:space="0"/>
            </w:tcBorders>
            <w:noWrap w:val="0"/>
            <w:vAlign w:val="center"/>
          </w:tcPr>
          <w:p w14:paraId="4C413421">
            <w:pPr>
              <w:pageBreakBefore w:val="0"/>
              <w:kinsoku/>
              <w:wordWrap w:val="0"/>
              <w:bidi w:val="0"/>
              <w:spacing w:line="440" w:lineRule="exact"/>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投标文件</w:t>
            </w:r>
            <w:r>
              <w:rPr>
                <w:rFonts w:hint="default" w:ascii="Times New Roman" w:hAnsi="Times New Roman" w:cs="Times New Roman"/>
                <w:color w:val="auto"/>
                <w:sz w:val="24"/>
                <w:szCs w:val="24"/>
                <w:highlight w:val="none"/>
                <w:lang w:val="en-US" w:eastAsia="zh-CN"/>
              </w:rPr>
              <w:t>上传</w:t>
            </w:r>
            <w:r>
              <w:rPr>
                <w:rFonts w:hint="default" w:ascii="Times New Roman" w:hAnsi="Times New Roman" w:cs="Times New Roman"/>
                <w:color w:val="auto"/>
                <w:sz w:val="24"/>
                <w:szCs w:val="24"/>
                <w:highlight w:val="none"/>
              </w:rPr>
              <w:t>要求</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3CE6FB7C">
            <w:pPr>
              <w:pStyle w:val="16"/>
              <w:pageBreakBefore w:val="0"/>
              <w:kinsoku/>
              <w:wordWrap w:val="0"/>
              <w:topLinePunct/>
              <w:bidi w:val="0"/>
              <w:spacing w:line="440" w:lineRule="exac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投标人应在规定的投标截止时间前，通过互联网</w:t>
            </w:r>
            <w:r>
              <w:rPr>
                <w:rFonts w:hint="eastAsia" w:ascii="Times New Roman"/>
                <w:color w:val="auto"/>
                <w:sz w:val="24"/>
                <w:szCs w:val="32"/>
                <w:highlight w:val="none"/>
                <w:lang w:val="en-US" w:eastAsia="zh-CN"/>
              </w:rPr>
              <w:t>使用</w:t>
            </w:r>
            <w:r>
              <w:rPr>
                <w:rFonts w:hint="default" w:ascii="Times New Roman" w:hAnsi="Times New Roman" w:cs="Times New Roman"/>
                <w:color w:val="auto"/>
                <w:sz w:val="24"/>
                <w:szCs w:val="24"/>
                <w:highlight w:val="none"/>
              </w:rPr>
              <w:t>CA数字证书登录</w:t>
            </w:r>
            <w:r>
              <w:rPr>
                <w:rFonts w:hint="eastAsia" w:ascii="宋体" w:hAnsi="宋体" w:eastAsia="宋体" w:cs="宋体"/>
                <w:color w:val="auto"/>
                <w:sz w:val="24"/>
                <w:szCs w:val="24"/>
                <w:highlight w:val="none"/>
              </w:rPr>
              <w:t>“</w:t>
            </w:r>
            <w:r>
              <w:rPr>
                <w:rFonts w:hint="eastAsia" w:cs="Times New Roman"/>
                <w:color w:val="auto"/>
                <w:sz w:val="24"/>
                <w:szCs w:val="24"/>
                <w:highlight w:val="none"/>
                <w:lang w:eastAsia="zh-CN"/>
              </w:rPr>
              <w:t>电子交易平台</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，将加密的投标文件上传。投标人应充分考虑上传文件时的不可预见因素，未在投标截止时间前完成上传的，视为逾期送达，招标人（</w:t>
            </w:r>
            <w:r>
              <w:rPr>
                <w:rFonts w:hint="eastAsia" w:ascii="宋体" w:hAnsi="宋体" w:eastAsia="宋体" w:cs="宋体"/>
                <w:color w:val="auto"/>
                <w:sz w:val="24"/>
                <w:szCs w:val="24"/>
                <w:highlight w:val="none"/>
              </w:rPr>
              <w:t>“</w:t>
            </w:r>
            <w:r>
              <w:rPr>
                <w:rFonts w:hint="eastAsia" w:cs="Times New Roman"/>
                <w:color w:val="auto"/>
                <w:sz w:val="24"/>
                <w:szCs w:val="24"/>
                <w:highlight w:val="none"/>
                <w:lang w:eastAsia="zh-CN"/>
              </w:rPr>
              <w:t>电子交易平台</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）将拒绝接收。</w:t>
            </w:r>
          </w:p>
        </w:tc>
      </w:tr>
      <w:tr w14:paraId="70C638FB">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5BD390CA">
            <w:pPr>
              <w:pageBreakBefore w:val="0"/>
              <w:kinsoku/>
              <w:wordWrap w:val="0"/>
              <w:overflowPunct/>
              <w:bidi w:val="0"/>
              <w:spacing w:line="440" w:lineRule="exact"/>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3.7.</w:t>
            </w:r>
            <w:r>
              <w:rPr>
                <w:rFonts w:hint="default" w:ascii="Times New Roman" w:hAnsi="Times New Roman" w:cs="Times New Roman"/>
                <w:color w:val="auto"/>
                <w:sz w:val="24"/>
                <w:szCs w:val="24"/>
                <w:highlight w:val="none"/>
                <w:lang w:val="en-US" w:eastAsia="zh-CN"/>
              </w:rPr>
              <w:t>6</w:t>
            </w:r>
          </w:p>
        </w:tc>
        <w:tc>
          <w:tcPr>
            <w:tcW w:w="2779" w:type="dxa"/>
            <w:tcBorders>
              <w:top w:val="single" w:color="auto" w:sz="4" w:space="0"/>
              <w:left w:val="single" w:color="auto" w:sz="4" w:space="0"/>
              <w:bottom w:val="single" w:color="auto" w:sz="4" w:space="0"/>
              <w:right w:val="single" w:color="auto" w:sz="4" w:space="0"/>
            </w:tcBorders>
            <w:noWrap w:val="0"/>
            <w:vAlign w:val="center"/>
          </w:tcPr>
          <w:p w14:paraId="4E39B399">
            <w:pPr>
              <w:pageBreakBefore w:val="0"/>
              <w:kinsoku/>
              <w:wordWrap w:val="0"/>
              <w:bidi w:val="0"/>
              <w:spacing w:line="440" w:lineRule="exact"/>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rPr>
              <w:t>投标文件其他要求</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5C6BB211">
            <w:pPr>
              <w:spacing w:line="440" w:lineRule="exac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本项目采用电子招标投标形式，投标期间不需提供纸质投标文件。中标人在合同签订前需向招标人提交资料：</w:t>
            </w:r>
          </w:p>
          <w:p w14:paraId="64BFB142">
            <w:pPr>
              <w:spacing w:line="440" w:lineRule="exact"/>
              <w:jc w:val="left"/>
              <w:rPr>
                <w:rFonts w:hint="default" w:ascii="Times New Roman" w:hAnsi="Times New Roman" w:cs="Times New Roman"/>
                <w:color w:val="auto"/>
                <w:sz w:val="24"/>
                <w:szCs w:val="24"/>
                <w:highlight w:val="none"/>
              </w:rPr>
            </w:pPr>
            <w:r>
              <w:rPr>
                <w:rFonts w:hint="eastAsia"/>
                <w:color w:val="auto"/>
                <w:sz w:val="24"/>
                <w:highlight w:val="none"/>
                <w:lang w:eastAsia="zh-CN"/>
              </w:rPr>
              <w:t>☑</w:t>
            </w:r>
            <w:r>
              <w:rPr>
                <w:rFonts w:hint="default" w:ascii="Times New Roman" w:hAnsi="Times New Roman" w:cs="Times New Roman"/>
                <w:color w:val="auto"/>
                <w:sz w:val="24"/>
                <w:szCs w:val="24"/>
                <w:highlight w:val="none"/>
              </w:rPr>
              <w:t>纸质版投标文件：</w:t>
            </w:r>
            <w:r>
              <w:rPr>
                <w:rFonts w:hint="eastAsia" w:cs="Times New Roman"/>
                <w:color w:val="auto"/>
                <w:sz w:val="24"/>
                <w:szCs w:val="24"/>
                <w:highlight w:val="none"/>
                <w:u w:val="single"/>
                <w:lang w:val="en-US" w:eastAsia="zh-CN"/>
              </w:rPr>
              <w:t xml:space="preserve">  6  </w:t>
            </w:r>
            <w:r>
              <w:rPr>
                <w:rFonts w:hint="default" w:ascii="Times New Roman" w:hAnsi="Times New Roman" w:cs="Times New Roman"/>
                <w:color w:val="auto"/>
                <w:sz w:val="24"/>
                <w:szCs w:val="24"/>
                <w:highlight w:val="none"/>
              </w:rPr>
              <w:t>套；</w:t>
            </w:r>
          </w:p>
          <w:p w14:paraId="00C70B82">
            <w:pPr>
              <w:pStyle w:val="16"/>
              <w:pageBreakBefore w:val="0"/>
              <w:kinsoku/>
              <w:wordWrap w:val="0"/>
              <w:topLinePunct/>
              <w:bidi w:val="0"/>
              <w:spacing w:line="440" w:lineRule="exact"/>
              <w:rPr>
                <w:rFonts w:hint="eastAsia" w:ascii="Times New Roman" w:hAnsi="Times New Roman" w:eastAsia="宋体" w:cs="Times New Roman"/>
                <w:color w:val="auto"/>
                <w:kern w:val="2"/>
                <w:sz w:val="24"/>
                <w:szCs w:val="24"/>
                <w:highlight w:val="none"/>
                <w:lang w:val="en-US" w:eastAsia="zh-CN" w:bidi="ar-SA"/>
              </w:rPr>
            </w:pPr>
            <w:r>
              <w:rPr>
                <w:rFonts w:hint="eastAsia"/>
                <w:color w:val="auto"/>
                <w:sz w:val="24"/>
                <w:highlight w:val="none"/>
                <w:lang w:eastAsia="zh-CN"/>
              </w:rPr>
              <w:t>☑</w:t>
            </w:r>
            <w:r>
              <w:rPr>
                <w:rFonts w:hint="default" w:ascii="Times New Roman" w:hAnsi="Times New Roman" w:cs="Times New Roman"/>
                <w:color w:val="auto"/>
                <w:szCs w:val="24"/>
                <w:highlight w:val="none"/>
              </w:rPr>
              <w:t>电子版投标文件，具体要求为：</w:t>
            </w:r>
            <w:r>
              <w:rPr>
                <w:rFonts w:hint="default" w:ascii="Times New Roman" w:hAnsi="Times New Roman" w:cs="Times New Roman"/>
                <w:color w:val="auto"/>
                <w:szCs w:val="24"/>
                <w:highlight w:val="none"/>
                <w:u w:val="single"/>
              </w:rPr>
              <w:t>电子投标文件U盘2份(PDF格式）。</w:t>
            </w:r>
          </w:p>
        </w:tc>
      </w:tr>
      <w:tr w14:paraId="00948D81">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4809BE52">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5.1</w:t>
            </w:r>
          </w:p>
        </w:tc>
        <w:tc>
          <w:tcPr>
            <w:tcW w:w="2779" w:type="dxa"/>
            <w:tcBorders>
              <w:top w:val="single" w:color="auto" w:sz="4" w:space="0"/>
              <w:left w:val="single" w:color="auto" w:sz="4" w:space="0"/>
              <w:bottom w:val="single" w:color="auto" w:sz="4" w:space="0"/>
              <w:right w:val="single" w:color="auto" w:sz="4" w:space="0"/>
            </w:tcBorders>
            <w:noWrap w:val="0"/>
            <w:vAlign w:val="center"/>
          </w:tcPr>
          <w:p w14:paraId="20350A4A">
            <w:pPr>
              <w:shd w:val="clear"/>
              <w:spacing w:line="440" w:lineRule="exact"/>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rPr>
              <w:t>开标时间和地点</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1667D744">
            <w:pPr>
              <w:shd w:val="clear"/>
              <w:spacing w:line="440" w:lineRule="exac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投标文件第一个信封（商务及技术文件）开标时间：同投标截止时间</w:t>
            </w:r>
            <w:r>
              <w:rPr>
                <w:rFonts w:hint="eastAsia" w:cs="Times New Roman"/>
                <w:color w:val="auto"/>
                <w:kern w:val="2"/>
                <w:sz w:val="24"/>
                <w:szCs w:val="24"/>
                <w:highlight w:val="none"/>
                <w:lang w:val="en-US" w:eastAsia="zh-CN" w:bidi="ar-SA"/>
              </w:rPr>
              <w:t>。</w:t>
            </w:r>
          </w:p>
          <w:p w14:paraId="75BBAE71">
            <w:pPr>
              <w:shd w:val="clear"/>
              <w:spacing w:line="440" w:lineRule="exac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投标文件第二个信封（报价文件）开标时间：另行通知</w:t>
            </w:r>
            <w:r>
              <w:rPr>
                <w:rFonts w:hint="eastAsia" w:cs="Times New Roman"/>
                <w:color w:val="auto"/>
                <w:kern w:val="2"/>
                <w:sz w:val="24"/>
                <w:szCs w:val="24"/>
                <w:highlight w:val="none"/>
                <w:lang w:val="en-US" w:eastAsia="zh-CN" w:bidi="ar-SA"/>
              </w:rPr>
              <w:t>。</w:t>
            </w:r>
          </w:p>
          <w:p w14:paraId="5E6309B2">
            <w:pPr>
              <w:shd w:val="clear"/>
              <w:spacing w:line="440" w:lineRule="exact"/>
              <w:rPr>
                <w:rFonts w:hint="eastAsia" w:ascii="宋体" w:hAnsi="宋体" w:eastAsia="宋体" w:cs="宋体"/>
                <w:color w:val="auto"/>
                <w:kern w:val="2"/>
                <w:sz w:val="24"/>
                <w:szCs w:val="24"/>
                <w:highlight w:val="none"/>
                <w:u w:val="single"/>
                <w:lang w:val="en-US" w:eastAsia="zh-CN" w:bidi="ar-SA"/>
              </w:rPr>
            </w:pPr>
            <w:r>
              <w:rPr>
                <w:rFonts w:hint="eastAsia" w:ascii="宋体" w:hAnsi="宋体" w:eastAsia="宋体" w:cs="宋体"/>
                <w:color w:val="auto"/>
                <w:kern w:val="2"/>
                <w:sz w:val="24"/>
                <w:szCs w:val="24"/>
                <w:highlight w:val="none"/>
                <w:lang w:val="en-US" w:eastAsia="zh-CN" w:bidi="ar-SA"/>
              </w:rPr>
              <w:t>地点：</w:t>
            </w:r>
            <w:r>
              <w:rPr>
                <w:rFonts w:hint="eastAsia" w:ascii="宋体" w:hAnsi="宋体" w:eastAsia="宋体" w:cs="宋体"/>
                <w:color w:val="auto"/>
                <w:kern w:val="2"/>
                <w:sz w:val="24"/>
                <w:szCs w:val="24"/>
                <w:highlight w:val="none"/>
                <w:u w:val="single"/>
                <w:lang w:val="en-US" w:eastAsia="zh-CN" w:bidi="ar-SA"/>
              </w:rPr>
              <w:t>辽宁省公共资源交易中心不见面开标大厅</w:t>
            </w:r>
          </w:p>
          <w:p w14:paraId="497E7C28">
            <w:pPr>
              <w:shd w:val="clear"/>
              <w:spacing w:line="440" w:lineRule="exact"/>
              <w:rPr>
                <w:rFonts w:hint="default" w:ascii="Times New Roman" w:hAnsi="Times New Roman" w:eastAsia="宋体" w:cs="Times New Roman"/>
                <w:color w:val="auto"/>
                <w:kern w:val="2"/>
                <w:sz w:val="24"/>
                <w:szCs w:val="24"/>
                <w:highlight w:val="none"/>
                <w:lang w:val="en-US" w:eastAsia="zh-CN" w:bidi="ar-SA"/>
              </w:rPr>
            </w:pPr>
            <w:r>
              <w:rPr>
                <w:rFonts w:hint="eastAsia" w:ascii="宋体" w:hAnsi="宋体" w:eastAsia="宋体" w:cs="宋体"/>
                <w:color w:val="auto"/>
                <w:kern w:val="2"/>
                <w:sz w:val="24"/>
                <w:szCs w:val="24"/>
                <w:highlight w:val="none"/>
                <w:u w:val="single"/>
                <w:lang w:val="en-US" w:eastAsia="zh-CN" w:bidi="ar-SA"/>
              </w:rPr>
              <w:t>（https://www.lnsggzy.com/BidOpeningHall/bidhall/dqliaoning/login）</w:t>
            </w:r>
          </w:p>
        </w:tc>
      </w:tr>
      <w:tr w14:paraId="5F7FC975">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64C919DA">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5.2.1</w:t>
            </w:r>
          </w:p>
        </w:tc>
        <w:tc>
          <w:tcPr>
            <w:tcW w:w="2779" w:type="dxa"/>
            <w:tcBorders>
              <w:top w:val="single" w:color="auto" w:sz="4" w:space="0"/>
              <w:left w:val="single" w:color="auto" w:sz="4" w:space="0"/>
              <w:bottom w:val="single" w:color="auto" w:sz="4" w:space="0"/>
              <w:right w:val="single" w:color="auto" w:sz="4" w:space="0"/>
            </w:tcBorders>
            <w:noWrap w:val="0"/>
            <w:vAlign w:val="center"/>
          </w:tcPr>
          <w:p w14:paraId="554BACAD">
            <w:pPr>
              <w:pageBreakBefore w:val="0"/>
              <w:kinsoku/>
              <w:wordWrap w:val="0"/>
              <w:bidi w:val="0"/>
              <w:spacing w:line="440" w:lineRule="exact"/>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第一个信封（商务及技术文件）开标程序</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09FD28A8">
            <w:pPr>
              <w:pageBreakBefore w:val="0"/>
              <w:numPr>
                <w:ilvl w:val="0"/>
                <w:numId w:val="0"/>
              </w:numPr>
              <w:kinsoku/>
              <w:wordWrap w:val="0"/>
              <w:bidi w:val="0"/>
              <w:spacing w:line="440" w:lineRule="exact"/>
              <w:rPr>
                <w:rFonts w:hint="default" w:ascii="Times New Roman" w:hAnsi="Times New Roman" w:cs="Times New Roman"/>
                <w:color w:val="auto"/>
                <w:sz w:val="24"/>
                <w:szCs w:val="24"/>
                <w:highlight w:val="none"/>
                <w:lang w:val="en-US" w:eastAsia="zh-CN"/>
              </w:rPr>
            </w:pP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5</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lang w:eastAsia="zh-CN"/>
              </w:rPr>
              <w:t>投标文件</w:t>
            </w:r>
            <w:r>
              <w:rPr>
                <w:rFonts w:hint="default" w:ascii="Times New Roman" w:hAnsi="Times New Roman" w:cs="Times New Roman"/>
                <w:color w:val="auto"/>
                <w:sz w:val="24"/>
                <w:szCs w:val="24"/>
                <w:highlight w:val="none"/>
                <w:lang w:val="en-US" w:eastAsia="zh-CN"/>
              </w:rPr>
              <w:t>第一个信封</w:t>
            </w:r>
            <w:r>
              <w:rPr>
                <w:rFonts w:hint="default" w:ascii="Times New Roman" w:hAnsi="Times New Roman" w:cs="Times New Roman"/>
                <w:color w:val="auto"/>
                <w:sz w:val="24"/>
                <w:szCs w:val="24"/>
                <w:highlight w:val="none"/>
              </w:rPr>
              <w:t>（商务及技术文件）</w:t>
            </w:r>
            <w:r>
              <w:rPr>
                <w:rFonts w:hint="default" w:ascii="Times New Roman" w:hAnsi="Times New Roman" w:cs="Times New Roman"/>
                <w:color w:val="auto"/>
                <w:sz w:val="24"/>
                <w:szCs w:val="24"/>
                <w:highlight w:val="none"/>
                <w:lang w:eastAsia="zh-CN"/>
              </w:rPr>
              <w:t>解密</w:t>
            </w:r>
            <w:r>
              <w:rPr>
                <w:rFonts w:hint="eastAsia" w:cs="Times New Roman"/>
                <w:color w:val="auto"/>
                <w:sz w:val="24"/>
                <w:szCs w:val="24"/>
                <w:highlight w:val="none"/>
                <w:lang w:val="en-US" w:eastAsia="zh-CN"/>
              </w:rPr>
              <w:t>时长：</w:t>
            </w:r>
            <w:r>
              <w:rPr>
                <w:rFonts w:hint="eastAsia" w:cs="Times New Roman"/>
                <w:color w:val="auto"/>
                <w:sz w:val="24"/>
                <w:szCs w:val="24"/>
                <w:highlight w:val="none"/>
                <w:u w:val="single"/>
                <w:lang w:val="en-US" w:eastAsia="zh-CN"/>
              </w:rPr>
              <w:t>30</w:t>
            </w:r>
            <w:r>
              <w:rPr>
                <w:rFonts w:hint="eastAsia" w:cs="Times New Roman"/>
                <w:color w:val="auto"/>
                <w:sz w:val="24"/>
                <w:szCs w:val="24"/>
                <w:highlight w:val="none"/>
                <w:u w:val="none"/>
                <w:lang w:val="en-US" w:eastAsia="zh-CN"/>
              </w:rPr>
              <w:t>分钟，当所有上传的电子投标文件均完成解密时，时长相应缩短。</w:t>
            </w:r>
          </w:p>
          <w:p w14:paraId="76507759">
            <w:pPr>
              <w:pageBreakBefore w:val="0"/>
              <w:numPr>
                <w:ilvl w:val="0"/>
                <w:numId w:val="0"/>
              </w:numPr>
              <w:kinsoku/>
              <w:wordWrap w:val="0"/>
              <w:bidi w:val="0"/>
              <w:spacing w:line="440" w:lineRule="exact"/>
              <w:ind w:left="0" w:leftChars="0" w:firstLine="480" w:firstLineChars="200"/>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投标人必须在规定解密时间内完成投标文件的远程解密。</w:t>
            </w:r>
            <w:r>
              <w:rPr>
                <w:rFonts w:hint="eastAsia" w:ascii="宋体" w:hAnsi="宋体" w:eastAsia="宋体" w:cs="宋体"/>
                <w:color w:val="auto"/>
                <w:sz w:val="24"/>
                <w:szCs w:val="24"/>
                <w:highlight w:val="none"/>
                <w:lang w:val="en-US" w:eastAsia="zh-CN"/>
              </w:rPr>
              <w:t>除特殊说明情况外，若出现在规定时间未成功解密的情况，视为撤销投标文件</w:t>
            </w:r>
            <w:r>
              <w:rPr>
                <w:rFonts w:hint="eastAsia" w:ascii="宋体" w:hAnsi="宋体" w:eastAsia="宋体" w:cs="宋体"/>
                <w:color w:val="auto"/>
                <w:sz w:val="24"/>
                <w:szCs w:val="24"/>
                <w:highlight w:val="none"/>
                <w:lang w:eastAsia="zh-CN"/>
              </w:rPr>
              <w:t>。</w:t>
            </w:r>
          </w:p>
        </w:tc>
      </w:tr>
      <w:tr w14:paraId="38D70EA5">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1B073DC5">
            <w:pPr>
              <w:spacing w:line="440" w:lineRule="exact"/>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lang w:val="en-US" w:eastAsia="zh-CN"/>
              </w:rPr>
              <w:t>5.2.1</w:t>
            </w:r>
          </w:p>
        </w:tc>
        <w:tc>
          <w:tcPr>
            <w:tcW w:w="2779" w:type="dxa"/>
            <w:tcBorders>
              <w:top w:val="single" w:color="auto" w:sz="4" w:space="0"/>
              <w:left w:val="single" w:color="auto" w:sz="4" w:space="0"/>
              <w:bottom w:val="single" w:color="auto" w:sz="4" w:space="0"/>
              <w:right w:val="single" w:color="auto" w:sz="4" w:space="0"/>
            </w:tcBorders>
            <w:noWrap w:val="0"/>
            <w:vAlign w:val="center"/>
          </w:tcPr>
          <w:p w14:paraId="3587ED1B">
            <w:pPr>
              <w:spacing w:line="440" w:lineRule="exact"/>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投标人参与详细评审的具体标段号的随机确定程序</w:t>
            </w:r>
            <w:r>
              <w:rPr>
                <w:rStyle w:val="48"/>
                <w:rFonts w:hint="default" w:ascii="Times New Roman" w:hAnsi="Times New Roman" w:cs="Times New Roman"/>
                <w:color w:val="auto"/>
                <w:sz w:val="24"/>
                <w:szCs w:val="24"/>
                <w:highlight w:val="none"/>
              </w:rPr>
              <w:footnoteReference w:id="3"/>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07E1535F">
            <w:pPr>
              <w:pageBreakBefore w:val="0"/>
              <w:kinsoku/>
              <w:wordWrap w:val="0"/>
              <w:bidi w:val="0"/>
              <w:spacing w:line="440" w:lineRule="exact"/>
              <w:ind w:firstLine="0" w:firstLine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szCs w:val="24"/>
                <w:highlight w:val="none"/>
                <w:lang w:val="en-US" w:eastAsia="zh-CN"/>
              </w:rPr>
              <w:t>适用，随机确定投标标段：</w:t>
            </w:r>
            <w:r>
              <w:rPr>
                <w:rFonts w:hint="eastAsia" w:ascii="宋体" w:hAnsi="宋体" w:eastAsia="宋体" w:cs="宋体"/>
                <w:color w:val="auto"/>
                <w:sz w:val="24"/>
                <w:szCs w:val="24"/>
                <w:highlight w:val="none"/>
                <w:u w:val="single"/>
                <w:lang w:val="en-US" w:eastAsia="zh-CN"/>
              </w:rPr>
              <w:t xml:space="preserve">        </w:t>
            </w:r>
          </w:p>
          <w:p w14:paraId="017385A0">
            <w:pPr>
              <w:pageBreakBefore w:val="0"/>
              <w:kinsoku/>
              <w:wordWrap w:val="0"/>
              <w:bidi w:val="0"/>
              <w:spacing w:line="440" w:lineRule="exact"/>
              <w:ind w:firstLine="0" w:firstLineChars="0"/>
              <w:rPr>
                <w:rFonts w:hint="default" w:ascii="Times New Roman" w:hAnsi="Times New Roman" w:eastAsia="宋体" w:cs="Times New Roman"/>
                <w:color w:val="auto"/>
                <w:kern w:val="2"/>
                <w:sz w:val="24"/>
                <w:szCs w:val="24"/>
                <w:highlight w:val="none"/>
                <w:lang w:val="en-US" w:eastAsia="zh-CN" w:bidi="ar-SA"/>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szCs w:val="24"/>
                <w:highlight w:val="none"/>
                <w:lang w:val="en-US" w:eastAsia="zh-CN"/>
              </w:rPr>
              <w:t>不适用</w:t>
            </w:r>
          </w:p>
        </w:tc>
      </w:tr>
      <w:tr w14:paraId="5842EA29">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3A8F0FC4">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5.2.3</w:t>
            </w:r>
          </w:p>
        </w:tc>
        <w:tc>
          <w:tcPr>
            <w:tcW w:w="2779" w:type="dxa"/>
            <w:tcBorders>
              <w:top w:val="single" w:color="auto" w:sz="4" w:space="0"/>
              <w:left w:val="single" w:color="auto" w:sz="4" w:space="0"/>
              <w:bottom w:val="single" w:color="auto" w:sz="4" w:space="0"/>
              <w:right w:val="single" w:color="auto" w:sz="4" w:space="0"/>
            </w:tcBorders>
            <w:noWrap w:val="0"/>
            <w:vAlign w:val="center"/>
          </w:tcPr>
          <w:p w14:paraId="421DB37B">
            <w:pPr>
              <w:spacing w:line="440" w:lineRule="exact"/>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第二个信封（报价文件）开标程序</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3177BDC2">
            <w:pPr>
              <w:wordWrap w:val="0"/>
              <w:spacing w:line="440" w:lineRule="exact"/>
              <w:rPr>
                <w:color w:val="auto"/>
                <w:sz w:val="24"/>
                <w:highlight w:val="none"/>
                <w:lang w:eastAsia="zh"/>
              </w:rPr>
            </w:pPr>
            <w:r>
              <w:rPr>
                <w:rFonts w:hint="default" w:ascii="Times New Roman" w:hAnsi="Times New Roman" w:eastAsia="宋体" w:cs="Times New Roman"/>
                <w:color w:val="auto"/>
                <w:kern w:val="2"/>
                <w:sz w:val="24"/>
                <w:szCs w:val="24"/>
                <w:highlight w:val="none"/>
                <w:lang w:val="en-US" w:eastAsia="zh-CN" w:bidi="ar-SA"/>
              </w:rPr>
              <w:t>（</w:t>
            </w:r>
            <w:r>
              <w:rPr>
                <w:rFonts w:hint="default" w:ascii="Times New Roman" w:hAnsi="Times New Roman" w:cs="Times New Roman"/>
                <w:color w:val="auto"/>
                <w:kern w:val="2"/>
                <w:sz w:val="24"/>
                <w:szCs w:val="24"/>
                <w:highlight w:val="none"/>
                <w:lang w:val="en-US" w:eastAsia="zh-CN" w:bidi="ar-SA"/>
              </w:rPr>
              <w:t>4</w:t>
            </w:r>
            <w:r>
              <w:rPr>
                <w:rFonts w:hint="default" w:ascii="Times New Roman" w:hAnsi="Times New Roman" w:eastAsia="宋体" w:cs="Times New Roman"/>
                <w:color w:val="auto"/>
                <w:kern w:val="2"/>
                <w:sz w:val="24"/>
                <w:szCs w:val="24"/>
                <w:highlight w:val="none"/>
                <w:lang w:val="en-US" w:eastAsia="zh-CN" w:bidi="ar-SA"/>
              </w:rPr>
              <w:t>）</w:t>
            </w:r>
            <w:r>
              <w:rPr>
                <w:rFonts w:hint="default" w:ascii="Times New Roman" w:hAnsi="Times New Roman" w:cs="Times New Roman"/>
                <w:color w:val="auto"/>
                <w:sz w:val="24"/>
                <w:szCs w:val="24"/>
                <w:highlight w:val="none"/>
                <w:lang w:eastAsia="zh-CN"/>
              </w:rPr>
              <w:t>投标文件</w:t>
            </w:r>
            <w:r>
              <w:rPr>
                <w:rFonts w:hint="default" w:ascii="Times New Roman" w:hAnsi="Times New Roman" w:cs="Times New Roman"/>
                <w:color w:val="auto"/>
                <w:sz w:val="24"/>
                <w:szCs w:val="24"/>
                <w:highlight w:val="none"/>
              </w:rPr>
              <w:t>第二个信封（报价文件）</w:t>
            </w:r>
            <w:r>
              <w:rPr>
                <w:rFonts w:hint="default" w:ascii="Times New Roman" w:hAnsi="Times New Roman" w:cs="Times New Roman"/>
                <w:color w:val="auto"/>
                <w:sz w:val="24"/>
                <w:szCs w:val="24"/>
                <w:highlight w:val="none"/>
                <w:lang w:eastAsia="zh-CN"/>
              </w:rPr>
              <w:t>解密</w:t>
            </w:r>
            <w:r>
              <w:rPr>
                <w:rFonts w:hint="eastAsia" w:cs="Times New Roman"/>
                <w:color w:val="auto"/>
                <w:sz w:val="24"/>
                <w:szCs w:val="24"/>
                <w:highlight w:val="none"/>
                <w:lang w:val="en-US" w:eastAsia="zh-CN"/>
              </w:rPr>
              <w:t>时长：</w:t>
            </w:r>
            <w:r>
              <w:rPr>
                <w:rFonts w:hint="eastAsia" w:cs="Times New Roman"/>
                <w:color w:val="auto"/>
                <w:sz w:val="24"/>
                <w:szCs w:val="24"/>
                <w:highlight w:val="none"/>
                <w:u w:val="single"/>
                <w:lang w:val="en-US" w:eastAsia="zh-CN"/>
              </w:rPr>
              <w:t>30</w:t>
            </w:r>
            <w:r>
              <w:rPr>
                <w:rFonts w:hint="eastAsia"/>
                <w:color w:val="auto"/>
                <w:sz w:val="24"/>
                <w:highlight w:val="none"/>
                <w:u w:val="none"/>
                <w:lang w:eastAsia="zh"/>
              </w:rPr>
              <w:t>分钟，当所有参与第二个信封评审的电子投标文件均完成解密时，时长相应缩短。</w:t>
            </w:r>
          </w:p>
          <w:p w14:paraId="61571D77">
            <w:pPr>
              <w:pageBreakBefore w:val="0"/>
              <w:kinsoku/>
              <w:wordWrap w:val="0"/>
              <w:bidi w:val="0"/>
              <w:spacing w:line="440" w:lineRule="exact"/>
              <w:ind w:firstLine="480" w:firstLineChars="200"/>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投标人必须在规定解密时间内完成投标文件的远程解密。除特殊说明情况外，若出现在规定时间未成功解密的情况，视为撤销投标文件。投标人应确保“不见面开标大厅”所留项目联系方式正确且开评标期间全程畅通。如若投标人未解密文件或投标人电话未接通或投标人所留联系方式不正确，均视为自动放弃，按未递交处理。</w:t>
            </w:r>
          </w:p>
        </w:tc>
      </w:tr>
      <w:tr w14:paraId="2E9E3063">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237D7FBC">
            <w:pPr>
              <w:pageBreakBefore w:val="0"/>
              <w:kinsoku/>
              <w:wordWrap w:val="0"/>
              <w:bidi w:val="0"/>
              <w:spacing w:line="440" w:lineRule="exact"/>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lang w:val="en-US" w:eastAsia="zh-CN"/>
              </w:rPr>
              <w:t>5.3.1</w:t>
            </w:r>
          </w:p>
        </w:tc>
        <w:tc>
          <w:tcPr>
            <w:tcW w:w="2779" w:type="dxa"/>
            <w:tcBorders>
              <w:top w:val="single" w:color="auto" w:sz="4" w:space="0"/>
              <w:left w:val="single" w:color="auto" w:sz="4" w:space="0"/>
              <w:bottom w:val="single" w:color="auto" w:sz="4" w:space="0"/>
              <w:right w:val="single" w:color="auto" w:sz="4" w:space="0"/>
            </w:tcBorders>
            <w:noWrap w:val="0"/>
            <w:vAlign w:val="center"/>
          </w:tcPr>
          <w:p w14:paraId="0B549FD2">
            <w:pPr>
              <w:pageBreakBefore w:val="0"/>
              <w:kinsoku/>
              <w:wordWrap w:val="0"/>
              <w:bidi w:val="0"/>
              <w:spacing w:line="440" w:lineRule="exact"/>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lang w:val="en-US" w:eastAsia="zh-CN"/>
              </w:rPr>
              <w:t>开标补救措施</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1082F8B3">
            <w:pPr>
              <w:pageBreakBefore w:val="0"/>
              <w:kinsoku/>
              <w:wordWrap w:val="0"/>
              <w:bidi w:val="0"/>
              <w:spacing w:line="440" w:lineRule="exact"/>
              <w:rPr>
                <w:rFonts w:hint="eastAsia"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w:t>
            </w:r>
          </w:p>
        </w:tc>
      </w:tr>
      <w:tr w14:paraId="086A64AE">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2C94406E">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6.1.1</w:t>
            </w:r>
          </w:p>
        </w:tc>
        <w:tc>
          <w:tcPr>
            <w:tcW w:w="2779" w:type="dxa"/>
            <w:tcBorders>
              <w:top w:val="single" w:color="auto" w:sz="4" w:space="0"/>
              <w:left w:val="single" w:color="auto" w:sz="4" w:space="0"/>
              <w:bottom w:val="single" w:color="auto" w:sz="4" w:space="0"/>
              <w:right w:val="single" w:color="auto" w:sz="4" w:space="0"/>
            </w:tcBorders>
            <w:noWrap w:val="0"/>
            <w:vAlign w:val="center"/>
          </w:tcPr>
          <w:p w14:paraId="36F38653">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评标委员会的组建</w:t>
            </w:r>
            <w:r>
              <w:rPr>
                <w:rStyle w:val="48"/>
                <w:rFonts w:hint="default" w:ascii="Times New Roman" w:hAnsi="Times New Roman" w:cs="Times New Roman"/>
                <w:color w:val="auto"/>
                <w:sz w:val="24"/>
                <w:szCs w:val="24"/>
                <w:highlight w:val="none"/>
              </w:rPr>
              <w:footnoteReference w:id="4"/>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28998106">
            <w:pPr>
              <w:pageBreakBefore w:val="0"/>
              <w:kinsoku/>
              <w:wordWrap w:val="0"/>
              <w:bidi w:val="0"/>
              <w:spacing w:line="440" w:lineRule="exac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评标委员会构成：</w:t>
            </w:r>
            <w:r>
              <w:rPr>
                <w:rFonts w:hint="eastAsia" w:cs="Times New Roman"/>
                <w:color w:val="auto"/>
                <w:sz w:val="24"/>
                <w:szCs w:val="24"/>
                <w:highlight w:val="none"/>
                <w:u w:val="single"/>
                <w:lang w:val="en-US" w:eastAsia="zh-CN"/>
              </w:rPr>
              <w:t>5</w:t>
            </w:r>
            <w:r>
              <w:rPr>
                <w:rFonts w:hint="default" w:ascii="Times New Roman" w:hAnsi="Times New Roman" w:cs="Times New Roman"/>
                <w:color w:val="auto"/>
                <w:sz w:val="24"/>
                <w:szCs w:val="24"/>
                <w:highlight w:val="none"/>
              </w:rPr>
              <w:t>人，其中招标人代表</w:t>
            </w:r>
            <w:r>
              <w:rPr>
                <w:rFonts w:hint="eastAsia" w:cs="Times New Roman"/>
                <w:color w:val="auto"/>
                <w:sz w:val="24"/>
                <w:szCs w:val="24"/>
                <w:highlight w:val="none"/>
                <w:u w:val="single"/>
                <w:lang w:val="en-US" w:eastAsia="zh-CN"/>
              </w:rPr>
              <w:t>0</w:t>
            </w:r>
            <w:r>
              <w:rPr>
                <w:rFonts w:hint="default" w:ascii="Times New Roman" w:hAnsi="Times New Roman" w:cs="Times New Roman"/>
                <w:color w:val="auto"/>
                <w:sz w:val="24"/>
                <w:szCs w:val="24"/>
                <w:highlight w:val="none"/>
              </w:rPr>
              <w:t>人，专家</w:t>
            </w:r>
            <w:r>
              <w:rPr>
                <w:rFonts w:hint="eastAsia" w:cs="Times New Roman"/>
                <w:color w:val="auto"/>
                <w:sz w:val="24"/>
                <w:szCs w:val="24"/>
                <w:highlight w:val="none"/>
                <w:u w:val="single"/>
                <w:lang w:val="en-US" w:eastAsia="zh-CN"/>
              </w:rPr>
              <w:t>5</w:t>
            </w:r>
            <w:r>
              <w:rPr>
                <w:rFonts w:hint="default" w:ascii="Times New Roman" w:hAnsi="Times New Roman" w:cs="Times New Roman"/>
                <w:color w:val="auto"/>
                <w:sz w:val="24"/>
                <w:szCs w:val="24"/>
                <w:highlight w:val="none"/>
              </w:rPr>
              <w:t>人；</w:t>
            </w:r>
          </w:p>
          <w:p w14:paraId="46303E64">
            <w:pPr>
              <w:pageBreakBefore w:val="0"/>
              <w:kinsoku/>
              <w:wordWrap w:val="0"/>
              <w:bidi w:val="0"/>
              <w:spacing w:line="440" w:lineRule="exact"/>
              <w:rPr>
                <w:rFonts w:hint="eastAsia" w:ascii="Times New Roman" w:hAnsi="Times New Roman" w:eastAsia="宋体" w:cs="Times New Roman"/>
                <w:color w:val="auto"/>
                <w:sz w:val="24"/>
                <w:szCs w:val="24"/>
                <w:highlight w:val="none"/>
                <w:lang w:eastAsia="zh-CN"/>
              </w:rPr>
            </w:pPr>
            <w:r>
              <w:rPr>
                <w:rFonts w:hint="default" w:ascii="Times New Roman" w:hAnsi="Times New Roman" w:cs="Times New Roman"/>
                <w:color w:val="auto"/>
                <w:sz w:val="24"/>
                <w:szCs w:val="24"/>
                <w:highlight w:val="none"/>
              </w:rPr>
              <w:t>评标专家确定方式：</w:t>
            </w:r>
            <w:r>
              <w:rPr>
                <w:rFonts w:hint="default" w:ascii="Times New Roman" w:hAnsi="Times New Roman" w:cs="Times New Roman"/>
                <w:color w:val="auto"/>
                <w:sz w:val="24"/>
                <w:szCs w:val="24"/>
                <w:highlight w:val="none"/>
                <w:u w:val="single"/>
              </w:rPr>
              <w:t>依法从相应评标专家库中随机抽取</w:t>
            </w:r>
            <w:r>
              <w:rPr>
                <w:rFonts w:hint="eastAsia" w:cs="Times New Roman"/>
                <w:color w:val="auto"/>
                <w:sz w:val="24"/>
                <w:szCs w:val="24"/>
                <w:highlight w:val="none"/>
                <w:u w:val="single"/>
                <w:lang w:eastAsia="zh-CN"/>
              </w:rPr>
              <w:t>。</w:t>
            </w:r>
          </w:p>
        </w:tc>
      </w:tr>
      <w:tr w14:paraId="03BDDADA">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4D52C7C7">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6.3.2</w:t>
            </w:r>
          </w:p>
        </w:tc>
        <w:tc>
          <w:tcPr>
            <w:tcW w:w="2779" w:type="dxa"/>
            <w:tcBorders>
              <w:top w:val="single" w:color="auto" w:sz="4" w:space="0"/>
              <w:left w:val="single" w:color="auto" w:sz="4" w:space="0"/>
              <w:bottom w:val="single" w:color="auto" w:sz="4" w:space="0"/>
              <w:right w:val="single" w:color="auto" w:sz="4" w:space="0"/>
            </w:tcBorders>
            <w:noWrap w:val="0"/>
            <w:vAlign w:val="center"/>
          </w:tcPr>
          <w:p w14:paraId="5B5F5653">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评标委员会推荐中标候选人的人数</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313A0AAB">
            <w:pPr>
              <w:pageBreakBefore w:val="0"/>
              <w:kinsoku/>
              <w:wordWrap w:val="0"/>
              <w:bidi w:val="0"/>
              <w:spacing w:line="440" w:lineRule="exact"/>
              <w:rPr>
                <w:rFonts w:hint="default" w:ascii="Times New Roman" w:hAnsi="Times New Roman" w:cs="Times New Roman"/>
                <w:color w:val="auto"/>
                <w:spacing w:val="10"/>
                <w:sz w:val="24"/>
                <w:szCs w:val="24"/>
                <w:highlight w:val="none"/>
                <w:bdr w:val="single" w:color="auto" w:sz="4" w:space="0"/>
              </w:rPr>
            </w:pPr>
            <w:r>
              <w:rPr>
                <w:rFonts w:hint="eastAsia" w:cs="Times New Roman"/>
                <w:color w:val="auto"/>
                <w:sz w:val="24"/>
                <w:szCs w:val="24"/>
                <w:highlight w:val="none"/>
                <w:lang w:val="en-US" w:eastAsia="zh-CN"/>
              </w:rPr>
              <w:t>3名</w:t>
            </w:r>
          </w:p>
        </w:tc>
      </w:tr>
      <w:tr w14:paraId="0ABCEBDF">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0745E8A4">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7.1</w:t>
            </w:r>
          </w:p>
        </w:tc>
        <w:tc>
          <w:tcPr>
            <w:tcW w:w="2779" w:type="dxa"/>
            <w:tcBorders>
              <w:top w:val="single" w:color="auto" w:sz="4" w:space="0"/>
              <w:left w:val="single" w:color="auto" w:sz="4" w:space="0"/>
              <w:bottom w:val="single" w:color="auto" w:sz="4" w:space="0"/>
              <w:right w:val="single" w:color="auto" w:sz="4" w:space="0"/>
            </w:tcBorders>
            <w:noWrap w:val="0"/>
            <w:vAlign w:val="center"/>
          </w:tcPr>
          <w:p w14:paraId="63E1E01A">
            <w:pPr>
              <w:pageBreakBefore w:val="0"/>
              <w:kinsoku/>
              <w:wordWrap w:val="0"/>
              <w:overflowPunct/>
              <w:bidi w:val="0"/>
              <w:spacing w:line="440" w:lineRule="exact"/>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中标候选人公示媒介及期限</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326B7EB2">
            <w:pPr>
              <w:keepNext w:val="0"/>
              <w:keepLines w:val="0"/>
              <w:pageBreakBefore w:val="0"/>
              <w:widowControl w:val="0"/>
              <w:kinsoku/>
              <w:wordWrap w:val="0"/>
              <w:overflowPunct/>
              <w:topLinePunct w:val="0"/>
              <w:autoSpaceDE/>
              <w:autoSpaceDN/>
              <w:bidi w:val="0"/>
              <w:adjustRightInd/>
              <w:snapToGrid/>
              <w:spacing w:line="360" w:lineRule="atLeas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公示媒介：同发布招标公告媒介</w:t>
            </w:r>
          </w:p>
          <w:p w14:paraId="51ED97CC">
            <w:pPr>
              <w:keepNext w:val="0"/>
              <w:keepLines w:val="0"/>
              <w:pageBreakBefore w:val="0"/>
              <w:widowControl w:val="0"/>
              <w:kinsoku/>
              <w:wordWrap w:val="0"/>
              <w:overflowPunct/>
              <w:topLinePunct w:val="0"/>
              <w:autoSpaceDE/>
              <w:autoSpaceDN/>
              <w:bidi w:val="0"/>
              <w:adjustRightInd/>
              <w:snapToGrid/>
              <w:spacing w:line="440" w:lineRule="exac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公示期限：</w:t>
            </w:r>
            <w:r>
              <w:rPr>
                <w:rFonts w:hint="default" w:ascii="Times New Roman" w:hAnsi="Times New Roman" w:cs="Times New Roman"/>
                <w:color w:val="auto"/>
                <w:sz w:val="24"/>
                <w:szCs w:val="24"/>
                <w:highlight w:val="none"/>
                <w:u w:val="single"/>
              </w:rPr>
              <w:t>不少于3</w:t>
            </w:r>
            <w:r>
              <w:rPr>
                <w:rFonts w:hint="eastAsia" w:cs="Times New Roman"/>
                <w:color w:val="auto"/>
                <w:sz w:val="24"/>
                <w:szCs w:val="24"/>
                <w:highlight w:val="none"/>
                <w:u w:val="single"/>
                <w:lang w:val="en-US" w:eastAsia="zh-CN"/>
              </w:rPr>
              <w:t xml:space="preserve"> </w:t>
            </w:r>
            <w:r>
              <w:rPr>
                <w:rFonts w:hint="default" w:ascii="Times New Roman" w:hAnsi="Times New Roman" w:cs="Times New Roman"/>
                <w:color w:val="auto"/>
                <w:sz w:val="24"/>
                <w:szCs w:val="24"/>
                <w:highlight w:val="none"/>
              </w:rPr>
              <w:t>日</w:t>
            </w:r>
          </w:p>
          <w:p w14:paraId="0AFBAAEE">
            <w:pPr>
              <w:keepNext w:val="0"/>
              <w:keepLines w:val="0"/>
              <w:pageBreakBefore w:val="0"/>
              <w:widowControl w:val="0"/>
              <w:kinsoku/>
              <w:wordWrap w:val="0"/>
              <w:overflowPunct/>
              <w:topLinePunct w:val="0"/>
              <w:autoSpaceDE/>
              <w:autoSpaceDN/>
              <w:bidi w:val="0"/>
              <w:adjustRightInd/>
              <w:snapToGrid/>
              <w:spacing w:line="440" w:lineRule="exac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公示的其他内容：</w:t>
            </w:r>
          </w:p>
          <w:p w14:paraId="20F9D374">
            <w:pPr>
              <w:keepNext w:val="0"/>
              <w:keepLines w:val="0"/>
              <w:pageBreakBefore w:val="0"/>
              <w:widowControl w:val="0"/>
              <w:kinsoku/>
              <w:wordWrap w:val="0"/>
              <w:overflowPunct/>
              <w:topLinePunct w:val="0"/>
              <w:autoSpaceDE/>
              <w:autoSpaceDN/>
              <w:bidi w:val="0"/>
              <w:adjustRightInd/>
              <w:snapToGrid/>
              <w:spacing w:line="440" w:lineRule="exact"/>
              <w:textAlignment w:val="auto"/>
              <w:rPr>
                <w:rFonts w:hint="default" w:ascii="Times New Roman" w:hAnsi="Times New Roman" w:cs="Times New Roman"/>
                <w:color w:val="auto"/>
                <w:sz w:val="24"/>
                <w:szCs w:val="24"/>
                <w:highlight w:val="none"/>
                <w:u w:val="single"/>
              </w:rPr>
            </w:pPr>
            <w:r>
              <w:rPr>
                <w:rFonts w:hint="eastAsia"/>
                <w:color w:val="auto"/>
                <w:sz w:val="24"/>
                <w:highlight w:val="none"/>
                <w:lang w:eastAsia="zh-CN"/>
              </w:rPr>
              <w:t>□</w:t>
            </w:r>
            <w:r>
              <w:rPr>
                <w:rFonts w:hint="default" w:ascii="Times New Roman" w:hAnsi="Times New Roman" w:cs="Times New Roman"/>
                <w:color w:val="auto"/>
                <w:sz w:val="24"/>
                <w:szCs w:val="24"/>
                <w:highlight w:val="none"/>
                <w:u w:val="single"/>
              </w:rPr>
              <w:t>详细评审的评标委员会成员打分</w:t>
            </w:r>
          </w:p>
          <w:p w14:paraId="1212A435">
            <w:pPr>
              <w:keepNext w:val="0"/>
              <w:keepLines w:val="0"/>
              <w:pageBreakBefore w:val="0"/>
              <w:widowControl w:val="0"/>
              <w:kinsoku/>
              <w:wordWrap w:val="0"/>
              <w:overflowPunct/>
              <w:topLinePunct w:val="0"/>
              <w:autoSpaceDE/>
              <w:autoSpaceDN/>
              <w:bidi w:val="0"/>
              <w:adjustRightInd/>
              <w:snapToGrid/>
              <w:spacing w:line="440" w:lineRule="exact"/>
              <w:textAlignment w:val="auto"/>
              <w:rPr>
                <w:rFonts w:hint="default" w:ascii="Times New Roman" w:hAnsi="Times New Roman" w:cs="Times New Roman"/>
                <w:color w:val="auto"/>
                <w:sz w:val="24"/>
                <w:szCs w:val="24"/>
                <w:highlight w:val="none"/>
              </w:rPr>
            </w:pPr>
            <w:r>
              <w:rPr>
                <w:rFonts w:hint="eastAsia"/>
                <w:color w:val="auto"/>
                <w:sz w:val="24"/>
                <w:highlight w:val="none"/>
                <w:lang w:eastAsia="zh-CN"/>
              </w:rPr>
              <w:t>□</w:t>
            </w:r>
            <w:r>
              <w:rPr>
                <w:rFonts w:hint="default" w:ascii="Times New Roman" w:hAnsi="Times New Roman" w:cs="Times New Roman"/>
                <w:color w:val="auto"/>
                <w:sz w:val="24"/>
                <w:szCs w:val="24"/>
                <w:highlight w:val="none"/>
                <w:u w:val="single"/>
              </w:rPr>
              <w:t>受理异议和投诉的联系方式</w:t>
            </w:r>
          </w:p>
          <w:p w14:paraId="3781BBDA">
            <w:pPr>
              <w:keepNext w:val="0"/>
              <w:keepLines w:val="0"/>
              <w:pageBreakBefore w:val="0"/>
              <w:widowControl w:val="0"/>
              <w:kinsoku/>
              <w:wordWrap w:val="0"/>
              <w:overflowPunct/>
              <w:topLinePunct w:val="0"/>
              <w:autoSpaceDE/>
              <w:autoSpaceDN/>
              <w:bidi w:val="0"/>
              <w:adjustRightInd/>
              <w:snapToGrid/>
              <w:spacing w:line="440" w:lineRule="exact"/>
              <w:textAlignment w:val="auto"/>
              <w:rPr>
                <w:rFonts w:hint="default" w:ascii="Times New Roman" w:hAnsi="Times New Roman" w:eastAsia="宋体" w:cs="Times New Roman"/>
                <w:color w:val="auto"/>
                <w:sz w:val="24"/>
                <w:szCs w:val="24"/>
                <w:highlight w:val="none"/>
                <w:u w:val="single"/>
                <w:lang w:val="en-US" w:eastAsia="zh-CN"/>
              </w:rPr>
            </w:pPr>
            <w:r>
              <w:rPr>
                <w:rFonts w:hint="eastAsia"/>
                <w:color w:val="auto"/>
                <w:sz w:val="24"/>
                <w:highlight w:val="none"/>
                <w:lang w:eastAsia="zh-CN"/>
              </w:rPr>
              <w:t>□</w:t>
            </w:r>
            <w:r>
              <w:rPr>
                <w:rFonts w:hint="eastAsia" w:cs="Times New Roman"/>
                <w:color w:val="auto"/>
                <w:sz w:val="24"/>
                <w:szCs w:val="24"/>
                <w:highlight w:val="none"/>
                <w:u w:val="single"/>
                <w:lang w:val="en-US" w:eastAsia="zh-CN"/>
              </w:rPr>
              <w:t xml:space="preserve">   /   </w:t>
            </w:r>
          </w:p>
          <w:p w14:paraId="65BCCD46">
            <w:pPr>
              <w:keepNext w:val="0"/>
              <w:keepLines w:val="0"/>
              <w:pageBreakBefore w:val="0"/>
              <w:widowControl w:val="0"/>
              <w:kinsoku/>
              <w:wordWrap w:val="0"/>
              <w:overflowPunct/>
              <w:topLinePunct w:val="0"/>
              <w:autoSpaceDE/>
              <w:autoSpaceDN/>
              <w:bidi w:val="0"/>
              <w:adjustRightInd/>
              <w:snapToGrid/>
              <w:spacing w:line="440" w:lineRule="exac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u w:val="none"/>
              </w:rPr>
              <w:t>如发现投标人存在弄虚作假行为，招标人将取消其中标候选人资格，并上报省级交通主管部门，作为不良记录纳入</w:t>
            </w:r>
            <w:r>
              <w:rPr>
                <w:rFonts w:hint="eastAsia" w:cs="Times New Roman"/>
                <w:color w:val="auto"/>
                <w:sz w:val="24"/>
                <w:szCs w:val="24"/>
                <w:highlight w:val="none"/>
                <w:u w:val="none"/>
                <w:lang w:eastAsia="zh-CN"/>
              </w:rPr>
              <w:t>全国公路建设市场监督管理系统</w:t>
            </w:r>
            <w:r>
              <w:rPr>
                <w:rFonts w:hint="default" w:ascii="Times New Roman" w:hAnsi="Times New Roman" w:cs="Times New Roman"/>
                <w:color w:val="auto"/>
                <w:sz w:val="24"/>
                <w:szCs w:val="24"/>
                <w:highlight w:val="none"/>
                <w:u w:val="none"/>
              </w:rPr>
              <w:t>。</w:t>
            </w:r>
          </w:p>
        </w:tc>
      </w:tr>
      <w:tr w14:paraId="68F6C322">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62420E92">
            <w:pPr>
              <w:pageBreakBefore w:val="0"/>
              <w:kinsoku/>
              <w:wordWrap w:val="0"/>
              <w:bidi w:val="0"/>
              <w:spacing w:line="440" w:lineRule="exact"/>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rPr>
              <w:t>7.4</w:t>
            </w:r>
            <w:r>
              <w:rPr>
                <w:rFonts w:hint="eastAsia" w:cs="Times New Roman"/>
                <w:color w:val="auto"/>
                <w:sz w:val="24"/>
                <w:szCs w:val="24"/>
                <w:highlight w:val="none"/>
                <w:lang w:val="en-US" w:eastAsia="zh-CN"/>
              </w:rPr>
              <w:t>.1</w:t>
            </w:r>
          </w:p>
        </w:tc>
        <w:tc>
          <w:tcPr>
            <w:tcW w:w="2779" w:type="dxa"/>
            <w:tcBorders>
              <w:top w:val="single" w:color="auto" w:sz="4" w:space="0"/>
              <w:left w:val="single" w:color="auto" w:sz="4" w:space="0"/>
              <w:bottom w:val="single" w:color="auto" w:sz="4" w:space="0"/>
              <w:right w:val="single" w:color="auto" w:sz="4" w:space="0"/>
            </w:tcBorders>
            <w:noWrap w:val="0"/>
            <w:vAlign w:val="center"/>
          </w:tcPr>
          <w:p w14:paraId="3D01A706">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是否授权评标委员会确定中标人</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0461DE1B">
            <w:pPr>
              <w:pageBreakBefore w:val="0"/>
              <w:kinsoku/>
              <w:wordWrap w:val="0"/>
              <w:bidi w:val="0"/>
              <w:spacing w:line="440" w:lineRule="exact"/>
              <w:rPr>
                <w:rFonts w:hint="default" w:ascii="Times New Roman" w:hAnsi="Times New Roman" w:cs="Times New Roman"/>
                <w:color w:val="auto"/>
                <w:sz w:val="24"/>
                <w:szCs w:val="24"/>
                <w:highlight w:val="none"/>
              </w:rPr>
            </w:pPr>
            <w:r>
              <w:rPr>
                <w:rFonts w:hint="eastAsia"/>
                <w:color w:val="auto"/>
                <w:sz w:val="24"/>
                <w:highlight w:val="none"/>
                <w:lang w:eastAsia="zh-CN"/>
              </w:rPr>
              <w:t>□</w:t>
            </w:r>
            <w:r>
              <w:rPr>
                <w:rFonts w:hint="default" w:ascii="Times New Roman" w:hAnsi="Times New Roman" w:cs="Times New Roman"/>
                <w:color w:val="auto"/>
                <w:sz w:val="24"/>
                <w:szCs w:val="24"/>
                <w:highlight w:val="none"/>
              </w:rPr>
              <w:t>是</w:t>
            </w:r>
          </w:p>
          <w:p w14:paraId="65690AA5">
            <w:pPr>
              <w:pageBreakBefore w:val="0"/>
              <w:kinsoku/>
              <w:wordWrap w:val="0"/>
              <w:bidi w:val="0"/>
              <w:snapToGrid w:val="0"/>
              <w:spacing w:line="440" w:lineRule="exact"/>
              <w:rPr>
                <w:rFonts w:hint="default" w:ascii="Times New Roman" w:hAnsi="Times New Roman" w:cs="Times New Roman"/>
                <w:color w:val="auto"/>
                <w:sz w:val="24"/>
                <w:szCs w:val="24"/>
                <w:highlight w:val="none"/>
              </w:rPr>
            </w:pPr>
            <w:r>
              <w:rPr>
                <w:rFonts w:hint="eastAsia"/>
                <w:color w:val="auto"/>
                <w:sz w:val="24"/>
                <w:highlight w:val="none"/>
                <w:lang w:eastAsia="zh-CN"/>
              </w:rPr>
              <w:t>☑</w:t>
            </w:r>
            <w:r>
              <w:rPr>
                <w:rFonts w:hint="default" w:ascii="Times New Roman" w:hAnsi="Times New Roman" w:cs="Times New Roman"/>
                <w:color w:val="auto"/>
                <w:sz w:val="24"/>
                <w:szCs w:val="24"/>
                <w:highlight w:val="none"/>
              </w:rPr>
              <w:t>否</w:t>
            </w:r>
          </w:p>
        </w:tc>
      </w:tr>
      <w:tr w14:paraId="6A0BC3F6">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121C2546">
            <w:pPr>
              <w:pageBreakBefore w:val="0"/>
              <w:kinsoku/>
              <w:wordWrap w:val="0"/>
              <w:bidi w:val="0"/>
              <w:spacing w:line="440" w:lineRule="exact"/>
              <w:jc w:val="center"/>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7.4.2</w:t>
            </w:r>
          </w:p>
        </w:tc>
        <w:tc>
          <w:tcPr>
            <w:tcW w:w="2779" w:type="dxa"/>
            <w:tcBorders>
              <w:top w:val="single" w:color="auto" w:sz="4" w:space="0"/>
              <w:left w:val="single" w:color="auto" w:sz="4" w:space="0"/>
              <w:bottom w:val="single" w:color="auto" w:sz="4" w:space="0"/>
              <w:right w:val="single" w:color="auto" w:sz="4" w:space="0"/>
            </w:tcBorders>
            <w:noWrap w:val="0"/>
            <w:vAlign w:val="center"/>
          </w:tcPr>
          <w:p w14:paraId="2A18B24E">
            <w:pPr>
              <w:pageBreakBefore w:val="0"/>
              <w:kinsoku/>
              <w:wordWrap w:val="0"/>
              <w:bidi w:val="0"/>
              <w:spacing w:line="440" w:lineRule="exact"/>
              <w:jc w:val="center"/>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定标规则</w:t>
            </w:r>
            <w:r>
              <w:rPr>
                <w:rStyle w:val="48"/>
                <w:rFonts w:hint="eastAsia" w:cs="Times New Roman"/>
                <w:color w:val="auto"/>
                <w:sz w:val="24"/>
                <w:szCs w:val="24"/>
                <w:highlight w:val="none"/>
                <w:lang w:val="en-US" w:eastAsia="zh-CN"/>
              </w:rPr>
              <w:footnoteReference w:id="5"/>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49C25DDD">
            <w:pPr>
              <w:pageBreakBefore w:val="0"/>
              <w:kinsoku/>
              <w:wordWrap w:val="0"/>
              <w:bidi w:val="0"/>
              <w:snapToGrid w:val="0"/>
              <w:spacing w:line="440" w:lineRule="exact"/>
              <w:rPr>
                <w:rFonts w:hint="default"/>
                <w:color w:val="auto"/>
                <w:sz w:val="24"/>
                <w:highlight w:val="none"/>
                <w:lang w:val="en-US" w:eastAsia="zh-CN"/>
              </w:rPr>
            </w:pPr>
            <w:r>
              <w:rPr>
                <w:rFonts w:hint="eastAsia" w:ascii="宋体" w:hAnsi="宋体" w:eastAsia="宋体" w:cs="宋体"/>
                <w:color w:val="auto"/>
                <w:sz w:val="24"/>
                <w:highlight w:val="none"/>
                <w:lang w:val="en-US" w:eastAsia="zh-CN"/>
              </w:rPr>
              <w:t>招标人根据</w:t>
            </w:r>
            <w:r>
              <w:rPr>
                <w:rFonts w:hint="eastAsia" w:ascii="宋体" w:hAnsi="宋体" w:eastAsia="宋体" w:cs="宋体"/>
                <w:color w:val="auto"/>
                <w:sz w:val="24"/>
                <w:szCs w:val="24"/>
                <w:highlight w:val="none"/>
              </w:rPr>
              <w:t>评标委员会</w:t>
            </w:r>
            <w:r>
              <w:rPr>
                <w:rFonts w:hint="eastAsia" w:ascii="宋体" w:hAnsi="宋体" w:eastAsia="宋体" w:cs="宋体"/>
                <w:color w:val="auto"/>
                <w:sz w:val="24"/>
                <w:highlight w:val="none"/>
                <w:lang w:val="en-US" w:eastAsia="zh-CN"/>
              </w:rPr>
              <w:t>推荐的中标候选人排序，‌确定排名第一的中标候选人为中标人‌‌‌。</w:t>
            </w:r>
          </w:p>
        </w:tc>
      </w:tr>
      <w:tr w14:paraId="6E90C3FC">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20AAA3B8">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7.5</w:t>
            </w:r>
          </w:p>
        </w:tc>
        <w:tc>
          <w:tcPr>
            <w:tcW w:w="2779" w:type="dxa"/>
            <w:tcBorders>
              <w:top w:val="single" w:color="auto" w:sz="4" w:space="0"/>
              <w:left w:val="single" w:color="auto" w:sz="4" w:space="0"/>
              <w:bottom w:val="single" w:color="auto" w:sz="4" w:space="0"/>
              <w:right w:val="single" w:color="auto" w:sz="4" w:space="0"/>
            </w:tcBorders>
            <w:noWrap w:val="0"/>
            <w:vAlign w:val="center"/>
          </w:tcPr>
          <w:p w14:paraId="431F10A0">
            <w:pPr>
              <w:pageBreakBefore w:val="0"/>
              <w:kinsoku/>
              <w:wordWrap w:val="0"/>
              <w:overflowPunct/>
              <w:bidi w:val="0"/>
              <w:spacing w:line="440" w:lineRule="exact"/>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中标通知书的形式</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20D94815">
            <w:pPr>
              <w:pageBreakBefore w:val="0"/>
              <w:kinsoku/>
              <w:wordWrap w:val="0"/>
              <w:bidi w:val="0"/>
              <w:spacing w:line="440" w:lineRule="exact"/>
              <w:rPr>
                <w:rFonts w:hint="default" w:ascii="Times New Roman" w:hAnsi="Times New Roman" w:eastAsia="宋体" w:cs="Times New Roman"/>
                <w:color w:val="auto"/>
                <w:sz w:val="24"/>
                <w:szCs w:val="24"/>
                <w:highlight w:val="none"/>
                <w:lang w:val="en-US" w:eastAsia="zh-CN"/>
              </w:rPr>
            </w:pPr>
            <w:r>
              <w:rPr>
                <w:rFonts w:hint="eastAsia"/>
                <w:color w:val="auto"/>
                <w:sz w:val="24"/>
                <w:highlight w:val="none"/>
                <w:lang w:eastAsia="zh-CN"/>
              </w:rPr>
              <w:t>☑</w:t>
            </w:r>
            <w:r>
              <w:rPr>
                <w:rFonts w:hint="default" w:ascii="Times New Roman" w:hAnsi="Times New Roman" w:cs="Times New Roman"/>
                <w:color w:val="auto"/>
                <w:sz w:val="24"/>
                <w:szCs w:val="24"/>
                <w:highlight w:val="none"/>
                <w:lang w:val="en-US" w:eastAsia="zh-CN"/>
              </w:rPr>
              <w:t>书面形式</w:t>
            </w:r>
          </w:p>
          <w:p w14:paraId="61F5B63E">
            <w:pPr>
              <w:pageBreakBefore w:val="0"/>
              <w:kinsoku/>
              <w:wordWrap w:val="0"/>
              <w:overflowPunct/>
              <w:bidi w:val="0"/>
              <w:spacing w:line="440" w:lineRule="exact"/>
              <w:rPr>
                <w:rFonts w:hint="default" w:ascii="Times New Roman" w:hAnsi="Times New Roman" w:eastAsia="宋体" w:cs="Times New Roman"/>
                <w:color w:val="auto"/>
                <w:kern w:val="2"/>
                <w:sz w:val="24"/>
                <w:szCs w:val="24"/>
                <w:highlight w:val="none"/>
                <w:lang w:val="en-US" w:eastAsia="zh-CN" w:bidi="ar-SA"/>
              </w:rPr>
            </w:pPr>
            <w:r>
              <w:rPr>
                <w:rFonts w:hint="eastAsia"/>
                <w:color w:val="auto"/>
                <w:sz w:val="24"/>
                <w:highlight w:val="none"/>
                <w:lang w:eastAsia="zh-CN"/>
              </w:rPr>
              <w:t>□</w:t>
            </w:r>
            <w:r>
              <w:rPr>
                <w:rFonts w:hint="default" w:ascii="Times New Roman" w:hAnsi="Times New Roman" w:cs="Times New Roman"/>
                <w:color w:val="auto"/>
                <w:sz w:val="24"/>
                <w:szCs w:val="24"/>
                <w:highlight w:val="none"/>
                <w:lang w:val="en-US" w:eastAsia="zh-CN"/>
              </w:rPr>
              <w:t>电子形式：</w:t>
            </w:r>
          </w:p>
        </w:tc>
      </w:tr>
      <w:tr w14:paraId="6A22294F">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25E0CB23">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7.6</w:t>
            </w:r>
          </w:p>
        </w:tc>
        <w:tc>
          <w:tcPr>
            <w:tcW w:w="2779" w:type="dxa"/>
            <w:tcBorders>
              <w:top w:val="single" w:color="auto" w:sz="4" w:space="0"/>
              <w:left w:val="single" w:color="auto" w:sz="4" w:space="0"/>
              <w:bottom w:val="single" w:color="auto" w:sz="4" w:space="0"/>
              <w:right w:val="single" w:color="auto" w:sz="4" w:space="0"/>
            </w:tcBorders>
            <w:noWrap w:val="0"/>
            <w:vAlign w:val="center"/>
          </w:tcPr>
          <w:p w14:paraId="3B2F0853">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中标结果公告媒介及期限</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1BE70171">
            <w:pPr>
              <w:pageBreakBefore w:val="0"/>
              <w:kinsoku/>
              <w:wordWrap w:val="0"/>
              <w:bidi w:val="0"/>
              <w:spacing w:line="440" w:lineRule="exac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公告媒介：同发布招标公告媒介</w:t>
            </w:r>
          </w:p>
          <w:p w14:paraId="7BCC0869">
            <w:pPr>
              <w:pageBreakBefore w:val="0"/>
              <w:kinsoku/>
              <w:wordWrap w:val="0"/>
              <w:bidi w:val="0"/>
              <w:spacing w:line="440" w:lineRule="exac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公告期限：</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1</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tc>
      </w:tr>
      <w:tr w14:paraId="58943427">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10C2CEBF">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7.7.1</w:t>
            </w:r>
          </w:p>
        </w:tc>
        <w:tc>
          <w:tcPr>
            <w:tcW w:w="2779" w:type="dxa"/>
            <w:tcBorders>
              <w:top w:val="single" w:color="auto" w:sz="4" w:space="0"/>
              <w:left w:val="single" w:color="auto" w:sz="4" w:space="0"/>
              <w:bottom w:val="single" w:color="auto" w:sz="4" w:space="0"/>
              <w:right w:val="single" w:color="auto" w:sz="4" w:space="0"/>
            </w:tcBorders>
            <w:noWrap w:val="0"/>
            <w:vAlign w:val="center"/>
          </w:tcPr>
          <w:p w14:paraId="647F904F">
            <w:pPr>
              <w:spacing w:line="440" w:lineRule="exact"/>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履约保证金</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38F13FA8">
            <w:pPr>
              <w:pStyle w:val="16"/>
              <w:topLinePunct/>
              <w:spacing w:line="440" w:lineRule="exac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是否要求中标人提交履约保证金：</w:t>
            </w:r>
          </w:p>
          <w:p w14:paraId="0AA6AAF6">
            <w:pPr>
              <w:pStyle w:val="16"/>
              <w:keepNext w:val="0"/>
              <w:keepLines w:val="0"/>
              <w:pageBreakBefore w:val="0"/>
              <w:widowControl w:val="0"/>
              <w:kinsoku/>
              <w:wordWrap w:val="0"/>
              <w:overflowPunct/>
              <w:topLinePunct/>
              <w:autoSpaceDE/>
              <w:autoSpaceDN/>
              <w:bidi w:val="0"/>
              <w:adjustRightInd/>
              <w:snapToGrid/>
              <w:spacing w:line="440" w:lineRule="exact"/>
              <w:textAlignment w:val="auto"/>
              <w:rPr>
                <w:rFonts w:hint="default" w:ascii="Times New Roman" w:hAnsi="Times New Roman" w:cs="Times New Roman"/>
                <w:color w:val="auto"/>
                <w:sz w:val="24"/>
                <w:szCs w:val="24"/>
                <w:highlight w:val="none"/>
              </w:rPr>
            </w:pPr>
            <w:r>
              <w:rPr>
                <w:rFonts w:hint="eastAsia"/>
                <w:color w:val="auto"/>
                <w:sz w:val="24"/>
                <w:highlight w:val="none"/>
                <w:lang w:eastAsia="zh-CN"/>
              </w:rPr>
              <w:t>□</w:t>
            </w:r>
            <w:r>
              <w:rPr>
                <w:rFonts w:hint="default" w:ascii="Times New Roman" w:hAnsi="Times New Roman" w:cs="Times New Roman"/>
                <w:color w:val="auto"/>
                <w:sz w:val="24"/>
                <w:szCs w:val="24"/>
                <w:highlight w:val="none"/>
              </w:rPr>
              <w:t>要求，履约保证金的形式：</w:t>
            </w:r>
            <w:r>
              <w:rPr>
                <w:rFonts w:hint="default" w:ascii="Times New Roman" w:hAnsi="Times New Roman" w:cs="Times New Roman"/>
                <w:color w:val="auto"/>
                <w:sz w:val="24"/>
                <w:szCs w:val="24"/>
                <w:highlight w:val="none"/>
                <w:u w:val="single"/>
                <w:lang w:val="en-US" w:eastAsia="zh-CN"/>
              </w:rPr>
              <w:t xml:space="preserve">    </w:t>
            </w:r>
            <w:r>
              <w:rPr>
                <w:rStyle w:val="48"/>
                <w:rFonts w:hint="default" w:ascii="Times New Roman" w:hAnsi="Times New Roman" w:cs="Times New Roman"/>
                <w:color w:val="auto"/>
                <w:sz w:val="24"/>
                <w:szCs w:val="24"/>
                <w:highlight w:val="none"/>
              </w:rPr>
              <w:footnoteReference w:id="6"/>
            </w:r>
          </w:p>
          <w:p w14:paraId="7756E7AC">
            <w:pPr>
              <w:wordWrap w:val="0"/>
              <w:spacing w:line="440" w:lineRule="exact"/>
              <w:ind w:firstLine="480" w:firstLineChars="200"/>
              <w:rPr>
                <w:color w:val="auto"/>
                <w:sz w:val="24"/>
                <w:highlight w:val="none"/>
              </w:rPr>
            </w:pPr>
            <w:r>
              <w:rPr>
                <w:color w:val="auto"/>
                <w:sz w:val="24"/>
                <w:highlight w:val="none"/>
              </w:rPr>
              <w:t>履约保证金的金额：</w:t>
            </w:r>
            <w:r>
              <w:rPr>
                <w:color w:val="auto"/>
                <w:sz w:val="24"/>
                <w:highlight w:val="none"/>
                <w:u w:val="none"/>
              </w:rPr>
              <w:t xml:space="preserve"> </w:t>
            </w:r>
            <w:r>
              <w:rPr>
                <w:rFonts w:hint="eastAsia"/>
                <w:color w:val="auto"/>
                <w:sz w:val="24"/>
                <w:highlight w:val="none"/>
                <w:lang w:val="en-US" w:eastAsia="zh-CN"/>
              </w:rPr>
              <w:t xml:space="preserve">    </w:t>
            </w:r>
            <w:r>
              <w:rPr>
                <w:rStyle w:val="48"/>
                <w:rFonts w:hint="default" w:ascii="Times New Roman" w:hAnsi="Times New Roman" w:cs="Times New Roman"/>
                <w:color w:val="auto"/>
                <w:sz w:val="24"/>
                <w:szCs w:val="24"/>
                <w:highlight w:val="none"/>
              </w:rPr>
              <w:footnoteReference w:id="7"/>
            </w:r>
          </w:p>
          <w:p w14:paraId="351EB9CD">
            <w:pPr>
              <w:wordWrap w:val="0"/>
              <w:spacing w:line="440" w:lineRule="exact"/>
              <w:ind w:firstLine="448" w:firstLineChars="200"/>
              <w:rPr>
                <w:color w:val="auto"/>
                <w:sz w:val="24"/>
                <w:highlight w:val="none"/>
                <w:u w:val="single"/>
              </w:rPr>
            </w:pPr>
            <w:r>
              <w:rPr>
                <w:color w:val="auto"/>
                <w:spacing w:val="-8"/>
                <w:sz w:val="24"/>
                <w:highlight w:val="none"/>
              </w:rPr>
              <w:t>采用银行保函时，出具保函的银行级别</w:t>
            </w:r>
            <w:r>
              <w:rPr>
                <w:color w:val="auto"/>
                <w:sz w:val="24"/>
                <w:highlight w:val="none"/>
              </w:rPr>
              <w:t>：</w:t>
            </w:r>
            <w:r>
              <w:rPr>
                <w:color w:val="auto"/>
                <w:sz w:val="24"/>
                <w:highlight w:val="none"/>
                <w:u w:val="single"/>
              </w:rPr>
              <w:t xml:space="preserve">  </w:t>
            </w:r>
          </w:p>
          <w:p w14:paraId="1F74BFB6">
            <w:pPr>
              <w:wordWrap w:val="0"/>
              <w:spacing w:line="440" w:lineRule="exact"/>
              <w:ind w:firstLine="480" w:firstLineChars="200"/>
              <w:rPr>
                <w:rFonts w:hint="eastAsia"/>
                <w:color w:val="auto"/>
                <w:sz w:val="24"/>
                <w:highlight w:val="none"/>
                <w:u w:val="single"/>
                <w:lang w:val="en-US" w:eastAsia="zh-CN"/>
              </w:rPr>
            </w:pPr>
            <w:r>
              <w:rPr>
                <w:rFonts w:hint="eastAsia"/>
                <w:color w:val="auto"/>
                <w:sz w:val="24"/>
                <w:highlight w:val="none"/>
                <w:u w:val="none"/>
                <w:lang w:val="en-US" w:eastAsia="zh-CN"/>
              </w:rPr>
              <w:t>采用电子保函：</w:t>
            </w:r>
            <w:r>
              <w:rPr>
                <w:rFonts w:hint="eastAsia"/>
                <w:color w:val="auto"/>
                <w:sz w:val="24"/>
                <w:highlight w:val="none"/>
                <w:u w:val="single"/>
                <w:lang w:val="en-US" w:eastAsia="zh-CN"/>
              </w:rPr>
              <w:t xml:space="preserve">                 </w:t>
            </w:r>
          </w:p>
          <w:p w14:paraId="7BF1848F">
            <w:pPr>
              <w:keepNext w:val="0"/>
              <w:keepLines w:val="0"/>
              <w:pageBreakBefore w:val="0"/>
              <w:widowControl w:val="0"/>
              <w:kinsoku/>
              <w:wordWrap w:val="0"/>
              <w:overflowPunct/>
              <w:autoSpaceDE/>
              <w:autoSpaceDN/>
              <w:bidi w:val="0"/>
              <w:adjustRightInd/>
              <w:snapToGrid/>
              <w:spacing w:line="440" w:lineRule="exact"/>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color w:val="auto"/>
                <w:sz w:val="24"/>
                <w:highlight w:val="none"/>
                <w:lang w:eastAsia="zh-CN"/>
              </w:rPr>
              <w:t>☑</w:t>
            </w:r>
            <w:r>
              <w:rPr>
                <w:rFonts w:hint="default" w:ascii="Times New Roman" w:hAnsi="Times New Roman" w:cs="Times New Roman"/>
                <w:color w:val="auto"/>
                <w:sz w:val="24"/>
                <w:szCs w:val="24"/>
                <w:highlight w:val="none"/>
              </w:rPr>
              <w:t>不要求</w:t>
            </w:r>
          </w:p>
        </w:tc>
      </w:tr>
      <w:tr w14:paraId="29BC03A2">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35D27AD5">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8.5.1</w:t>
            </w:r>
          </w:p>
        </w:tc>
        <w:tc>
          <w:tcPr>
            <w:tcW w:w="2779" w:type="dxa"/>
            <w:tcBorders>
              <w:top w:val="single" w:color="auto" w:sz="4" w:space="0"/>
              <w:left w:val="single" w:color="auto" w:sz="4" w:space="0"/>
              <w:bottom w:val="single" w:color="auto" w:sz="4" w:space="0"/>
              <w:right w:val="single" w:color="auto" w:sz="4" w:space="0"/>
            </w:tcBorders>
            <w:noWrap w:val="0"/>
            <w:vAlign w:val="center"/>
          </w:tcPr>
          <w:p w14:paraId="2F129A52">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监督部门</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77BFC95F">
            <w:pPr>
              <w:pageBreakBefore w:val="0"/>
              <w:kinsoku/>
              <w:wordWrap w:val="0"/>
              <w:bidi w:val="0"/>
              <w:spacing w:line="440" w:lineRule="exact"/>
              <w:rPr>
                <w:rFonts w:hint="eastAsia" w:ascii="Times New Roman" w:hAnsi="Times New Roman" w:eastAsia="宋体" w:cs="Times New Roman"/>
                <w:color w:val="auto"/>
                <w:sz w:val="24"/>
                <w:szCs w:val="24"/>
                <w:highlight w:val="none"/>
                <w:u w:val="single"/>
                <w:lang w:eastAsia="zh-CN"/>
              </w:rPr>
            </w:pPr>
            <w:r>
              <w:rPr>
                <w:rFonts w:hint="default" w:ascii="Times New Roman" w:hAnsi="Times New Roman" w:cs="Times New Roman"/>
                <w:color w:val="auto"/>
                <w:sz w:val="24"/>
                <w:szCs w:val="24"/>
                <w:highlight w:val="none"/>
              </w:rPr>
              <w:t>监督部门</w:t>
            </w:r>
            <w:r>
              <w:rPr>
                <w:rFonts w:hint="default" w:ascii="Times New Roman" w:hAnsi="Times New Roman" w:cs="Times New Roman"/>
                <w:color w:val="auto"/>
                <w:sz w:val="24"/>
                <w:szCs w:val="24"/>
                <w:highlight w:val="none"/>
                <w:shd w:val="clear"/>
              </w:rPr>
              <w:t>：</w:t>
            </w:r>
            <w:r>
              <w:rPr>
                <w:rFonts w:hint="default" w:cs="Times New Roman"/>
                <w:color w:val="auto"/>
                <w:sz w:val="24"/>
                <w:szCs w:val="24"/>
                <w:highlight w:val="none"/>
                <w:u w:val="single"/>
                <w:lang w:eastAsia="zh-CN"/>
              </w:rPr>
              <w:t>盖州市发展和改革局</w:t>
            </w:r>
          </w:p>
          <w:p w14:paraId="14E87CA8">
            <w:pPr>
              <w:pageBreakBefore w:val="0"/>
              <w:kinsoku/>
              <w:wordWrap w:val="0"/>
              <w:bidi w:val="0"/>
              <w:spacing w:line="440" w:lineRule="exact"/>
              <w:rPr>
                <w:rFonts w:hint="eastAsia" w:ascii="Times New Roman" w:hAnsi="Times New Roman" w:eastAsia="宋体" w:cs="Times New Roman"/>
                <w:color w:val="auto"/>
                <w:sz w:val="24"/>
                <w:szCs w:val="24"/>
                <w:highlight w:val="none"/>
                <w:lang w:eastAsia="zh-CN"/>
              </w:rPr>
            </w:pPr>
            <w:r>
              <w:rPr>
                <w:rFonts w:hint="default" w:ascii="Times New Roman" w:hAnsi="Times New Roman" w:cs="Times New Roman"/>
                <w:color w:val="auto"/>
                <w:sz w:val="24"/>
                <w:szCs w:val="24"/>
                <w:highlight w:val="none"/>
              </w:rPr>
              <w:t>地址：</w:t>
            </w:r>
            <w:r>
              <w:rPr>
                <w:rFonts w:hint="default" w:cs="Times New Roman"/>
                <w:color w:val="auto"/>
                <w:sz w:val="24"/>
                <w:szCs w:val="24"/>
                <w:highlight w:val="none"/>
                <w:u w:val="single"/>
                <w:lang w:eastAsia="zh-CN"/>
              </w:rPr>
              <w:t>盖州市市府路2号</w:t>
            </w:r>
          </w:p>
          <w:p w14:paraId="58764E7E">
            <w:pPr>
              <w:pageBreakBefore w:val="0"/>
              <w:kinsoku/>
              <w:wordWrap w:val="0"/>
              <w:bidi w:val="0"/>
              <w:spacing w:line="440" w:lineRule="exact"/>
              <w:rPr>
                <w:rFonts w:hint="default" w:ascii="Times New Roman" w:hAnsi="Times New Roman" w:eastAsia="宋体" w:cs="Times New Roman"/>
                <w:color w:val="auto"/>
                <w:sz w:val="24"/>
                <w:szCs w:val="24"/>
                <w:highlight w:val="none"/>
                <w:u w:val="single"/>
                <w:lang w:val="en-US" w:eastAsia="zh-CN"/>
              </w:rPr>
            </w:pPr>
            <w:r>
              <w:rPr>
                <w:rFonts w:hint="default" w:ascii="Times New Roman" w:hAnsi="Times New Roman" w:cs="Times New Roman"/>
                <w:color w:val="auto"/>
                <w:sz w:val="24"/>
                <w:szCs w:val="24"/>
                <w:highlight w:val="none"/>
              </w:rPr>
              <w:t>电话：</w:t>
            </w:r>
            <w:r>
              <w:rPr>
                <w:rFonts w:hint="eastAsia" w:cs="Times New Roman"/>
                <w:color w:val="auto"/>
                <w:sz w:val="24"/>
                <w:szCs w:val="24"/>
                <w:highlight w:val="none"/>
                <w:u w:val="single"/>
                <w:lang w:val="en-US" w:eastAsia="zh-CN"/>
              </w:rPr>
              <w:t xml:space="preserve">  0417-7696991  </w:t>
            </w:r>
          </w:p>
          <w:p w14:paraId="16C2A3E3">
            <w:pPr>
              <w:pageBreakBefore w:val="0"/>
              <w:kinsoku/>
              <w:wordWrap w:val="0"/>
              <w:bidi w:val="0"/>
              <w:spacing w:line="440" w:lineRule="exac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rPr>
              <w:t>传真：</w:t>
            </w:r>
            <w:r>
              <w:rPr>
                <w:rFonts w:hint="eastAsia" w:cs="Times New Roman"/>
                <w:color w:val="auto"/>
                <w:sz w:val="24"/>
                <w:szCs w:val="24"/>
                <w:highlight w:val="none"/>
                <w:u w:val="single"/>
                <w:lang w:val="en-US" w:eastAsia="zh-CN"/>
              </w:rPr>
              <w:t xml:space="preserve">        /       </w:t>
            </w:r>
          </w:p>
          <w:p w14:paraId="5A70CC13">
            <w:pPr>
              <w:pageBreakBefore w:val="0"/>
              <w:kinsoku/>
              <w:wordWrap w:val="0"/>
              <w:bidi w:val="0"/>
              <w:spacing w:line="440" w:lineRule="exact"/>
              <w:rPr>
                <w:rFonts w:hint="default" w:ascii="Times New Roman" w:hAnsi="Times New Roman" w:eastAsia="宋体" w:cs="Times New Roman"/>
                <w:color w:val="auto"/>
                <w:sz w:val="24"/>
                <w:szCs w:val="24"/>
                <w:highlight w:val="none"/>
                <w:u w:val="single"/>
                <w:lang w:val="en-US" w:eastAsia="zh-CN"/>
              </w:rPr>
            </w:pPr>
            <w:r>
              <w:rPr>
                <w:rFonts w:hint="default" w:ascii="Times New Roman" w:hAnsi="Times New Roman" w:cs="Times New Roman"/>
                <w:color w:val="auto"/>
                <w:sz w:val="24"/>
                <w:szCs w:val="24"/>
                <w:highlight w:val="none"/>
              </w:rPr>
              <w:t>邮政编码：</w:t>
            </w:r>
            <w:r>
              <w:rPr>
                <w:rFonts w:hint="eastAsia" w:cs="Times New Roman"/>
                <w:color w:val="auto"/>
                <w:sz w:val="24"/>
                <w:szCs w:val="24"/>
                <w:highlight w:val="none"/>
                <w:u w:val="single"/>
                <w:lang w:val="en-US" w:eastAsia="zh-CN"/>
              </w:rPr>
              <w:t xml:space="preserve"> 115200 </w:t>
            </w:r>
          </w:p>
          <w:p w14:paraId="5BFFDBFF">
            <w:pPr>
              <w:widowControl w:val="0"/>
              <w:spacing w:line="440" w:lineRule="exact"/>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补充：</w:t>
            </w:r>
          </w:p>
          <w:p w14:paraId="664D27E7">
            <w:pPr>
              <w:widowControl w:val="0"/>
              <w:spacing w:line="440" w:lineRule="exact"/>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行政监督部门按照《招标投标法实施条例》《工程建设项目招标投标活动投诉处理办法》（2013年3月国家发展改革委第23号令修改）、《</w:t>
            </w:r>
            <w:r>
              <w:rPr>
                <w:rFonts w:hint="default" w:ascii="Times New Roman" w:hAnsi="Times New Roman" w:eastAsia="宋体" w:cs="Times New Roman"/>
                <w:color w:val="auto"/>
                <w:kern w:val="2"/>
                <w:sz w:val="24"/>
                <w:szCs w:val="24"/>
                <w:highlight w:val="none"/>
                <w:lang w:val="en-US" w:eastAsia="zh-CN" w:bidi="ar-SA"/>
              </w:rPr>
              <w:fldChar w:fldCharType="begin"/>
            </w:r>
            <w:r>
              <w:rPr>
                <w:rFonts w:hint="default" w:ascii="Times New Roman" w:hAnsi="Times New Roman" w:eastAsia="宋体" w:cs="Times New Roman"/>
                <w:color w:val="auto"/>
                <w:kern w:val="2"/>
                <w:sz w:val="24"/>
                <w:szCs w:val="24"/>
                <w:highlight w:val="none"/>
                <w:lang w:val="en-US" w:eastAsia="zh-CN" w:bidi="ar-SA"/>
              </w:rPr>
              <w:instrText xml:space="preserve"> HYPERLINK "https://www.ndrc.gov.cn/xwdt/tzgg/202102/t20210225_1267906.html" </w:instrText>
            </w:r>
            <w:r>
              <w:rPr>
                <w:rFonts w:hint="default" w:ascii="Times New Roman" w:hAnsi="Times New Roman" w:eastAsia="宋体" w:cs="Times New Roman"/>
                <w:color w:val="auto"/>
                <w:kern w:val="2"/>
                <w:sz w:val="24"/>
                <w:szCs w:val="24"/>
                <w:highlight w:val="none"/>
                <w:lang w:val="en-US" w:eastAsia="zh-CN" w:bidi="ar-SA"/>
              </w:rPr>
              <w:fldChar w:fldCharType="separate"/>
            </w:r>
            <w:r>
              <w:rPr>
                <w:rFonts w:hint="default" w:ascii="Times New Roman" w:hAnsi="Times New Roman" w:eastAsia="宋体" w:cs="Times New Roman"/>
                <w:color w:val="auto"/>
                <w:kern w:val="2"/>
                <w:sz w:val="24"/>
                <w:szCs w:val="24"/>
                <w:highlight w:val="none"/>
                <w:u w:val="none"/>
                <w:lang w:val="en-US" w:eastAsia="zh-CN" w:bidi="ar-SA"/>
              </w:rPr>
              <w:t>关于建立健全招标投标领域优化营商环境长效机制的通知</w:t>
            </w:r>
            <w:r>
              <w:rPr>
                <w:rFonts w:hint="default" w:ascii="Times New Roman" w:hAnsi="Times New Roman" w:eastAsia="宋体" w:cs="Times New Roman"/>
                <w:color w:val="auto"/>
                <w:kern w:val="2"/>
                <w:sz w:val="24"/>
                <w:szCs w:val="24"/>
                <w:highlight w:val="none"/>
                <w:u w:val="none"/>
                <w:lang w:val="en-US" w:eastAsia="zh-CN" w:bidi="ar-SA"/>
              </w:rPr>
              <w:fldChar w:fldCharType="end"/>
            </w:r>
            <w:r>
              <w:rPr>
                <w:rFonts w:hint="default" w:ascii="Times New Roman" w:hAnsi="Times New Roman" w:eastAsia="宋体" w:cs="Times New Roman"/>
                <w:color w:val="auto"/>
                <w:kern w:val="2"/>
                <w:sz w:val="24"/>
                <w:szCs w:val="24"/>
                <w:highlight w:val="none"/>
                <w:lang w:val="en-US" w:eastAsia="zh-CN" w:bidi="ar-SA"/>
              </w:rPr>
              <w:t>》（</w:t>
            </w:r>
            <w:r>
              <w:rPr>
                <w:rFonts w:hint="default" w:ascii="Times New Roman" w:hAnsi="Times New Roman" w:eastAsia="宋体" w:cs="Times New Roman"/>
                <w:bCs/>
                <w:color w:val="auto"/>
                <w:kern w:val="2"/>
                <w:sz w:val="24"/>
                <w:szCs w:val="24"/>
                <w:highlight w:val="none"/>
                <w:lang w:val="en-US" w:eastAsia="zh-CN" w:bidi="ar-SA"/>
              </w:rPr>
              <w:t>发改法规〔2021〕240号）、交通运输部</w:t>
            </w:r>
            <w:r>
              <w:rPr>
                <w:rFonts w:hint="default" w:ascii="Times New Roman" w:hAnsi="Times New Roman" w:eastAsia="宋体" w:cs="Times New Roman"/>
                <w:color w:val="auto"/>
                <w:kern w:val="2"/>
                <w:sz w:val="24"/>
                <w:szCs w:val="24"/>
                <w:highlight w:val="none"/>
                <w:lang w:val="en-US" w:eastAsia="zh-CN" w:bidi="ar-SA"/>
              </w:rPr>
              <w:t>《公路工程建设项目招标投标管理办法》等相关规定，接受针对公示内容的投诉。投诉材料要求、投诉受理条件及查处按照上述规定执行。</w:t>
            </w:r>
          </w:p>
          <w:p w14:paraId="4FAECA85">
            <w:pPr>
              <w:spacing w:line="440" w:lineRule="exact"/>
              <w:ind w:left="525" w:hanging="600" w:hangingChars="25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（1）如果投标人或其他利害关系人就招标文件、开标及评标结果等事项投诉的，应当按法律、法规有关异议的规定先向招标人提出异议，对招标人的答复不满意或招标人未答复的，可向有关行政监督部门投诉。</w:t>
            </w:r>
          </w:p>
          <w:p w14:paraId="1CE84880">
            <w:pPr>
              <w:spacing w:line="440" w:lineRule="exact"/>
              <w:ind w:left="525" w:hanging="600" w:hangingChars="25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（2）对于按法律法规规定需要先提出异议的投诉，行政监督部门在受理投诉时另</w:t>
            </w:r>
            <w:r>
              <w:rPr>
                <w:rFonts w:hint="eastAsia" w:cs="Times New Roman"/>
                <w:color w:val="auto"/>
                <w:sz w:val="24"/>
                <w:szCs w:val="24"/>
                <w:highlight w:val="none"/>
                <w:lang w:val="en-US" w:eastAsia="zh-CN"/>
              </w:rPr>
              <w:t>行</w:t>
            </w:r>
            <w:r>
              <w:rPr>
                <w:rFonts w:hint="default" w:ascii="Times New Roman" w:hAnsi="Times New Roman" w:eastAsia="宋体" w:cs="Times New Roman"/>
                <w:color w:val="auto"/>
                <w:sz w:val="24"/>
                <w:szCs w:val="24"/>
                <w:highlight w:val="none"/>
              </w:rPr>
              <w:t>要求投诉人递交提出异议的证明文件，已向其他有关行政监督部门投诉的，应当一并说明。未按规定提出异议或者未提交已提出异议的证明文件的投诉，不予受理。</w:t>
            </w:r>
          </w:p>
          <w:p w14:paraId="33662B8E">
            <w:pPr>
              <w:spacing w:line="440" w:lineRule="exact"/>
              <w:ind w:left="525" w:hanging="600" w:hangingChars="25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投诉人缺乏事实根据或者法律依据进行投诉的，或者有证据表明投诉人捏造事实、伪造材料的，或者投诉人以非法手段取得证明材料进行投诉的，交通运输主管部门应当予以驳回，并对恶意投诉按照有关规定追究投诉人责任。</w:t>
            </w:r>
          </w:p>
          <w:p w14:paraId="7F27174A">
            <w:pPr>
              <w:pageBreakBefore w:val="0"/>
              <w:kinsoku/>
              <w:wordWrap w:val="0"/>
              <w:bidi w:val="0"/>
              <w:spacing w:line="440" w:lineRule="exact"/>
              <w:ind w:left="636" w:leftChars="0" w:hanging="636" w:hangingChars="265"/>
              <w:rPr>
                <w:rFonts w:hint="default" w:ascii="Times New Roman" w:hAnsi="Times New Roman" w:cs="Times New Roman"/>
                <w:color w:val="auto"/>
                <w:sz w:val="24"/>
                <w:szCs w:val="24"/>
                <w:highlight w:val="none"/>
                <w:u w:val="single"/>
              </w:rPr>
            </w:pPr>
            <w:r>
              <w:rPr>
                <w:rFonts w:hint="default" w:ascii="Times New Roman" w:hAnsi="Times New Roman" w:eastAsia="宋体" w:cs="Times New Roman"/>
                <w:color w:val="auto"/>
                <w:sz w:val="24"/>
                <w:szCs w:val="24"/>
                <w:highlight w:val="none"/>
              </w:rPr>
              <w:t>（4）行政监督部门对投诉事项作出的处理决定，在对该项目具有招标监督职责的部门网站上进行公告，包括投诉的事由、调查结果、处理决定、处罚依据以及处罚意见等内容。</w:t>
            </w:r>
          </w:p>
        </w:tc>
      </w:tr>
      <w:tr w14:paraId="47D92974">
        <w:tblPrEx>
          <w:tblCellMar>
            <w:top w:w="0" w:type="dxa"/>
            <w:left w:w="108" w:type="dxa"/>
            <w:bottom w:w="0" w:type="dxa"/>
            <w:right w:w="108" w:type="dxa"/>
          </w:tblCellMar>
        </w:tblPrEx>
        <w:trPr>
          <w:trHeight w:val="340" w:hRule="atLeast"/>
        </w:trPr>
        <w:tc>
          <w:tcPr>
            <w:tcW w:w="9216" w:type="dxa"/>
            <w:gridSpan w:val="3"/>
            <w:tcBorders>
              <w:top w:val="single" w:color="auto" w:sz="4" w:space="0"/>
              <w:left w:val="single" w:color="auto" w:sz="4" w:space="0"/>
              <w:bottom w:val="single" w:color="auto" w:sz="4" w:space="0"/>
              <w:right w:val="single" w:color="auto" w:sz="4" w:space="0"/>
            </w:tcBorders>
            <w:noWrap w:val="0"/>
            <w:vAlign w:val="center"/>
          </w:tcPr>
          <w:p w14:paraId="2FEE0998">
            <w:pPr>
              <w:pageBreakBefore w:val="0"/>
              <w:kinsoku/>
              <w:wordWrap w:val="0"/>
              <w:bidi w:val="0"/>
              <w:spacing w:line="440" w:lineRule="exact"/>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需要补充的其他内容</w:t>
            </w:r>
          </w:p>
        </w:tc>
      </w:tr>
      <w:tr w14:paraId="7A14FBAE">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3DCFEE14">
            <w:pPr>
              <w:pageBreakBefore w:val="0"/>
              <w:kinsoku/>
              <w:wordWrap w:val="0"/>
              <w:bidi w:val="0"/>
              <w:spacing w:line="440" w:lineRule="exact"/>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lang w:val="en-US" w:eastAsia="zh-CN"/>
              </w:rPr>
              <w:t>9.1</w:t>
            </w:r>
          </w:p>
        </w:tc>
        <w:tc>
          <w:tcPr>
            <w:tcW w:w="2779" w:type="dxa"/>
            <w:tcBorders>
              <w:top w:val="single" w:color="auto" w:sz="4" w:space="0"/>
              <w:left w:val="single" w:color="auto" w:sz="4" w:space="0"/>
              <w:bottom w:val="single" w:color="auto" w:sz="4" w:space="0"/>
              <w:right w:val="single" w:color="auto" w:sz="4" w:space="0"/>
            </w:tcBorders>
            <w:noWrap w:val="0"/>
            <w:vAlign w:val="center"/>
          </w:tcPr>
          <w:p w14:paraId="4CA0D562">
            <w:pPr>
              <w:pageBreakBefore w:val="0"/>
              <w:kinsoku/>
              <w:wordWrap w:val="0"/>
              <w:bidi w:val="0"/>
              <w:spacing w:line="440" w:lineRule="exact"/>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b w:val="0"/>
                <w:bCs w:val="0"/>
                <w:color w:val="auto"/>
                <w:sz w:val="24"/>
                <w:szCs w:val="24"/>
                <w:highlight w:val="none"/>
                <w:lang w:val="en-US" w:eastAsia="zh-CN"/>
              </w:rPr>
              <w:t>施工组织设计的编制要求</w:t>
            </w:r>
            <w:r>
              <w:rPr>
                <w:rStyle w:val="48"/>
                <w:rFonts w:hint="default" w:ascii="Times New Roman" w:hAnsi="Times New Roman" w:cs="Times New Roman"/>
                <w:b w:val="0"/>
                <w:bCs w:val="0"/>
                <w:color w:val="auto"/>
                <w:sz w:val="24"/>
                <w:szCs w:val="24"/>
                <w:highlight w:val="none"/>
                <w:lang w:val="en-US" w:eastAsia="zh-CN"/>
              </w:rPr>
              <w:footnoteReference w:id="8"/>
            </w:r>
            <w:r>
              <w:rPr>
                <w:rFonts w:hint="eastAsia" w:ascii="宋体" w:hAnsi="宋体" w:eastAsia="宋体" w:cs="宋体"/>
                <w:b/>
                <w:bCs/>
                <w:color w:val="auto"/>
                <w:sz w:val="24"/>
                <w:szCs w:val="24"/>
                <w:highlight w:val="none"/>
                <w:lang w:val="en-US" w:eastAsia="zh-CN"/>
              </w:rPr>
              <w:t>（本项目不适用）</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06E80914">
            <w:pPr>
              <w:pageBreakBefore w:val="0"/>
              <w:kinsoku/>
              <w:wordWrap w:val="0"/>
              <w:bidi w:val="0"/>
              <w:spacing w:line="440" w:lineRule="exact"/>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投标文件</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lang w:val="en-US" w:eastAsia="zh-CN"/>
              </w:rPr>
              <w:t>施工组织设计</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编制要求：</w:t>
            </w:r>
          </w:p>
          <w:p w14:paraId="66C6D5B9">
            <w:pPr>
              <w:pageBreakBefore w:val="0"/>
              <w:kinsoku/>
              <w:wordWrap w:val="0"/>
              <w:bidi w:val="0"/>
              <w:spacing w:line="440" w:lineRule="exact"/>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采用暗标形式，必须按下列格式编制，否则视为未对招标文件作出实质性响应，按否决投标处理。</w:t>
            </w:r>
          </w:p>
          <w:p w14:paraId="1468C513">
            <w:pPr>
              <w:pageBreakBefore w:val="0"/>
              <w:kinsoku/>
              <w:wordWrap/>
              <w:bidi w:val="0"/>
              <w:spacing w:line="440" w:lineRule="exact"/>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（1）采用</w:t>
            </w:r>
            <w:r>
              <w:rPr>
                <w:rFonts w:hint="default" w:ascii="Times New Roman" w:hAnsi="Times New Roman" w:cs="Times New Roman"/>
                <w:color w:val="auto"/>
                <w:sz w:val="24"/>
                <w:szCs w:val="24"/>
                <w:highlight w:val="none"/>
                <w:u w:val="single"/>
                <w:lang w:val="en-US" w:eastAsia="zh-CN"/>
              </w:rPr>
              <w:t xml:space="preserve"> </w:t>
            </w:r>
            <w:r>
              <w:rPr>
                <w:rFonts w:hint="eastAsia" w:cs="Times New Roman"/>
                <w:color w:val="auto"/>
                <w:sz w:val="24"/>
                <w:szCs w:val="24"/>
                <w:highlight w:val="none"/>
                <w:u w:val="single"/>
                <w:lang w:val="en-US" w:eastAsia="zh-CN"/>
              </w:rPr>
              <w:t>A4</w:t>
            </w:r>
            <w:r>
              <w:rPr>
                <w:rFonts w:hint="default" w:ascii="Times New Roman" w:hAnsi="Times New Roman" w:cs="Times New Roman"/>
                <w:color w:val="auto"/>
                <w:sz w:val="24"/>
                <w:szCs w:val="24"/>
                <w:highlight w:val="none"/>
                <w:u w:val="single"/>
                <w:lang w:val="en-US" w:eastAsia="zh-CN"/>
              </w:rPr>
              <w:t xml:space="preserve"> </w:t>
            </w:r>
            <w:r>
              <w:rPr>
                <w:rFonts w:hint="default" w:ascii="Times New Roman" w:hAnsi="Times New Roman" w:cs="Times New Roman"/>
                <w:color w:val="auto"/>
                <w:sz w:val="24"/>
                <w:szCs w:val="24"/>
                <w:highlight w:val="none"/>
              </w:rPr>
              <w:t>纸张。页边距：</w:t>
            </w:r>
            <w:r>
              <w:rPr>
                <w:rFonts w:hint="default" w:ascii="Times New Roman" w:hAnsi="Times New Roman" w:cs="Times New Roman"/>
                <w:color w:val="auto"/>
                <w:sz w:val="24"/>
                <w:szCs w:val="24"/>
                <w:highlight w:val="none"/>
                <w:u w:val="single"/>
                <w:lang w:val="en-US" w:eastAsia="zh-CN"/>
              </w:rPr>
              <w:t xml:space="preserve"> 左边距为3.17厘米、右边及上下边距为2.54厘米</w:t>
            </w:r>
            <w:r>
              <w:rPr>
                <w:rFonts w:hint="default" w:ascii="Times New Roman" w:hAnsi="Times New Roman" w:cs="Times New Roman"/>
                <w:color w:val="auto"/>
                <w:sz w:val="24"/>
                <w:szCs w:val="24"/>
                <w:highlight w:val="none"/>
              </w:rPr>
              <w:t>。</w:t>
            </w:r>
          </w:p>
          <w:p w14:paraId="1536CA54">
            <w:pPr>
              <w:pageBreakBefore w:val="0"/>
              <w:kinsoku/>
              <w:wordWrap w:val="0"/>
              <w:bidi w:val="0"/>
              <w:spacing w:line="440" w:lineRule="exact"/>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（2）除图纸、图表外所用文字采用</w:t>
            </w:r>
            <w:r>
              <w:rPr>
                <w:rFonts w:hint="default" w:ascii="Times New Roman" w:hAnsi="Times New Roman" w:cs="Times New Roman"/>
                <w:color w:val="auto"/>
                <w:sz w:val="24"/>
                <w:szCs w:val="24"/>
                <w:highlight w:val="none"/>
                <w:u w:val="single"/>
                <w:lang w:val="en-US" w:eastAsia="zh-CN"/>
              </w:rPr>
              <w:t xml:space="preserve"> </w:t>
            </w:r>
            <w:r>
              <w:rPr>
                <w:rFonts w:hint="eastAsia" w:cs="Times New Roman"/>
                <w:color w:val="auto"/>
                <w:sz w:val="24"/>
                <w:szCs w:val="24"/>
                <w:highlight w:val="none"/>
                <w:u w:val="single"/>
                <w:lang w:val="en-US" w:eastAsia="zh-CN"/>
              </w:rPr>
              <w:t>黑色</w:t>
            </w:r>
            <w:r>
              <w:rPr>
                <w:rFonts w:hint="default" w:ascii="Times New Roman" w:hAnsi="Times New Roman" w:cs="Times New Roman"/>
                <w:color w:val="auto"/>
                <w:sz w:val="24"/>
                <w:szCs w:val="24"/>
                <w:highlight w:val="none"/>
                <w:u w:val="single"/>
                <w:lang w:val="en-US" w:eastAsia="zh-CN"/>
              </w:rPr>
              <w:t>宋体</w:t>
            </w:r>
            <w:r>
              <w:rPr>
                <w:rFonts w:hint="eastAsia" w:cs="Times New Roman"/>
                <w:color w:val="auto"/>
                <w:sz w:val="24"/>
                <w:szCs w:val="24"/>
                <w:highlight w:val="none"/>
                <w:u w:val="single"/>
                <w:lang w:val="en-US" w:eastAsia="zh-CN"/>
              </w:rPr>
              <w:t>四</w:t>
            </w:r>
            <w:r>
              <w:rPr>
                <w:rFonts w:hint="default" w:ascii="Times New Roman" w:hAnsi="Times New Roman" w:cs="Times New Roman"/>
                <w:color w:val="auto"/>
                <w:sz w:val="24"/>
                <w:szCs w:val="24"/>
                <w:highlight w:val="none"/>
                <w:u w:val="single"/>
                <w:lang w:val="en-US" w:eastAsia="zh-CN"/>
              </w:rPr>
              <w:t>号</w:t>
            </w:r>
            <w:r>
              <w:rPr>
                <w:rFonts w:hint="eastAsia" w:cs="Times New Roman"/>
                <w:color w:val="auto"/>
                <w:sz w:val="24"/>
                <w:szCs w:val="24"/>
                <w:highlight w:val="none"/>
                <w:u w:val="single"/>
                <w:lang w:val="en-US" w:eastAsia="zh-CN"/>
              </w:rPr>
              <w:t>（含标题及目录）</w:t>
            </w:r>
            <w:r>
              <w:rPr>
                <w:rFonts w:hint="default" w:ascii="Times New Roman" w:hAnsi="Times New Roman" w:cs="Times New Roman"/>
                <w:color w:val="auto"/>
                <w:sz w:val="24"/>
                <w:szCs w:val="24"/>
                <w:highlight w:val="none"/>
                <w:u w:val="single"/>
                <w:lang w:val="en-US" w:eastAsia="zh-CN"/>
              </w:rPr>
              <w:t xml:space="preserve"> </w:t>
            </w:r>
            <w:r>
              <w:rPr>
                <w:rFonts w:hint="default" w:ascii="Times New Roman" w:hAnsi="Times New Roman" w:cs="Times New Roman"/>
                <w:color w:val="auto"/>
                <w:sz w:val="24"/>
                <w:szCs w:val="24"/>
                <w:highlight w:val="none"/>
              </w:rPr>
              <w:t>，图纸、图表中所有文字采用</w:t>
            </w:r>
            <w:r>
              <w:rPr>
                <w:rFonts w:hint="default" w:ascii="Times New Roman" w:hAnsi="Times New Roman" w:cs="Times New Roman"/>
                <w:color w:val="auto"/>
                <w:sz w:val="24"/>
                <w:szCs w:val="24"/>
                <w:highlight w:val="none"/>
                <w:u w:val="single"/>
                <w:lang w:val="en-US" w:eastAsia="zh-CN"/>
              </w:rPr>
              <w:t xml:space="preserve"> </w:t>
            </w:r>
            <w:r>
              <w:rPr>
                <w:rFonts w:hint="eastAsia" w:cs="Times New Roman"/>
                <w:color w:val="auto"/>
                <w:sz w:val="24"/>
                <w:szCs w:val="24"/>
                <w:highlight w:val="none"/>
                <w:u w:val="single"/>
                <w:lang w:val="en-US" w:eastAsia="zh-CN"/>
              </w:rPr>
              <w:t>黑色</w:t>
            </w:r>
            <w:r>
              <w:rPr>
                <w:rFonts w:hint="default" w:ascii="Times New Roman" w:hAnsi="Times New Roman" w:cs="Times New Roman"/>
                <w:color w:val="auto"/>
                <w:sz w:val="24"/>
                <w:szCs w:val="24"/>
                <w:highlight w:val="none"/>
                <w:u w:val="single"/>
                <w:lang w:val="en-US" w:eastAsia="zh-CN"/>
              </w:rPr>
              <w:t>宋体</w:t>
            </w:r>
            <w:r>
              <w:rPr>
                <w:rFonts w:hint="eastAsia" w:cs="Times New Roman"/>
                <w:color w:val="auto"/>
                <w:sz w:val="24"/>
                <w:szCs w:val="24"/>
                <w:highlight w:val="none"/>
                <w:u w:val="single"/>
                <w:lang w:val="en-US" w:eastAsia="zh-CN"/>
              </w:rPr>
              <w:t>五</w:t>
            </w:r>
            <w:r>
              <w:rPr>
                <w:rFonts w:hint="default" w:ascii="Times New Roman" w:hAnsi="Times New Roman" w:cs="Times New Roman"/>
                <w:color w:val="auto"/>
                <w:sz w:val="24"/>
                <w:szCs w:val="24"/>
                <w:highlight w:val="none"/>
                <w:u w:val="single"/>
                <w:lang w:val="en-US" w:eastAsia="zh-CN"/>
              </w:rPr>
              <w:t xml:space="preserve">号 </w:t>
            </w:r>
            <w:r>
              <w:rPr>
                <w:rFonts w:hint="default" w:ascii="Times New Roman" w:hAnsi="Times New Roman" w:cs="Times New Roman"/>
                <w:color w:val="auto"/>
                <w:sz w:val="24"/>
                <w:szCs w:val="24"/>
                <w:highlight w:val="none"/>
              </w:rPr>
              <w:t>；不得有任何加粗、斜体、下划线、边框、底纹、阴影等标记。不得设置页码、页眉、页脚；段落设置：</w:t>
            </w:r>
            <w:r>
              <w:rPr>
                <w:rFonts w:hint="default" w:ascii="Times New Roman" w:hAnsi="Times New Roman" w:cs="Times New Roman"/>
                <w:color w:val="auto"/>
                <w:sz w:val="24"/>
                <w:szCs w:val="24"/>
                <w:highlight w:val="none"/>
                <w:u w:val="single"/>
                <w:lang w:val="en-US" w:eastAsia="zh-CN"/>
              </w:rPr>
              <w:t xml:space="preserve"> </w:t>
            </w:r>
            <w:r>
              <w:rPr>
                <w:rFonts w:hint="eastAsia" w:cs="Times New Roman"/>
                <w:color w:val="auto"/>
                <w:sz w:val="24"/>
                <w:szCs w:val="24"/>
                <w:highlight w:val="none"/>
                <w:u w:val="single"/>
                <w:lang w:val="en-US" w:eastAsia="zh-CN"/>
              </w:rPr>
              <w:t xml:space="preserve">行距为固定值18磅 </w:t>
            </w:r>
            <w:r>
              <w:rPr>
                <w:rFonts w:hint="default" w:ascii="Times New Roman" w:hAnsi="Times New Roman" w:cs="Times New Roman"/>
                <w:color w:val="auto"/>
                <w:sz w:val="24"/>
                <w:szCs w:val="24"/>
                <w:highlight w:val="none"/>
              </w:rPr>
              <w:t>，段落设置中</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如果定义了文档网格，则自动调整右缩进</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不打勾，</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如果定义了文档网格，则对齐到网格</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要打勾。</w:t>
            </w:r>
          </w:p>
          <w:p w14:paraId="6740973B">
            <w:pPr>
              <w:pageBreakBefore w:val="0"/>
              <w:kinsoku/>
              <w:wordWrap w:val="0"/>
              <w:bidi w:val="0"/>
              <w:spacing w:line="440" w:lineRule="exact"/>
              <w:jc w:val="both"/>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rPr>
              <w:t>（3）内容、文字均不得出现彩色文字与彩色图形，不得出现投标单位名称、相关人员姓名等能体现有关投标单位信息的提示性标记、文字、语句等，不得出现</w:t>
            </w:r>
            <w:r>
              <w:rPr>
                <w:rFonts w:hint="default" w:ascii="Times New Roman" w:hAnsi="Times New Roman" w:cs="Times New Roman"/>
                <w:color w:val="auto"/>
                <w:sz w:val="24"/>
                <w:szCs w:val="24"/>
                <w:highlight w:val="none"/>
                <w:lang w:val="en-US" w:eastAsia="zh-CN"/>
              </w:rPr>
              <w:t>投标人</w:t>
            </w:r>
            <w:r>
              <w:rPr>
                <w:rFonts w:hint="default" w:ascii="Times New Roman" w:hAnsi="Times New Roman" w:cs="Times New Roman"/>
                <w:color w:val="auto"/>
                <w:sz w:val="24"/>
                <w:szCs w:val="24"/>
                <w:highlight w:val="none"/>
              </w:rPr>
              <w:t>或人员电子签章，不得出现其他不符合暗标要求的内容</w:t>
            </w:r>
            <w:r>
              <w:rPr>
                <w:rFonts w:hint="default" w:ascii="Times New Roman" w:hAnsi="Times New Roman" w:cs="Times New Roman"/>
                <w:color w:val="auto"/>
                <w:sz w:val="24"/>
                <w:szCs w:val="24"/>
                <w:highlight w:val="none"/>
                <w:lang w:eastAsia="zh-CN"/>
              </w:rPr>
              <w:t>。</w:t>
            </w:r>
          </w:p>
          <w:p w14:paraId="6E05A15D">
            <w:pPr>
              <w:pageBreakBefore w:val="0"/>
              <w:kinsoku/>
              <w:wordWrap w:val="0"/>
              <w:bidi w:val="0"/>
              <w:spacing w:line="440" w:lineRule="exact"/>
              <w:jc w:val="lef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4</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其他要求：</w:t>
            </w:r>
            <w:r>
              <w:rPr>
                <w:rFonts w:hint="eastAsia" w:cs="Times New Roman"/>
                <w:b/>
                <w:bCs/>
                <w:color w:val="auto"/>
                <w:sz w:val="24"/>
                <w:szCs w:val="24"/>
                <w:highlight w:val="none"/>
                <w:u w:val="single"/>
                <w:lang w:val="en-US" w:eastAsia="zh-CN"/>
              </w:rPr>
              <w:t>本项目不采用暗标</w:t>
            </w:r>
            <w:r>
              <w:rPr>
                <w:rFonts w:hint="default" w:ascii="Times New Roman" w:hAnsi="Times New Roman" w:cs="Times New Roman"/>
                <w:b/>
                <w:bCs/>
                <w:color w:val="auto"/>
                <w:sz w:val="24"/>
                <w:szCs w:val="24"/>
                <w:highlight w:val="none"/>
                <w:u w:val="single"/>
              </w:rPr>
              <w:t>形式</w:t>
            </w:r>
            <w:r>
              <w:rPr>
                <w:rFonts w:hint="default" w:ascii="Times New Roman" w:hAnsi="Times New Roman" w:cs="Times New Roman"/>
                <w:color w:val="auto"/>
                <w:sz w:val="24"/>
                <w:szCs w:val="24"/>
                <w:highlight w:val="none"/>
              </w:rPr>
              <w:t>。</w:t>
            </w:r>
          </w:p>
        </w:tc>
      </w:tr>
      <w:tr w14:paraId="6B226EAA">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0DD8403D">
            <w:pPr>
              <w:pageBreakBefore w:val="0"/>
              <w:shd w:val="clear"/>
              <w:kinsoku/>
              <w:wordWrap w:val="0"/>
              <w:bidi w:val="0"/>
              <w:spacing w:line="440" w:lineRule="exact"/>
              <w:jc w:val="center"/>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9</w:t>
            </w:r>
            <w:r>
              <w:rPr>
                <w:rFonts w:hint="default" w:cs="Times New Roman"/>
                <w:color w:val="auto"/>
                <w:sz w:val="24"/>
                <w:szCs w:val="24"/>
                <w:highlight w:val="none"/>
                <w:lang w:val="en-US" w:eastAsia="zh-CN"/>
              </w:rPr>
              <w:t>.</w:t>
            </w:r>
            <w:r>
              <w:rPr>
                <w:rFonts w:hint="eastAsia" w:cs="Times New Roman"/>
                <w:color w:val="auto"/>
                <w:sz w:val="24"/>
                <w:szCs w:val="24"/>
                <w:highlight w:val="none"/>
                <w:lang w:val="en-US" w:eastAsia="zh-CN"/>
              </w:rPr>
              <w:t>2</w:t>
            </w:r>
          </w:p>
        </w:tc>
        <w:tc>
          <w:tcPr>
            <w:tcW w:w="8180" w:type="dxa"/>
            <w:gridSpan w:val="2"/>
            <w:tcBorders>
              <w:top w:val="single" w:color="auto" w:sz="4" w:space="0"/>
              <w:left w:val="single" w:color="auto" w:sz="4" w:space="0"/>
              <w:bottom w:val="single" w:color="auto" w:sz="4" w:space="0"/>
              <w:right w:val="single" w:color="auto" w:sz="4" w:space="0"/>
            </w:tcBorders>
            <w:noWrap w:val="0"/>
            <w:vAlign w:val="center"/>
          </w:tcPr>
          <w:p w14:paraId="76993E09">
            <w:pPr>
              <w:shd w:val="clear"/>
              <w:spacing w:line="440" w:lineRule="exac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投标人须知正文补充第</w:t>
            </w:r>
            <w:r>
              <w:rPr>
                <w:rFonts w:hint="eastAsia" w:cs="Times New Roman"/>
                <w:color w:val="auto"/>
                <w:sz w:val="24"/>
                <w:szCs w:val="24"/>
                <w:highlight w:val="none"/>
                <w:lang w:eastAsia="zh-CN"/>
              </w:rPr>
              <w:t>9</w:t>
            </w:r>
            <w:r>
              <w:rPr>
                <w:rFonts w:hint="default" w:ascii="Times New Roman" w:hAnsi="Times New Roman" w:eastAsia="宋体" w:cs="Times New Roman"/>
                <w:color w:val="auto"/>
                <w:sz w:val="24"/>
                <w:szCs w:val="24"/>
                <w:highlight w:val="none"/>
              </w:rPr>
              <w:t>.</w:t>
            </w:r>
            <w:r>
              <w:rPr>
                <w:rFonts w:hint="eastAsia" w:cs="Times New Roman"/>
                <w:color w:val="auto"/>
                <w:sz w:val="24"/>
                <w:szCs w:val="24"/>
                <w:highlight w:val="none"/>
                <w:lang w:val="en-US" w:eastAsia="zh-CN"/>
              </w:rPr>
              <w:t>2款</w:t>
            </w:r>
            <w:r>
              <w:rPr>
                <w:rFonts w:hint="default" w:ascii="Times New Roman" w:hAnsi="Times New Roman" w:eastAsia="宋体" w:cs="Times New Roman"/>
                <w:color w:val="auto"/>
                <w:sz w:val="24"/>
                <w:szCs w:val="24"/>
                <w:highlight w:val="none"/>
                <w:vertAlign w:val="superscript"/>
              </w:rPr>
              <w:footnoteReference w:id="9"/>
            </w:r>
            <w:r>
              <w:rPr>
                <w:rFonts w:hint="default" w:ascii="Times New Roman" w:hAnsi="Times New Roman" w:eastAsia="宋体" w:cs="Times New Roman"/>
                <w:color w:val="auto"/>
                <w:sz w:val="24"/>
                <w:szCs w:val="24"/>
                <w:highlight w:val="none"/>
              </w:rPr>
              <w:t>：</w:t>
            </w:r>
          </w:p>
          <w:p w14:paraId="15A556EB">
            <w:pPr>
              <w:pageBreakBefore w:val="0"/>
              <w:shd w:val="clear"/>
              <w:kinsoku/>
              <w:wordWrap w:val="0"/>
              <w:bidi w:val="0"/>
              <w:spacing w:line="440" w:lineRule="exact"/>
              <w:jc w:val="left"/>
              <w:rPr>
                <w:rFonts w:hint="default"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本项目实施过程中推广以工代赈，在确保工程质量安全和符合进度要求等前提下，应充分挖掘主体工程建设及附属临建、工地服务保障、建后管护等方面用工潜力，平衡好建设和管护领域劳动合同制用工和以工代赈劳务用工之间关系，尽可能多地通过以工代赈方式吸纳当地群众参与工程建设。</w:t>
            </w:r>
          </w:p>
        </w:tc>
      </w:tr>
      <w:tr w14:paraId="31EACDB1">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59AB11E2">
            <w:pPr>
              <w:pageBreakBefore w:val="0"/>
              <w:shd w:val="clear"/>
              <w:kinsoku/>
              <w:wordWrap w:val="0"/>
              <w:bidi w:val="0"/>
              <w:spacing w:line="440" w:lineRule="exact"/>
              <w:jc w:val="center"/>
              <w:rPr>
                <w:rFonts w:hint="default" w:cs="Times New Roman"/>
                <w:color w:val="auto"/>
                <w:sz w:val="24"/>
                <w:szCs w:val="24"/>
                <w:highlight w:val="none"/>
                <w:lang w:val="en-US" w:eastAsia="zh-CN"/>
              </w:rPr>
            </w:pPr>
            <w:r>
              <w:rPr>
                <w:rFonts w:hint="eastAsia" w:cs="Times New Roman"/>
                <w:color w:val="auto"/>
                <w:sz w:val="24"/>
                <w:szCs w:val="24"/>
                <w:highlight w:val="none"/>
                <w:lang w:val="en-US" w:eastAsia="zh-CN"/>
              </w:rPr>
              <w:t>7.8</w:t>
            </w:r>
          </w:p>
        </w:tc>
        <w:tc>
          <w:tcPr>
            <w:tcW w:w="8180" w:type="dxa"/>
            <w:gridSpan w:val="2"/>
            <w:tcBorders>
              <w:top w:val="single" w:color="auto" w:sz="4" w:space="0"/>
              <w:left w:val="single" w:color="auto" w:sz="4" w:space="0"/>
              <w:bottom w:val="single" w:color="auto" w:sz="4" w:space="0"/>
              <w:right w:val="single" w:color="auto" w:sz="4" w:space="0"/>
            </w:tcBorders>
            <w:noWrap w:val="0"/>
            <w:vAlign w:val="center"/>
          </w:tcPr>
          <w:p w14:paraId="1939A944">
            <w:pPr>
              <w:pageBreakBefore w:val="0"/>
              <w:kinsoku/>
              <w:wordWrap w:val="0"/>
              <w:bidi w:val="0"/>
              <w:spacing w:line="44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投标人须知正文补充</w:t>
            </w:r>
            <w:r>
              <w:rPr>
                <w:rFonts w:hint="eastAsia" w:ascii="宋体" w:hAnsi="宋体" w:eastAsia="宋体" w:cs="宋体"/>
                <w:color w:val="auto"/>
                <w:sz w:val="24"/>
                <w:szCs w:val="24"/>
                <w:highlight w:val="none"/>
                <w:lang w:val="en-US" w:eastAsia="zh-CN"/>
              </w:rPr>
              <w:t>第7.8.</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项：</w:t>
            </w:r>
          </w:p>
          <w:p w14:paraId="7E65DD34">
            <w:pPr>
              <w:pageBreakBefore w:val="0"/>
              <w:kinsoku/>
              <w:wordWrap w:val="0"/>
              <w:bidi w:val="0"/>
              <w:spacing w:line="44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7.8.</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人员履约要求</w:t>
            </w:r>
          </w:p>
          <w:p w14:paraId="44B23283">
            <w:pPr>
              <w:pageBreakBefore w:val="0"/>
              <w:kinsoku/>
              <w:wordWrap w:val="0"/>
              <w:bidi w:val="0"/>
              <w:spacing w:line="44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中标人在收到中标通知书后，应及时向招标人报送满足要求的其他管理人员、其他设备的详细资料【详见合同附件格式《附件四其他管理和技术人员最低要求》】，如中标人报送的人员不满足招标文件要求，招标人有权取消其中标资格。</w:t>
            </w:r>
          </w:p>
          <w:p w14:paraId="275BF65C">
            <w:pPr>
              <w:pageBreakBefore w:val="0"/>
              <w:kinsoku/>
              <w:wordWrap w:val="0"/>
              <w:bidi w:val="0"/>
              <w:spacing w:line="44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中标人进场时，如果所提供的人员低于投标阶段以及中标后合同谈判阶段所承诺的人员最低标准，即被认为未按合同文件规定履约，发包人将有权与中标人解除合同，另行安排其他单位进行施工。</w:t>
            </w:r>
          </w:p>
          <w:p w14:paraId="19019809">
            <w:pPr>
              <w:pageBreakBefore w:val="0"/>
              <w:kinsoku/>
              <w:wordWrap w:val="0"/>
              <w:bidi w:val="0"/>
              <w:spacing w:line="44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补充第7.8.</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项：</w:t>
            </w:r>
          </w:p>
          <w:p w14:paraId="4DCC2238">
            <w:pPr>
              <w:pageBreakBefore w:val="0"/>
              <w:kinsoku/>
              <w:wordWrap w:val="0"/>
              <w:bidi w:val="0"/>
              <w:spacing w:line="44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7.8.</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如果根据投标人须知第3.5.3项(适用于已进行资格预审的)、第3.5.11项(适用于未进行资格预审的)规定，招标人取消了中标人的中标资格，招标人将以《中华人民共和国招标投标法》、《中华人民共和国招标投标法实施条例》为依据，参照《公路工程建设项目招标投标管理办法》重新组织招标；如果根据投标人须知第7.7.2项或第7.8.1项规定，招标人取消了中标人的中标资格，招标人可将合同授予下一个中标候选人，或者以《中华人民共和国招标投标法》、《中华人民共和国招标投标法实施条例》为依据，参照《公路工程建设项目招标投标管理办法》重新组织招标。</w:t>
            </w:r>
          </w:p>
          <w:p w14:paraId="255046BD">
            <w:pPr>
              <w:pageBreakBefore w:val="0"/>
              <w:kinsoku/>
              <w:wordWrap w:val="0"/>
              <w:bidi w:val="0"/>
              <w:spacing w:line="44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补充第7.8.</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lang w:val="en-US" w:eastAsia="zh-CN"/>
              </w:rPr>
              <w:t>项：</w:t>
            </w:r>
          </w:p>
          <w:p w14:paraId="5F3B64C0">
            <w:pPr>
              <w:pageBreakBefore w:val="0"/>
              <w:kinsoku/>
              <w:wordWrap w:val="0"/>
              <w:bidi w:val="0"/>
              <w:spacing w:line="44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7.8.</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lang w:val="en-US" w:eastAsia="zh-CN"/>
              </w:rPr>
              <w:t>不平衡单价的调整</w:t>
            </w:r>
          </w:p>
          <w:p w14:paraId="5F48DE18">
            <w:pPr>
              <w:pageBreakBefore w:val="0"/>
              <w:shd w:val="clear"/>
              <w:kinsoku/>
              <w:wordWrap w:val="0"/>
              <w:bidi w:val="0"/>
              <w:spacing w:line="440" w:lineRule="exact"/>
              <w:jc w:val="left"/>
              <w:rPr>
                <w:rFonts w:hint="eastAsia" w:cs="Times New Roman"/>
                <w:color w:val="auto"/>
                <w:sz w:val="24"/>
                <w:szCs w:val="24"/>
                <w:highlight w:val="none"/>
                <w:lang w:val="en-US" w:eastAsia="zh-CN"/>
              </w:rPr>
            </w:pPr>
            <w:r>
              <w:rPr>
                <w:rFonts w:hint="eastAsia" w:ascii="宋体" w:hAnsi="宋体" w:eastAsia="宋体" w:cs="宋体"/>
                <w:color w:val="auto"/>
                <w:sz w:val="24"/>
                <w:szCs w:val="24"/>
                <w:highlight w:val="none"/>
                <w:lang w:val="en-US" w:eastAsia="zh-CN"/>
              </w:rPr>
              <w:t>如果招标人在评标结束后发现并认为中标人工程量清单中某些子目的单价不合理，则招标人可以要求中标人就该类子目的报价进行澄清，或提供详细的价格分析以证明这些价格在建议的施工方法和计划的条件下具有合理性。如不能证明其合理性，则在签订合同前进行澄清谈判时，招标人将有权按照总价不变的原则对有关单价进行调整。</w:t>
            </w:r>
          </w:p>
        </w:tc>
      </w:tr>
      <w:tr w14:paraId="50A588AD">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54AE6A4A">
            <w:pPr>
              <w:pageBreakBefore w:val="0"/>
              <w:shd w:val="clear"/>
              <w:kinsoku/>
              <w:wordWrap w:val="0"/>
              <w:bidi w:val="0"/>
              <w:spacing w:line="440" w:lineRule="exact"/>
              <w:jc w:val="center"/>
              <w:rPr>
                <w:rFonts w:hint="default" w:cs="Times New Roman"/>
                <w:color w:val="auto"/>
                <w:sz w:val="24"/>
                <w:szCs w:val="24"/>
                <w:highlight w:val="yellow"/>
                <w:lang w:val="en-US" w:eastAsia="zh-CN"/>
              </w:rPr>
            </w:pPr>
            <w:r>
              <w:rPr>
                <w:rFonts w:hint="eastAsia" w:cs="Times New Roman"/>
                <w:color w:val="auto"/>
                <w:sz w:val="24"/>
                <w:szCs w:val="24"/>
                <w:highlight w:val="none"/>
                <w:shd w:val="clear"/>
                <w:lang w:val="en-US" w:eastAsia="zh-CN"/>
              </w:rPr>
              <w:t>9.3</w:t>
            </w:r>
          </w:p>
        </w:tc>
        <w:tc>
          <w:tcPr>
            <w:tcW w:w="818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6E15287F">
            <w:pPr>
              <w:shd w:val="clea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投标人须知正文补充第</w:t>
            </w:r>
            <w:r>
              <w:rPr>
                <w:rFonts w:hint="eastAsia" w:ascii="宋体" w:hAnsi="宋体" w:eastAsia="宋体" w:cs="宋体"/>
                <w:color w:val="auto"/>
                <w:sz w:val="24"/>
                <w:szCs w:val="24"/>
                <w:highlight w:val="none"/>
                <w:lang w:eastAsia="zh-CN"/>
              </w:rPr>
              <w:t>9</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3款</w:t>
            </w:r>
            <w:r>
              <w:rPr>
                <w:rFonts w:hint="eastAsia" w:ascii="宋体" w:hAnsi="宋体" w:eastAsia="宋体" w:cs="宋体"/>
                <w:color w:val="auto"/>
                <w:sz w:val="24"/>
                <w:szCs w:val="24"/>
                <w:highlight w:val="none"/>
              </w:rPr>
              <w:t>：</w:t>
            </w:r>
          </w:p>
          <w:p w14:paraId="0EE9E046">
            <w:pPr>
              <w:shd w:val="clear"/>
              <w:spacing w:before="69" w:line="328" w:lineRule="auto"/>
              <w:ind w:right="96"/>
              <w:jc w:val="left"/>
              <w:rPr>
                <w:rFonts w:hint="eastAsia" w:ascii="宋体" w:hAnsi="宋体" w:eastAsia="宋体" w:cs="宋体"/>
                <w:color w:val="auto"/>
                <w:sz w:val="24"/>
                <w:szCs w:val="24"/>
                <w:highlight w:val="none"/>
              </w:rPr>
            </w:pPr>
            <w:r>
              <w:rPr>
                <w:rFonts w:hint="eastAsia" w:ascii="宋体" w:hAnsi="宋体" w:eastAsia="宋体" w:cs="宋体"/>
                <w:color w:val="auto"/>
                <w:spacing w:val="14"/>
                <w:sz w:val="24"/>
                <w:szCs w:val="24"/>
                <w:highlight w:val="none"/>
              </w:rPr>
              <w:t>投标</w:t>
            </w:r>
            <w:r>
              <w:rPr>
                <w:rFonts w:hint="eastAsia" w:ascii="宋体" w:hAnsi="宋体" w:eastAsia="宋体" w:cs="宋体"/>
                <w:color w:val="auto"/>
                <w:spacing w:val="7"/>
                <w:sz w:val="24"/>
                <w:szCs w:val="24"/>
                <w:highlight w:val="none"/>
              </w:rPr>
              <w:t>人应根据《公路水运工程安全生产监督管理办法》以及《关于印发&lt;企</w:t>
            </w:r>
            <w:r>
              <w:rPr>
                <w:rFonts w:hint="eastAsia" w:ascii="宋体" w:hAnsi="宋体" w:eastAsia="宋体" w:cs="宋体"/>
                <w:color w:val="auto"/>
                <w:spacing w:val="5"/>
                <w:sz w:val="24"/>
                <w:szCs w:val="24"/>
                <w:highlight w:val="none"/>
              </w:rPr>
              <w:t>业安全生产费用提取和使用管理办法&gt;的通知》(财企〔2012〕16号)的规</w:t>
            </w:r>
            <w:r>
              <w:rPr>
                <w:rFonts w:hint="eastAsia" w:ascii="宋体" w:hAnsi="宋体" w:eastAsia="宋体" w:cs="宋体"/>
                <w:color w:val="auto"/>
                <w:spacing w:val="15"/>
                <w:sz w:val="24"/>
                <w:szCs w:val="24"/>
                <w:highlight w:val="none"/>
              </w:rPr>
              <w:t>定</w:t>
            </w:r>
            <w:r>
              <w:rPr>
                <w:rFonts w:hint="eastAsia" w:ascii="宋体" w:hAnsi="宋体" w:eastAsia="宋体" w:cs="宋体"/>
                <w:color w:val="auto"/>
                <w:spacing w:val="8"/>
                <w:sz w:val="24"/>
                <w:szCs w:val="24"/>
                <w:highlight w:val="none"/>
              </w:rPr>
              <w:t>，在投标总价中计入安全生产费用，</w:t>
            </w:r>
            <w:r>
              <w:rPr>
                <w:rFonts w:hint="eastAsia" w:ascii="宋体" w:hAnsi="宋体" w:eastAsia="宋体" w:cs="宋体"/>
                <w:b/>
                <w:bCs/>
                <w:color w:val="auto"/>
                <w:spacing w:val="8"/>
                <w:sz w:val="24"/>
                <w:szCs w:val="24"/>
                <w:highlight w:val="none"/>
              </w:rPr>
              <w:t>安全生产费用以固定金额形式计入工程</w:t>
            </w:r>
            <w:r>
              <w:rPr>
                <w:rFonts w:hint="eastAsia" w:ascii="宋体" w:hAnsi="宋体" w:eastAsia="宋体" w:cs="宋体"/>
                <w:b/>
                <w:bCs/>
                <w:color w:val="auto"/>
                <w:spacing w:val="7"/>
                <w:sz w:val="24"/>
                <w:szCs w:val="24"/>
                <w:highlight w:val="none"/>
              </w:rPr>
              <w:t>量清单第100章中(安全生产费用为招标人公布的最高投标限价的1.5％</w:t>
            </w:r>
            <w:r>
              <w:rPr>
                <w:rFonts w:hint="eastAsia" w:ascii="宋体" w:hAnsi="宋体" w:eastAsia="宋体" w:cs="宋体"/>
                <w:b/>
                <w:bCs/>
                <w:color w:val="auto"/>
                <w:spacing w:val="7"/>
                <w:sz w:val="24"/>
                <w:szCs w:val="24"/>
                <w:highlight w:val="none"/>
                <w:lang w:eastAsia="zh-CN"/>
              </w:rPr>
              <w:t>，</w:t>
            </w:r>
            <w:r>
              <w:rPr>
                <w:rFonts w:hint="eastAsia" w:ascii="宋体" w:hAnsi="宋体" w:cs="宋体"/>
                <w:b/>
                <w:bCs/>
                <w:color w:val="auto"/>
                <w:spacing w:val="7"/>
                <w:sz w:val="24"/>
                <w:szCs w:val="24"/>
                <w:highlight w:val="none"/>
                <w:lang w:val="en-US" w:eastAsia="zh-CN"/>
              </w:rPr>
              <w:t>即</w:t>
            </w:r>
            <w:r>
              <w:rPr>
                <w:rFonts w:hint="eastAsia" w:ascii="宋体" w:hAnsi="宋体" w:eastAsia="宋体" w:cs="宋体"/>
                <w:b/>
                <w:bCs/>
                <w:color w:val="auto"/>
                <w:spacing w:val="7"/>
                <w:sz w:val="24"/>
                <w:szCs w:val="24"/>
                <w:highlight w:val="none"/>
                <w:shd w:val="clear"/>
              </w:rPr>
              <w:t>安全生产费用</w:t>
            </w:r>
            <w:r>
              <w:rPr>
                <w:rFonts w:hint="eastAsia" w:ascii="宋体" w:hAnsi="宋体" w:eastAsia="宋体" w:cs="宋体"/>
                <w:b/>
                <w:bCs/>
                <w:color w:val="auto"/>
                <w:spacing w:val="7"/>
                <w:sz w:val="24"/>
                <w:szCs w:val="24"/>
                <w:highlight w:val="none"/>
                <w:shd w:val="clear"/>
                <w:lang w:eastAsia="zh-CN"/>
              </w:rPr>
              <w:t>：</w:t>
            </w:r>
            <w:r>
              <w:rPr>
                <w:rFonts w:hint="eastAsia" w:ascii="宋体" w:hAnsi="宋体" w:eastAsia="宋体" w:cs="宋体"/>
                <w:b/>
                <w:bCs/>
                <w:color w:val="auto"/>
                <w:spacing w:val="7"/>
                <w:sz w:val="24"/>
                <w:szCs w:val="24"/>
                <w:highlight w:val="none"/>
                <w:shd w:val="clear"/>
                <w:lang w:val="en-US" w:eastAsia="zh-CN"/>
              </w:rPr>
              <w:t xml:space="preserve"> 81,000.00元</w:t>
            </w:r>
            <w:r>
              <w:rPr>
                <w:rFonts w:hint="eastAsia" w:ascii="宋体" w:hAnsi="宋体" w:eastAsia="宋体" w:cs="宋体"/>
                <w:b/>
                <w:bCs/>
                <w:color w:val="auto"/>
                <w:spacing w:val="7"/>
                <w:sz w:val="24"/>
                <w:szCs w:val="24"/>
                <w:highlight w:val="none"/>
                <w:shd w:val="clear"/>
              </w:rPr>
              <w:t>)</w:t>
            </w:r>
            <w:r>
              <w:rPr>
                <w:rFonts w:hint="eastAsia" w:ascii="宋体" w:hAnsi="宋体" w:eastAsia="宋体" w:cs="宋体"/>
                <w:b/>
                <w:bCs/>
                <w:color w:val="auto"/>
                <w:sz w:val="24"/>
                <w:szCs w:val="24"/>
                <w:highlight w:val="none"/>
              </w:rPr>
              <w:t>，</w:t>
            </w:r>
            <w:r>
              <w:rPr>
                <w:rFonts w:hint="eastAsia" w:ascii="宋体" w:hAnsi="宋体" w:eastAsia="宋体" w:cs="宋体"/>
                <w:color w:val="auto"/>
                <w:spacing w:val="15"/>
                <w:sz w:val="24"/>
                <w:szCs w:val="24"/>
                <w:highlight w:val="none"/>
              </w:rPr>
              <w:t>投</w:t>
            </w:r>
            <w:r>
              <w:rPr>
                <w:rFonts w:hint="eastAsia" w:ascii="宋体" w:hAnsi="宋体" w:eastAsia="宋体" w:cs="宋体"/>
                <w:color w:val="auto"/>
                <w:spacing w:val="8"/>
                <w:sz w:val="24"/>
                <w:szCs w:val="24"/>
                <w:highlight w:val="none"/>
              </w:rPr>
              <w:t>标人在投标报价时不得对该固定金额进行调整。如投标人须在此基础上增加</w:t>
            </w:r>
            <w:r>
              <w:rPr>
                <w:rFonts w:hint="eastAsia" w:ascii="宋体" w:hAnsi="宋体" w:eastAsia="宋体" w:cs="宋体"/>
                <w:color w:val="auto"/>
                <w:spacing w:val="13"/>
                <w:sz w:val="24"/>
                <w:szCs w:val="24"/>
                <w:highlight w:val="none"/>
              </w:rPr>
              <w:t>安</w:t>
            </w:r>
            <w:r>
              <w:rPr>
                <w:rFonts w:hint="eastAsia" w:ascii="宋体" w:hAnsi="宋体" w:eastAsia="宋体" w:cs="宋体"/>
                <w:color w:val="auto"/>
                <w:spacing w:val="8"/>
                <w:sz w:val="24"/>
                <w:szCs w:val="24"/>
                <w:highlight w:val="none"/>
              </w:rPr>
              <w:t>全生产费用以满足项目施工需要，则投标人应在本项目工程量清单其它相关</w:t>
            </w:r>
            <w:r>
              <w:rPr>
                <w:rFonts w:hint="eastAsia" w:ascii="宋体" w:hAnsi="宋体" w:eastAsia="宋体" w:cs="宋体"/>
                <w:color w:val="auto"/>
                <w:spacing w:val="13"/>
                <w:sz w:val="24"/>
                <w:szCs w:val="24"/>
                <w:highlight w:val="none"/>
              </w:rPr>
              <w:t>子</w:t>
            </w:r>
            <w:r>
              <w:rPr>
                <w:rFonts w:hint="eastAsia" w:ascii="宋体" w:hAnsi="宋体" w:eastAsia="宋体" w:cs="宋体"/>
                <w:color w:val="auto"/>
                <w:spacing w:val="9"/>
                <w:sz w:val="24"/>
                <w:szCs w:val="24"/>
                <w:highlight w:val="none"/>
              </w:rPr>
              <w:t>目的单价或总额价中予以考虑，发包人不再单独支付。</w:t>
            </w:r>
          </w:p>
          <w:p w14:paraId="083330CA">
            <w:pPr>
              <w:pageBreakBefore w:val="0"/>
              <w:shd w:val="clear"/>
              <w:kinsoku/>
              <w:wordWrap w:val="0"/>
              <w:bidi w:val="0"/>
              <w:spacing w:line="440" w:lineRule="exact"/>
              <w:jc w:val="left"/>
              <w:rPr>
                <w:rFonts w:hint="eastAsia" w:ascii="宋体" w:hAnsi="宋体" w:eastAsia="宋体" w:cs="宋体"/>
                <w:color w:val="auto"/>
                <w:kern w:val="2"/>
                <w:sz w:val="24"/>
                <w:szCs w:val="24"/>
                <w:highlight w:val="yellow"/>
                <w:lang w:val="en-US" w:eastAsia="zh-CN" w:bidi="ar-SA"/>
              </w:rPr>
            </w:pPr>
            <w:r>
              <w:rPr>
                <w:rFonts w:hint="eastAsia" w:ascii="宋体" w:hAnsi="宋体" w:eastAsia="宋体" w:cs="宋体"/>
                <w:color w:val="auto"/>
                <w:spacing w:val="18"/>
                <w:sz w:val="24"/>
                <w:szCs w:val="24"/>
                <w:highlight w:val="none"/>
              </w:rPr>
              <w:t>承包</w:t>
            </w:r>
            <w:r>
              <w:rPr>
                <w:rFonts w:hint="eastAsia" w:ascii="宋体" w:hAnsi="宋体" w:eastAsia="宋体" w:cs="宋体"/>
                <w:color w:val="auto"/>
                <w:spacing w:val="13"/>
                <w:sz w:val="24"/>
                <w:szCs w:val="24"/>
                <w:highlight w:val="none"/>
              </w:rPr>
              <w:t>人</w:t>
            </w:r>
            <w:r>
              <w:rPr>
                <w:rFonts w:hint="eastAsia" w:ascii="宋体" w:hAnsi="宋体" w:eastAsia="宋体" w:cs="宋体"/>
                <w:color w:val="auto"/>
                <w:spacing w:val="9"/>
                <w:sz w:val="24"/>
                <w:szCs w:val="24"/>
                <w:highlight w:val="none"/>
              </w:rPr>
              <w:t>的施工安全生产费用，应当用于施工安全防护用具及设施的采购和</w:t>
            </w:r>
            <w:r>
              <w:rPr>
                <w:rFonts w:hint="eastAsia" w:ascii="宋体" w:hAnsi="宋体" w:eastAsia="宋体" w:cs="宋体"/>
                <w:color w:val="auto"/>
                <w:spacing w:val="16"/>
                <w:sz w:val="24"/>
                <w:szCs w:val="24"/>
                <w:highlight w:val="none"/>
              </w:rPr>
              <w:t>更</w:t>
            </w:r>
            <w:r>
              <w:rPr>
                <w:rFonts w:hint="eastAsia" w:ascii="宋体" w:hAnsi="宋体" w:eastAsia="宋体" w:cs="宋体"/>
                <w:color w:val="auto"/>
                <w:spacing w:val="9"/>
                <w:sz w:val="24"/>
                <w:szCs w:val="24"/>
                <w:highlight w:val="none"/>
              </w:rPr>
              <w:t>新、安全施工措施的落实、安全生产条件的改善，不得挪作他用。</w:t>
            </w:r>
          </w:p>
        </w:tc>
      </w:tr>
      <w:tr w14:paraId="04712D3D">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745C4C0D">
            <w:pPr>
              <w:pageBreakBefore w:val="0"/>
              <w:shd w:val="clear"/>
              <w:kinsoku/>
              <w:wordWrap w:val="0"/>
              <w:bidi w:val="0"/>
              <w:spacing w:line="440" w:lineRule="exact"/>
              <w:jc w:val="center"/>
              <w:rPr>
                <w:rFonts w:hint="default"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9.4</w:t>
            </w:r>
          </w:p>
        </w:tc>
        <w:tc>
          <w:tcPr>
            <w:tcW w:w="818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44D63984">
            <w:pPr>
              <w:shd w:val="clea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投标人须知正文补充第</w:t>
            </w:r>
            <w:r>
              <w:rPr>
                <w:rFonts w:hint="eastAsia" w:ascii="宋体" w:hAnsi="宋体" w:eastAsia="宋体" w:cs="宋体"/>
                <w:color w:val="auto"/>
                <w:sz w:val="24"/>
                <w:szCs w:val="24"/>
                <w:highlight w:val="none"/>
                <w:lang w:eastAsia="zh-CN"/>
              </w:rPr>
              <w:t>9</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4款</w:t>
            </w:r>
            <w:r>
              <w:rPr>
                <w:rFonts w:hint="eastAsia" w:ascii="宋体" w:hAnsi="宋体" w:eastAsia="宋体" w:cs="宋体"/>
                <w:color w:val="auto"/>
                <w:sz w:val="24"/>
                <w:szCs w:val="24"/>
                <w:highlight w:val="none"/>
              </w:rPr>
              <w:t>：</w:t>
            </w:r>
          </w:p>
          <w:p w14:paraId="11637152">
            <w:pPr>
              <w:pageBreakBefore w:val="0"/>
              <w:shd w:val="clear"/>
              <w:kinsoku/>
              <w:wordWrap w:val="0"/>
              <w:bidi w:val="0"/>
              <w:spacing w:line="440" w:lineRule="exact"/>
              <w:jc w:val="left"/>
              <w:rPr>
                <w:rFonts w:hint="eastAsia" w:ascii="宋体" w:hAnsi="宋体" w:eastAsia="宋体" w:cs="宋体"/>
                <w:color w:val="auto"/>
                <w:spacing w:val="18"/>
                <w:kern w:val="2"/>
                <w:sz w:val="24"/>
                <w:szCs w:val="24"/>
                <w:highlight w:val="none"/>
                <w:lang w:val="en-US" w:eastAsia="zh-CN" w:bidi="ar-SA"/>
              </w:rPr>
            </w:pPr>
            <w:r>
              <w:rPr>
                <w:rFonts w:hint="eastAsia" w:ascii="宋体" w:hAnsi="宋体" w:eastAsia="宋体" w:cs="宋体"/>
                <w:color w:val="auto"/>
                <w:spacing w:val="2"/>
                <w:sz w:val="24"/>
                <w:szCs w:val="24"/>
                <w:highlight w:val="none"/>
              </w:rPr>
              <w:t>投标文件第一个信封(商务及技术文件)不</w:t>
            </w:r>
            <w:r>
              <w:rPr>
                <w:rFonts w:hint="eastAsia" w:ascii="宋体" w:hAnsi="宋体" w:eastAsia="宋体" w:cs="宋体"/>
                <w:color w:val="auto"/>
                <w:spacing w:val="1"/>
                <w:sz w:val="24"/>
                <w:szCs w:val="24"/>
                <w:highlight w:val="none"/>
              </w:rPr>
              <w:t>应出现有关投标报价的内容</w:t>
            </w:r>
            <w:r>
              <w:rPr>
                <w:rFonts w:hint="eastAsia" w:ascii="宋体" w:hAnsi="宋体" w:cs="宋体"/>
                <w:color w:val="auto"/>
                <w:spacing w:val="1"/>
                <w:sz w:val="24"/>
                <w:szCs w:val="24"/>
                <w:highlight w:val="none"/>
                <w:lang w:eastAsia="zh-CN"/>
              </w:rPr>
              <w:t>。</w:t>
            </w:r>
          </w:p>
        </w:tc>
      </w:tr>
      <w:tr w14:paraId="66EE4FEF">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7F3854F">
            <w:pPr>
              <w:pageBreakBefore w:val="0"/>
              <w:shd w:val="clear"/>
              <w:kinsoku/>
              <w:wordWrap w:val="0"/>
              <w:bidi w:val="0"/>
              <w:spacing w:line="440" w:lineRule="exact"/>
              <w:jc w:val="center"/>
              <w:rPr>
                <w:rFonts w:hint="default" w:ascii="宋体" w:hAnsi="宋体" w:eastAsia="宋体" w:cs="宋体"/>
                <w:color w:val="auto"/>
                <w:kern w:val="2"/>
                <w:sz w:val="24"/>
                <w:szCs w:val="24"/>
                <w:highlight w:val="none"/>
                <w:lang w:val="en-US" w:eastAsia="zh-CN" w:bidi="ar-SA"/>
              </w:rPr>
            </w:pPr>
            <w:r>
              <w:rPr>
                <w:rFonts w:hint="eastAsia" w:cs="Times New Roman"/>
                <w:color w:val="auto"/>
                <w:sz w:val="24"/>
                <w:szCs w:val="24"/>
                <w:highlight w:val="none"/>
                <w:lang w:val="en-US" w:eastAsia="zh-CN"/>
              </w:rPr>
              <w:t>9.5</w:t>
            </w:r>
          </w:p>
        </w:tc>
        <w:tc>
          <w:tcPr>
            <w:tcW w:w="818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4EC841B">
            <w:pPr>
              <w:shd w:val="clea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投标人须知正文补充第</w:t>
            </w:r>
            <w:r>
              <w:rPr>
                <w:rFonts w:hint="eastAsia" w:ascii="宋体" w:hAnsi="宋体" w:eastAsia="宋体" w:cs="宋体"/>
                <w:color w:val="auto"/>
                <w:sz w:val="24"/>
                <w:szCs w:val="24"/>
                <w:highlight w:val="none"/>
                <w:lang w:val="en-US" w:eastAsia="zh-CN"/>
              </w:rPr>
              <w:t>9.5</w:t>
            </w:r>
            <w:r>
              <w:rPr>
                <w:rFonts w:hint="eastAsia" w:ascii="宋体" w:hAnsi="宋体" w:eastAsia="宋体" w:cs="宋体"/>
                <w:color w:val="auto"/>
                <w:sz w:val="24"/>
                <w:szCs w:val="24"/>
                <w:highlight w:val="none"/>
              </w:rPr>
              <w:t>款：</w:t>
            </w:r>
          </w:p>
          <w:p w14:paraId="0E6C765E">
            <w:pPr>
              <w:shd w:val="clea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任</w:t>
            </w:r>
            <w:r>
              <w:rPr>
                <w:rFonts w:hint="eastAsia" w:ascii="宋体" w:hAnsi="宋体" w:eastAsia="宋体" w:cs="宋体"/>
                <w:color w:val="auto"/>
                <w:sz w:val="24"/>
                <w:szCs w:val="24"/>
                <w:highlight w:val="none"/>
                <w:lang w:val="en-US" w:eastAsia="zh-CN"/>
              </w:rPr>
              <w:t>一</w:t>
            </w:r>
            <w:r>
              <w:rPr>
                <w:rFonts w:hint="eastAsia" w:ascii="宋体" w:hAnsi="宋体" w:eastAsia="宋体" w:cs="宋体"/>
                <w:color w:val="auto"/>
                <w:sz w:val="24"/>
                <w:szCs w:val="24"/>
                <w:highlight w:val="none"/>
                <w:lang w:eastAsia="zh-CN"/>
              </w:rPr>
              <w:t>标段</w:t>
            </w:r>
            <w:r>
              <w:rPr>
                <w:rFonts w:hint="eastAsia" w:ascii="宋体" w:hAnsi="宋体" w:eastAsia="宋体" w:cs="宋体"/>
                <w:color w:val="auto"/>
                <w:sz w:val="24"/>
                <w:szCs w:val="24"/>
                <w:highlight w:val="none"/>
              </w:rPr>
              <w:t>存在下列情形之一的，招标人将对应标段重新招标：</w:t>
            </w:r>
          </w:p>
          <w:p w14:paraId="42E8E837">
            <w:pPr>
              <w:shd w:val="clea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(1)投标截止时间止，递交投标文件或投标保证金的投标人少于3个的；</w:t>
            </w:r>
          </w:p>
          <w:p w14:paraId="473BED45">
            <w:pPr>
              <w:shd w:val="clea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(2)经评标委员会评审后否决所有投标的；</w:t>
            </w:r>
          </w:p>
          <w:p w14:paraId="2A6AD994">
            <w:pPr>
              <w:shd w:val="clea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(3)经评标委员会评审后未推荐中标候选人的；</w:t>
            </w:r>
          </w:p>
          <w:p w14:paraId="45645DEC">
            <w:pPr>
              <w:shd w:val="clea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(4)中标候选人均未与招标人签订合同的；</w:t>
            </w:r>
          </w:p>
          <w:p w14:paraId="17A6638D">
            <w:pPr>
              <w:shd w:val="clear"/>
              <w:spacing w:line="440" w:lineRule="exac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(5)法律规定的其他情形。</w:t>
            </w:r>
          </w:p>
        </w:tc>
      </w:tr>
      <w:tr w14:paraId="705C5175">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22D2302">
            <w:pPr>
              <w:pageBreakBefore w:val="0"/>
              <w:shd w:val="clear"/>
              <w:kinsoku/>
              <w:wordWrap w:val="0"/>
              <w:bidi w:val="0"/>
              <w:spacing w:line="440" w:lineRule="exact"/>
              <w:jc w:val="center"/>
              <w:rPr>
                <w:rFonts w:hint="default" w:cs="Times New Roman"/>
                <w:color w:val="auto"/>
                <w:sz w:val="24"/>
                <w:szCs w:val="24"/>
                <w:highlight w:val="none"/>
                <w:lang w:val="en-US" w:eastAsia="zh-CN"/>
              </w:rPr>
            </w:pPr>
            <w:r>
              <w:rPr>
                <w:rFonts w:hint="eastAsia" w:cs="Times New Roman"/>
                <w:color w:val="auto"/>
                <w:sz w:val="24"/>
                <w:szCs w:val="24"/>
                <w:highlight w:val="none"/>
                <w:lang w:val="en-US" w:eastAsia="zh-CN"/>
              </w:rPr>
              <w:t>9.6</w:t>
            </w:r>
          </w:p>
        </w:tc>
        <w:tc>
          <w:tcPr>
            <w:tcW w:w="8180" w:type="dxa"/>
            <w:gridSpan w:val="2"/>
            <w:tcBorders>
              <w:top w:val="single" w:color="auto" w:sz="4" w:space="0"/>
              <w:left w:val="single" w:color="auto" w:sz="4" w:space="0"/>
              <w:bottom w:val="single" w:color="auto" w:sz="4" w:space="0"/>
              <w:right w:val="single" w:color="auto" w:sz="4" w:space="0"/>
            </w:tcBorders>
            <w:shd w:val="clear" w:color="auto" w:fill="auto"/>
            <w:noWrap w:val="0"/>
            <w:vAlign w:val="top"/>
          </w:tcPr>
          <w:p w14:paraId="2648A531">
            <w:pPr>
              <w:shd w:val="clea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投标人须知正文补充第</w:t>
            </w:r>
            <w:r>
              <w:rPr>
                <w:rFonts w:hint="eastAsia" w:ascii="宋体" w:hAnsi="宋体" w:eastAsia="宋体" w:cs="宋体"/>
                <w:color w:val="auto"/>
                <w:sz w:val="24"/>
                <w:szCs w:val="24"/>
                <w:highlight w:val="none"/>
                <w:lang w:val="en-US" w:eastAsia="zh-CN"/>
              </w:rPr>
              <w:t>9.6</w:t>
            </w:r>
            <w:r>
              <w:rPr>
                <w:rFonts w:hint="eastAsia" w:ascii="宋体" w:hAnsi="宋体" w:eastAsia="宋体" w:cs="宋体"/>
                <w:color w:val="auto"/>
                <w:sz w:val="24"/>
                <w:szCs w:val="24"/>
                <w:highlight w:val="none"/>
              </w:rPr>
              <w:t>款：</w:t>
            </w:r>
          </w:p>
          <w:p w14:paraId="44756313">
            <w:pPr>
              <w:shd w:val="clear"/>
              <w:spacing w:line="440" w:lineRule="exact"/>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构成本招标文件各个组成部分的文件，未经招标人书面同意，投标人不得擅自复印和用于非本招标项目所需的其他目的。</w:t>
            </w:r>
          </w:p>
        </w:tc>
      </w:tr>
      <w:tr w14:paraId="52F40254">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B0447CC">
            <w:pPr>
              <w:pageBreakBefore w:val="0"/>
              <w:shd w:val="clear"/>
              <w:kinsoku/>
              <w:wordWrap w:val="0"/>
              <w:bidi w:val="0"/>
              <w:spacing w:line="440" w:lineRule="exact"/>
              <w:jc w:val="center"/>
              <w:rPr>
                <w:rFonts w:hint="default" w:cs="Times New Roman"/>
                <w:color w:val="auto"/>
                <w:sz w:val="24"/>
                <w:szCs w:val="24"/>
                <w:highlight w:val="none"/>
                <w:lang w:val="en-US" w:eastAsia="zh-CN"/>
              </w:rPr>
            </w:pPr>
            <w:r>
              <w:rPr>
                <w:rFonts w:hint="eastAsia" w:cs="Times New Roman"/>
                <w:color w:val="auto"/>
                <w:sz w:val="24"/>
                <w:szCs w:val="24"/>
                <w:highlight w:val="none"/>
                <w:lang w:val="en-US" w:eastAsia="zh-CN"/>
              </w:rPr>
              <w:t>9.7</w:t>
            </w:r>
          </w:p>
        </w:tc>
        <w:tc>
          <w:tcPr>
            <w:tcW w:w="8180" w:type="dxa"/>
            <w:gridSpan w:val="2"/>
            <w:tcBorders>
              <w:top w:val="single" w:color="auto" w:sz="4" w:space="0"/>
              <w:left w:val="single" w:color="auto" w:sz="4" w:space="0"/>
              <w:bottom w:val="single" w:color="auto" w:sz="4" w:space="0"/>
              <w:right w:val="single" w:color="auto" w:sz="4" w:space="0"/>
            </w:tcBorders>
            <w:shd w:val="clear" w:color="auto" w:fill="auto"/>
            <w:noWrap w:val="0"/>
            <w:vAlign w:val="top"/>
          </w:tcPr>
          <w:p w14:paraId="7DF6B9AB">
            <w:pPr>
              <w:shd w:val="clea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投标人须知正文补充第</w:t>
            </w:r>
            <w:r>
              <w:rPr>
                <w:rFonts w:hint="eastAsia" w:ascii="宋体" w:hAnsi="宋体" w:eastAsia="宋体" w:cs="宋体"/>
                <w:color w:val="auto"/>
                <w:sz w:val="24"/>
                <w:szCs w:val="24"/>
                <w:highlight w:val="none"/>
                <w:lang w:val="en-US" w:eastAsia="zh-CN"/>
              </w:rPr>
              <w:t>9.7</w:t>
            </w:r>
            <w:r>
              <w:rPr>
                <w:rFonts w:hint="eastAsia" w:ascii="宋体" w:hAnsi="宋体" w:eastAsia="宋体" w:cs="宋体"/>
                <w:color w:val="auto"/>
                <w:sz w:val="24"/>
                <w:szCs w:val="24"/>
                <w:highlight w:val="none"/>
              </w:rPr>
              <w:t>款：</w:t>
            </w:r>
          </w:p>
          <w:p w14:paraId="33E683D4">
            <w:pPr>
              <w:shd w:val="clear"/>
              <w:spacing w:line="440" w:lineRule="exact"/>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构成招标文件组成部分的第二章、第四章~第八章中出现的措辞“发包人”和“承包人”，在招标投标阶段应当分别按“招标人”和“投标人(或中标人)”进行理解；构成招标文件组成部分的第二章中出现的措辞“招标人”和“投标人(或中标人)”，且与合同文件相关的条款，在合同履约阶段应当分别按“发包人”和“承包人”进行理解。</w:t>
            </w:r>
          </w:p>
        </w:tc>
      </w:tr>
      <w:tr w14:paraId="18212CD5">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832B9A6">
            <w:pPr>
              <w:pageBreakBefore w:val="0"/>
              <w:shd w:val="clear"/>
              <w:kinsoku/>
              <w:wordWrap w:val="0"/>
              <w:bidi w:val="0"/>
              <w:spacing w:line="440" w:lineRule="exact"/>
              <w:jc w:val="center"/>
              <w:rPr>
                <w:rFonts w:hint="default" w:cs="Times New Roman"/>
                <w:color w:val="auto"/>
                <w:sz w:val="24"/>
                <w:szCs w:val="24"/>
                <w:highlight w:val="none"/>
                <w:lang w:val="en-US" w:eastAsia="zh-CN"/>
              </w:rPr>
            </w:pPr>
            <w:r>
              <w:rPr>
                <w:rFonts w:hint="eastAsia" w:cs="Times New Roman"/>
                <w:color w:val="auto"/>
                <w:sz w:val="24"/>
                <w:szCs w:val="24"/>
                <w:highlight w:val="none"/>
                <w:lang w:val="en-US" w:eastAsia="zh-CN"/>
              </w:rPr>
              <w:t>9.8</w:t>
            </w:r>
          </w:p>
        </w:tc>
        <w:tc>
          <w:tcPr>
            <w:tcW w:w="8180" w:type="dxa"/>
            <w:gridSpan w:val="2"/>
            <w:tcBorders>
              <w:top w:val="single" w:color="auto" w:sz="4" w:space="0"/>
              <w:left w:val="single" w:color="auto" w:sz="4" w:space="0"/>
              <w:bottom w:val="single" w:color="auto" w:sz="4" w:space="0"/>
              <w:right w:val="single" w:color="auto" w:sz="4" w:space="0"/>
            </w:tcBorders>
            <w:shd w:val="clear" w:color="auto" w:fill="auto"/>
            <w:noWrap w:val="0"/>
            <w:vAlign w:val="top"/>
          </w:tcPr>
          <w:p w14:paraId="217B5BDD">
            <w:pPr>
              <w:shd w:val="clea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投标人须知正文补充第</w:t>
            </w:r>
            <w:r>
              <w:rPr>
                <w:rFonts w:hint="eastAsia" w:ascii="宋体" w:hAnsi="宋体" w:eastAsia="宋体" w:cs="宋体"/>
                <w:color w:val="auto"/>
                <w:sz w:val="24"/>
                <w:szCs w:val="24"/>
                <w:highlight w:val="none"/>
                <w:lang w:val="en-US" w:eastAsia="zh-CN"/>
              </w:rPr>
              <w:t>9.8</w:t>
            </w:r>
            <w:r>
              <w:rPr>
                <w:rFonts w:hint="eastAsia" w:ascii="宋体" w:hAnsi="宋体" w:eastAsia="宋体" w:cs="宋体"/>
                <w:color w:val="auto"/>
                <w:sz w:val="24"/>
                <w:szCs w:val="24"/>
                <w:highlight w:val="none"/>
              </w:rPr>
              <w:t>款：</w:t>
            </w:r>
          </w:p>
          <w:p w14:paraId="4CE34C8B">
            <w:pPr>
              <w:shd w:val="clear"/>
              <w:spacing w:line="440" w:lineRule="exact"/>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构成本招标文件的各个组成文件应互为解释，互为说明；如有不明确或不一致，构成合同文件组成内容的，以合同文件约定内容为准，且以合同协议书约定的合同文件优先顺序解释；除招标文件中有特别规定外，仅适用于招标投标阶段的规定，按招标公告(投标邀请书)、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招标人负责解释。</w:t>
            </w:r>
          </w:p>
        </w:tc>
      </w:tr>
      <w:tr w14:paraId="200AA40F">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3B9719E">
            <w:pPr>
              <w:pageBreakBefore w:val="0"/>
              <w:shd w:val="clear"/>
              <w:kinsoku/>
              <w:wordWrap w:val="0"/>
              <w:bidi w:val="0"/>
              <w:spacing w:line="440" w:lineRule="exact"/>
              <w:jc w:val="center"/>
              <w:rPr>
                <w:rFonts w:hint="default" w:cs="Times New Roman"/>
                <w:color w:val="auto"/>
                <w:sz w:val="24"/>
                <w:szCs w:val="24"/>
                <w:highlight w:val="none"/>
                <w:lang w:val="en-US" w:eastAsia="zh-CN"/>
              </w:rPr>
            </w:pPr>
            <w:r>
              <w:rPr>
                <w:rFonts w:hint="eastAsia" w:cs="Times New Roman"/>
                <w:color w:val="auto"/>
                <w:sz w:val="24"/>
                <w:szCs w:val="24"/>
                <w:highlight w:val="none"/>
                <w:lang w:val="en-US" w:eastAsia="zh-CN"/>
              </w:rPr>
              <w:t>9.9</w:t>
            </w:r>
          </w:p>
        </w:tc>
        <w:tc>
          <w:tcPr>
            <w:tcW w:w="818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7A3FFE1E">
            <w:pPr>
              <w:pageBreakBefore w:val="0"/>
              <w:shd w:val="clear"/>
              <w:kinsoku/>
              <w:wordWrap w:val="0"/>
              <w:bidi w:val="0"/>
              <w:spacing w:line="44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投标人须知正文补充第9.9款：</w:t>
            </w:r>
          </w:p>
          <w:p w14:paraId="1235F491">
            <w:pPr>
              <w:pageBreakBefore w:val="0"/>
              <w:shd w:val="clear"/>
              <w:kinsoku/>
              <w:wordWrap w:val="0"/>
              <w:bidi w:val="0"/>
              <w:spacing w:line="44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本项目收取招标代理服务费，招标代理服务费由中标人支付；</w:t>
            </w:r>
          </w:p>
          <w:p w14:paraId="1BC3CCE7">
            <w:pPr>
              <w:pageBreakBefore w:val="0"/>
              <w:shd w:val="clear"/>
              <w:kinsoku/>
              <w:wordWrap w:val="0"/>
              <w:bidi w:val="0"/>
              <w:spacing w:line="44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招标代理费参照原《国家计委关于印发〈招标代理服务收费管理暂行办法〉的通知》（计价格〔2002〕1980号）规定的标准计取；</w:t>
            </w:r>
          </w:p>
          <w:p w14:paraId="62463270">
            <w:pPr>
              <w:pageBreakBefore w:val="0"/>
              <w:shd w:val="clear"/>
              <w:kinsoku/>
              <w:wordWrap w:val="0"/>
              <w:bidi w:val="0"/>
              <w:spacing w:line="44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招标代理服务费含在投标报价之中，招标人不再另行支付，但投标人不得在投标报价中单列；</w:t>
            </w:r>
          </w:p>
          <w:p w14:paraId="3870BDB8">
            <w:pPr>
              <w:pageBreakBefore w:val="0"/>
              <w:shd w:val="clear"/>
              <w:kinsoku/>
              <w:wordWrap w:val="0"/>
              <w:bidi w:val="0"/>
              <w:spacing w:line="440" w:lineRule="exact"/>
              <w:jc w:val="left"/>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招标代理服务费在中标通知书发出前由中标人一次性向招标代理机构付清。</w:t>
            </w:r>
          </w:p>
        </w:tc>
      </w:tr>
      <w:tr w14:paraId="7117F9AB">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2E222CD">
            <w:pPr>
              <w:pageBreakBefore w:val="0"/>
              <w:shd w:val="clear"/>
              <w:kinsoku/>
              <w:wordWrap w:val="0"/>
              <w:bidi w:val="0"/>
              <w:spacing w:line="440" w:lineRule="exact"/>
              <w:jc w:val="center"/>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9.10</w:t>
            </w:r>
          </w:p>
        </w:tc>
        <w:tc>
          <w:tcPr>
            <w:tcW w:w="818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F2FB56C">
            <w:pPr>
              <w:shd w:val="clea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投标人须知正文补充第</w:t>
            </w:r>
            <w:r>
              <w:rPr>
                <w:rFonts w:hint="eastAsia" w:ascii="宋体" w:hAnsi="宋体" w:eastAsia="宋体" w:cs="宋体"/>
                <w:color w:val="auto"/>
                <w:sz w:val="24"/>
                <w:szCs w:val="24"/>
                <w:highlight w:val="none"/>
                <w:lang w:eastAsia="zh-CN"/>
              </w:rPr>
              <w:t>9</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10款</w:t>
            </w:r>
            <w:r>
              <w:rPr>
                <w:rFonts w:hint="eastAsia" w:ascii="宋体" w:hAnsi="宋体" w:eastAsia="宋体" w:cs="宋体"/>
                <w:color w:val="auto"/>
                <w:sz w:val="24"/>
                <w:szCs w:val="24"/>
                <w:highlight w:val="none"/>
              </w:rPr>
              <w:t>：</w:t>
            </w:r>
          </w:p>
          <w:p w14:paraId="00C0E7CD">
            <w:pPr>
              <w:pageBreakBefore w:val="0"/>
              <w:shd w:val="clear"/>
              <w:kinsoku/>
              <w:wordWrap w:val="0"/>
              <w:bidi w:val="0"/>
              <w:spacing w:line="44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根据《省发展改革委关于降低我省建设工程交易服务收费标准的通知》(辽发改价格【2023】128号)，本招标项目的交易双方(招标人和中标人)应缴纳建设工程交易中心服务费，应由招标人及中标人缴纳的建设工程交易中心服务费均由中标人在报价总价中综合考虑，招标人不另行计量或支付，但投标人不得在投标报价中单列；</w:t>
            </w:r>
          </w:p>
          <w:p w14:paraId="74011F18">
            <w:pPr>
              <w:pageBreakBefore w:val="0"/>
              <w:shd w:val="clear"/>
              <w:kinsoku/>
              <w:wordWrap w:val="0"/>
              <w:bidi w:val="0"/>
              <w:spacing w:line="440" w:lineRule="exact"/>
              <w:jc w:val="left"/>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建设工程交易服务费在中标通知书发出前由中标人一次性向建设工程交易中心付清。</w:t>
            </w:r>
          </w:p>
        </w:tc>
      </w:tr>
      <w:tr w14:paraId="58065E42">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14D36EC">
            <w:pPr>
              <w:pageBreakBefore w:val="0"/>
              <w:shd w:val="clear"/>
              <w:kinsoku/>
              <w:wordWrap w:val="0"/>
              <w:bidi w:val="0"/>
              <w:spacing w:line="440" w:lineRule="exact"/>
              <w:jc w:val="center"/>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9.11</w:t>
            </w:r>
          </w:p>
        </w:tc>
        <w:tc>
          <w:tcPr>
            <w:tcW w:w="818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1231075">
            <w:pPr>
              <w:shd w:val="clea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投标人须知正文补充第</w:t>
            </w:r>
            <w:r>
              <w:rPr>
                <w:rFonts w:hint="eastAsia" w:ascii="宋体" w:hAnsi="宋体" w:eastAsia="宋体" w:cs="宋体"/>
                <w:color w:val="auto"/>
                <w:sz w:val="24"/>
                <w:szCs w:val="24"/>
                <w:highlight w:val="none"/>
                <w:lang w:eastAsia="zh-CN"/>
              </w:rPr>
              <w:t>9</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11款</w:t>
            </w:r>
            <w:r>
              <w:rPr>
                <w:rFonts w:hint="eastAsia" w:ascii="宋体" w:hAnsi="宋体" w:eastAsia="宋体" w:cs="宋体"/>
                <w:color w:val="auto"/>
                <w:sz w:val="24"/>
                <w:szCs w:val="24"/>
                <w:highlight w:val="none"/>
              </w:rPr>
              <w:t>：</w:t>
            </w:r>
          </w:p>
          <w:p w14:paraId="2BD50B41">
            <w:pPr>
              <w:pageBreakBefore w:val="0"/>
              <w:shd w:val="clear"/>
              <w:kinsoku/>
              <w:wordWrap w:val="0"/>
              <w:bidi w:val="0"/>
              <w:spacing w:line="440" w:lineRule="exact"/>
              <w:jc w:val="left"/>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sz w:val="24"/>
                <w:szCs w:val="24"/>
                <w:highlight w:val="none"/>
                <w:lang w:val="en-US" w:eastAsia="zh-CN"/>
              </w:rPr>
              <w:t>由于通过辽宁省公共资源交易平台制作电子招标文件时，投标文件格式中的“价格指数和权重值表”“银行信贷证明”“近年财务情况”为必选项，本次招标可不填报上述必选项资料，因此投标人无需制作上述材料或上传空白材料即可，上述必选项资料不作为本次招标的评审依据。</w:t>
            </w:r>
          </w:p>
        </w:tc>
      </w:tr>
    </w:tbl>
    <w:p w14:paraId="5BBBE8DB">
      <w:pPr>
        <w:pageBreakBefore w:val="0"/>
        <w:kinsoku/>
        <w:wordWrap w:val="0"/>
        <w:bidi w:val="0"/>
        <w:spacing w:line="20" w:lineRule="exact"/>
        <w:jc w:val="center"/>
        <w:rPr>
          <w:rFonts w:hint="default" w:ascii="Times New Roman" w:hAnsi="Times New Roman" w:eastAsia="黑体" w:cs="Times New Roman"/>
          <w:b/>
          <w:color w:val="auto"/>
          <w:sz w:val="18"/>
          <w:szCs w:val="18"/>
          <w:highlight w:val="none"/>
        </w:rPr>
      </w:pPr>
      <w:r>
        <w:rPr>
          <w:rFonts w:hint="default" w:ascii="Times New Roman" w:hAnsi="Times New Roman" w:eastAsia="黑体" w:cs="Times New Roman"/>
          <w:color w:val="auto"/>
          <w:sz w:val="28"/>
          <w:szCs w:val="28"/>
          <w:highlight w:val="yellow"/>
        </w:rPr>
        <w:br w:type="page"/>
      </w:r>
    </w:p>
    <w:p w14:paraId="05C42C86">
      <w:pPr>
        <w:pStyle w:val="5"/>
        <w:pageBreakBefore w:val="0"/>
        <w:kinsoku/>
        <w:wordWrap w:val="0"/>
        <w:bidi w:val="0"/>
        <w:spacing w:before="240" w:after="240" w:line="240" w:lineRule="atLeast"/>
        <w:jc w:val="center"/>
        <w:rPr>
          <w:rFonts w:hint="default" w:ascii="Times New Roman" w:hAnsi="Times New Roman" w:cs="Times New Roman"/>
          <w:b w:val="0"/>
          <w:bCs/>
          <w:i w:val="0"/>
          <w:iCs w:val="0"/>
          <w:color w:val="auto"/>
          <w:highlight w:val="none"/>
        </w:rPr>
      </w:pPr>
      <w:bookmarkStart w:id="80" w:name="_Toc12483"/>
      <w:bookmarkStart w:id="81" w:name="_Toc1394"/>
      <w:bookmarkStart w:id="82" w:name="_Toc29783"/>
      <w:bookmarkStart w:id="83" w:name="_Toc17950"/>
      <w:bookmarkStart w:id="84" w:name="_Toc234832863"/>
      <w:r>
        <w:rPr>
          <w:rFonts w:hint="default" w:ascii="Times New Roman" w:hAnsi="Times New Roman" w:eastAsia="黑体" w:cs="Times New Roman"/>
          <w:b w:val="0"/>
          <w:bCs/>
          <w:i w:val="0"/>
          <w:iCs w:val="0"/>
          <w:color w:val="auto"/>
          <w:sz w:val="28"/>
          <w:szCs w:val="28"/>
          <w:highlight w:val="none"/>
        </w:rPr>
        <w:t>附录1资格审查条件（资质最低</w:t>
      </w:r>
      <w:r>
        <w:rPr>
          <w:rFonts w:hint="default" w:ascii="Times New Roman" w:hAnsi="Times New Roman" w:eastAsia="黑体" w:cs="Times New Roman"/>
          <w:b w:val="0"/>
          <w:bCs/>
          <w:i w:val="0"/>
          <w:iCs w:val="0"/>
          <w:color w:val="auto"/>
          <w:sz w:val="28"/>
          <w:szCs w:val="28"/>
          <w:highlight w:val="none"/>
          <w:lang w:eastAsia="zh-CN"/>
        </w:rPr>
        <w:t>要求</w:t>
      </w:r>
      <w:r>
        <w:rPr>
          <w:rFonts w:hint="default" w:ascii="Times New Roman" w:hAnsi="Times New Roman" w:eastAsia="黑体" w:cs="Times New Roman"/>
          <w:b w:val="0"/>
          <w:bCs/>
          <w:i w:val="0"/>
          <w:iCs w:val="0"/>
          <w:color w:val="auto"/>
          <w:sz w:val="28"/>
          <w:szCs w:val="28"/>
          <w:highlight w:val="none"/>
        </w:rPr>
        <w:t>）</w:t>
      </w:r>
      <w:r>
        <w:rPr>
          <w:rStyle w:val="48"/>
          <w:rFonts w:hint="default" w:ascii="Times New Roman" w:hAnsi="Times New Roman" w:eastAsia="黑体" w:cs="Times New Roman"/>
          <w:b w:val="0"/>
          <w:bCs/>
          <w:i w:val="0"/>
          <w:iCs w:val="0"/>
          <w:color w:val="auto"/>
          <w:sz w:val="28"/>
          <w:szCs w:val="28"/>
          <w:highlight w:val="none"/>
        </w:rPr>
        <w:footnoteReference w:id="10"/>
      </w:r>
      <w:bookmarkEnd w:id="80"/>
      <w:bookmarkEnd w:id="81"/>
      <w:bookmarkEnd w:id="82"/>
      <w:bookmarkEnd w:id="83"/>
      <w:bookmarkEnd w:id="84"/>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9"/>
      </w:tblGrid>
      <w:tr w14:paraId="1BEBE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75" w:hRule="atLeast"/>
          <w:jc w:val="center"/>
        </w:trPr>
        <w:tc>
          <w:tcPr>
            <w:tcW w:w="8819" w:type="dxa"/>
            <w:noWrap w:val="0"/>
            <w:vAlign w:val="center"/>
          </w:tcPr>
          <w:p w14:paraId="222A1EE2">
            <w:pPr>
              <w:pageBreakBefore w:val="0"/>
              <w:kinsoku/>
              <w:wordWrap w:val="0"/>
              <w:bidi w:val="0"/>
              <w:adjustRightInd w:val="0"/>
              <w:snapToGrid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施工企业资质等级要求</w:t>
            </w:r>
            <w:r>
              <w:rPr>
                <w:rFonts w:hint="default" w:ascii="Times New Roman" w:hAnsi="Times New Roman" w:cs="Times New Roman"/>
                <w:color w:val="auto"/>
                <w:szCs w:val="21"/>
                <w:highlight w:val="none"/>
              </w:rPr>
              <w:footnoteReference w:id="11"/>
            </w:r>
          </w:p>
        </w:tc>
      </w:tr>
      <w:tr w14:paraId="345C2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1" w:hRule="atLeast"/>
          <w:jc w:val="center"/>
        </w:trPr>
        <w:tc>
          <w:tcPr>
            <w:tcW w:w="8819" w:type="dxa"/>
            <w:noWrap w:val="0"/>
            <w:vAlign w:val="top"/>
          </w:tcPr>
          <w:p w14:paraId="41BBB30E">
            <w:pPr>
              <w:pageBreakBefore w:val="0"/>
              <w:kinsoku/>
              <w:wordWrap w:val="0"/>
              <w:bidi w:val="0"/>
              <w:adjustRightInd w:val="0"/>
              <w:snapToGrid w:val="0"/>
              <w:spacing w:line="400" w:lineRule="atLeast"/>
              <w:jc w:val="both"/>
              <w:rPr>
                <w:rFonts w:hint="default" w:ascii="宋体" w:hAnsi="宋体" w:eastAsia="宋体" w:cs="宋体"/>
                <w:color w:val="auto"/>
                <w:szCs w:val="21"/>
                <w:highlight w:val="none"/>
                <w:lang w:val="en-US" w:eastAsia="zh-CN"/>
              </w:rPr>
            </w:pPr>
            <w:r>
              <w:rPr>
                <w:rFonts w:hint="default" w:ascii="宋体" w:hAnsi="宋体" w:eastAsia="宋体" w:cs="宋体"/>
                <w:color w:val="auto"/>
                <w:szCs w:val="21"/>
                <w:highlight w:val="none"/>
                <w:lang w:val="en-US" w:eastAsia="zh-CN"/>
              </w:rPr>
              <w:t>1 、投标人必须具有国内独立法人资格及有效的企业法人营业执照。</w:t>
            </w:r>
          </w:p>
          <w:p w14:paraId="07D5622B">
            <w:pPr>
              <w:pageBreakBefore w:val="0"/>
              <w:kinsoku/>
              <w:wordWrap w:val="0"/>
              <w:bidi w:val="0"/>
              <w:adjustRightInd w:val="0"/>
              <w:snapToGrid w:val="0"/>
              <w:spacing w:line="400" w:lineRule="atLeast"/>
              <w:jc w:val="both"/>
              <w:rPr>
                <w:rFonts w:hint="default" w:ascii="宋体" w:hAnsi="宋体" w:eastAsia="宋体" w:cs="宋体"/>
                <w:color w:val="auto"/>
                <w:szCs w:val="21"/>
                <w:highlight w:val="none"/>
                <w:lang w:val="en-US" w:eastAsia="zh-CN"/>
              </w:rPr>
            </w:pPr>
            <w:r>
              <w:rPr>
                <w:rFonts w:hint="default" w:ascii="宋体" w:hAnsi="宋体" w:eastAsia="宋体" w:cs="宋体"/>
                <w:color w:val="auto"/>
                <w:szCs w:val="21"/>
                <w:highlight w:val="none"/>
                <w:lang w:val="en-US" w:eastAsia="zh-CN"/>
              </w:rPr>
              <w:t xml:space="preserve">2 </w:t>
            </w:r>
            <w:r>
              <w:rPr>
                <w:rFonts w:hint="default" w:ascii="Times New Roman" w:hAnsi="Times New Roman" w:cs="Times New Roman"/>
                <w:szCs w:val="21"/>
                <w:highlight w:val="none"/>
              </w:rPr>
              <w:t>、投标人须具有公路工程施工总承包叁级及以上资质。</w:t>
            </w:r>
          </w:p>
          <w:p w14:paraId="74983D77">
            <w:pPr>
              <w:pageBreakBefore w:val="0"/>
              <w:kinsoku/>
              <w:wordWrap w:val="0"/>
              <w:bidi w:val="0"/>
              <w:adjustRightInd w:val="0"/>
              <w:snapToGrid w:val="0"/>
              <w:spacing w:line="400" w:lineRule="atLeast"/>
              <w:jc w:val="both"/>
              <w:rPr>
                <w:rFonts w:hint="default" w:ascii="宋体" w:hAnsi="宋体" w:eastAsia="宋体" w:cs="宋体"/>
                <w:color w:val="auto"/>
                <w:szCs w:val="21"/>
                <w:highlight w:val="none"/>
                <w:lang w:val="en-US" w:eastAsia="zh-CN"/>
              </w:rPr>
            </w:pPr>
            <w:r>
              <w:rPr>
                <w:rFonts w:hint="default" w:ascii="宋体" w:hAnsi="宋体" w:eastAsia="宋体" w:cs="宋体"/>
                <w:color w:val="auto"/>
                <w:szCs w:val="21"/>
                <w:highlight w:val="none"/>
                <w:lang w:val="en-US" w:eastAsia="zh-CN"/>
              </w:rPr>
              <w:t>3 、投标人必须具有建设行政主管部门颁发的有效安全生产许可证。</w:t>
            </w:r>
          </w:p>
          <w:p w14:paraId="3FC4FE0F">
            <w:pPr>
              <w:pageBreakBefore w:val="0"/>
              <w:kinsoku/>
              <w:wordWrap w:val="0"/>
              <w:bidi w:val="0"/>
              <w:adjustRightInd w:val="0"/>
              <w:snapToGrid w:val="0"/>
              <w:spacing w:line="400" w:lineRule="atLeast"/>
              <w:jc w:val="both"/>
              <w:rPr>
                <w:rFonts w:hint="default" w:ascii="宋体" w:hAnsi="宋体" w:eastAsia="宋体" w:cs="宋体"/>
                <w:color w:val="auto"/>
                <w:szCs w:val="21"/>
                <w:highlight w:val="none"/>
                <w:lang w:val="en-US" w:eastAsia="zh-CN"/>
              </w:rPr>
            </w:pPr>
          </w:p>
        </w:tc>
      </w:tr>
      <w:tr w14:paraId="35645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49" w:hRule="atLeast"/>
          <w:jc w:val="center"/>
        </w:trPr>
        <w:tc>
          <w:tcPr>
            <w:tcW w:w="8819" w:type="dxa"/>
            <w:noWrap w:val="0"/>
            <w:vAlign w:val="top"/>
          </w:tcPr>
          <w:p w14:paraId="088F3AEA">
            <w:pPr>
              <w:pageBreakBefore w:val="0"/>
              <w:kinsoku/>
              <w:wordWrap w:val="0"/>
              <w:bidi w:val="0"/>
              <w:adjustRightInd w:val="0"/>
              <w:snapToGrid w:val="0"/>
              <w:spacing w:line="400" w:lineRule="atLeast"/>
              <w:jc w:val="both"/>
              <w:rPr>
                <w:rFonts w:hint="default" w:ascii="Times New Roman" w:hAnsi="Times New Roman" w:cs="Times New Roman"/>
                <w:color w:val="auto"/>
                <w:szCs w:val="21"/>
                <w:highlight w:val="none"/>
              </w:rPr>
            </w:pPr>
            <w:bookmarkStart w:id="85" w:name="_Toc234832864"/>
            <w:bookmarkStart w:id="86" w:name="_Toc4197"/>
            <w:bookmarkStart w:id="87" w:name="_Toc3559"/>
            <w:r>
              <w:rPr>
                <w:rFonts w:hint="eastAsia" w:ascii="宋体" w:hAnsi="宋体" w:eastAsia="宋体" w:cs="宋体"/>
                <w:b w:val="0"/>
                <w:bCs w:val="0"/>
                <w:color w:val="auto"/>
                <w:szCs w:val="21"/>
                <w:highlight w:val="none"/>
                <w:lang w:val="en-US" w:eastAsia="zh-CN"/>
              </w:rPr>
              <w:t>注：“投标人基本情况表”后应附企业法人营业执照、施工资质证书、安全生产许可证、基本账户开户许可证或基本存款账户信息的“原件扫描件”，投标人在交通运输部“全国公路建设市场监督管理系统”公路工程施工资质企业名录中的网页截图，以及投标人在国家企业信用信息公示系统中基础信息（体现股东及出资详细信息）的网页截图或由法定的社会验资机构出具的验资报告或注册地工商部门出具的股东出资情况证明。</w:t>
            </w:r>
          </w:p>
        </w:tc>
      </w:tr>
    </w:tbl>
    <w:p w14:paraId="04D1F3A6">
      <w:pPr>
        <w:pStyle w:val="5"/>
        <w:pageBreakBefore w:val="0"/>
        <w:kinsoku/>
        <w:wordWrap w:val="0"/>
        <w:bidi w:val="0"/>
        <w:spacing w:before="240" w:after="240" w:line="240" w:lineRule="atLeast"/>
        <w:jc w:val="center"/>
        <w:rPr>
          <w:rFonts w:hint="default" w:ascii="Times New Roman" w:hAnsi="Times New Roman" w:eastAsia="黑体" w:cs="Times New Roman"/>
          <w:color w:val="auto"/>
          <w:sz w:val="28"/>
          <w:szCs w:val="28"/>
          <w:highlight w:val="none"/>
        </w:rPr>
        <w:sectPr>
          <w:headerReference r:id="rId19" w:type="default"/>
          <w:footerReference r:id="rId21" w:type="default"/>
          <w:headerReference r:id="rId20" w:type="even"/>
          <w:footerReference r:id="rId22" w:type="even"/>
          <w:footnotePr>
            <w:numFmt w:val="decimalEnclosedCircleChinese"/>
            <w:numRestart w:val="eachPage"/>
          </w:footnotePr>
          <w:pgSz w:w="11907" w:h="16840"/>
          <w:pgMar w:top="1588" w:right="1531" w:bottom="1644" w:left="1588" w:header="851" w:footer="851" w:gutter="0"/>
          <w:pgNumType w:fmt="decimal"/>
          <w:cols w:space="720" w:num="1"/>
          <w:docGrid w:linePitch="312" w:charSpace="0"/>
        </w:sectPr>
      </w:pPr>
    </w:p>
    <w:p w14:paraId="73416999">
      <w:pPr>
        <w:pStyle w:val="5"/>
        <w:pageBreakBefore w:val="0"/>
        <w:kinsoku/>
        <w:wordWrap w:val="0"/>
        <w:bidi w:val="0"/>
        <w:spacing w:before="240" w:after="240" w:line="240" w:lineRule="atLeast"/>
        <w:jc w:val="center"/>
        <w:rPr>
          <w:rFonts w:hint="default" w:ascii="Times New Roman" w:hAnsi="Times New Roman" w:eastAsia="黑体" w:cs="Times New Roman"/>
          <w:b w:val="0"/>
          <w:bCs/>
          <w:i w:val="0"/>
          <w:iCs w:val="0"/>
          <w:color w:val="auto"/>
          <w:sz w:val="28"/>
          <w:szCs w:val="28"/>
          <w:highlight w:val="none"/>
        </w:rPr>
      </w:pPr>
      <w:bookmarkStart w:id="88" w:name="_Toc9652"/>
      <w:bookmarkStart w:id="89" w:name="_Toc8732"/>
      <w:r>
        <w:rPr>
          <w:rFonts w:hint="default" w:ascii="Times New Roman" w:hAnsi="Times New Roman" w:eastAsia="黑体" w:cs="Times New Roman"/>
          <w:b w:val="0"/>
          <w:bCs/>
          <w:i w:val="0"/>
          <w:iCs w:val="0"/>
          <w:color w:val="auto"/>
          <w:sz w:val="28"/>
          <w:szCs w:val="28"/>
          <w:highlight w:val="none"/>
        </w:rPr>
        <w:t>附录2资格审查条件（财务最低要求）</w:t>
      </w:r>
      <w:r>
        <w:rPr>
          <w:rFonts w:hint="default" w:ascii="Times New Roman" w:hAnsi="Times New Roman" w:eastAsia="黑体" w:cs="Times New Roman"/>
          <w:b w:val="0"/>
          <w:bCs/>
          <w:i w:val="0"/>
          <w:iCs w:val="0"/>
          <w:color w:val="auto"/>
          <w:sz w:val="28"/>
          <w:szCs w:val="28"/>
          <w:highlight w:val="none"/>
          <w:vertAlign w:val="superscript"/>
        </w:rPr>
        <w:footnoteReference w:id="12"/>
      </w:r>
      <w:bookmarkEnd w:id="85"/>
      <w:bookmarkEnd w:id="86"/>
      <w:bookmarkEnd w:id="87"/>
      <w:bookmarkEnd w:id="88"/>
      <w:bookmarkEnd w:id="89"/>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9"/>
      </w:tblGrid>
      <w:tr w14:paraId="6CFBA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5" w:hRule="atLeast"/>
          <w:jc w:val="center"/>
        </w:trPr>
        <w:tc>
          <w:tcPr>
            <w:tcW w:w="8819" w:type="dxa"/>
            <w:noWrap w:val="0"/>
            <w:vAlign w:val="center"/>
          </w:tcPr>
          <w:p w14:paraId="7C2D2BBD">
            <w:pPr>
              <w:pageBreakBefore w:val="0"/>
              <w:kinsoku/>
              <w:wordWrap w:val="0"/>
              <w:bidi w:val="0"/>
              <w:adjustRightInd w:val="0"/>
              <w:snapToGrid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财务要求</w:t>
            </w:r>
          </w:p>
        </w:tc>
      </w:tr>
      <w:tr w14:paraId="3B947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72" w:hRule="atLeast"/>
          <w:jc w:val="center"/>
        </w:trPr>
        <w:tc>
          <w:tcPr>
            <w:tcW w:w="8819" w:type="dxa"/>
            <w:noWrap w:val="0"/>
            <w:vAlign w:val="center"/>
          </w:tcPr>
          <w:p w14:paraId="100B8D03">
            <w:pPr>
              <w:rPr>
                <w:color w:val="auto"/>
                <w:highlight w:val="none"/>
              </w:rPr>
            </w:pPr>
          </w:p>
          <w:p w14:paraId="07C107CD">
            <w:pPr>
              <w:rPr>
                <w:color w:val="auto"/>
                <w:highlight w:val="none"/>
              </w:rPr>
            </w:pPr>
          </w:p>
          <w:p w14:paraId="2433EDAE">
            <w:pPr>
              <w:rPr>
                <w:color w:val="auto"/>
                <w:highlight w:val="none"/>
              </w:rPr>
            </w:pPr>
          </w:p>
          <w:p w14:paraId="678B31C6">
            <w:pPr>
              <w:pageBreakBefore w:val="0"/>
              <w:kinsoku/>
              <w:wordWrap w:val="0"/>
              <w:bidi w:val="0"/>
              <w:adjustRightInd w:val="0"/>
              <w:snapToGrid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无</w:t>
            </w:r>
          </w:p>
          <w:p w14:paraId="3A3D6107">
            <w:pPr>
              <w:rPr>
                <w:color w:val="auto"/>
                <w:highlight w:val="none"/>
              </w:rPr>
            </w:pPr>
          </w:p>
          <w:p w14:paraId="55A7A11D">
            <w:pPr>
              <w:pageBreakBefore w:val="0"/>
              <w:kinsoku/>
              <w:wordWrap w:val="0"/>
              <w:bidi w:val="0"/>
              <w:adjustRightInd w:val="0"/>
              <w:snapToGrid w:val="0"/>
              <w:spacing w:line="400" w:lineRule="atLeast"/>
              <w:jc w:val="center"/>
              <w:rPr>
                <w:rFonts w:hint="default" w:ascii="Times New Roman" w:hAnsi="Times New Roman" w:cs="Times New Roman"/>
                <w:color w:val="auto"/>
                <w:szCs w:val="21"/>
                <w:highlight w:val="none"/>
              </w:rPr>
            </w:pPr>
          </w:p>
          <w:p w14:paraId="4D3D9C4C">
            <w:pPr>
              <w:pageBreakBefore w:val="0"/>
              <w:kinsoku/>
              <w:wordWrap w:val="0"/>
              <w:bidi w:val="0"/>
              <w:adjustRightInd w:val="0"/>
              <w:snapToGrid w:val="0"/>
              <w:spacing w:line="400" w:lineRule="atLeast"/>
              <w:jc w:val="center"/>
              <w:rPr>
                <w:rFonts w:hint="default" w:ascii="Times New Roman" w:hAnsi="Times New Roman" w:cs="Times New Roman"/>
                <w:color w:val="auto"/>
                <w:szCs w:val="21"/>
                <w:highlight w:val="none"/>
              </w:rPr>
            </w:pPr>
          </w:p>
          <w:p w14:paraId="2590E2B6">
            <w:pPr>
              <w:pageBreakBefore w:val="0"/>
              <w:kinsoku/>
              <w:wordWrap w:val="0"/>
              <w:bidi w:val="0"/>
              <w:adjustRightInd w:val="0"/>
              <w:snapToGrid w:val="0"/>
              <w:spacing w:line="400" w:lineRule="atLeast"/>
              <w:jc w:val="center"/>
              <w:rPr>
                <w:rFonts w:hint="default" w:ascii="Times New Roman" w:hAnsi="Times New Roman" w:cs="Times New Roman"/>
                <w:color w:val="auto"/>
                <w:szCs w:val="21"/>
                <w:highlight w:val="none"/>
              </w:rPr>
            </w:pPr>
          </w:p>
          <w:p w14:paraId="6B446E43">
            <w:pPr>
              <w:pageBreakBefore w:val="0"/>
              <w:kinsoku/>
              <w:wordWrap w:val="0"/>
              <w:bidi w:val="0"/>
              <w:adjustRightInd w:val="0"/>
              <w:snapToGrid w:val="0"/>
              <w:spacing w:line="400" w:lineRule="atLeast"/>
              <w:jc w:val="center"/>
              <w:rPr>
                <w:rFonts w:hint="default" w:ascii="Times New Roman" w:hAnsi="Times New Roman" w:cs="Times New Roman"/>
                <w:color w:val="auto"/>
                <w:szCs w:val="21"/>
                <w:highlight w:val="none"/>
              </w:rPr>
            </w:pPr>
          </w:p>
          <w:p w14:paraId="26DEC4E4">
            <w:pPr>
              <w:pageBreakBefore w:val="0"/>
              <w:kinsoku/>
              <w:wordWrap w:val="0"/>
              <w:bidi w:val="0"/>
              <w:adjustRightInd w:val="0"/>
              <w:snapToGrid w:val="0"/>
              <w:spacing w:line="400" w:lineRule="atLeast"/>
              <w:jc w:val="center"/>
              <w:rPr>
                <w:rFonts w:hint="default" w:ascii="Times New Roman" w:hAnsi="Times New Roman" w:cs="Times New Roman"/>
                <w:color w:val="auto"/>
                <w:szCs w:val="21"/>
                <w:highlight w:val="none"/>
              </w:rPr>
            </w:pPr>
          </w:p>
          <w:p w14:paraId="6D389D2B">
            <w:pPr>
              <w:pageBreakBefore w:val="0"/>
              <w:kinsoku/>
              <w:wordWrap w:val="0"/>
              <w:bidi w:val="0"/>
              <w:adjustRightInd w:val="0"/>
              <w:snapToGrid w:val="0"/>
              <w:spacing w:line="400" w:lineRule="atLeast"/>
              <w:jc w:val="center"/>
              <w:rPr>
                <w:rFonts w:hint="default" w:ascii="Times New Roman" w:hAnsi="Times New Roman" w:cs="Times New Roman"/>
                <w:color w:val="auto"/>
                <w:szCs w:val="21"/>
                <w:highlight w:val="none"/>
              </w:rPr>
            </w:pPr>
          </w:p>
          <w:p w14:paraId="39818AD9">
            <w:pPr>
              <w:pageBreakBefore w:val="0"/>
              <w:kinsoku/>
              <w:wordWrap w:val="0"/>
              <w:bidi w:val="0"/>
              <w:adjustRightInd w:val="0"/>
              <w:snapToGrid w:val="0"/>
              <w:spacing w:line="400" w:lineRule="atLeast"/>
              <w:jc w:val="center"/>
              <w:rPr>
                <w:rFonts w:hint="default" w:ascii="Times New Roman" w:hAnsi="Times New Roman" w:cs="Times New Roman"/>
                <w:color w:val="auto"/>
                <w:szCs w:val="21"/>
                <w:highlight w:val="none"/>
              </w:rPr>
            </w:pPr>
          </w:p>
          <w:p w14:paraId="2BA588AD">
            <w:pPr>
              <w:pageBreakBefore w:val="0"/>
              <w:kinsoku/>
              <w:wordWrap w:val="0"/>
              <w:bidi w:val="0"/>
              <w:adjustRightInd w:val="0"/>
              <w:snapToGrid w:val="0"/>
              <w:spacing w:line="400" w:lineRule="atLeast"/>
              <w:jc w:val="center"/>
              <w:rPr>
                <w:rFonts w:hint="default" w:ascii="Times New Roman" w:hAnsi="Times New Roman" w:cs="Times New Roman"/>
                <w:color w:val="auto"/>
                <w:szCs w:val="21"/>
                <w:highlight w:val="none"/>
              </w:rPr>
            </w:pPr>
          </w:p>
          <w:p w14:paraId="3464494E">
            <w:pPr>
              <w:pageBreakBefore w:val="0"/>
              <w:kinsoku/>
              <w:wordWrap w:val="0"/>
              <w:bidi w:val="0"/>
              <w:adjustRightInd w:val="0"/>
              <w:snapToGrid w:val="0"/>
              <w:spacing w:line="400" w:lineRule="atLeast"/>
              <w:jc w:val="center"/>
              <w:rPr>
                <w:rFonts w:hint="default" w:ascii="Times New Roman" w:hAnsi="Times New Roman" w:cs="Times New Roman"/>
                <w:color w:val="auto"/>
                <w:szCs w:val="21"/>
                <w:highlight w:val="none"/>
              </w:rPr>
            </w:pPr>
          </w:p>
          <w:p w14:paraId="195A242F">
            <w:pPr>
              <w:pageBreakBefore w:val="0"/>
              <w:kinsoku/>
              <w:wordWrap w:val="0"/>
              <w:bidi w:val="0"/>
              <w:adjustRightInd w:val="0"/>
              <w:snapToGrid w:val="0"/>
              <w:spacing w:line="400" w:lineRule="atLeast"/>
              <w:jc w:val="center"/>
              <w:rPr>
                <w:rFonts w:hint="default" w:ascii="Times New Roman" w:hAnsi="Times New Roman" w:cs="Times New Roman"/>
                <w:color w:val="auto"/>
                <w:szCs w:val="21"/>
                <w:highlight w:val="none"/>
              </w:rPr>
            </w:pPr>
          </w:p>
          <w:p w14:paraId="5A98C5CD">
            <w:pPr>
              <w:pageBreakBefore w:val="0"/>
              <w:kinsoku/>
              <w:wordWrap w:val="0"/>
              <w:bidi w:val="0"/>
              <w:adjustRightInd w:val="0"/>
              <w:snapToGrid w:val="0"/>
              <w:spacing w:line="400" w:lineRule="atLeast"/>
              <w:jc w:val="center"/>
              <w:rPr>
                <w:rFonts w:hint="default" w:ascii="Times New Roman" w:hAnsi="Times New Roman" w:cs="Times New Roman"/>
                <w:color w:val="auto"/>
                <w:szCs w:val="21"/>
                <w:highlight w:val="none"/>
              </w:rPr>
            </w:pPr>
          </w:p>
          <w:p w14:paraId="502DF6C5">
            <w:pPr>
              <w:pageBreakBefore w:val="0"/>
              <w:kinsoku/>
              <w:wordWrap w:val="0"/>
              <w:bidi w:val="0"/>
              <w:adjustRightInd w:val="0"/>
              <w:snapToGrid w:val="0"/>
              <w:spacing w:line="400" w:lineRule="atLeast"/>
              <w:jc w:val="center"/>
              <w:rPr>
                <w:rFonts w:hint="default" w:ascii="Times New Roman" w:hAnsi="Times New Roman" w:cs="Times New Roman"/>
                <w:color w:val="auto"/>
                <w:szCs w:val="21"/>
                <w:highlight w:val="none"/>
              </w:rPr>
            </w:pPr>
          </w:p>
          <w:p w14:paraId="39975D6E">
            <w:pPr>
              <w:pageBreakBefore w:val="0"/>
              <w:kinsoku/>
              <w:wordWrap w:val="0"/>
              <w:bidi w:val="0"/>
              <w:adjustRightInd w:val="0"/>
              <w:snapToGrid w:val="0"/>
              <w:spacing w:line="400" w:lineRule="atLeast"/>
              <w:jc w:val="center"/>
              <w:rPr>
                <w:rFonts w:hint="default" w:ascii="Times New Roman" w:hAnsi="Times New Roman" w:cs="Times New Roman"/>
                <w:color w:val="auto"/>
                <w:szCs w:val="21"/>
                <w:highlight w:val="none"/>
              </w:rPr>
            </w:pPr>
          </w:p>
          <w:p w14:paraId="3BC91125">
            <w:pPr>
              <w:pageBreakBefore w:val="0"/>
              <w:kinsoku/>
              <w:wordWrap w:val="0"/>
              <w:bidi w:val="0"/>
              <w:adjustRightInd w:val="0"/>
              <w:snapToGrid w:val="0"/>
              <w:spacing w:line="400" w:lineRule="atLeast"/>
              <w:jc w:val="center"/>
              <w:rPr>
                <w:rFonts w:hint="default" w:ascii="Times New Roman" w:hAnsi="Times New Roman" w:cs="Times New Roman"/>
                <w:color w:val="auto"/>
                <w:szCs w:val="21"/>
                <w:highlight w:val="none"/>
              </w:rPr>
            </w:pPr>
          </w:p>
          <w:p w14:paraId="454D449F">
            <w:pPr>
              <w:pageBreakBefore w:val="0"/>
              <w:kinsoku/>
              <w:wordWrap w:val="0"/>
              <w:bidi w:val="0"/>
              <w:adjustRightInd w:val="0"/>
              <w:snapToGrid w:val="0"/>
              <w:spacing w:line="400" w:lineRule="atLeast"/>
              <w:jc w:val="both"/>
              <w:rPr>
                <w:rFonts w:hint="default" w:ascii="Times New Roman" w:hAnsi="Times New Roman" w:cs="Times New Roman"/>
                <w:color w:val="auto"/>
                <w:szCs w:val="21"/>
                <w:highlight w:val="none"/>
              </w:rPr>
            </w:pPr>
          </w:p>
          <w:p w14:paraId="6A7477CF">
            <w:pPr>
              <w:pageBreakBefore w:val="0"/>
              <w:kinsoku/>
              <w:wordWrap w:val="0"/>
              <w:bidi w:val="0"/>
              <w:adjustRightInd w:val="0"/>
              <w:snapToGrid w:val="0"/>
              <w:spacing w:line="400" w:lineRule="atLeast"/>
              <w:jc w:val="center"/>
              <w:rPr>
                <w:rFonts w:hint="default" w:ascii="Times New Roman" w:hAnsi="Times New Roman" w:cs="Times New Roman"/>
                <w:color w:val="auto"/>
                <w:szCs w:val="21"/>
                <w:highlight w:val="none"/>
              </w:rPr>
            </w:pPr>
          </w:p>
        </w:tc>
      </w:tr>
      <w:tr w14:paraId="68C98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0" w:hRule="atLeast"/>
          <w:jc w:val="center"/>
        </w:trPr>
        <w:tc>
          <w:tcPr>
            <w:tcW w:w="8819" w:type="dxa"/>
            <w:noWrap w:val="0"/>
            <w:vAlign w:val="center"/>
          </w:tcPr>
          <w:p w14:paraId="584F710A">
            <w:pPr>
              <w:pageBreakBefore w:val="0"/>
              <w:kinsoku/>
              <w:wordWrap w:val="0"/>
              <w:bidi w:val="0"/>
              <w:adjustRightInd w:val="0"/>
              <w:snapToGrid w:val="0"/>
              <w:spacing w:line="400" w:lineRule="atLeast"/>
              <w:jc w:val="left"/>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注：</w:t>
            </w:r>
          </w:p>
          <w:p w14:paraId="22BCB781">
            <w:pPr>
              <w:pageBreakBefore w:val="0"/>
              <w:kinsoku/>
              <w:wordWrap w:val="0"/>
              <w:bidi w:val="0"/>
              <w:adjustRightInd w:val="0"/>
              <w:snapToGrid w:val="0"/>
              <w:spacing w:line="400" w:lineRule="atLeast"/>
              <w:jc w:val="center"/>
              <w:rPr>
                <w:rFonts w:hint="default" w:ascii="Times New Roman" w:hAnsi="Times New Roman" w:cs="Times New Roman"/>
                <w:color w:val="auto"/>
                <w:szCs w:val="21"/>
                <w:highlight w:val="none"/>
              </w:rPr>
            </w:pPr>
          </w:p>
          <w:p w14:paraId="29D75291">
            <w:pPr>
              <w:pageBreakBefore w:val="0"/>
              <w:kinsoku/>
              <w:wordWrap w:val="0"/>
              <w:bidi w:val="0"/>
              <w:adjustRightInd w:val="0"/>
              <w:snapToGrid w:val="0"/>
              <w:spacing w:line="400" w:lineRule="atLeast"/>
              <w:jc w:val="center"/>
              <w:rPr>
                <w:rFonts w:hint="default" w:ascii="Times New Roman" w:hAnsi="Times New Roman" w:cs="Times New Roman"/>
                <w:color w:val="auto"/>
                <w:szCs w:val="21"/>
                <w:highlight w:val="none"/>
              </w:rPr>
            </w:pPr>
          </w:p>
          <w:p w14:paraId="6F004F81">
            <w:pPr>
              <w:pageBreakBefore w:val="0"/>
              <w:kinsoku/>
              <w:wordWrap w:val="0"/>
              <w:bidi w:val="0"/>
              <w:adjustRightInd w:val="0"/>
              <w:snapToGrid w:val="0"/>
              <w:spacing w:line="400" w:lineRule="atLeast"/>
              <w:jc w:val="center"/>
              <w:rPr>
                <w:rFonts w:hint="default" w:ascii="Times New Roman" w:hAnsi="Times New Roman" w:cs="Times New Roman"/>
                <w:color w:val="auto"/>
                <w:szCs w:val="21"/>
                <w:highlight w:val="none"/>
              </w:rPr>
            </w:pPr>
          </w:p>
          <w:p w14:paraId="2EA3ECDE">
            <w:pPr>
              <w:pageBreakBefore w:val="0"/>
              <w:kinsoku/>
              <w:wordWrap w:val="0"/>
              <w:bidi w:val="0"/>
              <w:adjustRightInd w:val="0"/>
              <w:snapToGrid w:val="0"/>
              <w:spacing w:line="400" w:lineRule="atLeast"/>
              <w:jc w:val="center"/>
              <w:rPr>
                <w:rFonts w:hint="default" w:ascii="Times New Roman" w:hAnsi="Times New Roman" w:cs="Times New Roman"/>
                <w:color w:val="auto"/>
                <w:szCs w:val="21"/>
                <w:highlight w:val="none"/>
              </w:rPr>
            </w:pPr>
          </w:p>
          <w:p w14:paraId="3A24A1CE">
            <w:pPr>
              <w:pageBreakBefore w:val="0"/>
              <w:kinsoku/>
              <w:wordWrap w:val="0"/>
              <w:bidi w:val="0"/>
              <w:adjustRightInd w:val="0"/>
              <w:snapToGrid w:val="0"/>
              <w:spacing w:line="400" w:lineRule="atLeast"/>
              <w:jc w:val="center"/>
              <w:rPr>
                <w:rFonts w:hint="default" w:ascii="Times New Roman" w:hAnsi="Times New Roman" w:cs="Times New Roman"/>
                <w:color w:val="auto"/>
                <w:szCs w:val="21"/>
                <w:highlight w:val="none"/>
              </w:rPr>
            </w:pPr>
          </w:p>
        </w:tc>
      </w:tr>
    </w:tbl>
    <w:p w14:paraId="3F3ED302">
      <w:pPr>
        <w:pageBreakBefore w:val="0"/>
        <w:kinsoku/>
        <w:wordWrap w:val="0"/>
        <w:bidi w:val="0"/>
        <w:adjustRightInd w:val="0"/>
        <w:snapToGrid w:val="0"/>
        <w:spacing w:line="300" w:lineRule="exact"/>
        <w:rPr>
          <w:rFonts w:hint="default" w:ascii="Times New Roman" w:hAnsi="Times New Roman" w:eastAsia="黑体" w:cs="Times New Roman"/>
          <w:color w:val="auto"/>
          <w:sz w:val="24"/>
          <w:highlight w:val="none"/>
        </w:rPr>
      </w:pPr>
    </w:p>
    <w:p w14:paraId="4041D78F">
      <w:pPr>
        <w:pStyle w:val="5"/>
        <w:pageBreakBefore w:val="0"/>
        <w:kinsoku/>
        <w:wordWrap w:val="0"/>
        <w:bidi w:val="0"/>
        <w:spacing w:before="240" w:after="240" w:line="240" w:lineRule="atLeast"/>
        <w:jc w:val="center"/>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4"/>
          <w:highlight w:val="none"/>
        </w:rPr>
        <w:br w:type="page"/>
      </w:r>
      <w:bookmarkStart w:id="90" w:name="_Toc13152"/>
      <w:bookmarkStart w:id="91" w:name="_Toc6381"/>
      <w:bookmarkStart w:id="92" w:name="_Toc234832865"/>
      <w:bookmarkStart w:id="93" w:name="_Toc32433"/>
      <w:bookmarkStart w:id="94" w:name="_Toc10281"/>
      <w:r>
        <w:rPr>
          <w:rFonts w:hint="default" w:ascii="Times New Roman" w:hAnsi="Times New Roman" w:eastAsia="黑体" w:cs="Times New Roman"/>
          <w:b w:val="0"/>
          <w:bCs/>
          <w:i w:val="0"/>
          <w:iCs w:val="0"/>
          <w:color w:val="auto"/>
          <w:sz w:val="28"/>
          <w:szCs w:val="28"/>
          <w:highlight w:val="none"/>
        </w:rPr>
        <w:t>附录3资格审查条件（业绩最低要求）</w:t>
      </w:r>
      <w:r>
        <w:rPr>
          <w:rStyle w:val="48"/>
          <w:rFonts w:hint="default" w:ascii="Times New Roman" w:hAnsi="Times New Roman" w:eastAsia="黑体" w:cs="Times New Roman"/>
          <w:b w:val="0"/>
          <w:bCs/>
          <w:i w:val="0"/>
          <w:iCs w:val="0"/>
          <w:color w:val="auto"/>
          <w:sz w:val="28"/>
          <w:szCs w:val="28"/>
          <w:highlight w:val="none"/>
        </w:rPr>
        <w:footnoteReference w:id="13"/>
      </w:r>
      <w:bookmarkEnd w:id="90"/>
      <w:bookmarkEnd w:id="91"/>
      <w:bookmarkEnd w:id="92"/>
      <w:bookmarkEnd w:id="93"/>
      <w:bookmarkEnd w:id="94"/>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9"/>
      </w:tblGrid>
      <w:tr w14:paraId="5B5EF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75" w:hRule="atLeast"/>
          <w:jc w:val="center"/>
        </w:trPr>
        <w:tc>
          <w:tcPr>
            <w:tcW w:w="8819" w:type="dxa"/>
            <w:noWrap w:val="0"/>
            <w:vAlign w:val="center"/>
          </w:tcPr>
          <w:p w14:paraId="5F360C32">
            <w:pPr>
              <w:pageBreakBefore w:val="0"/>
              <w:kinsoku/>
              <w:wordWrap w:val="0"/>
              <w:bidi w:val="0"/>
              <w:adjustRightInd w:val="0"/>
              <w:snapToGrid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业绩要求</w:t>
            </w:r>
            <w:r>
              <w:rPr>
                <w:rStyle w:val="48"/>
                <w:rFonts w:hint="default" w:ascii="Times New Roman" w:hAnsi="Times New Roman" w:cs="Times New Roman"/>
                <w:color w:val="auto"/>
                <w:szCs w:val="21"/>
                <w:highlight w:val="none"/>
              </w:rPr>
              <w:footnoteReference w:id="14"/>
            </w:r>
          </w:p>
        </w:tc>
      </w:tr>
      <w:tr w14:paraId="11652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0" w:hRule="atLeast"/>
          <w:jc w:val="center"/>
        </w:trPr>
        <w:tc>
          <w:tcPr>
            <w:tcW w:w="8819" w:type="dxa"/>
            <w:noWrap w:val="0"/>
            <w:vAlign w:val="top"/>
          </w:tcPr>
          <w:p w14:paraId="60F7F422">
            <w:pPr>
              <w:pageBreakBefore w:val="0"/>
              <w:kinsoku/>
              <w:wordWrap w:val="0"/>
              <w:bidi w:val="0"/>
              <w:adjustRightInd w:val="0"/>
              <w:snapToGrid w:val="0"/>
              <w:spacing w:line="400" w:lineRule="atLeast"/>
              <w:jc w:val="both"/>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投标人202</w:t>
            </w:r>
            <w:r>
              <w:rPr>
                <w:rFonts w:hint="eastAsia" w:cs="Times New Roman"/>
                <w:color w:val="auto"/>
                <w:szCs w:val="21"/>
                <w:highlight w:val="none"/>
                <w:lang w:val="en-US" w:eastAsia="zh-CN"/>
              </w:rPr>
              <w:t>3</w:t>
            </w:r>
            <w:r>
              <w:rPr>
                <w:rFonts w:hint="default" w:ascii="Times New Roman" w:hAnsi="Times New Roman" w:cs="Times New Roman"/>
                <w:color w:val="auto"/>
                <w:szCs w:val="21"/>
                <w:highlight w:val="none"/>
              </w:rPr>
              <w:t>年1月1日至投标文件递交截止时间（以竣工时间为准），完成过至少1项类似公路工程业绩。</w:t>
            </w:r>
          </w:p>
          <w:p w14:paraId="5CD2EA05">
            <w:pPr>
              <w:pageBreakBefore w:val="0"/>
              <w:kinsoku/>
              <w:wordWrap w:val="0"/>
              <w:bidi w:val="0"/>
              <w:adjustRightInd w:val="0"/>
              <w:snapToGrid w:val="0"/>
              <w:spacing w:line="400" w:lineRule="atLeast"/>
              <w:jc w:val="both"/>
              <w:rPr>
                <w:rFonts w:hint="default" w:ascii="Times New Roman" w:hAnsi="Times New Roman" w:cs="Times New Roman"/>
                <w:color w:val="auto"/>
                <w:szCs w:val="21"/>
                <w:highlight w:val="none"/>
              </w:rPr>
            </w:pPr>
            <w:r>
              <w:rPr>
                <w:rFonts w:hint="eastAsia" w:cs="Times New Roman"/>
                <w:color w:val="auto"/>
                <w:szCs w:val="21"/>
                <w:highlight w:val="none"/>
                <w:lang w:eastAsia="zh-CN"/>
              </w:rPr>
              <w:t>（</w:t>
            </w:r>
            <w:r>
              <w:rPr>
                <w:rFonts w:hint="eastAsia" w:cs="Times New Roman"/>
                <w:color w:val="auto"/>
                <w:szCs w:val="21"/>
                <w:highlight w:val="none"/>
                <w:lang w:val="en-US" w:eastAsia="zh-CN"/>
              </w:rPr>
              <w:t>1</w:t>
            </w:r>
            <w:r>
              <w:rPr>
                <w:rFonts w:hint="eastAsia" w:cs="Times New Roman"/>
                <w:color w:val="auto"/>
                <w:szCs w:val="21"/>
                <w:highlight w:val="none"/>
                <w:lang w:eastAsia="zh-CN"/>
              </w:rPr>
              <w:t>）</w:t>
            </w:r>
            <w:r>
              <w:rPr>
                <w:rFonts w:hint="default" w:ascii="Times New Roman" w:hAnsi="Times New Roman" w:cs="Times New Roman"/>
                <w:color w:val="auto"/>
                <w:szCs w:val="21"/>
                <w:highlight w:val="none"/>
              </w:rPr>
              <w:t>已录入“辽宁省公共资源交易平台主体交易库”中的企业业绩，可以从主体库中选取后关联至投标文件中，作为企业业绩的证明材料；</w:t>
            </w:r>
          </w:p>
          <w:p w14:paraId="41A21082">
            <w:pPr>
              <w:pageBreakBefore w:val="0"/>
              <w:kinsoku/>
              <w:wordWrap w:val="0"/>
              <w:bidi w:val="0"/>
              <w:adjustRightInd w:val="0"/>
              <w:snapToGrid w:val="0"/>
              <w:spacing w:line="400" w:lineRule="atLeast"/>
              <w:jc w:val="both"/>
              <w:rPr>
                <w:rFonts w:hint="default" w:ascii="Times New Roman" w:hAnsi="Times New Roman" w:cs="Times New Roman"/>
                <w:color w:val="auto"/>
                <w:szCs w:val="21"/>
                <w:highlight w:val="none"/>
              </w:rPr>
            </w:pPr>
            <w:r>
              <w:rPr>
                <w:rFonts w:hint="eastAsia" w:cs="Times New Roman"/>
                <w:color w:val="auto"/>
                <w:szCs w:val="21"/>
                <w:highlight w:val="none"/>
                <w:lang w:val="en-US" w:eastAsia="zh-CN"/>
              </w:rPr>
              <w:t>（2）</w:t>
            </w:r>
            <w:r>
              <w:rPr>
                <w:rFonts w:hint="default" w:ascii="Times New Roman" w:hAnsi="Times New Roman" w:cs="Times New Roman"/>
                <w:color w:val="auto"/>
                <w:szCs w:val="21"/>
                <w:highlight w:val="none"/>
              </w:rPr>
              <w:t>未录入“辽宁省公共资源交易平台主体交易库”中的企业业绩，在投标文件第一个信封的“其他材料”中提供以下材料作为企业业绩证明材料：中标通知书、施工合同、竣工</w:t>
            </w:r>
            <w:r>
              <w:rPr>
                <w:rFonts w:hint="eastAsia" w:cs="Times New Roman"/>
                <w:color w:val="auto"/>
                <w:szCs w:val="21"/>
                <w:highlight w:val="none"/>
                <w:lang w:val="en-US" w:eastAsia="zh-CN"/>
              </w:rPr>
              <w:t>验收报告</w:t>
            </w:r>
            <w:r>
              <w:rPr>
                <w:rFonts w:hint="default" w:ascii="Times New Roman" w:hAnsi="Times New Roman" w:cs="Times New Roman"/>
                <w:color w:val="auto"/>
                <w:szCs w:val="21"/>
                <w:highlight w:val="none"/>
              </w:rPr>
              <w:t>、中标结果公示网站截图；</w:t>
            </w:r>
          </w:p>
          <w:p w14:paraId="06B0B722">
            <w:pPr>
              <w:pageBreakBefore w:val="0"/>
              <w:kinsoku/>
              <w:wordWrap w:val="0"/>
              <w:bidi w:val="0"/>
              <w:adjustRightInd w:val="0"/>
              <w:snapToGrid w:val="0"/>
              <w:spacing w:line="400" w:lineRule="atLeast"/>
              <w:jc w:val="both"/>
              <w:rPr>
                <w:rFonts w:hint="default" w:ascii="Times New Roman" w:hAnsi="Times New Roman" w:cs="Times New Roman"/>
                <w:color w:val="auto"/>
                <w:szCs w:val="21"/>
                <w:highlight w:val="none"/>
              </w:rPr>
            </w:pPr>
            <w:r>
              <w:rPr>
                <w:rFonts w:hint="eastAsia" w:cs="Times New Roman"/>
                <w:color w:val="auto"/>
                <w:szCs w:val="21"/>
                <w:highlight w:val="none"/>
                <w:lang w:val="en-US" w:eastAsia="zh-CN"/>
              </w:rPr>
              <w:t>（3）</w:t>
            </w:r>
            <w:r>
              <w:rPr>
                <w:rFonts w:hint="default" w:ascii="Times New Roman" w:hAnsi="Times New Roman" w:cs="Times New Roman"/>
                <w:color w:val="auto"/>
                <w:szCs w:val="21"/>
                <w:highlight w:val="none"/>
              </w:rPr>
              <w:t>如投标人法人机构发生变更或重组或法人名称变更时，应提供相关部门的合法批件。</w:t>
            </w:r>
          </w:p>
        </w:tc>
      </w:tr>
      <w:tr w14:paraId="2C73D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0" w:hRule="atLeast"/>
          <w:jc w:val="center"/>
        </w:trPr>
        <w:tc>
          <w:tcPr>
            <w:tcW w:w="8819" w:type="dxa"/>
            <w:noWrap w:val="0"/>
            <w:vAlign w:val="center"/>
          </w:tcPr>
          <w:p w14:paraId="6120244F">
            <w:pPr>
              <w:pageBreakBefore w:val="0"/>
              <w:kinsoku/>
              <w:wordWrap w:val="0"/>
              <w:bidi w:val="0"/>
              <w:adjustRightInd w:val="0"/>
              <w:snapToGrid w:val="0"/>
              <w:spacing w:line="400" w:lineRule="atLeast"/>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注：投标人应提供中标通知书、施工合同及</w:t>
            </w:r>
            <w:r>
              <w:rPr>
                <w:rFonts w:hint="default" w:ascii="Times New Roman" w:hAnsi="Times New Roman" w:cs="Times New Roman"/>
                <w:szCs w:val="21"/>
              </w:rPr>
              <w:t>竣工相关证明材料</w:t>
            </w:r>
            <w:r>
              <w:rPr>
                <w:rFonts w:hint="default" w:ascii="Times New Roman" w:hAnsi="Times New Roman" w:cs="Times New Roman"/>
                <w:color w:val="auto"/>
                <w:szCs w:val="21"/>
                <w:highlight w:val="none"/>
              </w:rPr>
              <w:t>，三者缺一不可，时间以竣工时间为准。</w:t>
            </w:r>
          </w:p>
          <w:p w14:paraId="39F11EC0">
            <w:pPr>
              <w:pageBreakBefore w:val="0"/>
              <w:kinsoku/>
              <w:wordWrap w:val="0"/>
              <w:bidi w:val="0"/>
              <w:adjustRightInd w:val="0"/>
              <w:snapToGrid w:val="0"/>
              <w:spacing w:line="400" w:lineRule="atLeast"/>
              <w:jc w:val="center"/>
              <w:rPr>
                <w:rFonts w:hint="default" w:ascii="Times New Roman" w:hAnsi="Times New Roman" w:cs="Times New Roman"/>
                <w:color w:val="auto"/>
                <w:szCs w:val="21"/>
                <w:highlight w:val="none"/>
              </w:rPr>
            </w:pPr>
          </w:p>
          <w:p w14:paraId="167A4CB6">
            <w:pPr>
              <w:pageBreakBefore w:val="0"/>
              <w:kinsoku/>
              <w:wordWrap w:val="0"/>
              <w:bidi w:val="0"/>
              <w:adjustRightInd w:val="0"/>
              <w:snapToGrid w:val="0"/>
              <w:spacing w:line="400" w:lineRule="atLeast"/>
              <w:jc w:val="center"/>
              <w:rPr>
                <w:rFonts w:hint="default" w:ascii="Times New Roman" w:hAnsi="Times New Roman" w:cs="Times New Roman"/>
                <w:color w:val="auto"/>
                <w:szCs w:val="21"/>
                <w:highlight w:val="none"/>
              </w:rPr>
            </w:pPr>
          </w:p>
          <w:p w14:paraId="2E9A35E4">
            <w:pPr>
              <w:pageBreakBefore w:val="0"/>
              <w:kinsoku/>
              <w:wordWrap w:val="0"/>
              <w:bidi w:val="0"/>
              <w:adjustRightInd w:val="0"/>
              <w:snapToGrid w:val="0"/>
              <w:spacing w:line="400" w:lineRule="atLeast"/>
              <w:jc w:val="center"/>
              <w:rPr>
                <w:rFonts w:hint="default" w:ascii="Times New Roman" w:hAnsi="Times New Roman" w:cs="Times New Roman"/>
                <w:color w:val="auto"/>
                <w:szCs w:val="21"/>
                <w:highlight w:val="none"/>
              </w:rPr>
            </w:pPr>
          </w:p>
          <w:p w14:paraId="485A7A43">
            <w:pPr>
              <w:pageBreakBefore w:val="0"/>
              <w:kinsoku/>
              <w:wordWrap w:val="0"/>
              <w:bidi w:val="0"/>
              <w:adjustRightInd w:val="0"/>
              <w:snapToGrid w:val="0"/>
              <w:spacing w:line="400" w:lineRule="atLeast"/>
              <w:jc w:val="center"/>
              <w:rPr>
                <w:rFonts w:hint="default" w:ascii="Times New Roman" w:hAnsi="Times New Roman" w:cs="Times New Roman"/>
                <w:color w:val="auto"/>
                <w:szCs w:val="21"/>
                <w:highlight w:val="none"/>
              </w:rPr>
            </w:pPr>
          </w:p>
          <w:p w14:paraId="398782BE">
            <w:pPr>
              <w:pageBreakBefore w:val="0"/>
              <w:kinsoku/>
              <w:wordWrap w:val="0"/>
              <w:bidi w:val="0"/>
              <w:adjustRightInd w:val="0"/>
              <w:snapToGrid w:val="0"/>
              <w:spacing w:line="400" w:lineRule="atLeast"/>
              <w:jc w:val="center"/>
              <w:rPr>
                <w:rFonts w:hint="default" w:ascii="Times New Roman" w:hAnsi="Times New Roman" w:cs="Times New Roman"/>
                <w:color w:val="auto"/>
                <w:szCs w:val="21"/>
                <w:highlight w:val="none"/>
              </w:rPr>
            </w:pPr>
          </w:p>
        </w:tc>
      </w:tr>
    </w:tbl>
    <w:p w14:paraId="05315247">
      <w:pPr>
        <w:pageBreakBefore w:val="0"/>
        <w:kinsoku/>
        <w:wordWrap w:val="0"/>
        <w:bidi w:val="0"/>
        <w:adjustRightInd w:val="0"/>
        <w:snapToGrid w:val="0"/>
        <w:spacing w:line="300" w:lineRule="exact"/>
        <w:rPr>
          <w:rFonts w:hint="default" w:ascii="Times New Roman" w:hAnsi="Times New Roman" w:eastAsia="隶书" w:cs="Times New Roman"/>
          <w:b/>
          <w:color w:val="auto"/>
          <w:sz w:val="32"/>
          <w:highlight w:val="none"/>
        </w:rPr>
      </w:pPr>
    </w:p>
    <w:p w14:paraId="30D371AB">
      <w:pPr>
        <w:pStyle w:val="5"/>
        <w:pageBreakBefore w:val="0"/>
        <w:kinsoku/>
        <w:wordWrap w:val="0"/>
        <w:bidi w:val="0"/>
        <w:spacing w:before="240" w:after="240" w:line="240" w:lineRule="atLeast"/>
        <w:jc w:val="center"/>
        <w:rPr>
          <w:rFonts w:hint="default" w:ascii="Times New Roman" w:hAnsi="Times New Roman" w:eastAsia="黑体" w:cs="Times New Roman"/>
          <w:b w:val="0"/>
          <w:bCs/>
          <w:i w:val="0"/>
          <w:iCs w:val="0"/>
          <w:color w:val="auto"/>
          <w:sz w:val="28"/>
          <w:szCs w:val="28"/>
          <w:highlight w:val="none"/>
        </w:rPr>
      </w:pPr>
      <w:bookmarkStart w:id="95" w:name="_Toc17966"/>
      <w:bookmarkStart w:id="96" w:name="_Toc29684"/>
      <w:bookmarkStart w:id="97" w:name="_Toc234832866"/>
      <w:bookmarkStart w:id="98" w:name="_Toc24335"/>
      <w:bookmarkStart w:id="99" w:name="_Toc19189"/>
      <w:r>
        <w:rPr>
          <w:rFonts w:hint="default" w:ascii="Times New Roman" w:hAnsi="Times New Roman" w:eastAsia="黑体" w:cs="Times New Roman"/>
          <w:b w:val="0"/>
          <w:bCs/>
          <w:i w:val="0"/>
          <w:iCs w:val="0"/>
          <w:color w:val="auto"/>
          <w:sz w:val="28"/>
          <w:szCs w:val="28"/>
          <w:highlight w:val="none"/>
        </w:rPr>
        <w:t>附录4资格审查条件（信誉最低要求）</w:t>
      </w:r>
      <w:r>
        <w:rPr>
          <w:rStyle w:val="48"/>
          <w:rFonts w:hint="default" w:ascii="Times New Roman" w:hAnsi="Times New Roman" w:eastAsia="黑体" w:cs="Times New Roman"/>
          <w:b w:val="0"/>
          <w:bCs/>
          <w:i w:val="0"/>
          <w:iCs w:val="0"/>
          <w:color w:val="auto"/>
          <w:sz w:val="28"/>
          <w:szCs w:val="28"/>
          <w:highlight w:val="none"/>
        </w:rPr>
        <w:footnoteReference w:id="15"/>
      </w:r>
      <w:bookmarkEnd w:id="95"/>
      <w:bookmarkEnd w:id="96"/>
      <w:bookmarkEnd w:id="97"/>
      <w:bookmarkEnd w:id="98"/>
      <w:bookmarkEnd w:id="99"/>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9"/>
      </w:tblGrid>
      <w:tr w14:paraId="05C15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75" w:hRule="atLeast"/>
          <w:jc w:val="center"/>
        </w:trPr>
        <w:tc>
          <w:tcPr>
            <w:tcW w:w="8819" w:type="dxa"/>
            <w:noWrap w:val="0"/>
            <w:vAlign w:val="center"/>
          </w:tcPr>
          <w:p w14:paraId="3C056421">
            <w:pPr>
              <w:pageBreakBefore w:val="0"/>
              <w:kinsoku/>
              <w:wordWrap w:val="0"/>
              <w:bidi w:val="0"/>
              <w:adjustRightInd w:val="0"/>
              <w:snapToGrid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信誉要求</w:t>
            </w:r>
          </w:p>
        </w:tc>
      </w:tr>
      <w:tr w14:paraId="686E8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8819" w:type="dxa"/>
            <w:noWrap w:val="0"/>
            <w:vAlign w:val="center"/>
          </w:tcPr>
          <w:p w14:paraId="06D23736">
            <w:pPr>
              <w:pageBreakBefore w:val="0"/>
              <w:kinsoku/>
              <w:wordWrap w:val="0"/>
              <w:bidi w:val="0"/>
              <w:adjustRightInd w:val="0"/>
              <w:snapToGrid w:val="0"/>
              <w:spacing w:line="400" w:lineRule="atLeast"/>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（1）未被省级及以上交通运输主管部门取消招标项目所在地的投标资格且处于有效期内；</w:t>
            </w:r>
          </w:p>
          <w:p w14:paraId="6BF5A629">
            <w:pPr>
              <w:pageBreakBefore w:val="0"/>
              <w:kinsoku/>
              <w:wordWrap w:val="0"/>
              <w:bidi w:val="0"/>
              <w:adjustRightInd w:val="0"/>
              <w:snapToGrid w:val="0"/>
              <w:spacing w:line="400" w:lineRule="atLeast"/>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（2）未被责令停业，暂扣或吊销执照，或吊销资质证书；</w:t>
            </w:r>
          </w:p>
          <w:p w14:paraId="0C3077D2">
            <w:pPr>
              <w:pageBreakBefore w:val="0"/>
              <w:kinsoku/>
              <w:wordWrap w:val="0"/>
              <w:bidi w:val="0"/>
              <w:adjustRightInd w:val="0"/>
              <w:snapToGrid w:val="0"/>
              <w:spacing w:line="400" w:lineRule="atLeast"/>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（3）未进入清算程序，或被宣告破产，或其他丧失履约能力的情形；</w:t>
            </w:r>
          </w:p>
          <w:p w14:paraId="22839F74">
            <w:pPr>
              <w:pageBreakBefore w:val="0"/>
              <w:kinsoku/>
              <w:wordWrap w:val="0"/>
              <w:bidi w:val="0"/>
              <w:adjustRightInd w:val="0"/>
              <w:snapToGrid w:val="0"/>
              <w:spacing w:line="400" w:lineRule="atLeast"/>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（4）在国家企业信用信息公示系统（http：//www.gsxt.gov.cn）中未被列入严重违法失信企业名单；</w:t>
            </w:r>
          </w:p>
          <w:p w14:paraId="12ED47D8">
            <w:pPr>
              <w:pageBreakBefore w:val="0"/>
              <w:kinsoku/>
              <w:wordWrap w:val="0"/>
              <w:bidi w:val="0"/>
              <w:adjustRightInd w:val="0"/>
              <w:snapToGrid w:val="0"/>
              <w:spacing w:line="400" w:lineRule="atLeast"/>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（5）在“信用中国”网站（http：//www.creditchina.gov.cn）中未被列入失信被执行人名单；</w:t>
            </w:r>
          </w:p>
          <w:p w14:paraId="11D9B7AB">
            <w:pPr>
              <w:pageBreakBefore w:val="0"/>
              <w:kinsoku/>
              <w:wordWrap w:val="0"/>
              <w:bidi w:val="0"/>
              <w:adjustRightInd w:val="0"/>
              <w:snapToGrid w:val="0"/>
              <w:spacing w:line="400" w:lineRule="atLeast"/>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（6）投标人或其法定代表人、拟委任的项目经理在近三年内没有行贿犯罪行为的；</w:t>
            </w:r>
          </w:p>
          <w:p w14:paraId="100BDB85">
            <w:pPr>
              <w:pageBreakBefore w:val="0"/>
              <w:kinsoku/>
              <w:wordWrap w:val="0"/>
              <w:bidi w:val="0"/>
              <w:adjustRightInd w:val="0"/>
              <w:snapToGrid w:val="0"/>
              <w:spacing w:line="400" w:lineRule="atLeast"/>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（7）投标人在以往工程未因拖欠农民工工资、材料采购、工程分包款等，而受到省级有关部门的通报；</w:t>
            </w:r>
          </w:p>
          <w:p w14:paraId="32D4F0B3">
            <w:pPr>
              <w:rPr>
                <w:color w:val="auto"/>
                <w:highlight w:val="none"/>
              </w:rPr>
            </w:pPr>
            <w:r>
              <w:rPr>
                <w:rFonts w:hint="default" w:ascii="Times New Roman" w:hAnsi="Times New Roman" w:cs="Times New Roman"/>
                <w:color w:val="auto"/>
                <w:szCs w:val="21"/>
                <w:highlight w:val="none"/>
              </w:rPr>
              <w:t>（8）法律法规规定的其他情形。</w:t>
            </w:r>
          </w:p>
          <w:p w14:paraId="2905902E">
            <w:pPr>
              <w:rPr>
                <w:color w:val="auto"/>
                <w:highlight w:val="none"/>
              </w:rPr>
            </w:pPr>
          </w:p>
          <w:p w14:paraId="52B017A7">
            <w:pPr>
              <w:rPr>
                <w:color w:val="auto"/>
                <w:highlight w:val="none"/>
              </w:rPr>
            </w:pPr>
          </w:p>
          <w:p w14:paraId="4AC4A125">
            <w:pPr>
              <w:rPr>
                <w:color w:val="auto"/>
                <w:highlight w:val="none"/>
              </w:rPr>
            </w:pPr>
          </w:p>
          <w:p w14:paraId="1C507BC4">
            <w:pPr>
              <w:pageBreakBefore w:val="0"/>
              <w:kinsoku/>
              <w:wordWrap w:val="0"/>
              <w:bidi w:val="0"/>
              <w:adjustRightInd w:val="0"/>
              <w:snapToGrid w:val="0"/>
              <w:spacing w:line="400" w:lineRule="atLeast"/>
              <w:jc w:val="left"/>
              <w:rPr>
                <w:rFonts w:hint="default" w:ascii="Times New Roman" w:hAnsi="Times New Roman" w:cs="Times New Roman"/>
                <w:color w:val="auto"/>
                <w:szCs w:val="21"/>
                <w:highlight w:val="none"/>
              </w:rPr>
            </w:pPr>
          </w:p>
          <w:p w14:paraId="3B5FE26C">
            <w:pPr>
              <w:pageBreakBefore w:val="0"/>
              <w:kinsoku/>
              <w:wordWrap w:val="0"/>
              <w:bidi w:val="0"/>
              <w:adjustRightInd w:val="0"/>
              <w:snapToGrid w:val="0"/>
              <w:spacing w:line="400" w:lineRule="atLeast"/>
              <w:jc w:val="center"/>
              <w:rPr>
                <w:rFonts w:hint="default" w:ascii="Times New Roman" w:hAnsi="Times New Roman" w:cs="Times New Roman"/>
                <w:color w:val="auto"/>
                <w:szCs w:val="21"/>
                <w:highlight w:val="none"/>
              </w:rPr>
            </w:pPr>
          </w:p>
          <w:p w14:paraId="6C25E122">
            <w:pPr>
              <w:pageBreakBefore w:val="0"/>
              <w:kinsoku/>
              <w:wordWrap w:val="0"/>
              <w:bidi w:val="0"/>
              <w:adjustRightInd w:val="0"/>
              <w:snapToGrid w:val="0"/>
              <w:spacing w:line="400" w:lineRule="atLeast"/>
              <w:jc w:val="center"/>
              <w:rPr>
                <w:rFonts w:hint="default" w:ascii="Times New Roman" w:hAnsi="Times New Roman" w:cs="Times New Roman"/>
                <w:color w:val="auto"/>
                <w:szCs w:val="21"/>
                <w:highlight w:val="none"/>
              </w:rPr>
            </w:pPr>
          </w:p>
        </w:tc>
      </w:tr>
      <w:tr w14:paraId="018E7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0" w:hRule="atLeast"/>
          <w:jc w:val="center"/>
        </w:trPr>
        <w:tc>
          <w:tcPr>
            <w:tcW w:w="8819" w:type="dxa"/>
            <w:noWrap w:val="0"/>
            <w:vAlign w:val="center"/>
          </w:tcPr>
          <w:p w14:paraId="6FF5749C">
            <w:pPr>
              <w:pageBreakBefore w:val="0"/>
              <w:kinsoku/>
              <w:wordWrap w:val="0"/>
              <w:bidi w:val="0"/>
              <w:adjustRightInd w:val="0"/>
              <w:snapToGrid w:val="0"/>
              <w:spacing w:line="400" w:lineRule="atLeast"/>
              <w:jc w:val="left"/>
              <w:rPr>
                <w:rFonts w:hint="eastAsia" w:ascii="Times New Roman" w:hAnsi="Times New Roman" w:eastAsia="宋体" w:cs="Times New Roman"/>
                <w:color w:val="0000FF"/>
                <w:szCs w:val="21"/>
                <w:highlight w:val="none"/>
                <w:lang w:val="en-US" w:eastAsia="zh-CN"/>
              </w:rPr>
            </w:pPr>
            <w:r>
              <w:rPr>
                <w:rFonts w:hint="eastAsia" w:cs="Times New Roman"/>
                <w:color w:val="auto"/>
                <w:szCs w:val="21"/>
                <w:highlight w:val="none"/>
                <w:lang w:val="en-US" w:eastAsia="zh-CN"/>
              </w:rPr>
              <w:t>注：投标人的信誉情况表”应附投标人在国家企业信用信息公示系统中未被列入严重违法失信企业名单、在“信用中国”(或中国执行信息公开网)网站中未被列入失信被执行人名单的网页截图，以及近三年内(以投标截止日期为截止日、往前推算3个年度)投标人单位、个人(指法定代表人、拟投入的项目经理)均无行贿犯罪行为的书面承诺“原件扫描件”(格式详见招标文件第九章)。</w:t>
            </w:r>
          </w:p>
          <w:p w14:paraId="00EE50F6">
            <w:pPr>
              <w:pageBreakBefore w:val="0"/>
              <w:kinsoku/>
              <w:wordWrap w:val="0"/>
              <w:bidi w:val="0"/>
              <w:adjustRightInd w:val="0"/>
              <w:snapToGrid w:val="0"/>
              <w:spacing w:line="400" w:lineRule="atLeast"/>
              <w:jc w:val="center"/>
              <w:rPr>
                <w:rFonts w:hint="default" w:ascii="Times New Roman" w:hAnsi="Times New Roman" w:cs="Times New Roman"/>
                <w:color w:val="auto"/>
                <w:szCs w:val="21"/>
                <w:highlight w:val="none"/>
              </w:rPr>
            </w:pPr>
          </w:p>
          <w:p w14:paraId="7C5C146D">
            <w:pPr>
              <w:pageBreakBefore w:val="0"/>
              <w:kinsoku/>
              <w:wordWrap w:val="0"/>
              <w:bidi w:val="0"/>
              <w:adjustRightInd w:val="0"/>
              <w:snapToGrid w:val="0"/>
              <w:spacing w:line="400" w:lineRule="atLeast"/>
              <w:jc w:val="center"/>
              <w:rPr>
                <w:rFonts w:hint="default" w:ascii="Times New Roman" w:hAnsi="Times New Roman" w:cs="Times New Roman"/>
                <w:color w:val="auto"/>
                <w:szCs w:val="21"/>
                <w:highlight w:val="none"/>
              </w:rPr>
            </w:pPr>
          </w:p>
          <w:p w14:paraId="47C336F6">
            <w:pPr>
              <w:pageBreakBefore w:val="0"/>
              <w:kinsoku/>
              <w:wordWrap w:val="0"/>
              <w:bidi w:val="0"/>
              <w:adjustRightInd w:val="0"/>
              <w:snapToGrid w:val="0"/>
              <w:spacing w:line="400" w:lineRule="atLeast"/>
              <w:jc w:val="center"/>
              <w:rPr>
                <w:rFonts w:hint="default" w:ascii="Times New Roman" w:hAnsi="Times New Roman" w:cs="Times New Roman"/>
                <w:color w:val="auto"/>
                <w:szCs w:val="21"/>
                <w:highlight w:val="none"/>
              </w:rPr>
            </w:pPr>
          </w:p>
        </w:tc>
      </w:tr>
    </w:tbl>
    <w:p w14:paraId="6F4E74FF">
      <w:pPr>
        <w:pageBreakBefore w:val="0"/>
        <w:kinsoku/>
        <w:wordWrap w:val="0"/>
        <w:bidi w:val="0"/>
        <w:adjustRightInd w:val="0"/>
        <w:snapToGrid w:val="0"/>
        <w:spacing w:line="300" w:lineRule="exact"/>
        <w:rPr>
          <w:rFonts w:hint="default" w:ascii="Times New Roman" w:hAnsi="Times New Roman" w:eastAsia="隶书" w:cs="Times New Roman"/>
          <w:color w:val="auto"/>
          <w:sz w:val="32"/>
          <w:highlight w:val="none"/>
        </w:rPr>
      </w:pPr>
    </w:p>
    <w:p w14:paraId="41A078B4">
      <w:pPr>
        <w:pageBreakBefore w:val="0"/>
        <w:kinsoku/>
        <w:wordWrap w:val="0"/>
        <w:bidi w:val="0"/>
        <w:adjustRightInd w:val="0"/>
        <w:snapToGrid w:val="0"/>
        <w:spacing w:line="300" w:lineRule="auto"/>
        <w:rPr>
          <w:rFonts w:hint="default" w:ascii="Times New Roman" w:hAnsi="Times New Roman" w:cs="Times New Roman"/>
          <w:bCs/>
          <w:color w:val="auto"/>
          <w:highlight w:val="none"/>
        </w:rPr>
      </w:pPr>
    </w:p>
    <w:p w14:paraId="3F2E9AF9">
      <w:pPr>
        <w:pageBreakBefore w:val="0"/>
        <w:kinsoku/>
        <w:wordWrap w:val="0"/>
        <w:bidi w:val="0"/>
        <w:adjustRightInd w:val="0"/>
        <w:snapToGrid w:val="0"/>
        <w:spacing w:line="300" w:lineRule="auto"/>
        <w:ind w:firstLine="964" w:firstLineChars="400"/>
        <w:jc w:val="center"/>
        <w:rPr>
          <w:rFonts w:hint="default" w:ascii="Times New Roman" w:hAnsi="Times New Roman" w:eastAsia="黑体" w:cs="Times New Roman"/>
          <w:b/>
          <w:color w:val="auto"/>
          <w:sz w:val="24"/>
          <w:highlight w:val="none"/>
        </w:rPr>
      </w:pPr>
    </w:p>
    <w:p w14:paraId="0F1A4AF7">
      <w:pPr>
        <w:pStyle w:val="5"/>
        <w:pageBreakBefore w:val="0"/>
        <w:kinsoku/>
        <w:wordWrap w:val="0"/>
        <w:bidi w:val="0"/>
        <w:spacing w:before="240" w:after="240" w:line="240" w:lineRule="atLeast"/>
        <w:jc w:val="center"/>
        <w:outlineLvl w:val="2"/>
        <w:rPr>
          <w:rFonts w:hint="default" w:ascii="Times New Roman" w:hAnsi="Times New Roman" w:eastAsia="黑体" w:cs="Times New Roman"/>
          <w:b w:val="0"/>
          <w:bCs/>
          <w:i w:val="0"/>
          <w:iCs w:val="0"/>
          <w:color w:val="auto"/>
          <w:sz w:val="28"/>
          <w:szCs w:val="28"/>
          <w:highlight w:val="none"/>
        </w:rPr>
      </w:pPr>
      <w:bookmarkStart w:id="100" w:name="_Toc4881"/>
      <w:bookmarkStart w:id="101" w:name="_Toc234832867"/>
      <w:bookmarkStart w:id="102" w:name="_Toc7446"/>
      <w:bookmarkStart w:id="103" w:name="_Toc24216"/>
      <w:bookmarkStart w:id="104" w:name="_Toc27658"/>
      <w:r>
        <w:rPr>
          <w:rFonts w:hint="default" w:ascii="Times New Roman" w:hAnsi="Times New Roman" w:eastAsia="黑体" w:cs="Times New Roman"/>
          <w:b w:val="0"/>
          <w:bCs/>
          <w:i w:val="0"/>
          <w:iCs w:val="0"/>
          <w:color w:val="auto"/>
          <w:sz w:val="28"/>
          <w:szCs w:val="28"/>
          <w:highlight w:val="none"/>
        </w:rPr>
        <w:t>附录5资格审查条件（项目经理和项目总工最低要求）</w:t>
      </w:r>
      <w:r>
        <w:rPr>
          <w:rStyle w:val="48"/>
          <w:rFonts w:hint="default" w:ascii="Times New Roman" w:hAnsi="Times New Roman" w:eastAsia="黑体" w:cs="Times New Roman"/>
          <w:b w:val="0"/>
          <w:bCs/>
          <w:i w:val="0"/>
          <w:iCs w:val="0"/>
          <w:color w:val="auto"/>
          <w:sz w:val="28"/>
          <w:szCs w:val="28"/>
          <w:highlight w:val="none"/>
        </w:rPr>
        <w:footnoteReference w:id="16"/>
      </w:r>
      <w:bookmarkEnd w:id="100"/>
      <w:bookmarkEnd w:id="101"/>
      <w:bookmarkEnd w:id="102"/>
      <w:bookmarkEnd w:id="103"/>
      <w:bookmarkEnd w:id="104"/>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0"/>
        <w:gridCol w:w="1559"/>
        <w:gridCol w:w="2888"/>
        <w:gridCol w:w="2887"/>
      </w:tblGrid>
      <w:tr w14:paraId="6B659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670" w:type="dxa"/>
            <w:noWrap w:val="0"/>
            <w:vAlign w:val="center"/>
          </w:tcPr>
          <w:p w14:paraId="1BE5FC90">
            <w:pPr>
              <w:pageBreakBefore w:val="0"/>
              <w:kinsoku/>
              <w:wordWrap w:val="0"/>
              <w:bidi w:val="0"/>
              <w:adjustRightInd w:val="0"/>
              <w:snapToGrid w:val="0"/>
              <w:spacing w:line="30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人员</w:t>
            </w:r>
          </w:p>
        </w:tc>
        <w:tc>
          <w:tcPr>
            <w:tcW w:w="1559" w:type="dxa"/>
            <w:noWrap w:val="0"/>
            <w:vAlign w:val="center"/>
          </w:tcPr>
          <w:p w14:paraId="6558C28D">
            <w:pPr>
              <w:pageBreakBefore w:val="0"/>
              <w:kinsoku/>
              <w:wordWrap w:val="0"/>
              <w:bidi w:val="0"/>
              <w:adjustRightInd w:val="0"/>
              <w:snapToGrid w:val="0"/>
              <w:spacing w:line="30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数量</w:t>
            </w:r>
          </w:p>
        </w:tc>
        <w:tc>
          <w:tcPr>
            <w:tcW w:w="2888" w:type="dxa"/>
            <w:noWrap w:val="0"/>
            <w:vAlign w:val="center"/>
          </w:tcPr>
          <w:p w14:paraId="6A4ABB0F">
            <w:pPr>
              <w:pageBreakBefore w:val="0"/>
              <w:kinsoku/>
              <w:wordWrap w:val="0"/>
              <w:bidi w:val="0"/>
              <w:adjustRightInd w:val="0"/>
              <w:snapToGrid w:val="0"/>
              <w:spacing w:line="30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资格要求</w:t>
            </w:r>
            <w:r>
              <w:rPr>
                <w:rStyle w:val="48"/>
                <w:rFonts w:hint="default" w:ascii="Times New Roman" w:hAnsi="Times New Roman" w:cs="Times New Roman"/>
                <w:color w:val="auto"/>
                <w:szCs w:val="21"/>
                <w:highlight w:val="none"/>
              </w:rPr>
              <w:footnoteReference w:id="17"/>
            </w:r>
          </w:p>
        </w:tc>
        <w:tc>
          <w:tcPr>
            <w:tcW w:w="2887" w:type="dxa"/>
            <w:noWrap w:val="0"/>
            <w:vAlign w:val="center"/>
          </w:tcPr>
          <w:p w14:paraId="14A395B6">
            <w:pPr>
              <w:pageBreakBefore w:val="0"/>
              <w:kinsoku/>
              <w:wordWrap w:val="0"/>
              <w:bidi w:val="0"/>
              <w:adjustRightInd w:val="0"/>
              <w:snapToGrid w:val="0"/>
              <w:spacing w:line="30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在岗要求</w:t>
            </w:r>
          </w:p>
        </w:tc>
      </w:tr>
      <w:tr w14:paraId="41491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0" w:hRule="atLeast"/>
          <w:jc w:val="center"/>
        </w:trPr>
        <w:tc>
          <w:tcPr>
            <w:tcW w:w="1670" w:type="dxa"/>
            <w:noWrap w:val="0"/>
            <w:vAlign w:val="center"/>
          </w:tcPr>
          <w:p w14:paraId="380F0A87">
            <w:pPr>
              <w:pageBreakBefore w:val="0"/>
              <w:kinsoku/>
              <w:wordWrap w:val="0"/>
              <w:bidi w:val="0"/>
              <w:spacing w:line="30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项目经理</w:t>
            </w:r>
          </w:p>
        </w:tc>
        <w:tc>
          <w:tcPr>
            <w:tcW w:w="1559" w:type="dxa"/>
            <w:noWrap w:val="0"/>
            <w:vAlign w:val="center"/>
          </w:tcPr>
          <w:p w14:paraId="6DACDB29">
            <w:pPr>
              <w:pageBreakBefore w:val="0"/>
              <w:kinsoku/>
              <w:wordWrap w:val="0"/>
              <w:bidi w:val="0"/>
              <w:adjustRightInd w:val="0"/>
              <w:snapToGrid w:val="0"/>
              <w:spacing w:line="300" w:lineRule="auto"/>
              <w:jc w:val="center"/>
              <w:rPr>
                <w:rFonts w:hint="default" w:ascii="Times New Roman" w:hAnsi="Times New Roman" w:cs="Times New Roman"/>
                <w:color w:val="auto"/>
                <w:szCs w:val="21"/>
                <w:highlight w:val="none"/>
              </w:rPr>
            </w:pPr>
            <w:r>
              <w:rPr>
                <w:rFonts w:hint="eastAsia" w:cs="Times New Roman"/>
                <w:color w:val="auto"/>
                <w:szCs w:val="21"/>
                <w:highlight w:val="none"/>
                <w:lang w:val="en-US" w:eastAsia="zh-CN"/>
              </w:rPr>
              <w:t>1</w:t>
            </w:r>
          </w:p>
        </w:tc>
        <w:tc>
          <w:tcPr>
            <w:tcW w:w="2888" w:type="dxa"/>
            <w:noWrap w:val="0"/>
            <w:vAlign w:val="center"/>
          </w:tcPr>
          <w:p w14:paraId="5D01F170">
            <w:pPr>
              <w:pageBreakBefore w:val="0"/>
              <w:kinsoku/>
              <w:wordWrap w:val="0"/>
              <w:bidi w:val="0"/>
              <w:adjustRightInd w:val="0"/>
              <w:snapToGrid w:val="0"/>
              <w:spacing w:line="300" w:lineRule="auto"/>
              <w:rPr>
                <w:rFonts w:hint="eastAsia"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具有公路工程专业二级及以上建造师证书以及交通运输主管部门颁发的有效期内的安全生产考核合格“B”类证书</w:t>
            </w:r>
            <w:r>
              <w:rPr>
                <w:rFonts w:hint="eastAsia" w:cs="Times New Roman"/>
                <w:color w:val="auto"/>
                <w:szCs w:val="21"/>
                <w:highlight w:val="none"/>
                <w:lang w:val="en-US" w:eastAsia="zh-CN"/>
              </w:rPr>
              <w:t>，相关</w:t>
            </w:r>
            <w:r>
              <w:rPr>
                <w:rFonts w:hint="default" w:ascii="Times New Roman" w:hAnsi="Times New Roman" w:cs="Times New Roman"/>
                <w:color w:val="auto"/>
                <w:szCs w:val="21"/>
                <w:highlight w:val="none"/>
              </w:rPr>
              <w:t>证书在有效期内且证书目前必须注册在投标人单位</w:t>
            </w:r>
            <w:r>
              <w:rPr>
                <w:rFonts w:hint="eastAsia" w:cs="Times New Roman"/>
                <w:color w:val="auto"/>
                <w:szCs w:val="21"/>
                <w:highlight w:val="none"/>
                <w:lang w:eastAsia="zh-CN"/>
              </w:rPr>
              <w:t>。</w:t>
            </w:r>
          </w:p>
        </w:tc>
        <w:tc>
          <w:tcPr>
            <w:tcW w:w="2887" w:type="dxa"/>
            <w:vMerge w:val="restart"/>
            <w:noWrap w:val="0"/>
            <w:vAlign w:val="center"/>
          </w:tcPr>
          <w:p w14:paraId="6CC9A75D">
            <w:pPr>
              <w:pageBreakBefore w:val="0"/>
              <w:kinsoku/>
              <w:wordWrap w:val="0"/>
              <w:bidi w:val="0"/>
              <w:adjustRightInd w:val="0"/>
              <w:snapToGrid w:val="0"/>
              <w:spacing w:line="300" w:lineRule="auto"/>
              <w:rPr>
                <w:rFonts w:hint="eastAsia"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rPr>
              <w:t>无在岗项目（指目前未在其他项目上任职，或虽在其他项目</w:t>
            </w:r>
            <w:r>
              <w:rPr>
                <w:rFonts w:hint="default" w:ascii="Times New Roman" w:hAnsi="Times New Roman" w:cs="Times New Roman"/>
                <w:color w:val="auto"/>
                <w:szCs w:val="21"/>
                <w:highlight w:val="none"/>
              </w:rPr>
              <w:t>上</w:t>
            </w:r>
            <w:r>
              <w:rPr>
                <w:rFonts w:hint="default" w:ascii="Times New Roman" w:hAnsi="Times New Roman" w:cs="Times New Roman"/>
                <w:color w:val="auto"/>
                <w:highlight w:val="none"/>
              </w:rPr>
              <w:t>任职但本项目中标后能够从该项目撤离）</w:t>
            </w:r>
          </w:p>
        </w:tc>
      </w:tr>
      <w:tr w14:paraId="48773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0" w:hRule="atLeast"/>
          <w:jc w:val="center"/>
        </w:trPr>
        <w:tc>
          <w:tcPr>
            <w:tcW w:w="1670" w:type="dxa"/>
            <w:noWrap w:val="0"/>
            <w:vAlign w:val="center"/>
          </w:tcPr>
          <w:p w14:paraId="1976AE3F">
            <w:pPr>
              <w:pageBreakBefore w:val="0"/>
              <w:kinsoku/>
              <w:wordWrap w:val="0"/>
              <w:bidi w:val="0"/>
              <w:spacing w:line="30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项目总工</w:t>
            </w:r>
          </w:p>
        </w:tc>
        <w:tc>
          <w:tcPr>
            <w:tcW w:w="1559" w:type="dxa"/>
            <w:noWrap w:val="0"/>
            <w:vAlign w:val="center"/>
          </w:tcPr>
          <w:p w14:paraId="34E4D889">
            <w:pPr>
              <w:pageBreakBefore w:val="0"/>
              <w:kinsoku/>
              <w:wordWrap w:val="0"/>
              <w:bidi w:val="0"/>
              <w:adjustRightInd w:val="0"/>
              <w:snapToGrid w:val="0"/>
              <w:spacing w:line="300" w:lineRule="auto"/>
              <w:jc w:val="center"/>
              <w:rPr>
                <w:rFonts w:hint="default" w:ascii="Times New Roman" w:hAnsi="Times New Roman" w:cs="Times New Roman"/>
                <w:color w:val="auto"/>
                <w:szCs w:val="21"/>
                <w:highlight w:val="none"/>
              </w:rPr>
            </w:pPr>
            <w:r>
              <w:rPr>
                <w:rFonts w:hint="eastAsia" w:cs="Times New Roman"/>
                <w:color w:val="auto"/>
                <w:szCs w:val="21"/>
                <w:highlight w:val="none"/>
                <w:lang w:val="en-US" w:eastAsia="zh-CN"/>
              </w:rPr>
              <w:t>1</w:t>
            </w:r>
          </w:p>
        </w:tc>
        <w:tc>
          <w:tcPr>
            <w:tcW w:w="2888" w:type="dxa"/>
            <w:noWrap w:val="0"/>
            <w:vAlign w:val="center"/>
          </w:tcPr>
          <w:p w14:paraId="52A0A8FD">
            <w:pPr>
              <w:pageBreakBefore w:val="0"/>
              <w:kinsoku/>
              <w:wordWrap w:val="0"/>
              <w:bidi w:val="0"/>
              <w:adjustRightInd w:val="0"/>
              <w:snapToGrid w:val="0"/>
              <w:spacing w:line="30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具有公路工程相关专业中级及以上技术职称</w:t>
            </w:r>
            <w:r>
              <w:rPr>
                <w:rFonts w:hint="default" w:ascii="Times New Roman" w:hAnsi="Times New Roman" w:cs="Times New Roman"/>
                <w:color w:val="auto"/>
                <w:szCs w:val="21"/>
                <w:highlight w:val="none"/>
              </w:rPr>
              <w:t>。</w:t>
            </w:r>
          </w:p>
          <w:p w14:paraId="674DEE9A">
            <w:pPr>
              <w:pageBreakBefore w:val="0"/>
              <w:kinsoku/>
              <w:wordWrap w:val="0"/>
              <w:bidi w:val="0"/>
              <w:adjustRightInd w:val="0"/>
              <w:snapToGrid w:val="0"/>
              <w:spacing w:line="300" w:lineRule="auto"/>
              <w:rPr>
                <w:rFonts w:hint="eastAsia" w:ascii="Times New Roman" w:hAnsi="Times New Roman" w:eastAsia="宋体" w:cs="Times New Roman"/>
                <w:color w:val="auto"/>
                <w:szCs w:val="21"/>
                <w:highlight w:val="none"/>
                <w:lang w:eastAsia="zh-CN"/>
              </w:rPr>
            </w:pPr>
          </w:p>
        </w:tc>
        <w:tc>
          <w:tcPr>
            <w:tcW w:w="2887" w:type="dxa"/>
            <w:vMerge w:val="continue"/>
            <w:noWrap w:val="0"/>
            <w:vAlign w:val="center"/>
          </w:tcPr>
          <w:p w14:paraId="21EF82F1">
            <w:pPr>
              <w:pageBreakBefore w:val="0"/>
              <w:kinsoku/>
              <w:wordWrap w:val="0"/>
              <w:bidi w:val="0"/>
              <w:adjustRightInd w:val="0"/>
              <w:snapToGrid w:val="0"/>
              <w:spacing w:line="300" w:lineRule="auto"/>
              <w:rPr>
                <w:rFonts w:hint="default" w:ascii="Times New Roman" w:hAnsi="Times New Roman" w:cs="Times New Roman"/>
                <w:color w:val="auto"/>
                <w:szCs w:val="21"/>
                <w:highlight w:val="none"/>
              </w:rPr>
            </w:pPr>
          </w:p>
        </w:tc>
      </w:tr>
      <w:tr w14:paraId="0A990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0" w:hRule="atLeast"/>
          <w:jc w:val="center"/>
        </w:trPr>
        <w:tc>
          <w:tcPr>
            <w:tcW w:w="9004" w:type="dxa"/>
            <w:gridSpan w:val="4"/>
            <w:noWrap w:val="0"/>
            <w:vAlign w:val="top"/>
          </w:tcPr>
          <w:p w14:paraId="37E87409">
            <w:pPr>
              <w:pageBreakBefore w:val="0"/>
              <w:kinsoku/>
              <w:wordWrap w:val="0"/>
              <w:bidi w:val="0"/>
              <w:adjustRightInd w:val="0"/>
              <w:snapToGrid w:val="0"/>
              <w:spacing w:line="300" w:lineRule="auto"/>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注：项目经理和项目总工程师均不得同时在两个及以上项目任职。</w:t>
            </w:r>
          </w:p>
        </w:tc>
      </w:tr>
    </w:tbl>
    <w:p w14:paraId="0584DED7">
      <w:pPr>
        <w:pageBreakBefore w:val="0"/>
        <w:kinsoku/>
        <w:wordWrap w:val="0"/>
        <w:bidi w:val="0"/>
        <w:adjustRightInd w:val="0"/>
        <w:snapToGrid w:val="0"/>
        <w:spacing w:line="240" w:lineRule="exact"/>
        <w:rPr>
          <w:rFonts w:hint="default" w:ascii="Times New Roman" w:hAnsi="Times New Roman" w:eastAsia="隶书" w:cs="Times New Roman"/>
          <w:b/>
          <w:bCs/>
          <w:color w:val="auto"/>
          <w:sz w:val="32"/>
          <w:szCs w:val="32"/>
          <w:highlight w:val="none"/>
        </w:rPr>
      </w:pPr>
    </w:p>
    <w:p w14:paraId="073DC223">
      <w:pPr>
        <w:pageBreakBefore w:val="0"/>
        <w:kinsoku/>
        <w:wordWrap w:val="0"/>
        <w:bidi w:val="0"/>
        <w:adjustRightInd w:val="0"/>
        <w:snapToGrid w:val="0"/>
        <w:spacing w:line="300" w:lineRule="auto"/>
        <w:ind w:right="-512" w:rightChars="-244" w:firstLine="422" w:firstLineChars="200"/>
        <w:rPr>
          <w:rFonts w:hint="default" w:ascii="Times New Roman" w:hAnsi="Times New Roman" w:cs="Times New Roman"/>
          <w:b/>
          <w:iCs/>
          <w:color w:val="auto"/>
          <w:szCs w:val="21"/>
          <w:highlight w:val="none"/>
        </w:rPr>
      </w:pPr>
    </w:p>
    <w:p w14:paraId="7F57F205">
      <w:pPr>
        <w:pStyle w:val="5"/>
        <w:pageBreakBefore w:val="0"/>
        <w:kinsoku/>
        <w:wordWrap w:val="0"/>
        <w:bidi w:val="0"/>
        <w:spacing w:before="240" w:after="240" w:line="240" w:lineRule="atLeast"/>
        <w:jc w:val="center"/>
        <w:outlineLvl w:val="2"/>
        <w:rPr>
          <w:rFonts w:hint="default" w:ascii="Times New Roman" w:hAnsi="Times New Roman" w:eastAsia="黑体" w:cs="Times New Roman"/>
          <w:color w:val="auto"/>
          <w:sz w:val="28"/>
          <w:szCs w:val="28"/>
          <w:highlight w:val="none"/>
        </w:rPr>
      </w:pPr>
      <w:bookmarkStart w:id="105" w:name="_Toc234832868"/>
      <w:r>
        <w:rPr>
          <w:rFonts w:hint="default" w:ascii="Times New Roman" w:hAnsi="Times New Roman" w:eastAsia="黑体" w:cs="Times New Roman"/>
          <w:color w:val="auto"/>
          <w:sz w:val="28"/>
          <w:szCs w:val="28"/>
          <w:highlight w:val="none"/>
        </w:rPr>
        <w:br w:type="page"/>
      </w:r>
      <w:bookmarkStart w:id="106" w:name="_Toc29411"/>
      <w:bookmarkStart w:id="107" w:name="_Toc5891"/>
      <w:bookmarkStart w:id="108" w:name="_Toc32755"/>
      <w:bookmarkStart w:id="109" w:name="_Toc18718"/>
      <w:r>
        <w:rPr>
          <w:rFonts w:hint="default" w:ascii="Times New Roman" w:hAnsi="Times New Roman" w:eastAsia="黑体" w:cs="Times New Roman"/>
          <w:b w:val="0"/>
          <w:bCs/>
          <w:i w:val="0"/>
          <w:iCs w:val="0"/>
          <w:color w:val="auto"/>
          <w:sz w:val="28"/>
          <w:szCs w:val="28"/>
          <w:highlight w:val="none"/>
        </w:rPr>
        <w:t>附录6资格审查条件（其他管理和技术人员最低要求）</w:t>
      </w:r>
      <w:r>
        <w:rPr>
          <w:rFonts w:hint="default" w:ascii="Times New Roman" w:hAnsi="Times New Roman" w:eastAsia="黑体" w:cs="Times New Roman"/>
          <w:b w:val="0"/>
          <w:bCs/>
          <w:i w:val="0"/>
          <w:iCs w:val="0"/>
          <w:color w:val="auto"/>
          <w:sz w:val="28"/>
          <w:szCs w:val="28"/>
          <w:highlight w:val="none"/>
          <w:vertAlign w:val="superscript"/>
        </w:rPr>
        <w:footnoteReference w:id="18"/>
      </w:r>
      <w:bookmarkEnd w:id="105"/>
      <w:bookmarkEnd w:id="106"/>
      <w:bookmarkEnd w:id="107"/>
      <w:bookmarkEnd w:id="108"/>
      <w:bookmarkEnd w:id="109"/>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6"/>
        <w:gridCol w:w="1331"/>
        <w:gridCol w:w="5847"/>
      </w:tblGrid>
      <w:tr w14:paraId="025D0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1826" w:type="dxa"/>
            <w:noWrap w:val="0"/>
            <w:vAlign w:val="center"/>
          </w:tcPr>
          <w:p w14:paraId="419B1A4A">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人员</w:t>
            </w:r>
          </w:p>
        </w:tc>
        <w:tc>
          <w:tcPr>
            <w:tcW w:w="1331" w:type="dxa"/>
            <w:noWrap w:val="0"/>
            <w:vAlign w:val="center"/>
          </w:tcPr>
          <w:p w14:paraId="0748ED2B">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数量</w:t>
            </w:r>
          </w:p>
        </w:tc>
        <w:tc>
          <w:tcPr>
            <w:tcW w:w="5847" w:type="dxa"/>
            <w:noWrap w:val="0"/>
            <w:vAlign w:val="center"/>
          </w:tcPr>
          <w:p w14:paraId="71CCD8A7">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资格要求</w:t>
            </w:r>
          </w:p>
        </w:tc>
      </w:tr>
      <w:tr w14:paraId="09486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826" w:type="dxa"/>
            <w:noWrap w:val="0"/>
            <w:vAlign w:val="center"/>
          </w:tcPr>
          <w:p w14:paraId="70E00058">
            <w:pPr>
              <w:pageBreakBefore w:val="0"/>
              <w:kinsoku/>
              <w:wordWrap w:val="0"/>
              <w:bidi w:val="0"/>
              <w:spacing w:line="400" w:lineRule="atLeast"/>
              <w:jc w:val="center"/>
              <w:rPr>
                <w:rFonts w:hint="eastAsia"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w:t>
            </w:r>
          </w:p>
        </w:tc>
        <w:tc>
          <w:tcPr>
            <w:tcW w:w="1331" w:type="dxa"/>
            <w:noWrap w:val="0"/>
            <w:vAlign w:val="center"/>
          </w:tcPr>
          <w:p w14:paraId="55CA95F2">
            <w:pPr>
              <w:pageBreakBefore w:val="0"/>
              <w:kinsoku/>
              <w:wordWrap w:val="0"/>
              <w:bidi w:val="0"/>
              <w:adjustRightInd w:val="0"/>
              <w:snapToGrid w:val="0"/>
              <w:spacing w:line="400" w:lineRule="atLeast"/>
              <w:jc w:val="center"/>
              <w:rPr>
                <w:rFonts w:hint="eastAsia"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w:t>
            </w:r>
          </w:p>
        </w:tc>
        <w:tc>
          <w:tcPr>
            <w:tcW w:w="5847" w:type="dxa"/>
            <w:noWrap w:val="0"/>
            <w:vAlign w:val="center"/>
          </w:tcPr>
          <w:p w14:paraId="054345CC">
            <w:pPr>
              <w:pageBreakBefore w:val="0"/>
              <w:kinsoku/>
              <w:wordWrap w:val="0"/>
              <w:bidi w:val="0"/>
              <w:spacing w:line="400" w:lineRule="atLeast"/>
              <w:jc w:val="center"/>
              <w:rPr>
                <w:rFonts w:hint="eastAsia"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w:t>
            </w:r>
          </w:p>
        </w:tc>
      </w:tr>
      <w:tr w14:paraId="6E85A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826" w:type="dxa"/>
            <w:noWrap w:val="0"/>
            <w:vAlign w:val="center"/>
          </w:tcPr>
          <w:p w14:paraId="3F9F0E6C">
            <w:pPr>
              <w:pageBreakBefore w:val="0"/>
              <w:kinsoku/>
              <w:wordWrap w:val="0"/>
              <w:bidi w:val="0"/>
              <w:spacing w:line="400" w:lineRule="atLeast"/>
              <w:jc w:val="center"/>
              <w:rPr>
                <w:rFonts w:hint="default" w:ascii="Times New Roman" w:hAnsi="Times New Roman" w:cs="Times New Roman"/>
                <w:color w:val="auto"/>
                <w:sz w:val="24"/>
                <w:highlight w:val="none"/>
              </w:rPr>
            </w:pPr>
          </w:p>
        </w:tc>
        <w:tc>
          <w:tcPr>
            <w:tcW w:w="1331" w:type="dxa"/>
            <w:noWrap w:val="0"/>
            <w:vAlign w:val="center"/>
          </w:tcPr>
          <w:p w14:paraId="070060E3">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5847" w:type="dxa"/>
            <w:noWrap w:val="0"/>
            <w:vAlign w:val="center"/>
          </w:tcPr>
          <w:p w14:paraId="6580F046">
            <w:pPr>
              <w:pageBreakBefore w:val="0"/>
              <w:kinsoku/>
              <w:wordWrap w:val="0"/>
              <w:bidi w:val="0"/>
              <w:spacing w:line="400" w:lineRule="atLeast"/>
              <w:rPr>
                <w:rFonts w:hint="default" w:ascii="Times New Roman" w:hAnsi="Times New Roman" w:cs="Times New Roman"/>
                <w:color w:val="auto"/>
                <w:sz w:val="24"/>
                <w:highlight w:val="none"/>
              </w:rPr>
            </w:pPr>
          </w:p>
        </w:tc>
      </w:tr>
      <w:tr w14:paraId="469AC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826" w:type="dxa"/>
            <w:noWrap w:val="0"/>
            <w:vAlign w:val="center"/>
          </w:tcPr>
          <w:p w14:paraId="7BE5848B">
            <w:pPr>
              <w:pageBreakBefore w:val="0"/>
              <w:kinsoku/>
              <w:wordWrap w:val="0"/>
              <w:bidi w:val="0"/>
              <w:spacing w:line="400" w:lineRule="atLeast"/>
              <w:jc w:val="center"/>
              <w:rPr>
                <w:rFonts w:hint="default" w:ascii="Times New Roman" w:hAnsi="Times New Roman" w:cs="Times New Roman"/>
                <w:color w:val="auto"/>
                <w:sz w:val="24"/>
                <w:highlight w:val="none"/>
              </w:rPr>
            </w:pPr>
          </w:p>
        </w:tc>
        <w:tc>
          <w:tcPr>
            <w:tcW w:w="1331" w:type="dxa"/>
            <w:noWrap w:val="0"/>
            <w:vAlign w:val="center"/>
          </w:tcPr>
          <w:p w14:paraId="44E797BF">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5847" w:type="dxa"/>
            <w:noWrap w:val="0"/>
            <w:vAlign w:val="center"/>
          </w:tcPr>
          <w:p w14:paraId="3405F47E">
            <w:pPr>
              <w:pageBreakBefore w:val="0"/>
              <w:kinsoku/>
              <w:wordWrap w:val="0"/>
              <w:bidi w:val="0"/>
              <w:spacing w:line="400" w:lineRule="atLeast"/>
              <w:rPr>
                <w:rFonts w:hint="default" w:ascii="Times New Roman" w:hAnsi="Times New Roman" w:cs="Times New Roman"/>
                <w:color w:val="auto"/>
                <w:sz w:val="24"/>
                <w:highlight w:val="none"/>
              </w:rPr>
            </w:pPr>
          </w:p>
        </w:tc>
      </w:tr>
      <w:tr w14:paraId="64116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826" w:type="dxa"/>
            <w:tcBorders>
              <w:top w:val="single" w:color="auto" w:sz="4" w:space="0"/>
              <w:left w:val="single" w:color="auto" w:sz="4" w:space="0"/>
              <w:bottom w:val="single" w:color="auto" w:sz="4" w:space="0"/>
              <w:right w:val="single" w:color="auto" w:sz="4" w:space="0"/>
            </w:tcBorders>
            <w:noWrap w:val="0"/>
            <w:vAlign w:val="center"/>
          </w:tcPr>
          <w:p w14:paraId="05489104">
            <w:pPr>
              <w:pageBreakBefore w:val="0"/>
              <w:kinsoku/>
              <w:wordWrap w:val="0"/>
              <w:bidi w:val="0"/>
              <w:spacing w:line="400" w:lineRule="atLeast"/>
              <w:jc w:val="center"/>
              <w:rPr>
                <w:rFonts w:hint="default" w:ascii="Times New Roman" w:hAnsi="Times New Roman" w:cs="Times New Roman"/>
                <w:color w:val="auto"/>
                <w:sz w:val="24"/>
                <w:highlight w:val="none"/>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37C899F1">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5847" w:type="dxa"/>
            <w:tcBorders>
              <w:top w:val="single" w:color="auto" w:sz="4" w:space="0"/>
              <w:left w:val="single" w:color="auto" w:sz="4" w:space="0"/>
              <w:bottom w:val="single" w:color="auto" w:sz="4" w:space="0"/>
              <w:right w:val="single" w:color="auto" w:sz="4" w:space="0"/>
            </w:tcBorders>
            <w:noWrap w:val="0"/>
            <w:vAlign w:val="center"/>
          </w:tcPr>
          <w:p w14:paraId="52A8683F">
            <w:pPr>
              <w:pageBreakBefore w:val="0"/>
              <w:kinsoku/>
              <w:wordWrap w:val="0"/>
              <w:bidi w:val="0"/>
              <w:spacing w:line="400" w:lineRule="atLeast"/>
              <w:rPr>
                <w:rFonts w:hint="default" w:ascii="Times New Roman" w:hAnsi="Times New Roman" w:cs="Times New Roman"/>
                <w:color w:val="auto"/>
                <w:sz w:val="24"/>
                <w:highlight w:val="none"/>
              </w:rPr>
            </w:pPr>
          </w:p>
        </w:tc>
      </w:tr>
      <w:tr w14:paraId="52269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826" w:type="dxa"/>
            <w:tcBorders>
              <w:top w:val="single" w:color="auto" w:sz="4" w:space="0"/>
              <w:left w:val="single" w:color="auto" w:sz="4" w:space="0"/>
              <w:bottom w:val="single" w:color="auto" w:sz="4" w:space="0"/>
              <w:right w:val="single" w:color="auto" w:sz="4" w:space="0"/>
            </w:tcBorders>
            <w:noWrap w:val="0"/>
            <w:vAlign w:val="center"/>
          </w:tcPr>
          <w:p w14:paraId="44DF93B1">
            <w:pPr>
              <w:pageBreakBefore w:val="0"/>
              <w:kinsoku/>
              <w:wordWrap w:val="0"/>
              <w:bidi w:val="0"/>
              <w:spacing w:line="400" w:lineRule="atLeast"/>
              <w:jc w:val="center"/>
              <w:rPr>
                <w:rFonts w:hint="default" w:ascii="Times New Roman" w:hAnsi="Times New Roman" w:cs="Times New Roman"/>
                <w:color w:val="auto"/>
                <w:sz w:val="24"/>
                <w:highlight w:val="none"/>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36CFE3FB">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5847" w:type="dxa"/>
            <w:tcBorders>
              <w:top w:val="single" w:color="auto" w:sz="4" w:space="0"/>
              <w:left w:val="single" w:color="auto" w:sz="4" w:space="0"/>
              <w:bottom w:val="single" w:color="auto" w:sz="4" w:space="0"/>
              <w:right w:val="single" w:color="auto" w:sz="4" w:space="0"/>
            </w:tcBorders>
            <w:noWrap w:val="0"/>
            <w:vAlign w:val="center"/>
          </w:tcPr>
          <w:p w14:paraId="3C2606E6">
            <w:pPr>
              <w:pageBreakBefore w:val="0"/>
              <w:kinsoku/>
              <w:wordWrap w:val="0"/>
              <w:bidi w:val="0"/>
              <w:spacing w:line="400" w:lineRule="atLeast"/>
              <w:rPr>
                <w:rFonts w:hint="default" w:ascii="Times New Roman" w:hAnsi="Times New Roman" w:cs="Times New Roman"/>
                <w:color w:val="auto"/>
                <w:sz w:val="24"/>
                <w:highlight w:val="none"/>
              </w:rPr>
            </w:pPr>
          </w:p>
        </w:tc>
      </w:tr>
      <w:tr w14:paraId="75AF4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826" w:type="dxa"/>
            <w:tcBorders>
              <w:top w:val="single" w:color="auto" w:sz="4" w:space="0"/>
              <w:left w:val="single" w:color="auto" w:sz="4" w:space="0"/>
              <w:bottom w:val="single" w:color="auto" w:sz="4" w:space="0"/>
              <w:right w:val="single" w:color="auto" w:sz="4" w:space="0"/>
            </w:tcBorders>
            <w:noWrap w:val="0"/>
            <w:vAlign w:val="center"/>
          </w:tcPr>
          <w:p w14:paraId="36BF237B">
            <w:pPr>
              <w:pageBreakBefore w:val="0"/>
              <w:kinsoku/>
              <w:wordWrap w:val="0"/>
              <w:bidi w:val="0"/>
              <w:spacing w:line="400" w:lineRule="atLeast"/>
              <w:jc w:val="center"/>
              <w:rPr>
                <w:rFonts w:hint="default" w:ascii="Times New Roman" w:hAnsi="Times New Roman" w:cs="Times New Roman"/>
                <w:color w:val="auto"/>
                <w:sz w:val="24"/>
                <w:highlight w:val="none"/>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353F4084">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5847" w:type="dxa"/>
            <w:tcBorders>
              <w:top w:val="single" w:color="auto" w:sz="4" w:space="0"/>
              <w:left w:val="single" w:color="auto" w:sz="4" w:space="0"/>
              <w:bottom w:val="single" w:color="auto" w:sz="4" w:space="0"/>
              <w:right w:val="single" w:color="auto" w:sz="4" w:space="0"/>
            </w:tcBorders>
            <w:noWrap w:val="0"/>
            <w:vAlign w:val="center"/>
          </w:tcPr>
          <w:p w14:paraId="6DB74A6F">
            <w:pPr>
              <w:pageBreakBefore w:val="0"/>
              <w:kinsoku/>
              <w:wordWrap w:val="0"/>
              <w:bidi w:val="0"/>
              <w:spacing w:line="400" w:lineRule="atLeast"/>
              <w:rPr>
                <w:rFonts w:hint="default" w:ascii="Times New Roman" w:hAnsi="Times New Roman" w:cs="Times New Roman"/>
                <w:color w:val="auto"/>
                <w:sz w:val="24"/>
                <w:highlight w:val="none"/>
              </w:rPr>
            </w:pPr>
          </w:p>
        </w:tc>
      </w:tr>
      <w:tr w14:paraId="720C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826" w:type="dxa"/>
            <w:tcBorders>
              <w:top w:val="single" w:color="auto" w:sz="4" w:space="0"/>
              <w:left w:val="single" w:color="auto" w:sz="4" w:space="0"/>
              <w:bottom w:val="single" w:color="auto" w:sz="4" w:space="0"/>
              <w:right w:val="single" w:color="auto" w:sz="4" w:space="0"/>
            </w:tcBorders>
            <w:noWrap w:val="0"/>
            <w:vAlign w:val="center"/>
          </w:tcPr>
          <w:p w14:paraId="4D112895">
            <w:pPr>
              <w:pageBreakBefore w:val="0"/>
              <w:kinsoku/>
              <w:wordWrap w:val="0"/>
              <w:bidi w:val="0"/>
              <w:spacing w:line="400" w:lineRule="atLeast"/>
              <w:jc w:val="center"/>
              <w:rPr>
                <w:rFonts w:hint="default" w:ascii="Times New Roman" w:hAnsi="Times New Roman" w:cs="Times New Roman"/>
                <w:color w:val="auto"/>
                <w:sz w:val="24"/>
                <w:highlight w:val="none"/>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09B7C26B">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5847" w:type="dxa"/>
            <w:tcBorders>
              <w:top w:val="single" w:color="auto" w:sz="4" w:space="0"/>
              <w:left w:val="single" w:color="auto" w:sz="4" w:space="0"/>
              <w:bottom w:val="single" w:color="auto" w:sz="4" w:space="0"/>
              <w:right w:val="single" w:color="auto" w:sz="4" w:space="0"/>
            </w:tcBorders>
            <w:noWrap w:val="0"/>
            <w:vAlign w:val="center"/>
          </w:tcPr>
          <w:p w14:paraId="33770FD6">
            <w:pPr>
              <w:pageBreakBefore w:val="0"/>
              <w:kinsoku/>
              <w:wordWrap w:val="0"/>
              <w:bidi w:val="0"/>
              <w:spacing w:line="400" w:lineRule="atLeast"/>
              <w:rPr>
                <w:rFonts w:hint="default" w:ascii="Times New Roman" w:hAnsi="Times New Roman" w:cs="Times New Roman"/>
                <w:color w:val="auto"/>
                <w:sz w:val="24"/>
                <w:highlight w:val="none"/>
              </w:rPr>
            </w:pPr>
          </w:p>
        </w:tc>
      </w:tr>
      <w:tr w14:paraId="272C6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826" w:type="dxa"/>
            <w:tcBorders>
              <w:top w:val="single" w:color="auto" w:sz="4" w:space="0"/>
              <w:left w:val="single" w:color="auto" w:sz="4" w:space="0"/>
              <w:bottom w:val="single" w:color="auto" w:sz="4" w:space="0"/>
              <w:right w:val="single" w:color="auto" w:sz="4" w:space="0"/>
            </w:tcBorders>
            <w:noWrap w:val="0"/>
            <w:vAlign w:val="center"/>
          </w:tcPr>
          <w:p w14:paraId="4503C3B2">
            <w:pPr>
              <w:pageBreakBefore w:val="0"/>
              <w:kinsoku/>
              <w:wordWrap w:val="0"/>
              <w:bidi w:val="0"/>
              <w:spacing w:line="400" w:lineRule="atLeast"/>
              <w:jc w:val="center"/>
              <w:rPr>
                <w:rFonts w:hint="default" w:ascii="Times New Roman" w:hAnsi="Times New Roman" w:cs="Times New Roman"/>
                <w:color w:val="auto"/>
                <w:sz w:val="24"/>
                <w:highlight w:val="none"/>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6BDF40A5">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5847" w:type="dxa"/>
            <w:tcBorders>
              <w:top w:val="single" w:color="auto" w:sz="4" w:space="0"/>
              <w:left w:val="single" w:color="auto" w:sz="4" w:space="0"/>
              <w:bottom w:val="single" w:color="auto" w:sz="4" w:space="0"/>
              <w:right w:val="single" w:color="auto" w:sz="4" w:space="0"/>
            </w:tcBorders>
            <w:noWrap w:val="0"/>
            <w:vAlign w:val="center"/>
          </w:tcPr>
          <w:p w14:paraId="34034B57">
            <w:pPr>
              <w:pageBreakBefore w:val="0"/>
              <w:kinsoku/>
              <w:wordWrap w:val="0"/>
              <w:bidi w:val="0"/>
              <w:spacing w:line="400" w:lineRule="atLeast"/>
              <w:rPr>
                <w:rFonts w:hint="default" w:ascii="Times New Roman" w:hAnsi="Times New Roman" w:cs="Times New Roman"/>
                <w:color w:val="auto"/>
                <w:sz w:val="24"/>
                <w:highlight w:val="none"/>
              </w:rPr>
            </w:pPr>
          </w:p>
        </w:tc>
      </w:tr>
      <w:tr w14:paraId="469D7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826" w:type="dxa"/>
            <w:tcBorders>
              <w:top w:val="single" w:color="auto" w:sz="4" w:space="0"/>
              <w:left w:val="single" w:color="auto" w:sz="4" w:space="0"/>
              <w:bottom w:val="single" w:color="auto" w:sz="4" w:space="0"/>
              <w:right w:val="single" w:color="auto" w:sz="4" w:space="0"/>
            </w:tcBorders>
            <w:noWrap w:val="0"/>
            <w:vAlign w:val="center"/>
          </w:tcPr>
          <w:p w14:paraId="58B9DD23">
            <w:pPr>
              <w:pageBreakBefore w:val="0"/>
              <w:kinsoku/>
              <w:wordWrap w:val="0"/>
              <w:bidi w:val="0"/>
              <w:spacing w:line="400" w:lineRule="atLeast"/>
              <w:jc w:val="center"/>
              <w:rPr>
                <w:rFonts w:hint="default" w:ascii="Times New Roman" w:hAnsi="Times New Roman" w:cs="Times New Roman"/>
                <w:color w:val="auto"/>
                <w:sz w:val="24"/>
                <w:highlight w:val="none"/>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0A3E9384">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5847" w:type="dxa"/>
            <w:tcBorders>
              <w:top w:val="single" w:color="auto" w:sz="4" w:space="0"/>
              <w:left w:val="single" w:color="auto" w:sz="4" w:space="0"/>
              <w:bottom w:val="single" w:color="auto" w:sz="4" w:space="0"/>
              <w:right w:val="single" w:color="auto" w:sz="4" w:space="0"/>
            </w:tcBorders>
            <w:noWrap w:val="0"/>
            <w:vAlign w:val="center"/>
          </w:tcPr>
          <w:p w14:paraId="4EDD1D00">
            <w:pPr>
              <w:pageBreakBefore w:val="0"/>
              <w:kinsoku/>
              <w:wordWrap w:val="0"/>
              <w:bidi w:val="0"/>
              <w:spacing w:line="400" w:lineRule="atLeast"/>
              <w:rPr>
                <w:rFonts w:hint="default" w:ascii="Times New Roman" w:hAnsi="Times New Roman" w:cs="Times New Roman"/>
                <w:color w:val="auto"/>
                <w:sz w:val="24"/>
                <w:highlight w:val="none"/>
              </w:rPr>
            </w:pPr>
          </w:p>
        </w:tc>
      </w:tr>
      <w:tr w14:paraId="3D789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826" w:type="dxa"/>
            <w:tcBorders>
              <w:top w:val="single" w:color="auto" w:sz="4" w:space="0"/>
              <w:left w:val="single" w:color="auto" w:sz="4" w:space="0"/>
              <w:bottom w:val="single" w:color="auto" w:sz="4" w:space="0"/>
              <w:right w:val="single" w:color="auto" w:sz="4" w:space="0"/>
            </w:tcBorders>
            <w:noWrap w:val="0"/>
            <w:vAlign w:val="center"/>
          </w:tcPr>
          <w:p w14:paraId="2CF012D0">
            <w:pPr>
              <w:pageBreakBefore w:val="0"/>
              <w:kinsoku/>
              <w:wordWrap w:val="0"/>
              <w:bidi w:val="0"/>
              <w:spacing w:line="400" w:lineRule="atLeast"/>
              <w:jc w:val="center"/>
              <w:rPr>
                <w:rFonts w:hint="default" w:ascii="Times New Roman" w:hAnsi="Times New Roman" w:cs="Times New Roman"/>
                <w:color w:val="auto"/>
                <w:sz w:val="24"/>
                <w:highlight w:val="none"/>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7EE565A9">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5847" w:type="dxa"/>
            <w:tcBorders>
              <w:top w:val="single" w:color="auto" w:sz="4" w:space="0"/>
              <w:left w:val="single" w:color="auto" w:sz="4" w:space="0"/>
              <w:bottom w:val="single" w:color="auto" w:sz="4" w:space="0"/>
              <w:right w:val="single" w:color="auto" w:sz="4" w:space="0"/>
            </w:tcBorders>
            <w:noWrap w:val="0"/>
            <w:vAlign w:val="center"/>
          </w:tcPr>
          <w:p w14:paraId="484FC905">
            <w:pPr>
              <w:pageBreakBefore w:val="0"/>
              <w:kinsoku/>
              <w:wordWrap w:val="0"/>
              <w:bidi w:val="0"/>
              <w:spacing w:line="400" w:lineRule="atLeast"/>
              <w:rPr>
                <w:rFonts w:hint="default" w:ascii="Times New Roman" w:hAnsi="Times New Roman" w:cs="Times New Roman"/>
                <w:color w:val="auto"/>
                <w:sz w:val="24"/>
                <w:highlight w:val="none"/>
              </w:rPr>
            </w:pPr>
          </w:p>
        </w:tc>
      </w:tr>
      <w:tr w14:paraId="466DF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826" w:type="dxa"/>
            <w:tcBorders>
              <w:top w:val="single" w:color="auto" w:sz="4" w:space="0"/>
              <w:left w:val="single" w:color="auto" w:sz="4" w:space="0"/>
              <w:bottom w:val="single" w:color="auto" w:sz="4" w:space="0"/>
              <w:right w:val="single" w:color="auto" w:sz="4" w:space="0"/>
            </w:tcBorders>
            <w:noWrap w:val="0"/>
            <w:vAlign w:val="center"/>
          </w:tcPr>
          <w:p w14:paraId="5BE28FB3">
            <w:pPr>
              <w:pageBreakBefore w:val="0"/>
              <w:kinsoku/>
              <w:wordWrap w:val="0"/>
              <w:bidi w:val="0"/>
              <w:spacing w:line="400" w:lineRule="atLeast"/>
              <w:jc w:val="center"/>
              <w:rPr>
                <w:rFonts w:hint="default" w:ascii="Times New Roman" w:hAnsi="Times New Roman" w:cs="Times New Roman"/>
                <w:color w:val="auto"/>
                <w:sz w:val="24"/>
                <w:highlight w:val="none"/>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4826FB10">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5847" w:type="dxa"/>
            <w:tcBorders>
              <w:top w:val="single" w:color="auto" w:sz="4" w:space="0"/>
              <w:left w:val="single" w:color="auto" w:sz="4" w:space="0"/>
              <w:bottom w:val="single" w:color="auto" w:sz="4" w:space="0"/>
              <w:right w:val="single" w:color="auto" w:sz="4" w:space="0"/>
            </w:tcBorders>
            <w:noWrap w:val="0"/>
            <w:vAlign w:val="center"/>
          </w:tcPr>
          <w:p w14:paraId="2397442F">
            <w:pPr>
              <w:pageBreakBefore w:val="0"/>
              <w:kinsoku/>
              <w:wordWrap w:val="0"/>
              <w:bidi w:val="0"/>
              <w:spacing w:line="400" w:lineRule="atLeast"/>
              <w:rPr>
                <w:rFonts w:hint="default" w:ascii="Times New Roman" w:hAnsi="Times New Roman" w:cs="Times New Roman"/>
                <w:color w:val="auto"/>
                <w:sz w:val="24"/>
                <w:highlight w:val="none"/>
              </w:rPr>
            </w:pPr>
          </w:p>
        </w:tc>
      </w:tr>
      <w:tr w14:paraId="08689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826" w:type="dxa"/>
            <w:tcBorders>
              <w:top w:val="single" w:color="auto" w:sz="4" w:space="0"/>
              <w:left w:val="single" w:color="auto" w:sz="4" w:space="0"/>
              <w:bottom w:val="single" w:color="auto" w:sz="4" w:space="0"/>
              <w:right w:val="single" w:color="auto" w:sz="4" w:space="0"/>
            </w:tcBorders>
            <w:noWrap w:val="0"/>
            <w:vAlign w:val="center"/>
          </w:tcPr>
          <w:p w14:paraId="204554B9">
            <w:pPr>
              <w:pageBreakBefore w:val="0"/>
              <w:kinsoku/>
              <w:wordWrap w:val="0"/>
              <w:bidi w:val="0"/>
              <w:spacing w:line="400" w:lineRule="atLeast"/>
              <w:jc w:val="center"/>
              <w:rPr>
                <w:rFonts w:hint="default" w:ascii="Times New Roman" w:hAnsi="Times New Roman" w:cs="Times New Roman"/>
                <w:color w:val="auto"/>
                <w:sz w:val="24"/>
                <w:highlight w:val="none"/>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5B1586F0">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5847" w:type="dxa"/>
            <w:tcBorders>
              <w:top w:val="single" w:color="auto" w:sz="4" w:space="0"/>
              <w:left w:val="single" w:color="auto" w:sz="4" w:space="0"/>
              <w:bottom w:val="single" w:color="auto" w:sz="4" w:space="0"/>
              <w:right w:val="single" w:color="auto" w:sz="4" w:space="0"/>
            </w:tcBorders>
            <w:noWrap w:val="0"/>
            <w:vAlign w:val="center"/>
          </w:tcPr>
          <w:p w14:paraId="61B7896B">
            <w:pPr>
              <w:pageBreakBefore w:val="0"/>
              <w:kinsoku/>
              <w:wordWrap w:val="0"/>
              <w:bidi w:val="0"/>
              <w:spacing w:line="400" w:lineRule="atLeast"/>
              <w:rPr>
                <w:rFonts w:hint="default" w:ascii="Times New Roman" w:hAnsi="Times New Roman" w:cs="Times New Roman"/>
                <w:color w:val="auto"/>
                <w:sz w:val="24"/>
                <w:highlight w:val="none"/>
              </w:rPr>
            </w:pPr>
          </w:p>
        </w:tc>
      </w:tr>
      <w:tr w14:paraId="0062D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826" w:type="dxa"/>
            <w:tcBorders>
              <w:top w:val="single" w:color="auto" w:sz="4" w:space="0"/>
              <w:left w:val="single" w:color="auto" w:sz="4" w:space="0"/>
              <w:bottom w:val="single" w:color="auto" w:sz="4" w:space="0"/>
              <w:right w:val="single" w:color="auto" w:sz="4" w:space="0"/>
            </w:tcBorders>
            <w:noWrap w:val="0"/>
            <w:vAlign w:val="center"/>
          </w:tcPr>
          <w:p w14:paraId="3CD2B748">
            <w:pPr>
              <w:pageBreakBefore w:val="0"/>
              <w:kinsoku/>
              <w:wordWrap w:val="0"/>
              <w:bidi w:val="0"/>
              <w:spacing w:line="400" w:lineRule="atLeast"/>
              <w:jc w:val="center"/>
              <w:rPr>
                <w:rFonts w:hint="default" w:ascii="Times New Roman" w:hAnsi="Times New Roman" w:cs="Times New Roman"/>
                <w:color w:val="auto"/>
                <w:sz w:val="24"/>
                <w:highlight w:val="none"/>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5ABDC224">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5847" w:type="dxa"/>
            <w:tcBorders>
              <w:top w:val="single" w:color="auto" w:sz="4" w:space="0"/>
              <w:left w:val="single" w:color="auto" w:sz="4" w:space="0"/>
              <w:bottom w:val="single" w:color="auto" w:sz="4" w:space="0"/>
              <w:right w:val="single" w:color="auto" w:sz="4" w:space="0"/>
            </w:tcBorders>
            <w:noWrap w:val="0"/>
            <w:vAlign w:val="center"/>
          </w:tcPr>
          <w:p w14:paraId="487905E8">
            <w:pPr>
              <w:pageBreakBefore w:val="0"/>
              <w:kinsoku/>
              <w:wordWrap w:val="0"/>
              <w:bidi w:val="0"/>
              <w:spacing w:line="400" w:lineRule="atLeast"/>
              <w:rPr>
                <w:rFonts w:hint="default" w:ascii="Times New Roman" w:hAnsi="Times New Roman" w:cs="Times New Roman"/>
                <w:color w:val="auto"/>
                <w:sz w:val="24"/>
                <w:highlight w:val="none"/>
              </w:rPr>
            </w:pPr>
          </w:p>
        </w:tc>
      </w:tr>
      <w:tr w14:paraId="26660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8" w:hRule="atLeast"/>
          <w:jc w:val="center"/>
        </w:trPr>
        <w:tc>
          <w:tcPr>
            <w:tcW w:w="9004" w:type="dxa"/>
            <w:gridSpan w:val="3"/>
            <w:tcBorders>
              <w:top w:val="single" w:color="auto" w:sz="4" w:space="0"/>
              <w:left w:val="single" w:color="auto" w:sz="4" w:space="0"/>
              <w:bottom w:val="single" w:color="auto" w:sz="4" w:space="0"/>
              <w:right w:val="single" w:color="auto" w:sz="4" w:space="0"/>
            </w:tcBorders>
            <w:noWrap w:val="0"/>
            <w:vAlign w:val="top"/>
          </w:tcPr>
          <w:p w14:paraId="0C46FE9B">
            <w:pPr>
              <w:pageBreakBefore w:val="0"/>
              <w:kinsoku/>
              <w:wordWrap w:val="0"/>
              <w:bidi w:val="0"/>
              <w:spacing w:line="400" w:lineRule="atLeast"/>
              <w:rPr>
                <w:rFonts w:hint="eastAsia" w:cs="Times New Roman"/>
                <w:color w:val="auto"/>
                <w:sz w:val="24"/>
                <w:highlight w:val="none"/>
                <w:lang w:val="en-US" w:eastAsia="zh-CN"/>
              </w:rPr>
            </w:pPr>
            <w:r>
              <w:rPr>
                <w:rFonts w:hint="eastAsia" w:cs="Times New Roman"/>
                <w:color w:val="auto"/>
                <w:sz w:val="24"/>
                <w:highlight w:val="none"/>
                <w:lang w:val="en-US" w:eastAsia="zh-CN"/>
              </w:rPr>
              <w:t>注：</w:t>
            </w:r>
          </w:p>
          <w:p w14:paraId="025E93C9">
            <w:pPr>
              <w:pageBreakBefore w:val="0"/>
              <w:kinsoku/>
              <w:wordWrap w:val="0"/>
              <w:bidi w:val="0"/>
              <w:spacing w:line="400" w:lineRule="atLeast"/>
              <w:rPr>
                <w:rFonts w:hint="eastAsia" w:cs="Times New Roman"/>
                <w:color w:val="auto"/>
                <w:sz w:val="24"/>
                <w:highlight w:val="none"/>
                <w:lang w:val="en-US" w:eastAsia="zh-CN"/>
              </w:rPr>
            </w:pPr>
          </w:p>
        </w:tc>
      </w:tr>
    </w:tbl>
    <w:p w14:paraId="59784BBB">
      <w:pPr>
        <w:pageBreakBefore w:val="0"/>
        <w:kinsoku/>
        <w:wordWrap w:val="0"/>
        <w:bidi w:val="0"/>
        <w:adjustRightInd w:val="0"/>
        <w:snapToGrid w:val="0"/>
        <w:spacing w:line="400" w:lineRule="atLeast"/>
        <w:jc w:val="center"/>
        <w:rPr>
          <w:rFonts w:hint="default" w:ascii="Times New Roman" w:hAnsi="Times New Roman" w:eastAsia="黑体" w:cs="Times New Roman"/>
          <w:color w:val="auto"/>
          <w:sz w:val="24"/>
          <w:highlight w:val="none"/>
        </w:rPr>
      </w:pPr>
    </w:p>
    <w:p w14:paraId="010F9F97">
      <w:pPr>
        <w:pStyle w:val="5"/>
        <w:pageBreakBefore w:val="0"/>
        <w:kinsoku/>
        <w:wordWrap w:val="0"/>
        <w:bidi w:val="0"/>
        <w:spacing w:before="240" w:after="240" w:line="240" w:lineRule="atLeast"/>
        <w:jc w:val="center"/>
        <w:outlineLvl w:val="2"/>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4"/>
          <w:highlight w:val="none"/>
        </w:rPr>
        <w:br w:type="page"/>
      </w:r>
      <w:bookmarkStart w:id="110" w:name="_Toc18471"/>
      <w:bookmarkStart w:id="111" w:name="_Toc1224"/>
      <w:bookmarkStart w:id="112" w:name="_Toc29351"/>
      <w:bookmarkStart w:id="113" w:name="_Toc11147"/>
      <w:bookmarkStart w:id="114" w:name="_Toc234832869"/>
      <w:r>
        <w:rPr>
          <w:rFonts w:hint="default" w:ascii="Times New Roman" w:hAnsi="Times New Roman" w:eastAsia="黑体" w:cs="Times New Roman"/>
          <w:b w:val="0"/>
          <w:bCs/>
          <w:i w:val="0"/>
          <w:iCs w:val="0"/>
          <w:color w:val="auto"/>
          <w:sz w:val="28"/>
          <w:szCs w:val="28"/>
          <w:highlight w:val="none"/>
        </w:rPr>
        <w:t>附录7资格审查条件（主要机械设备和试验检测设备最低要求）</w:t>
      </w:r>
      <w:r>
        <w:rPr>
          <w:rFonts w:hint="default" w:ascii="Times New Roman" w:hAnsi="Times New Roman" w:eastAsia="黑体" w:cs="Times New Roman"/>
          <w:b w:val="0"/>
          <w:bCs/>
          <w:i w:val="0"/>
          <w:iCs w:val="0"/>
          <w:color w:val="auto"/>
          <w:sz w:val="28"/>
          <w:szCs w:val="28"/>
          <w:highlight w:val="none"/>
          <w:vertAlign w:val="superscript"/>
        </w:rPr>
        <w:footnoteReference w:id="19"/>
      </w:r>
      <w:bookmarkEnd w:id="110"/>
      <w:bookmarkEnd w:id="111"/>
      <w:bookmarkEnd w:id="112"/>
      <w:bookmarkEnd w:id="113"/>
      <w:bookmarkEnd w:id="114"/>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4"/>
        <w:gridCol w:w="3224"/>
        <w:gridCol w:w="1197"/>
        <w:gridCol w:w="2371"/>
      </w:tblGrid>
      <w:tr w14:paraId="01817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24" w:hRule="atLeast"/>
          <w:jc w:val="center"/>
        </w:trPr>
        <w:tc>
          <w:tcPr>
            <w:tcW w:w="1904" w:type="dxa"/>
            <w:noWrap w:val="0"/>
            <w:vAlign w:val="center"/>
          </w:tcPr>
          <w:p w14:paraId="658C5B9B">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设备名称</w:t>
            </w:r>
          </w:p>
        </w:tc>
        <w:tc>
          <w:tcPr>
            <w:tcW w:w="3224" w:type="dxa"/>
            <w:noWrap w:val="0"/>
            <w:vAlign w:val="center"/>
          </w:tcPr>
          <w:p w14:paraId="384F64FD">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规格、功率及容量</w:t>
            </w:r>
          </w:p>
        </w:tc>
        <w:tc>
          <w:tcPr>
            <w:tcW w:w="1197" w:type="dxa"/>
            <w:noWrap w:val="0"/>
            <w:vAlign w:val="center"/>
          </w:tcPr>
          <w:p w14:paraId="29C05A72">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单位</w:t>
            </w:r>
          </w:p>
        </w:tc>
        <w:tc>
          <w:tcPr>
            <w:tcW w:w="2371" w:type="dxa"/>
            <w:noWrap w:val="0"/>
            <w:vAlign w:val="center"/>
          </w:tcPr>
          <w:p w14:paraId="1FA86F2E">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最低数量要求</w:t>
            </w:r>
          </w:p>
        </w:tc>
      </w:tr>
      <w:tr w14:paraId="04CB1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904" w:type="dxa"/>
            <w:noWrap w:val="0"/>
            <w:vAlign w:val="center"/>
          </w:tcPr>
          <w:p w14:paraId="2315677C">
            <w:pPr>
              <w:pageBreakBefore w:val="0"/>
              <w:kinsoku/>
              <w:wordWrap w:val="0"/>
              <w:bidi w:val="0"/>
              <w:adjustRightInd w:val="0"/>
              <w:snapToGrid w:val="0"/>
              <w:spacing w:line="400" w:lineRule="atLeast"/>
              <w:jc w:val="center"/>
              <w:rPr>
                <w:rFonts w:hint="eastAsia"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w:t>
            </w:r>
          </w:p>
        </w:tc>
        <w:tc>
          <w:tcPr>
            <w:tcW w:w="3224" w:type="dxa"/>
            <w:noWrap w:val="0"/>
            <w:vAlign w:val="center"/>
          </w:tcPr>
          <w:p w14:paraId="7EB777B1">
            <w:pPr>
              <w:pageBreakBefore w:val="0"/>
              <w:kinsoku/>
              <w:wordWrap w:val="0"/>
              <w:bidi w:val="0"/>
              <w:spacing w:line="400" w:lineRule="atLeast"/>
              <w:jc w:val="center"/>
              <w:rPr>
                <w:rFonts w:hint="eastAsia"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w:t>
            </w:r>
          </w:p>
        </w:tc>
        <w:tc>
          <w:tcPr>
            <w:tcW w:w="1197" w:type="dxa"/>
            <w:noWrap w:val="0"/>
            <w:vAlign w:val="center"/>
          </w:tcPr>
          <w:p w14:paraId="22069BE7">
            <w:pPr>
              <w:pageBreakBefore w:val="0"/>
              <w:kinsoku/>
              <w:wordWrap w:val="0"/>
              <w:bidi w:val="0"/>
              <w:adjustRightInd w:val="0"/>
              <w:snapToGrid w:val="0"/>
              <w:spacing w:line="400" w:lineRule="atLeast"/>
              <w:jc w:val="center"/>
              <w:rPr>
                <w:rFonts w:hint="eastAsia"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w:t>
            </w:r>
          </w:p>
        </w:tc>
        <w:tc>
          <w:tcPr>
            <w:tcW w:w="2371" w:type="dxa"/>
            <w:noWrap w:val="0"/>
            <w:vAlign w:val="center"/>
          </w:tcPr>
          <w:p w14:paraId="5FEE6FD6">
            <w:pPr>
              <w:pageBreakBefore w:val="0"/>
              <w:kinsoku/>
              <w:wordWrap w:val="0"/>
              <w:bidi w:val="0"/>
              <w:spacing w:line="400" w:lineRule="atLeast"/>
              <w:jc w:val="center"/>
              <w:rPr>
                <w:rFonts w:hint="eastAsia"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w:t>
            </w:r>
          </w:p>
        </w:tc>
      </w:tr>
      <w:tr w14:paraId="54054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904" w:type="dxa"/>
            <w:noWrap w:val="0"/>
            <w:vAlign w:val="center"/>
          </w:tcPr>
          <w:p w14:paraId="17B027D7">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3224" w:type="dxa"/>
            <w:noWrap w:val="0"/>
            <w:vAlign w:val="center"/>
          </w:tcPr>
          <w:p w14:paraId="2BF6172F">
            <w:pPr>
              <w:pageBreakBefore w:val="0"/>
              <w:kinsoku/>
              <w:wordWrap w:val="0"/>
              <w:bidi w:val="0"/>
              <w:spacing w:line="400" w:lineRule="atLeast"/>
              <w:rPr>
                <w:rFonts w:hint="default" w:ascii="Times New Roman" w:hAnsi="Times New Roman" w:cs="Times New Roman"/>
                <w:color w:val="auto"/>
                <w:sz w:val="24"/>
                <w:highlight w:val="none"/>
              </w:rPr>
            </w:pPr>
          </w:p>
        </w:tc>
        <w:tc>
          <w:tcPr>
            <w:tcW w:w="1197" w:type="dxa"/>
            <w:noWrap w:val="0"/>
            <w:vAlign w:val="center"/>
          </w:tcPr>
          <w:p w14:paraId="02D81D1C">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2371" w:type="dxa"/>
            <w:noWrap w:val="0"/>
            <w:vAlign w:val="center"/>
          </w:tcPr>
          <w:p w14:paraId="3FA7F101">
            <w:pPr>
              <w:pageBreakBefore w:val="0"/>
              <w:kinsoku/>
              <w:wordWrap w:val="0"/>
              <w:bidi w:val="0"/>
              <w:spacing w:line="400" w:lineRule="atLeast"/>
              <w:rPr>
                <w:rFonts w:hint="default" w:ascii="Times New Roman" w:hAnsi="Times New Roman" w:cs="Times New Roman"/>
                <w:color w:val="auto"/>
                <w:sz w:val="24"/>
                <w:highlight w:val="none"/>
              </w:rPr>
            </w:pPr>
          </w:p>
        </w:tc>
      </w:tr>
      <w:tr w14:paraId="4D453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24" w:hRule="atLeast"/>
          <w:jc w:val="center"/>
        </w:trPr>
        <w:tc>
          <w:tcPr>
            <w:tcW w:w="1904" w:type="dxa"/>
            <w:noWrap w:val="0"/>
            <w:vAlign w:val="center"/>
          </w:tcPr>
          <w:p w14:paraId="22DD2397">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3224" w:type="dxa"/>
            <w:noWrap w:val="0"/>
            <w:vAlign w:val="center"/>
          </w:tcPr>
          <w:p w14:paraId="4AC76D62">
            <w:pPr>
              <w:pageBreakBefore w:val="0"/>
              <w:kinsoku/>
              <w:wordWrap w:val="0"/>
              <w:bidi w:val="0"/>
              <w:spacing w:line="400" w:lineRule="atLeast"/>
              <w:rPr>
                <w:rFonts w:hint="default" w:ascii="Times New Roman" w:hAnsi="Times New Roman" w:cs="Times New Roman"/>
                <w:color w:val="auto"/>
                <w:sz w:val="24"/>
                <w:highlight w:val="none"/>
              </w:rPr>
            </w:pPr>
          </w:p>
        </w:tc>
        <w:tc>
          <w:tcPr>
            <w:tcW w:w="1197" w:type="dxa"/>
            <w:noWrap w:val="0"/>
            <w:vAlign w:val="center"/>
          </w:tcPr>
          <w:p w14:paraId="31B3D9D2">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2371" w:type="dxa"/>
            <w:noWrap w:val="0"/>
            <w:vAlign w:val="center"/>
          </w:tcPr>
          <w:p w14:paraId="4579AF50">
            <w:pPr>
              <w:pageBreakBefore w:val="0"/>
              <w:kinsoku/>
              <w:wordWrap w:val="0"/>
              <w:bidi w:val="0"/>
              <w:spacing w:line="400" w:lineRule="atLeast"/>
              <w:rPr>
                <w:rFonts w:hint="default" w:ascii="Times New Roman" w:hAnsi="Times New Roman" w:cs="Times New Roman"/>
                <w:color w:val="auto"/>
                <w:sz w:val="24"/>
                <w:highlight w:val="none"/>
              </w:rPr>
            </w:pPr>
          </w:p>
        </w:tc>
      </w:tr>
      <w:tr w14:paraId="0A1D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24" w:hRule="atLeast"/>
          <w:jc w:val="center"/>
        </w:trPr>
        <w:tc>
          <w:tcPr>
            <w:tcW w:w="1904" w:type="dxa"/>
            <w:noWrap w:val="0"/>
            <w:vAlign w:val="center"/>
          </w:tcPr>
          <w:p w14:paraId="173AC1F9">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3224" w:type="dxa"/>
            <w:noWrap w:val="0"/>
            <w:vAlign w:val="center"/>
          </w:tcPr>
          <w:p w14:paraId="0773061B">
            <w:pPr>
              <w:pageBreakBefore w:val="0"/>
              <w:kinsoku/>
              <w:wordWrap w:val="0"/>
              <w:bidi w:val="0"/>
              <w:spacing w:line="400" w:lineRule="atLeast"/>
              <w:rPr>
                <w:rFonts w:hint="default" w:ascii="Times New Roman" w:hAnsi="Times New Roman" w:cs="Times New Roman"/>
                <w:color w:val="auto"/>
                <w:sz w:val="24"/>
                <w:highlight w:val="none"/>
              </w:rPr>
            </w:pPr>
          </w:p>
        </w:tc>
        <w:tc>
          <w:tcPr>
            <w:tcW w:w="1197" w:type="dxa"/>
            <w:noWrap w:val="0"/>
            <w:vAlign w:val="center"/>
          </w:tcPr>
          <w:p w14:paraId="51E36C02">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2371" w:type="dxa"/>
            <w:noWrap w:val="0"/>
            <w:vAlign w:val="center"/>
          </w:tcPr>
          <w:p w14:paraId="656B6F6B">
            <w:pPr>
              <w:pageBreakBefore w:val="0"/>
              <w:kinsoku/>
              <w:wordWrap w:val="0"/>
              <w:bidi w:val="0"/>
              <w:spacing w:line="400" w:lineRule="atLeast"/>
              <w:rPr>
                <w:rFonts w:hint="default" w:ascii="Times New Roman" w:hAnsi="Times New Roman" w:cs="Times New Roman"/>
                <w:color w:val="auto"/>
                <w:sz w:val="24"/>
                <w:highlight w:val="none"/>
              </w:rPr>
            </w:pPr>
          </w:p>
        </w:tc>
      </w:tr>
      <w:tr w14:paraId="2D336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904" w:type="dxa"/>
            <w:noWrap w:val="0"/>
            <w:vAlign w:val="center"/>
          </w:tcPr>
          <w:p w14:paraId="255DDDDC">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3224" w:type="dxa"/>
            <w:noWrap w:val="0"/>
            <w:vAlign w:val="center"/>
          </w:tcPr>
          <w:p w14:paraId="06DACE0F">
            <w:pPr>
              <w:pageBreakBefore w:val="0"/>
              <w:kinsoku/>
              <w:wordWrap w:val="0"/>
              <w:bidi w:val="0"/>
              <w:spacing w:line="400" w:lineRule="atLeast"/>
              <w:rPr>
                <w:rFonts w:hint="default" w:ascii="Times New Roman" w:hAnsi="Times New Roman" w:cs="Times New Roman"/>
                <w:color w:val="auto"/>
                <w:sz w:val="24"/>
                <w:highlight w:val="none"/>
              </w:rPr>
            </w:pPr>
          </w:p>
        </w:tc>
        <w:tc>
          <w:tcPr>
            <w:tcW w:w="1197" w:type="dxa"/>
            <w:noWrap w:val="0"/>
            <w:vAlign w:val="center"/>
          </w:tcPr>
          <w:p w14:paraId="327C2796">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2371" w:type="dxa"/>
            <w:noWrap w:val="0"/>
            <w:vAlign w:val="center"/>
          </w:tcPr>
          <w:p w14:paraId="741BC422">
            <w:pPr>
              <w:pageBreakBefore w:val="0"/>
              <w:kinsoku/>
              <w:wordWrap w:val="0"/>
              <w:bidi w:val="0"/>
              <w:spacing w:line="400" w:lineRule="atLeast"/>
              <w:rPr>
                <w:rFonts w:hint="default" w:ascii="Times New Roman" w:hAnsi="Times New Roman" w:cs="Times New Roman"/>
                <w:color w:val="auto"/>
                <w:sz w:val="24"/>
                <w:highlight w:val="none"/>
              </w:rPr>
            </w:pPr>
          </w:p>
        </w:tc>
      </w:tr>
      <w:tr w14:paraId="05665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904" w:type="dxa"/>
            <w:noWrap w:val="0"/>
            <w:vAlign w:val="center"/>
          </w:tcPr>
          <w:p w14:paraId="141A1C9B">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3224" w:type="dxa"/>
            <w:noWrap w:val="0"/>
            <w:vAlign w:val="center"/>
          </w:tcPr>
          <w:p w14:paraId="16F1F90C">
            <w:pPr>
              <w:pageBreakBefore w:val="0"/>
              <w:kinsoku/>
              <w:wordWrap w:val="0"/>
              <w:bidi w:val="0"/>
              <w:spacing w:line="400" w:lineRule="atLeast"/>
              <w:rPr>
                <w:rFonts w:hint="default" w:ascii="Times New Roman" w:hAnsi="Times New Roman" w:cs="Times New Roman"/>
                <w:color w:val="auto"/>
                <w:sz w:val="24"/>
                <w:highlight w:val="none"/>
              </w:rPr>
            </w:pPr>
          </w:p>
        </w:tc>
        <w:tc>
          <w:tcPr>
            <w:tcW w:w="1197" w:type="dxa"/>
            <w:noWrap w:val="0"/>
            <w:vAlign w:val="center"/>
          </w:tcPr>
          <w:p w14:paraId="2E3D930B">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2371" w:type="dxa"/>
            <w:noWrap w:val="0"/>
            <w:vAlign w:val="center"/>
          </w:tcPr>
          <w:p w14:paraId="711D5BCE">
            <w:pPr>
              <w:pageBreakBefore w:val="0"/>
              <w:kinsoku/>
              <w:wordWrap w:val="0"/>
              <w:bidi w:val="0"/>
              <w:spacing w:line="400" w:lineRule="atLeast"/>
              <w:rPr>
                <w:rFonts w:hint="default" w:ascii="Times New Roman" w:hAnsi="Times New Roman" w:cs="Times New Roman"/>
                <w:color w:val="auto"/>
                <w:sz w:val="24"/>
                <w:highlight w:val="none"/>
              </w:rPr>
            </w:pPr>
          </w:p>
        </w:tc>
      </w:tr>
      <w:tr w14:paraId="5B397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904" w:type="dxa"/>
            <w:noWrap w:val="0"/>
            <w:vAlign w:val="center"/>
          </w:tcPr>
          <w:p w14:paraId="3A99C274">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3224" w:type="dxa"/>
            <w:noWrap w:val="0"/>
            <w:vAlign w:val="center"/>
          </w:tcPr>
          <w:p w14:paraId="49B7802D">
            <w:pPr>
              <w:pageBreakBefore w:val="0"/>
              <w:kinsoku/>
              <w:wordWrap w:val="0"/>
              <w:bidi w:val="0"/>
              <w:spacing w:line="400" w:lineRule="atLeast"/>
              <w:rPr>
                <w:rFonts w:hint="default" w:ascii="Times New Roman" w:hAnsi="Times New Roman" w:cs="Times New Roman"/>
                <w:color w:val="auto"/>
                <w:sz w:val="24"/>
                <w:highlight w:val="none"/>
              </w:rPr>
            </w:pPr>
          </w:p>
        </w:tc>
        <w:tc>
          <w:tcPr>
            <w:tcW w:w="1197" w:type="dxa"/>
            <w:noWrap w:val="0"/>
            <w:vAlign w:val="center"/>
          </w:tcPr>
          <w:p w14:paraId="3F68869E">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2371" w:type="dxa"/>
            <w:noWrap w:val="0"/>
            <w:vAlign w:val="center"/>
          </w:tcPr>
          <w:p w14:paraId="1258E95D">
            <w:pPr>
              <w:pageBreakBefore w:val="0"/>
              <w:kinsoku/>
              <w:wordWrap w:val="0"/>
              <w:bidi w:val="0"/>
              <w:spacing w:line="400" w:lineRule="atLeast"/>
              <w:rPr>
                <w:rFonts w:hint="default" w:ascii="Times New Roman" w:hAnsi="Times New Roman" w:cs="Times New Roman"/>
                <w:color w:val="auto"/>
                <w:sz w:val="24"/>
                <w:highlight w:val="none"/>
              </w:rPr>
            </w:pPr>
          </w:p>
        </w:tc>
      </w:tr>
      <w:tr w14:paraId="61DFF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904" w:type="dxa"/>
            <w:noWrap w:val="0"/>
            <w:vAlign w:val="center"/>
          </w:tcPr>
          <w:p w14:paraId="142B866C">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3224" w:type="dxa"/>
            <w:noWrap w:val="0"/>
            <w:vAlign w:val="center"/>
          </w:tcPr>
          <w:p w14:paraId="3E638CBF">
            <w:pPr>
              <w:pageBreakBefore w:val="0"/>
              <w:kinsoku/>
              <w:wordWrap w:val="0"/>
              <w:bidi w:val="0"/>
              <w:spacing w:line="400" w:lineRule="atLeast"/>
              <w:rPr>
                <w:rFonts w:hint="default" w:ascii="Times New Roman" w:hAnsi="Times New Roman" w:cs="Times New Roman"/>
                <w:color w:val="auto"/>
                <w:sz w:val="24"/>
                <w:highlight w:val="none"/>
              </w:rPr>
            </w:pPr>
          </w:p>
        </w:tc>
        <w:tc>
          <w:tcPr>
            <w:tcW w:w="1197" w:type="dxa"/>
            <w:noWrap w:val="0"/>
            <w:vAlign w:val="center"/>
          </w:tcPr>
          <w:p w14:paraId="70A25255">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2371" w:type="dxa"/>
            <w:noWrap w:val="0"/>
            <w:vAlign w:val="center"/>
          </w:tcPr>
          <w:p w14:paraId="4100B1EC">
            <w:pPr>
              <w:pageBreakBefore w:val="0"/>
              <w:kinsoku/>
              <w:wordWrap w:val="0"/>
              <w:bidi w:val="0"/>
              <w:spacing w:line="400" w:lineRule="atLeast"/>
              <w:rPr>
                <w:rFonts w:hint="default" w:ascii="Times New Roman" w:hAnsi="Times New Roman" w:cs="Times New Roman"/>
                <w:color w:val="auto"/>
                <w:sz w:val="24"/>
                <w:highlight w:val="none"/>
              </w:rPr>
            </w:pPr>
          </w:p>
        </w:tc>
      </w:tr>
      <w:tr w14:paraId="3D3C0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24" w:hRule="atLeast"/>
          <w:jc w:val="center"/>
        </w:trPr>
        <w:tc>
          <w:tcPr>
            <w:tcW w:w="1904" w:type="dxa"/>
            <w:noWrap w:val="0"/>
            <w:vAlign w:val="center"/>
          </w:tcPr>
          <w:p w14:paraId="5FC2BDD9">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3224" w:type="dxa"/>
            <w:noWrap w:val="0"/>
            <w:vAlign w:val="center"/>
          </w:tcPr>
          <w:p w14:paraId="0E4F56D5">
            <w:pPr>
              <w:pageBreakBefore w:val="0"/>
              <w:kinsoku/>
              <w:wordWrap w:val="0"/>
              <w:bidi w:val="0"/>
              <w:spacing w:line="400" w:lineRule="atLeast"/>
              <w:rPr>
                <w:rFonts w:hint="default" w:ascii="Times New Roman" w:hAnsi="Times New Roman" w:cs="Times New Roman"/>
                <w:color w:val="auto"/>
                <w:sz w:val="24"/>
                <w:highlight w:val="none"/>
              </w:rPr>
            </w:pPr>
          </w:p>
        </w:tc>
        <w:tc>
          <w:tcPr>
            <w:tcW w:w="1197" w:type="dxa"/>
            <w:noWrap w:val="0"/>
            <w:vAlign w:val="center"/>
          </w:tcPr>
          <w:p w14:paraId="3F8F982D">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2371" w:type="dxa"/>
            <w:noWrap w:val="0"/>
            <w:vAlign w:val="center"/>
          </w:tcPr>
          <w:p w14:paraId="0EDB5244">
            <w:pPr>
              <w:pageBreakBefore w:val="0"/>
              <w:kinsoku/>
              <w:wordWrap w:val="0"/>
              <w:bidi w:val="0"/>
              <w:spacing w:line="400" w:lineRule="atLeast"/>
              <w:rPr>
                <w:rFonts w:hint="default" w:ascii="Times New Roman" w:hAnsi="Times New Roman" w:cs="Times New Roman"/>
                <w:color w:val="auto"/>
                <w:sz w:val="24"/>
                <w:highlight w:val="none"/>
              </w:rPr>
            </w:pPr>
          </w:p>
        </w:tc>
      </w:tr>
      <w:tr w14:paraId="5F251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904" w:type="dxa"/>
            <w:noWrap w:val="0"/>
            <w:vAlign w:val="center"/>
          </w:tcPr>
          <w:p w14:paraId="6814F5B6">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3224" w:type="dxa"/>
            <w:noWrap w:val="0"/>
            <w:vAlign w:val="center"/>
          </w:tcPr>
          <w:p w14:paraId="798ADC4A">
            <w:pPr>
              <w:pageBreakBefore w:val="0"/>
              <w:kinsoku/>
              <w:wordWrap w:val="0"/>
              <w:bidi w:val="0"/>
              <w:spacing w:line="400" w:lineRule="atLeast"/>
              <w:rPr>
                <w:rFonts w:hint="default" w:ascii="Times New Roman" w:hAnsi="Times New Roman" w:cs="Times New Roman"/>
                <w:color w:val="auto"/>
                <w:sz w:val="24"/>
                <w:highlight w:val="none"/>
              </w:rPr>
            </w:pPr>
          </w:p>
        </w:tc>
        <w:tc>
          <w:tcPr>
            <w:tcW w:w="1197" w:type="dxa"/>
            <w:noWrap w:val="0"/>
            <w:vAlign w:val="center"/>
          </w:tcPr>
          <w:p w14:paraId="09387223">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2371" w:type="dxa"/>
            <w:noWrap w:val="0"/>
            <w:vAlign w:val="center"/>
          </w:tcPr>
          <w:p w14:paraId="53E6534B">
            <w:pPr>
              <w:pageBreakBefore w:val="0"/>
              <w:kinsoku/>
              <w:wordWrap w:val="0"/>
              <w:bidi w:val="0"/>
              <w:spacing w:line="400" w:lineRule="atLeast"/>
              <w:rPr>
                <w:rFonts w:hint="default" w:ascii="Times New Roman" w:hAnsi="Times New Roman" w:cs="Times New Roman"/>
                <w:color w:val="auto"/>
                <w:sz w:val="24"/>
                <w:highlight w:val="none"/>
              </w:rPr>
            </w:pPr>
          </w:p>
        </w:tc>
      </w:tr>
      <w:tr w14:paraId="5E861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24" w:hRule="atLeast"/>
          <w:jc w:val="center"/>
        </w:trPr>
        <w:tc>
          <w:tcPr>
            <w:tcW w:w="1904" w:type="dxa"/>
            <w:tcBorders>
              <w:top w:val="single" w:color="auto" w:sz="4" w:space="0"/>
              <w:left w:val="single" w:color="auto" w:sz="4" w:space="0"/>
              <w:bottom w:val="single" w:color="auto" w:sz="4" w:space="0"/>
              <w:right w:val="single" w:color="auto" w:sz="4" w:space="0"/>
            </w:tcBorders>
            <w:noWrap w:val="0"/>
            <w:vAlign w:val="center"/>
          </w:tcPr>
          <w:p w14:paraId="2D76926C">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3224" w:type="dxa"/>
            <w:tcBorders>
              <w:top w:val="single" w:color="auto" w:sz="4" w:space="0"/>
              <w:left w:val="single" w:color="auto" w:sz="4" w:space="0"/>
              <w:bottom w:val="single" w:color="auto" w:sz="4" w:space="0"/>
              <w:right w:val="single" w:color="auto" w:sz="4" w:space="0"/>
            </w:tcBorders>
            <w:noWrap w:val="0"/>
            <w:vAlign w:val="center"/>
          </w:tcPr>
          <w:p w14:paraId="55395D69">
            <w:pPr>
              <w:pageBreakBefore w:val="0"/>
              <w:kinsoku/>
              <w:wordWrap w:val="0"/>
              <w:bidi w:val="0"/>
              <w:spacing w:line="400" w:lineRule="atLeast"/>
              <w:rPr>
                <w:rFonts w:hint="default" w:ascii="Times New Roman" w:hAnsi="Times New Roman" w:cs="Times New Roman"/>
                <w:color w:val="auto"/>
                <w:sz w:val="24"/>
                <w:highlight w:val="none"/>
              </w:rPr>
            </w:pPr>
          </w:p>
        </w:tc>
        <w:tc>
          <w:tcPr>
            <w:tcW w:w="1197" w:type="dxa"/>
            <w:tcBorders>
              <w:top w:val="single" w:color="auto" w:sz="4" w:space="0"/>
              <w:left w:val="single" w:color="auto" w:sz="4" w:space="0"/>
              <w:bottom w:val="single" w:color="auto" w:sz="4" w:space="0"/>
              <w:right w:val="single" w:color="auto" w:sz="4" w:space="0"/>
            </w:tcBorders>
            <w:noWrap w:val="0"/>
            <w:vAlign w:val="center"/>
          </w:tcPr>
          <w:p w14:paraId="7B3CE60E">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2371" w:type="dxa"/>
            <w:tcBorders>
              <w:top w:val="single" w:color="auto" w:sz="4" w:space="0"/>
              <w:left w:val="single" w:color="auto" w:sz="4" w:space="0"/>
              <w:bottom w:val="single" w:color="auto" w:sz="4" w:space="0"/>
              <w:right w:val="single" w:color="auto" w:sz="4" w:space="0"/>
            </w:tcBorders>
            <w:noWrap w:val="0"/>
            <w:vAlign w:val="center"/>
          </w:tcPr>
          <w:p w14:paraId="2BE2A236">
            <w:pPr>
              <w:pageBreakBefore w:val="0"/>
              <w:kinsoku/>
              <w:wordWrap w:val="0"/>
              <w:bidi w:val="0"/>
              <w:spacing w:line="400" w:lineRule="atLeast"/>
              <w:rPr>
                <w:rFonts w:hint="default" w:ascii="Times New Roman" w:hAnsi="Times New Roman" w:cs="Times New Roman"/>
                <w:color w:val="auto"/>
                <w:sz w:val="24"/>
                <w:highlight w:val="none"/>
              </w:rPr>
            </w:pPr>
          </w:p>
        </w:tc>
      </w:tr>
      <w:tr w14:paraId="4044F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904" w:type="dxa"/>
            <w:tcBorders>
              <w:top w:val="single" w:color="auto" w:sz="4" w:space="0"/>
              <w:left w:val="single" w:color="auto" w:sz="4" w:space="0"/>
              <w:bottom w:val="single" w:color="auto" w:sz="4" w:space="0"/>
              <w:right w:val="single" w:color="auto" w:sz="4" w:space="0"/>
            </w:tcBorders>
            <w:noWrap w:val="0"/>
            <w:vAlign w:val="center"/>
          </w:tcPr>
          <w:p w14:paraId="7F4E7D39">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3224" w:type="dxa"/>
            <w:tcBorders>
              <w:top w:val="single" w:color="auto" w:sz="4" w:space="0"/>
              <w:left w:val="single" w:color="auto" w:sz="4" w:space="0"/>
              <w:bottom w:val="single" w:color="auto" w:sz="4" w:space="0"/>
              <w:right w:val="single" w:color="auto" w:sz="4" w:space="0"/>
            </w:tcBorders>
            <w:noWrap w:val="0"/>
            <w:vAlign w:val="center"/>
          </w:tcPr>
          <w:p w14:paraId="3E512752">
            <w:pPr>
              <w:pageBreakBefore w:val="0"/>
              <w:kinsoku/>
              <w:wordWrap w:val="0"/>
              <w:bidi w:val="0"/>
              <w:spacing w:line="400" w:lineRule="atLeast"/>
              <w:rPr>
                <w:rFonts w:hint="default" w:ascii="Times New Roman" w:hAnsi="Times New Roman" w:cs="Times New Roman"/>
                <w:color w:val="auto"/>
                <w:sz w:val="24"/>
                <w:highlight w:val="none"/>
              </w:rPr>
            </w:pPr>
          </w:p>
        </w:tc>
        <w:tc>
          <w:tcPr>
            <w:tcW w:w="1197" w:type="dxa"/>
            <w:tcBorders>
              <w:top w:val="single" w:color="auto" w:sz="4" w:space="0"/>
              <w:left w:val="single" w:color="auto" w:sz="4" w:space="0"/>
              <w:bottom w:val="single" w:color="auto" w:sz="4" w:space="0"/>
              <w:right w:val="single" w:color="auto" w:sz="4" w:space="0"/>
            </w:tcBorders>
            <w:noWrap w:val="0"/>
            <w:vAlign w:val="center"/>
          </w:tcPr>
          <w:p w14:paraId="514A81FB">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2371" w:type="dxa"/>
            <w:tcBorders>
              <w:top w:val="single" w:color="auto" w:sz="4" w:space="0"/>
              <w:left w:val="single" w:color="auto" w:sz="4" w:space="0"/>
              <w:bottom w:val="single" w:color="auto" w:sz="4" w:space="0"/>
              <w:right w:val="single" w:color="auto" w:sz="4" w:space="0"/>
            </w:tcBorders>
            <w:noWrap w:val="0"/>
            <w:vAlign w:val="center"/>
          </w:tcPr>
          <w:p w14:paraId="2112AA1B">
            <w:pPr>
              <w:pageBreakBefore w:val="0"/>
              <w:kinsoku/>
              <w:wordWrap w:val="0"/>
              <w:bidi w:val="0"/>
              <w:spacing w:line="400" w:lineRule="atLeast"/>
              <w:rPr>
                <w:rFonts w:hint="default" w:ascii="Times New Roman" w:hAnsi="Times New Roman" w:cs="Times New Roman"/>
                <w:color w:val="auto"/>
                <w:sz w:val="24"/>
                <w:highlight w:val="none"/>
              </w:rPr>
            </w:pPr>
          </w:p>
        </w:tc>
      </w:tr>
      <w:tr w14:paraId="10546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24" w:hRule="atLeast"/>
          <w:jc w:val="center"/>
        </w:trPr>
        <w:tc>
          <w:tcPr>
            <w:tcW w:w="1904" w:type="dxa"/>
            <w:tcBorders>
              <w:top w:val="single" w:color="auto" w:sz="4" w:space="0"/>
              <w:left w:val="single" w:color="auto" w:sz="4" w:space="0"/>
              <w:bottom w:val="single" w:color="auto" w:sz="4" w:space="0"/>
              <w:right w:val="single" w:color="auto" w:sz="4" w:space="0"/>
            </w:tcBorders>
            <w:noWrap w:val="0"/>
            <w:vAlign w:val="center"/>
          </w:tcPr>
          <w:p w14:paraId="545BAD86">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3224" w:type="dxa"/>
            <w:tcBorders>
              <w:top w:val="single" w:color="auto" w:sz="4" w:space="0"/>
              <w:left w:val="single" w:color="auto" w:sz="4" w:space="0"/>
              <w:bottom w:val="single" w:color="auto" w:sz="4" w:space="0"/>
              <w:right w:val="single" w:color="auto" w:sz="4" w:space="0"/>
            </w:tcBorders>
            <w:noWrap w:val="0"/>
            <w:vAlign w:val="center"/>
          </w:tcPr>
          <w:p w14:paraId="0219984B">
            <w:pPr>
              <w:pageBreakBefore w:val="0"/>
              <w:kinsoku/>
              <w:wordWrap w:val="0"/>
              <w:bidi w:val="0"/>
              <w:spacing w:line="400" w:lineRule="atLeast"/>
              <w:rPr>
                <w:rFonts w:hint="default" w:ascii="Times New Roman" w:hAnsi="Times New Roman" w:cs="Times New Roman"/>
                <w:color w:val="auto"/>
                <w:sz w:val="24"/>
                <w:highlight w:val="none"/>
              </w:rPr>
            </w:pPr>
          </w:p>
        </w:tc>
        <w:tc>
          <w:tcPr>
            <w:tcW w:w="1197" w:type="dxa"/>
            <w:tcBorders>
              <w:top w:val="single" w:color="auto" w:sz="4" w:space="0"/>
              <w:left w:val="single" w:color="auto" w:sz="4" w:space="0"/>
              <w:bottom w:val="single" w:color="auto" w:sz="4" w:space="0"/>
              <w:right w:val="single" w:color="auto" w:sz="4" w:space="0"/>
            </w:tcBorders>
            <w:noWrap w:val="0"/>
            <w:vAlign w:val="center"/>
          </w:tcPr>
          <w:p w14:paraId="160B66A4">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2371" w:type="dxa"/>
            <w:tcBorders>
              <w:top w:val="single" w:color="auto" w:sz="4" w:space="0"/>
              <w:left w:val="single" w:color="auto" w:sz="4" w:space="0"/>
              <w:bottom w:val="single" w:color="auto" w:sz="4" w:space="0"/>
              <w:right w:val="single" w:color="auto" w:sz="4" w:space="0"/>
            </w:tcBorders>
            <w:noWrap w:val="0"/>
            <w:vAlign w:val="center"/>
          </w:tcPr>
          <w:p w14:paraId="2555E9A3">
            <w:pPr>
              <w:pageBreakBefore w:val="0"/>
              <w:kinsoku/>
              <w:wordWrap w:val="0"/>
              <w:bidi w:val="0"/>
              <w:spacing w:line="400" w:lineRule="atLeast"/>
              <w:rPr>
                <w:rFonts w:hint="default" w:ascii="Times New Roman" w:hAnsi="Times New Roman" w:cs="Times New Roman"/>
                <w:color w:val="auto"/>
                <w:sz w:val="24"/>
                <w:highlight w:val="none"/>
              </w:rPr>
            </w:pPr>
          </w:p>
        </w:tc>
      </w:tr>
      <w:tr w14:paraId="2B163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852" w:hRule="atLeast"/>
          <w:jc w:val="center"/>
        </w:trPr>
        <w:tc>
          <w:tcPr>
            <w:tcW w:w="8696" w:type="dxa"/>
            <w:gridSpan w:val="4"/>
            <w:tcBorders>
              <w:top w:val="single" w:color="auto" w:sz="4" w:space="0"/>
              <w:left w:val="single" w:color="auto" w:sz="4" w:space="0"/>
              <w:bottom w:val="single" w:color="auto" w:sz="4" w:space="0"/>
              <w:right w:val="single" w:color="auto" w:sz="4" w:space="0"/>
            </w:tcBorders>
            <w:noWrap w:val="0"/>
            <w:vAlign w:val="top"/>
          </w:tcPr>
          <w:p w14:paraId="42A7BC4A">
            <w:pPr>
              <w:pageBreakBefore w:val="0"/>
              <w:kinsoku/>
              <w:wordWrap w:val="0"/>
              <w:bidi w:val="0"/>
              <w:spacing w:line="400" w:lineRule="atLeast"/>
              <w:rPr>
                <w:rFonts w:hint="eastAsia"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注：</w:t>
            </w:r>
          </w:p>
        </w:tc>
      </w:tr>
    </w:tbl>
    <w:p w14:paraId="720C995C">
      <w:pPr>
        <w:pageBreakBefore w:val="0"/>
        <w:kinsoku/>
        <w:wordWrap w:val="0"/>
        <w:bidi w:val="0"/>
        <w:adjustRightInd w:val="0"/>
        <w:snapToGrid w:val="0"/>
        <w:spacing w:line="400" w:lineRule="atLeast"/>
        <w:rPr>
          <w:rFonts w:hint="default" w:ascii="Times New Roman" w:hAnsi="Times New Roman" w:cs="Times New Roman"/>
          <w:bCs/>
          <w:color w:val="auto"/>
          <w:highlight w:val="none"/>
        </w:rPr>
      </w:pPr>
    </w:p>
    <w:p w14:paraId="21478BE0">
      <w:pPr>
        <w:pStyle w:val="5"/>
        <w:keepNext/>
        <w:keepLines/>
        <w:pageBreakBefore w:val="0"/>
        <w:widowControl w:val="0"/>
        <w:kinsoku/>
        <w:wordWrap w:val="0"/>
        <w:overflowPunct/>
        <w:topLinePunct w:val="0"/>
        <w:autoSpaceDE/>
        <w:autoSpaceDN/>
        <w:bidi w:val="0"/>
        <w:adjustRightInd/>
        <w:snapToGrid/>
        <w:spacing w:before="240" w:after="240" w:line="240" w:lineRule="atLeast"/>
        <w:jc w:val="both"/>
        <w:textAlignment w:val="auto"/>
        <w:outlineLvl w:val="2"/>
        <w:rPr>
          <w:rFonts w:hint="default" w:ascii="Times New Roman" w:hAnsi="Times New Roman" w:eastAsia="黑体" w:cs="Times New Roman"/>
          <w:b w:val="0"/>
          <w:color w:val="auto"/>
          <w:sz w:val="28"/>
          <w:szCs w:val="28"/>
          <w:highlight w:val="none"/>
        </w:rPr>
      </w:pPr>
      <w:r>
        <w:rPr>
          <w:rFonts w:hint="default" w:ascii="Times New Roman" w:hAnsi="Times New Roman" w:cs="Times New Roman"/>
          <w:color w:val="auto"/>
          <w:sz w:val="24"/>
          <w:highlight w:val="none"/>
        </w:rPr>
        <w:br w:type="page"/>
      </w:r>
      <w:bookmarkStart w:id="115" w:name="_Toc5465"/>
      <w:bookmarkStart w:id="116" w:name="_Toc234832870"/>
      <w:bookmarkStart w:id="117" w:name="_Toc32159"/>
      <w:bookmarkStart w:id="118" w:name="_Toc650"/>
      <w:bookmarkStart w:id="119" w:name="_Toc19462"/>
      <w:r>
        <w:rPr>
          <w:rFonts w:hint="default" w:ascii="黑体" w:hAnsi="黑体" w:eastAsia="黑体" w:cs="黑体"/>
          <w:b w:val="0"/>
          <w:bCs/>
          <w:i w:val="0"/>
          <w:iCs w:val="0"/>
          <w:color w:val="auto"/>
          <w:sz w:val="28"/>
          <w:szCs w:val="28"/>
          <w:highlight w:val="none"/>
          <w:lang w:val="en-US" w:eastAsia="zh-CN"/>
        </w:rPr>
        <w:t>1.总则</w:t>
      </w:r>
      <w:bookmarkEnd w:id="115"/>
      <w:bookmarkEnd w:id="116"/>
      <w:bookmarkEnd w:id="117"/>
      <w:bookmarkEnd w:id="118"/>
      <w:bookmarkEnd w:id="119"/>
    </w:p>
    <w:p w14:paraId="3664509D">
      <w:pPr>
        <w:keepNext w:val="0"/>
        <w:keepLines w:val="0"/>
        <w:pageBreakBefore w:val="0"/>
        <w:widowControl w:val="0"/>
        <w:kinsoku/>
        <w:wordWrap w:val="0"/>
        <w:overflowPunct/>
        <w:topLinePunct w:val="0"/>
        <w:autoSpaceDE/>
        <w:autoSpaceDN/>
        <w:bidi w:val="0"/>
        <w:adjustRightInd/>
        <w:snapToGrid/>
        <w:spacing w:before="240" w:after="240" w:line="240" w:lineRule="atLeast"/>
        <w:textAlignment w:val="auto"/>
        <w:outlineLvl w:val="9"/>
        <w:rPr>
          <w:rFonts w:hint="default" w:ascii="Times New Roman" w:hAnsi="Times New Roman" w:eastAsia="宋体" w:cs="Times New Roman"/>
          <w:b w:val="0"/>
          <w:color w:val="auto"/>
          <w:sz w:val="24"/>
          <w:szCs w:val="24"/>
          <w:highlight w:val="none"/>
        </w:rPr>
      </w:pPr>
      <w:bookmarkStart w:id="120" w:name="_Toc234832871"/>
      <w:bookmarkStart w:id="121" w:name="_Toc13586"/>
      <w:bookmarkStart w:id="122" w:name="_Toc17948"/>
      <w:r>
        <w:rPr>
          <w:rFonts w:hint="default" w:ascii="Times New Roman" w:hAnsi="Times New Roman" w:eastAsia="黑体" w:cs="Times New Roman"/>
          <w:b w:val="0"/>
          <w:color w:val="auto"/>
          <w:sz w:val="24"/>
          <w:szCs w:val="24"/>
          <w:highlight w:val="none"/>
        </w:rPr>
        <w:t>1.1项目概况</w:t>
      </w:r>
      <w:bookmarkEnd w:id="120"/>
      <w:bookmarkEnd w:id="121"/>
      <w:bookmarkEnd w:id="122"/>
    </w:p>
    <w:p w14:paraId="2E59AF4B">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1.1.1根据《中华人民共和国招标投标法》《中华人民共和国招标投标法实施条例》《公路工程建设项目招标投标管理办法》等有关法律、法规和规章的规定，本招标项目已具备招标条件，现对本标段施工进行招标。</w:t>
      </w:r>
    </w:p>
    <w:p w14:paraId="71297F2B">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1.1.2本招标项目招标人：见投标人须知前附表。</w:t>
      </w:r>
    </w:p>
    <w:p w14:paraId="1BA9A3C1">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1.1.3本标段招标代理机构：见投标人须知前附表。</w:t>
      </w:r>
    </w:p>
    <w:p w14:paraId="316F181B">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1.1.4本招标项目名称：见投标人须知前附表。</w:t>
      </w:r>
    </w:p>
    <w:p w14:paraId="4D326B69">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1.1.5本标段建设地点：见投标人须知前附表。</w:t>
      </w:r>
    </w:p>
    <w:p w14:paraId="58C43E3A">
      <w:pPr>
        <w:keepNext w:val="0"/>
        <w:keepLines w:val="0"/>
        <w:pageBreakBefore w:val="0"/>
        <w:widowControl w:val="0"/>
        <w:kinsoku/>
        <w:wordWrap w:val="0"/>
        <w:overflowPunct/>
        <w:topLinePunct w:val="0"/>
        <w:autoSpaceDE/>
        <w:autoSpaceDN/>
        <w:bidi w:val="0"/>
        <w:adjustRightInd/>
        <w:snapToGrid/>
        <w:spacing w:before="240" w:after="240" w:line="240" w:lineRule="atLeast"/>
        <w:textAlignment w:val="auto"/>
        <w:outlineLvl w:val="9"/>
        <w:rPr>
          <w:rFonts w:hint="eastAsia" w:ascii="Times New Roman" w:hAnsi="Times New Roman" w:eastAsia="黑体" w:cs="Times New Roman"/>
          <w:b w:val="0"/>
          <w:color w:val="auto"/>
          <w:sz w:val="24"/>
          <w:szCs w:val="24"/>
          <w:highlight w:val="none"/>
          <w:lang w:eastAsia="zh-CN"/>
        </w:rPr>
      </w:pPr>
      <w:bookmarkStart w:id="123" w:name="_Toc234832872"/>
      <w:bookmarkStart w:id="124" w:name="_Toc11370"/>
      <w:bookmarkStart w:id="125" w:name="_Toc22508"/>
      <w:r>
        <w:rPr>
          <w:rFonts w:hint="default" w:ascii="Times New Roman" w:hAnsi="Times New Roman" w:eastAsia="黑体" w:cs="Times New Roman"/>
          <w:b w:val="0"/>
          <w:color w:val="auto"/>
          <w:sz w:val="24"/>
          <w:szCs w:val="24"/>
          <w:highlight w:val="none"/>
        </w:rPr>
        <w:t>1.2招标项目的资金来源和落实情况</w:t>
      </w:r>
      <w:bookmarkEnd w:id="123"/>
      <w:bookmarkEnd w:id="124"/>
      <w:bookmarkEnd w:id="125"/>
    </w:p>
    <w:p w14:paraId="49057A77">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1.2.1资金来源及比例：见投标人须知前附表。</w:t>
      </w:r>
    </w:p>
    <w:p w14:paraId="0EFA0B0E">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1.2.2资金落实情况：见投标人须知前附表。</w:t>
      </w:r>
    </w:p>
    <w:p w14:paraId="59A81BF4">
      <w:pPr>
        <w:keepNext w:val="0"/>
        <w:keepLines w:val="0"/>
        <w:pageBreakBefore w:val="0"/>
        <w:widowControl w:val="0"/>
        <w:kinsoku/>
        <w:wordWrap w:val="0"/>
        <w:overflowPunct/>
        <w:topLinePunct w:val="0"/>
        <w:autoSpaceDE/>
        <w:autoSpaceDN/>
        <w:bidi w:val="0"/>
        <w:adjustRightInd/>
        <w:snapToGrid/>
        <w:spacing w:before="240" w:after="240" w:line="240" w:lineRule="atLeast"/>
        <w:textAlignment w:val="auto"/>
        <w:outlineLvl w:val="9"/>
        <w:rPr>
          <w:rFonts w:hint="default" w:ascii="Times New Roman" w:hAnsi="Times New Roman" w:eastAsia="黑体" w:cs="Times New Roman"/>
          <w:b w:val="0"/>
          <w:color w:val="auto"/>
          <w:sz w:val="24"/>
          <w:szCs w:val="24"/>
          <w:highlight w:val="none"/>
        </w:rPr>
      </w:pPr>
      <w:bookmarkStart w:id="126" w:name="_Toc234832873"/>
      <w:bookmarkStart w:id="127" w:name="_Toc14618"/>
      <w:bookmarkStart w:id="128" w:name="_Toc10840"/>
      <w:r>
        <w:rPr>
          <w:rFonts w:hint="default" w:ascii="Times New Roman" w:hAnsi="Times New Roman" w:eastAsia="黑体" w:cs="Times New Roman"/>
          <w:b w:val="0"/>
          <w:color w:val="auto"/>
          <w:sz w:val="24"/>
          <w:szCs w:val="24"/>
          <w:highlight w:val="none"/>
        </w:rPr>
        <w:t>1.3招标范围、计划工期、质量要求</w:t>
      </w:r>
      <w:bookmarkEnd w:id="126"/>
      <w:r>
        <w:rPr>
          <w:rFonts w:hint="default" w:ascii="Times New Roman" w:hAnsi="Times New Roman" w:eastAsia="黑体" w:cs="Times New Roman"/>
          <w:b w:val="0"/>
          <w:color w:val="auto"/>
          <w:sz w:val="24"/>
          <w:szCs w:val="24"/>
          <w:highlight w:val="none"/>
        </w:rPr>
        <w:t>和安全目标</w:t>
      </w:r>
      <w:bookmarkEnd w:id="127"/>
      <w:bookmarkEnd w:id="128"/>
    </w:p>
    <w:p w14:paraId="15732EDE">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1.3.1招标范围：见投标人须知前附表。</w:t>
      </w:r>
    </w:p>
    <w:p w14:paraId="18B86566">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1.3.2本标段的计划工期：见投标人须知前附表。</w:t>
      </w:r>
    </w:p>
    <w:p w14:paraId="015A7067">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1.3.3本标段的质量要求：见投标人须知前附表。</w:t>
      </w:r>
    </w:p>
    <w:p w14:paraId="72CE5CDF">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1.3.4本标段的安全目标：见投标人须知前附表。</w:t>
      </w:r>
    </w:p>
    <w:p w14:paraId="27E60B2F">
      <w:pPr>
        <w:keepNext w:val="0"/>
        <w:keepLines w:val="0"/>
        <w:pageBreakBefore w:val="0"/>
        <w:widowControl w:val="0"/>
        <w:kinsoku/>
        <w:wordWrap w:val="0"/>
        <w:overflowPunct/>
        <w:topLinePunct w:val="0"/>
        <w:autoSpaceDE/>
        <w:autoSpaceDN/>
        <w:bidi w:val="0"/>
        <w:adjustRightInd/>
        <w:snapToGrid/>
        <w:spacing w:before="240" w:after="240" w:line="240" w:lineRule="atLeast"/>
        <w:textAlignment w:val="auto"/>
        <w:outlineLvl w:val="9"/>
        <w:rPr>
          <w:rFonts w:hint="default" w:ascii="Times New Roman" w:hAnsi="Times New Roman" w:eastAsia="黑体" w:cs="Times New Roman"/>
          <w:b w:val="0"/>
          <w:color w:val="auto"/>
          <w:sz w:val="24"/>
          <w:szCs w:val="24"/>
          <w:highlight w:val="none"/>
        </w:rPr>
      </w:pPr>
      <w:bookmarkStart w:id="129" w:name="_Toc23631"/>
      <w:bookmarkStart w:id="130" w:name="_Toc32367"/>
      <w:bookmarkStart w:id="131" w:name="_Toc234832875"/>
      <w:r>
        <w:rPr>
          <w:rFonts w:hint="default" w:ascii="Times New Roman" w:hAnsi="Times New Roman" w:eastAsia="黑体" w:cs="Times New Roman"/>
          <w:b w:val="0"/>
          <w:color w:val="auto"/>
          <w:sz w:val="24"/>
          <w:szCs w:val="24"/>
          <w:highlight w:val="none"/>
        </w:rPr>
        <w:t>1.4投标人资格要求</w:t>
      </w:r>
      <w:bookmarkEnd w:id="129"/>
      <w:bookmarkEnd w:id="130"/>
      <w:bookmarkEnd w:id="131"/>
    </w:p>
    <w:p w14:paraId="3C5049D3">
      <w:pPr>
        <w:pageBreakBefore w:val="0"/>
        <w:kinsoku/>
        <w:wordWrap w:val="0"/>
        <w:topLinePunct/>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1.4.1投标人应具备承担本标段施工的资质条件、能力和信誉。</w:t>
      </w:r>
    </w:p>
    <w:p w14:paraId="3415E3CC">
      <w:pPr>
        <w:pageBreakBefore w:val="0"/>
        <w:kinsoku/>
        <w:wordWrap w:val="0"/>
        <w:topLinePunct/>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（1）资质要求：见投标人须知前附表；</w:t>
      </w:r>
    </w:p>
    <w:p w14:paraId="2600F976">
      <w:pPr>
        <w:pageBreakBefore w:val="0"/>
        <w:kinsoku/>
        <w:wordWrap w:val="0"/>
        <w:topLinePunct/>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（2）财务要求：见投标人须知前附表；</w:t>
      </w:r>
    </w:p>
    <w:p w14:paraId="35238DCA">
      <w:pPr>
        <w:pageBreakBefore w:val="0"/>
        <w:kinsoku/>
        <w:wordWrap w:val="0"/>
        <w:topLinePunct/>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（3）业绩要求：见投标人须知前附表；</w:t>
      </w:r>
    </w:p>
    <w:p w14:paraId="25462144">
      <w:pPr>
        <w:pageBreakBefore w:val="0"/>
        <w:kinsoku/>
        <w:wordWrap w:val="0"/>
        <w:topLinePunct/>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（4）信誉要求：见投标人须知前附表；</w:t>
      </w:r>
    </w:p>
    <w:p w14:paraId="5D4193FF">
      <w:pPr>
        <w:pageBreakBefore w:val="0"/>
        <w:kinsoku/>
        <w:wordWrap w:val="0"/>
        <w:topLinePunct/>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（5）项目经理和项目总工资格：见投标人须知前附表；</w:t>
      </w:r>
    </w:p>
    <w:p w14:paraId="30CEBD57">
      <w:pPr>
        <w:pageBreakBefore w:val="0"/>
        <w:kinsoku/>
        <w:wordWrap w:val="0"/>
        <w:topLinePunct/>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（6）其他要求：见投标人须知前附表。</w:t>
      </w:r>
    </w:p>
    <w:p w14:paraId="19B5661C">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需要提交的相关证明材料见本章第3.5款的规定。</w:t>
      </w:r>
    </w:p>
    <w:p w14:paraId="2B802F70">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1.4.2投标人须知前附表规定接受联合体投标的，联合体除应符合本章第1.4.1项和投标人须知前附表的要求外，还应遵守以下规定：</w:t>
      </w:r>
    </w:p>
    <w:p w14:paraId="2E5296D0">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（1）联合体各方应按招标文件提供的格式签订联合体协议书，明确联合体牵头人和各方权利义务，并承诺就中标项目向招标人承担连带责任；</w:t>
      </w:r>
    </w:p>
    <w:p w14:paraId="29C5007E">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（2）由同一专业的单位组成的联合体，按照资质等级较低的单位确定资质等级；</w:t>
      </w:r>
    </w:p>
    <w:p w14:paraId="5DE4A87C">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（3）联合体各方不得再以自己名义单独或参加其他联合体在同</w:t>
      </w:r>
      <w:r>
        <w:rPr>
          <w:rFonts w:hint="eastAsia" w:cs="Times New Roman"/>
          <w:color w:val="auto"/>
          <w:sz w:val="24"/>
          <w:highlight w:val="none"/>
          <w:lang w:val="en-US" w:eastAsia="zh-CN"/>
        </w:rPr>
        <w:t>一</w:t>
      </w:r>
      <w:r>
        <w:rPr>
          <w:rFonts w:hint="eastAsia" w:cs="Times New Roman"/>
          <w:color w:val="auto"/>
          <w:sz w:val="24"/>
          <w:highlight w:val="none"/>
          <w:lang w:eastAsia="zh-CN"/>
        </w:rPr>
        <w:t>标段</w:t>
      </w:r>
      <w:r>
        <w:rPr>
          <w:rFonts w:hint="default" w:ascii="Times New Roman" w:hAnsi="Times New Roman" w:eastAsia="宋体" w:cs="Times New Roman"/>
          <w:color w:val="auto"/>
          <w:sz w:val="24"/>
          <w:highlight w:val="none"/>
        </w:rPr>
        <w:t>中投标；</w:t>
      </w:r>
    </w:p>
    <w:p w14:paraId="6079BC07">
      <w:pPr>
        <w:pStyle w:val="16"/>
        <w:pageBreakBefore w:val="0"/>
        <w:kinsoku/>
        <w:wordWrap w:val="0"/>
        <w:topLinePunct/>
        <w:bidi w:val="0"/>
        <w:spacing w:line="400" w:lineRule="atLeast"/>
        <w:ind w:firstLine="48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szCs w:val="24"/>
          <w:highlight w:val="none"/>
        </w:rPr>
        <w:t>4）联合体各方应分别按照本招标文件的要求，填写投标文件中的相应表格，并由联合体牵头人负责对联合体各成员的资料进行统一汇总后一并提交给招标人；联合体牵头人所提交的投标文件应认为已代表了联合体各成员的真实情况；</w:t>
      </w:r>
    </w:p>
    <w:p w14:paraId="2F731E39">
      <w:pPr>
        <w:pStyle w:val="16"/>
        <w:pageBreakBefore w:val="0"/>
        <w:kinsoku/>
        <w:wordWrap w:val="0"/>
        <w:topLinePunct/>
        <w:bidi w:val="0"/>
        <w:spacing w:line="400" w:lineRule="atLeast"/>
        <w:ind w:firstLine="48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szCs w:val="24"/>
          <w:highlight w:val="none"/>
        </w:rPr>
        <w:t>5）尽管委任了联合体牵头人，但联合体各成员在投标、签订合同与履行合同过程中，仍负有连带的和各自的法律责任。</w:t>
      </w:r>
    </w:p>
    <w:p w14:paraId="127A20DD">
      <w:pPr>
        <w:pageBreakBefore w:val="0"/>
        <w:tabs>
          <w:tab w:val="left" w:pos="360"/>
          <w:tab w:val="left" w:pos="540"/>
        </w:tabs>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1.4.3投标人（包括联合体各成员）不得与本标段相关单位存在下列关联关系：</w:t>
      </w:r>
    </w:p>
    <w:p w14:paraId="3DEBF860">
      <w:pPr>
        <w:pStyle w:val="16"/>
        <w:pageBreakBefore w:val="0"/>
        <w:kinsoku/>
        <w:wordWrap w:val="0"/>
        <w:topLinePunct/>
        <w:bidi w:val="0"/>
        <w:spacing w:line="400" w:lineRule="atLeast"/>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（1）为招标人不具有独立法人资格的附属机构（单位）；</w:t>
      </w:r>
    </w:p>
    <w:p w14:paraId="12C35752">
      <w:pPr>
        <w:pStyle w:val="16"/>
        <w:pageBreakBefore w:val="0"/>
        <w:kinsoku/>
        <w:wordWrap w:val="0"/>
        <w:topLinePunct/>
        <w:bidi w:val="0"/>
        <w:spacing w:line="400" w:lineRule="atLeast"/>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（2）与招标人存在利害关系且可能影响招标公正性；</w:t>
      </w:r>
    </w:p>
    <w:p w14:paraId="0808A76D">
      <w:pPr>
        <w:pStyle w:val="16"/>
        <w:pageBreakBefore w:val="0"/>
        <w:kinsoku/>
        <w:wordWrap w:val="0"/>
        <w:topLinePunct/>
        <w:bidi w:val="0"/>
        <w:spacing w:line="400" w:lineRule="atLeast"/>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（3）与本标段的其他投标人同为一个单位负责人；</w:t>
      </w:r>
    </w:p>
    <w:p w14:paraId="0F274C07">
      <w:pPr>
        <w:pStyle w:val="16"/>
        <w:pageBreakBefore w:val="0"/>
        <w:kinsoku/>
        <w:wordWrap w:val="0"/>
        <w:topLinePunct/>
        <w:bidi w:val="0"/>
        <w:spacing w:line="400" w:lineRule="atLeast"/>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（4）与本标段的其他投标人存在控股、管理关系；</w:t>
      </w:r>
    </w:p>
    <w:p w14:paraId="7DB43CB1">
      <w:pPr>
        <w:pStyle w:val="16"/>
        <w:pageBreakBefore w:val="0"/>
        <w:kinsoku/>
        <w:wordWrap w:val="0"/>
        <w:topLinePunct/>
        <w:bidi w:val="0"/>
        <w:spacing w:line="400" w:lineRule="atLeast"/>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（5）为本标段前期准备提供设计或咨询服务的法人或其任何附属机构（单位）；</w:t>
      </w:r>
    </w:p>
    <w:p w14:paraId="06CD221C">
      <w:pPr>
        <w:pStyle w:val="16"/>
        <w:pageBreakBefore w:val="0"/>
        <w:kinsoku/>
        <w:wordWrap w:val="0"/>
        <w:topLinePunct/>
        <w:bidi w:val="0"/>
        <w:spacing w:line="400" w:lineRule="atLeast"/>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（6）为本标段的监理人；</w:t>
      </w:r>
    </w:p>
    <w:p w14:paraId="0ED1FFF7">
      <w:pPr>
        <w:pStyle w:val="16"/>
        <w:pageBreakBefore w:val="0"/>
        <w:kinsoku/>
        <w:wordWrap w:val="0"/>
        <w:topLinePunct/>
        <w:bidi w:val="0"/>
        <w:spacing w:line="400" w:lineRule="atLeast"/>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（7）为本标段的代建人；</w:t>
      </w:r>
    </w:p>
    <w:p w14:paraId="00FFE49C">
      <w:pPr>
        <w:pStyle w:val="16"/>
        <w:pageBreakBefore w:val="0"/>
        <w:kinsoku/>
        <w:wordWrap w:val="0"/>
        <w:topLinePunct/>
        <w:bidi w:val="0"/>
        <w:spacing w:line="400" w:lineRule="atLeast"/>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（8）为本标段的招标代理机构；</w:t>
      </w:r>
    </w:p>
    <w:p w14:paraId="7E8D43DB">
      <w:pPr>
        <w:pStyle w:val="16"/>
        <w:pageBreakBefore w:val="0"/>
        <w:kinsoku/>
        <w:wordWrap w:val="0"/>
        <w:topLinePunct/>
        <w:bidi w:val="0"/>
        <w:spacing w:line="400" w:lineRule="atLeast"/>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（9）与本标段的监理人或代建人或招标代理机构同为一个法定代表人；</w:t>
      </w:r>
    </w:p>
    <w:p w14:paraId="2578711B">
      <w:pPr>
        <w:pStyle w:val="16"/>
        <w:pageBreakBefore w:val="0"/>
        <w:kinsoku/>
        <w:wordWrap w:val="0"/>
        <w:topLinePunct/>
        <w:bidi w:val="0"/>
        <w:spacing w:line="400" w:lineRule="atLeast"/>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（10）与本标段的监理人或代建人或招标代理机构存在控股或参股关系；</w:t>
      </w:r>
    </w:p>
    <w:p w14:paraId="4D9A8911">
      <w:pPr>
        <w:pStyle w:val="16"/>
        <w:pageBreakBefore w:val="0"/>
        <w:kinsoku/>
        <w:wordWrap w:val="0"/>
        <w:topLinePunct/>
        <w:bidi w:val="0"/>
        <w:spacing w:line="400" w:lineRule="atLeast"/>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（11）法律法规或投标人须知前附表规定的其他情形。</w:t>
      </w:r>
    </w:p>
    <w:p w14:paraId="3C37EDE6">
      <w:pPr>
        <w:pageBreakBefore w:val="0"/>
        <w:tabs>
          <w:tab w:val="left" w:pos="360"/>
          <w:tab w:val="left" w:pos="540"/>
        </w:tabs>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1.4.4投标人（包括联合体各成员）不得存在下列不良状况或不良信用记录：</w:t>
      </w:r>
    </w:p>
    <w:p w14:paraId="25050FEC">
      <w:pPr>
        <w:pStyle w:val="16"/>
        <w:pageBreakBefore w:val="0"/>
        <w:kinsoku/>
        <w:wordWrap w:val="0"/>
        <w:topLinePunct/>
        <w:bidi w:val="0"/>
        <w:spacing w:line="400" w:lineRule="atLeast"/>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（1）被省级及以上交通运输主管部门取消招标项目所在地的投标资格且处于有效期内；</w:t>
      </w:r>
    </w:p>
    <w:p w14:paraId="2F093C94">
      <w:pPr>
        <w:pStyle w:val="16"/>
        <w:pageBreakBefore w:val="0"/>
        <w:kinsoku/>
        <w:wordWrap w:val="0"/>
        <w:topLinePunct/>
        <w:bidi w:val="0"/>
        <w:spacing w:line="400" w:lineRule="atLeast"/>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（2）被责令停业，暂扣或吊销执照，或吊销资质证书；</w:t>
      </w:r>
    </w:p>
    <w:p w14:paraId="1AE6F5B1">
      <w:pPr>
        <w:pStyle w:val="16"/>
        <w:pageBreakBefore w:val="0"/>
        <w:kinsoku/>
        <w:wordWrap w:val="0"/>
        <w:topLinePunct/>
        <w:bidi w:val="0"/>
        <w:spacing w:line="400" w:lineRule="atLeast"/>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（3）进入清算程序，或被宣告破产，或其他丧失履约能力的情形；</w:t>
      </w:r>
    </w:p>
    <w:p w14:paraId="01EA104D">
      <w:pPr>
        <w:pStyle w:val="16"/>
        <w:pageBreakBefore w:val="0"/>
        <w:kinsoku/>
        <w:wordWrap w:val="0"/>
        <w:topLinePunct/>
        <w:bidi w:val="0"/>
        <w:spacing w:line="400" w:lineRule="atLeast"/>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（4）在国家企业信用信息公示系统（http://www.gsxt.gov.cn/）中被列入严重违法失信企业名单；</w:t>
      </w:r>
    </w:p>
    <w:p w14:paraId="1F457953">
      <w:pPr>
        <w:pStyle w:val="16"/>
        <w:pageBreakBefore w:val="0"/>
        <w:kinsoku/>
        <w:wordWrap w:val="0"/>
        <w:topLinePunct/>
        <w:bidi w:val="0"/>
        <w:spacing w:line="400" w:lineRule="atLeast"/>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（5）在</w:t>
      </w:r>
      <w:r>
        <w:rPr>
          <w:rFonts w:hint="eastAsia" w:ascii="宋体" w:hAnsi="宋体" w:eastAsia="宋体" w:cs="宋体"/>
          <w:color w:val="auto"/>
          <w:highlight w:val="none"/>
        </w:rPr>
        <w:t>“</w:t>
      </w:r>
      <w:r>
        <w:rPr>
          <w:rFonts w:hint="default" w:ascii="Times New Roman" w:hAnsi="Times New Roman" w:eastAsia="宋体" w:cs="Times New Roman"/>
          <w:color w:val="auto"/>
          <w:highlight w:val="none"/>
        </w:rPr>
        <w:t>信用中国</w:t>
      </w:r>
      <w:r>
        <w:rPr>
          <w:rFonts w:hint="eastAsia" w:ascii="宋体" w:hAnsi="宋体" w:eastAsia="宋体" w:cs="宋体"/>
          <w:color w:val="auto"/>
          <w:highlight w:val="none"/>
        </w:rPr>
        <w:t>”</w:t>
      </w:r>
      <w:r>
        <w:rPr>
          <w:rFonts w:hint="default" w:ascii="Times New Roman" w:hAnsi="Times New Roman" w:eastAsia="宋体" w:cs="Times New Roman"/>
          <w:color w:val="auto"/>
          <w:highlight w:val="none"/>
        </w:rPr>
        <w:t>网站（http://www.creditchina.gov.cn/）（或中国执行信息公开网http://zxgk.court.gov.cn/shixin/）中被列入失信被执行人名单；</w:t>
      </w:r>
    </w:p>
    <w:p w14:paraId="2EE95277">
      <w:pPr>
        <w:pStyle w:val="16"/>
        <w:pageBreakBefore w:val="0"/>
        <w:kinsoku/>
        <w:wordWrap w:val="0"/>
        <w:topLinePunct/>
        <w:bidi w:val="0"/>
        <w:spacing w:line="400" w:lineRule="atLeast"/>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（6）投标人或其法定代表人、拟委任的项目经理在近三年内有行贿犯罪行为的；</w:t>
      </w:r>
    </w:p>
    <w:p w14:paraId="31B890BF">
      <w:pPr>
        <w:pStyle w:val="16"/>
        <w:pageBreakBefore w:val="0"/>
        <w:kinsoku/>
        <w:wordWrap w:val="0"/>
        <w:topLinePunct/>
        <w:bidi w:val="0"/>
        <w:spacing w:line="400" w:lineRule="atLeast"/>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（7）法律法规或投标人须知前附表规定的其他情形。</w:t>
      </w:r>
    </w:p>
    <w:p w14:paraId="539D07B5">
      <w:pPr>
        <w:pStyle w:val="16"/>
        <w:pageBreakBefore w:val="0"/>
        <w:kinsoku/>
        <w:wordWrap w:val="0"/>
        <w:topLinePunct/>
        <w:bidi w:val="0"/>
        <w:spacing w:line="400" w:lineRule="atLeast"/>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kern w:val="0"/>
          <w:highlight w:val="none"/>
        </w:rPr>
        <w:t>1.4.5根据《关于发布公路工程从业企业资质名录的通知》（厅公路字〔2011〕114号）要求，投标人如为名录范围的施工企业，则应进入交通运输部</w:t>
      </w:r>
      <w:r>
        <w:rPr>
          <w:rFonts w:hint="eastAsia" w:ascii="宋体" w:hAnsi="宋体" w:eastAsia="宋体" w:cs="宋体"/>
          <w:color w:val="auto"/>
          <w:kern w:val="0"/>
          <w:highlight w:val="none"/>
        </w:rPr>
        <w:t>“</w:t>
      </w:r>
      <w:r>
        <w:rPr>
          <w:rFonts w:hint="default" w:ascii="Times New Roman" w:hAnsi="Times New Roman" w:eastAsia="宋体" w:cs="Times New Roman"/>
          <w:color w:val="auto"/>
          <w:kern w:val="0"/>
          <w:highlight w:val="none"/>
        </w:rPr>
        <w:t>全国公路建设市场监督管理系统（https://hwdms.mot.gov.cn/BMWebSite/）</w:t>
      </w:r>
      <w:r>
        <w:rPr>
          <w:rFonts w:hint="eastAsia" w:ascii="宋体" w:hAnsi="宋体" w:eastAsia="宋体" w:cs="宋体"/>
          <w:color w:val="auto"/>
          <w:kern w:val="0"/>
          <w:highlight w:val="none"/>
        </w:rPr>
        <w:t>”</w:t>
      </w:r>
      <w:r>
        <w:rPr>
          <w:rFonts w:hint="default" w:ascii="Times New Roman" w:hAnsi="Times New Roman" w:eastAsia="宋体" w:cs="Times New Roman"/>
          <w:color w:val="auto"/>
          <w:kern w:val="0"/>
          <w:highlight w:val="none"/>
        </w:rPr>
        <w:t>中的公路工程施工资质企业名录，且投标人名称和资质与该名录中的相应企业名称和资质完全一致。</w:t>
      </w:r>
      <w:r>
        <w:rPr>
          <w:rStyle w:val="48"/>
          <w:rFonts w:ascii="Times New Roman" w:hAnsi="Times New Roman" w:eastAsia="宋体" w:cs="Times New Roman"/>
          <w:color w:val="auto"/>
          <w:highlight w:val="none"/>
        </w:rPr>
        <w:footnoteReference w:id="20"/>
      </w:r>
    </w:p>
    <w:p w14:paraId="7032F2E3">
      <w:pPr>
        <w:keepNext w:val="0"/>
        <w:keepLines w:val="0"/>
        <w:pageBreakBefore w:val="0"/>
        <w:widowControl w:val="0"/>
        <w:kinsoku/>
        <w:wordWrap w:val="0"/>
        <w:overflowPunct/>
        <w:topLinePunct w:val="0"/>
        <w:autoSpaceDE/>
        <w:autoSpaceDN/>
        <w:bidi w:val="0"/>
        <w:adjustRightInd/>
        <w:snapToGrid/>
        <w:spacing w:before="240" w:after="240" w:line="240" w:lineRule="atLeast"/>
        <w:textAlignment w:val="auto"/>
        <w:outlineLvl w:val="9"/>
        <w:rPr>
          <w:rFonts w:hint="default" w:ascii="Times New Roman" w:hAnsi="Times New Roman" w:eastAsia="黑体" w:cs="Times New Roman"/>
          <w:b w:val="0"/>
          <w:color w:val="auto"/>
          <w:sz w:val="24"/>
          <w:szCs w:val="24"/>
          <w:highlight w:val="none"/>
        </w:rPr>
      </w:pPr>
      <w:bookmarkStart w:id="132" w:name="_Toc234832876"/>
      <w:bookmarkStart w:id="133" w:name="_Toc14149"/>
      <w:bookmarkStart w:id="134" w:name="_Toc29333"/>
      <w:r>
        <w:rPr>
          <w:rFonts w:hint="default" w:ascii="Times New Roman" w:hAnsi="Times New Roman" w:eastAsia="黑体" w:cs="Times New Roman"/>
          <w:b w:val="0"/>
          <w:color w:val="auto"/>
          <w:sz w:val="24"/>
          <w:szCs w:val="24"/>
          <w:highlight w:val="none"/>
        </w:rPr>
        <w:t>1.5费用承担</w:t>
      </w:r>
      <w:bookmarkEnd w:id="132"/>
      <w:bookmarkEnd w:id="133"/>
      <w:bookmarkEnd w:id="134"/>
    </w:p>
    <w:p w14:paraId="2E2DEA90">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投标人准备和参加投标活动发生的费用自理。</w:t>
      </w:r>
    </w:p>
    <w:p w14:paraId="6ECFA61A">
      <w:pPr>
        <w:keepNext w:val="0"/>
        <w:keepLines w:val="0"/>
        <w:pageBreakBefore w:val="0"/>
        <w:widowControl w:val="0"/>
        <w:kinsoku/>
        <w:wordWrap w:val="0"/>
        <w:overflowPunct/>
        <w:topLinePunct w:val="0"/>
        <w:autoSpaceDE/>
        <w:autoSpaceDN/>
        <w:bidi w:val="0"/>
        <w:adjustRightInd/>
        <w:snapToGrid/>
        <w:spacing w:before="240" w:after="240" w:line="240" w:lineRule="atLeast"/>
        <w:textAlignment w:val="auto"/>
        <w:outlineLvl w:val="9"/>
        <w:rPr>
          <w:rFonts w:hint="default" w:ascii="Times New Roman" w:hAnsi="Times New Roman" w:eastAsia="黑体" w:cs="Times New Roman"/>
          <w:b w:val="0"/>
          <w:color w:val="auto"/>
          <w:sz w:val="24"/>
          <w:szCs w:val="24"/>
          <w:highlight w:val="none"/>
        </w:rPr>
      </w:pPr>
      <w:bookmarkStart w:id="135" w:name="_Toc26593"/>
      <w:bookmarkStart w:id="136" w:name="_Toc23807"/>
      <w:bookmarkStart w:id="137" w:name="_Toc234832877"/>
      <w:r>
        <w:rPr>
          <w:rFonts w:hint="default" w:ascii="Times New Roman" w:hAnsi="Times New Roman" w:eastAsia="黑体" w:cs="Times New Roman"/>
          <w:b w:val="0"/>
          <w:color w:val="auto"/>
          <w:sz w:val="24"/>
          <w:szCs w:val="24"/>
          <w:highlight w:val="none"/>
        </w:rPr>
        <w:t>1.6保密</w:t>
      </w:r>
      <w:bookmarkEnd w:id="135"/>
      <w:bookmarkEnd w:id="136"/>
      <w:bookmarkEnd w:id="137"/>
    </w:p>
    <w:p w14:paraId="5DCEC4DA">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参与招标投标活动的各方应对招标文件和投标文件中的商业和技术等秘密保密，</w:t>
      </w:r>
      <w:r>
        <w:rPr>
          <w:rFonts w:hint="default" w:ascii="Times New Roman" w:hAnsi="Times New Roman" w:eastAsia="宋体" w:cs="Times New Roman"/>
          <w:color w:val="auto"/>
          <w:kern w:val="0"/>
          <w:sz w:val="24"/>
          <w:szCs w:val="20"/>
          <w:highlight w:val="none"/>
        </w:rPr>
        <w:t>否则应承担相应的法律责任。</w:t>
      </w:r>
    </w:p>
    <w:p w14:paraId="76830B8F">
      <w:pPr>
        <w:keepNext w:val="0"/>
        <w:keepLines w:val="0"/>
        <w:pageBreakBefore w:val="0"/>
        <w:widowControl w:val="0"/>
        <w:kinsoku/>
        <w:wordWrap w:val="0"/>
        <w:overflowPunct/>
        <w:topLinePunct w:val="0"/>
        <w:autoSpaceDE/>
        <w:autoSpaceDN/>
        <w:bidi w:val="0"/>
        <w:adjustRightInd/>
        <w:snapToGrid/>
        <w:spacing w:before="240" w:after="240" w:line="240" w:lineRule="atLeast"/>
        <w:textAlignment w:val="auto"/>
        <w:outlineLvl w:val="9"/>
        <w:rPr>
          <w:rFonts w:hint="default" w:ascii="Times New Roman" w:hAnsi="Times New Roman" w:eastAsia="黑体" w:cs="Times New Roman"/>
          <w:b w:val="0"/>
          <w:color w:val="auto"/>
          <w:sz w:val="24"/>
          <w:szCs w:val="24"/>
          <w:highlight w:val="none"/>
        </w:rPr>
      </w:pPr>
      <w:bookmarkStart w:id="138" w:name="_Toc5479"/>
      <w:bookmarkStart w:id="139" w:name="_Toc234832878"/>
      <w:bookmarkStart w:id="140" w:name="_Toc20284"/>
      <w:r>
        <w:rPr>
          <w:rFonts w:hint="default" w:ascii="Times New Roman" w:hAnsi="Times New Roman" w:eastAsia="黑体" w:cs="Times New Roman"/>
          <w:b w:val="0"/>
          <w:color w:val="auto"/>
          <w:sz w:val="24"/>
          <w:szCs w:val="24"/>
          <w:highlight w:val="none"/>
        </w:rPr>
        <w:t>1.7语言文字</w:t>
      </w:r>
      <w:bookmarkEnd w:id="138"/>
      <w:bookmarkEnd w:id="139"/>
      <w:bookmarkEnd w:id="140"/>
    </w:p>
    <w:p w14:paraId="73B64E52">
      <w:pPr>
        <w:pageBreakBefore w:val="0"/>
        <w:kinsoku/>
        <w:wordWrap w:val="0"/>
        <w:bidi w:val="0"/>
        <w:spacing w:line="400" w:lineRule="atLeast"/>
        <w:ind w:firstLine="480" w:firstLineChars="200"/>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招标投标文件使用的语言文字为中文。专用术语使用外文的，应附有中文注释。</w:t>
      </w:r>
    </w:p>
    <w:p w14:paraId="239AB891">
      <w:pPr>
        <w:keepNext w:val="0"/>
        <w:keepLines w:val="0"/>
        <w:pageBreakBefore w:val="0"/>
        <w:widowControl w:val="0"/>
        <w:kinsoku/>
        <w:wordWrap w:val="0"/>
        <w:overflowPunct/>
        <w:topLinePunct w:val="0"/>
        <w:autoSpaceDE/>
        <w:autoSpaceDN/>
        <w:bidi w:val="0"/>
        <w:adjustRightInd/>
        <w:snapToGrid/>
        <w:spacing w:before="240" w:after="240" w:line="240" w:lineRule="atLeast"/>
        <w:textAlignment w:val="auto"/>
        <w:outlineLvl w:val="9"/>
        <w:rPr>
          <w:rFonts w:hint="default" w:ascii="Times New Roman" w:hAnsi="Times New Roman" w:eastAsia="黑体" w:cs="Times New Roman"/>
          <w:b w:val="0"/>
          <w:color w:val="auto"/>
          <w:sz w:val="24"/>
          <w:szCs w:val="24"/>
          <w:highlight w:val="none"/>
        </w:rPr>
      </w:pPr>
      <w:bookmarkStart w:id="141" w:name="_Toc7349"/>
      <w:bookmarkStart w:id="142" w:name="_Toc234832879"/>
      <w:bookmarkStart w:id="143" w:name="_Toc30856"/>
      <w:r>
        <w:rPr>
          <w:rFonts w:hint="default" w:ascii="Times New Roman" w:hAnsi="Times New Roman" w:eastAsia="黑体" w:cs="Times New Roman"/>
          <w:b w:val="0"/>
          <w:color w:val="auto"/>
          <w:sz w:val="24"/>
          <w:szCs w:val="24"/>
          <w:highlight w:val="none"/>
        </w:rPr>
        <w:t>1.8计量单位</w:t>
      </w:r>
      <w:bookmarkEnd w:id="141"/>
      <w:bookmarkEnd w:id="142"/>
      <w:bookmarkEnd w:id="143"/>
    </w:p>
    <w:p w14:paraId="39FCC3D6">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所有计量均采用中华人民共和国法定计量单位。</w:t>
      </w:r>
    </w:p>
    <w:p w14:paraId="241BD721">
      <w:pPr>
        <w:keepNext w:val="0"/>
        <w:keepLines w:val="0"/>
        <w:pageBreakBefore w:val="0"/>
        <w:widowControl w:val="0"/>
        <w:kinsoku/>
        <w:wordWrap w:val="0"/>
        <w:overflowPunct/>
        <w:topLinePunct w:val="0"/>
        <w:autoSpaceDE/>
        <w:autoSpaceDN/>
        <w:bidi w:val="0"/>
        <w:adjustRightInd/>
        <w:snapToGrid/>
        <w:spacing w:before="240" w:after="240" w:line="240" w:lineRule="atLeast"/>
        <w:textAlignment w:val="auto"/>
        <w:outlineLvl w:val="9"/>
        <w:rPr>
          <w:rFonts w:hint="default" w:ascii="Times New Roman" w:hAnsi="Times New Roman" w:eastAsia="黑体" w:cs="Times New Roman"/>
          <w:b w:val="0"/>
          <w:color w:val="auto"/>
          <w:sz w:val="24"/>
          <w:szCs w:val="24"/>
          <w:highlight w:val="none"/>
        </w:rPr>
      </w:pPr>
      <w:bookmarkStart w:id="144" w:name="_Toc234832880"/>
      <w:bookmarkStart w:id="145" w:name="_Toc11612"/>
      <w:bookmarkStart w:id="146" w:name="_Toc32593"/>
      <w:r>
        <w:rPr>
          <w:rFonts w:hint="default" w:ascii="Times New Roman" w:hAnsi="Times New Roman" w:eastAsia="黑体" w:cs="Times New Roman"/>
          <w:b w:val="0"/>
          <w:color w:val="auto"/>
          <w:sz w:val="24"/>
          <w:szCs w:val="24"/>
          <w:highlight w:val="none"/>
        </w:rPr>
        <w:t>1.9踏勘现场</w:t>
      </w:r>
      <w:bookmarkEnd w:id="144"/>
      <w:bookmarkEnd w:id="145"/>
      <w:bookmarkEnd w:id="146"/>
    </w:p>
    <w:p w14:paraId="74DB142B">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1.9.1第一章</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招标公告</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规定组织踏勘现场的，招标人按规定的时间、地点组织投标人踏勘项目现场。部分投标人未按时参加踏勘现场的，不影响踏勘现场的正常进行。招标人不得组织单个或部分投标人踏勘项目现场。</w:t>
      </w:r>
    </w:p>
    <w:p w14:paraId="071B35CC">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1.9.2投标人踏勘现场发生的费用自理。</w:t>
      </w:r>
    </w:p>
    <w:p w14:paraId="60FA39B5">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1.9.3除招标人的原因外，投标人自行负责在踏勘现场中所发生的人员伤亡和财产损失。</w:t>
      </w:r>
    </w:p>
    <w:p w14:paraId="294C5EA8">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1.9.4招标人在踏勘现场中介绍的工程场地和相关的周边环境情况，供投标人在编制投标文件时参考，招标人不对投标人据此作出的判断和决策负责。</w:t>
      </w:r>
    </w:p>
    <w:p w14:paraId="68F35041">
      <w:pPr>
        <w:pStyle w:val="16"/>
        <w:pageBreakBefore w:val="0"/>
        <w:kinsoku/>
        <w:wordWrap w:val="0"/>
        <w:topLinePunct/>
        <w:bidi w:val="0"/>
        <w:spacing w:line="400" w:lineRule="atLeast"/>
        <w:ind w:firstLine="48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1.9.5招标人提供的本合同工程的水文、地质、气象和料场分布、取土场、弃土场位置等参考资料，并不构成合同文件的组成部分，投标人应对自己就上述资料的解释、推论和应用负责，招标人不对投标人据此作出的判断和决策承担任何责任。</w:t>
      </w:r>
    </w:p>
    <w:p w14:paraId="59D5CB1E">
      <w:pPr>
        <w:keepNext w:val="0"/>
        <w:keepLines w:val="0"/>
        <w:pageBreakBefore w:val="0"/>
        <w:widowControl w:val="0"/>
        <w:kinsoku/>
        <w:wordWrap w:val="0"/>
        <w:overflowPunct/>
        <w:topLinePunct w:val="0"/>
        <w:autoSpaceDE/>
        <w:autoSpaceDN/>
        <w:bidi w:val="0"/>
        <w:adjustRightInd/>
        <w:snapToGrid/>
        <w:spacing w:before="240" w:after="240" w:line="240" w:lineRule="atLeast"/>
        <w:textAlignment w:val="auto"/>
        <w:outlineLvl w:val="9"/>
        <w:rPr>
          <w:rFonts w:hint="default" w:ascii="Times New Roman" w:hAnsi="Times New Roman" w:eastAsia="黑体" w:cs="Times New Roman"/>
          <w:b w:val="0"/>
          <w:color w:val="auto"/>
          <w:sz w:val="24"/>
          <w:szCs w:val="24"/>
          <w:highlight w:val="none"/>
        </w:rPr>
      </w:pPr>
      <w:bookmarkStart w:id="147" w:name="_Toc6877"/>
      <w:bookmarkStart w:id="148" w:name="_Toc234832881"/>
      <w:bookmarkStart w:id="149" w:name="_Toc17701"/>
      <w:r>
        <w:rPr>
          <w:rFonts w:hint="default" w:ascii="Times New Roman" w:hAnsi="Times New Roman" w:eastAsia="黑体" w:cs="Times New Roman"/>
          <w:b w:val="0"/>
          <w:color w:val="auto"/>
          <w:sz w:val="24"/>
          <w:szCs w:val="24"/>
          <w:highlight w:val="none"/>
        </w:rPr>
        <w:t>1.10投标预备会</w:t>
      </w:r>
      <w:bookmarkEnd w:id="147"/>
      <w:bookmarkEnd w:id="148"/>
      <w:bookmarkEnd w:id="149"/>
    </w:p>
    <w:p w14:paraId="150847C5">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1.10.1第一章</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招标公告</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规定召开投标预备会的，招标人按规定的时间和地点召开投标预备会，澄清投标人提出的问题。</w:t>
      </w:r>
    </w:p>
    <w:p w14:paraId="1A53C903">
      <w:pPr>
        <w:pStyle w:val="16"/>
        <w:pageBreakBefore w:val="0"/>
        <w:kinsoku/>
        <w:wordWrap w:val="0"/>
        <w:topLinePunct/>
        <w:bidi w:val="0"/>
        <w:spacing w:line="400" w:lineRule="atLeast"/>
        <w:ind w:firstLine="48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1.10.2投标人应按投标人须知前附表规定的时间和形式将提出的问题送达招标人，以便招标人在会议期间澄清。</w:t>
      </w:r>
    </w:p>
    <w:p w14:paraId="1C33DAE1">
      <w:pPr>
        <w:pStyle w:val="16"/>
        <w:pageBreakBefore w:val="0"/>
        <w:kinsoku/>
        <w:wordWrap w:val="0"/>
        <w:topLinePunct/>
        <w:bidi w:val="0"/>
        <w:spacing w:line="400" w:lineRule="atLeast"/>
        <w:ind w:firstLine="48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1.10.3投标预备会后，招标人将对投标人所提问题的澄清，以本章第2.2款规定的形式通知所有</w:t>
      </w:r>
      <w:r>
        <w:rPr>
          <w:rFonts w:hint="default" w:ascii="Times New Roman" w:hAnsi="Times New Roman" w:cs="Times New Roman"/>
          <w:color w:val="auto"/>
          <w:szCs w:val="24"/>
          <w:highlight w:val="none"/>
          <w:lang w:eastAsia="zh-CN"/>
        </w:rPr>
        <w:t>获取招标文件</w:t>
      </w:r>
      <w:r>
        <w:rPr>
          <w:rFonts w:hint="default" w:ascii="Times New Roman" w:hAnsi="Times New Roman" w:eastAsia="宋体" w:cs="Times New Roman"/>
          <w:color w:val="auto"/>
          <w:szCs w:val="24"/>
          <w:highlight w:val="none"/>
        </w:rPr>
        <w:t>的投标人。该澄清内容为招标文件的组成部分。</w:t>
      </w:r>
    </w:p>
    <w:p w14:paraId="150251AC">
      <w:pPr>
        <w:keepNext w:val="0"/>
        <w:keepLines w:val="0"/>
        <w:pageBreakBefore w:val="0"/>
        <w:widowControl w:val="0"/>
        <w:kinsoku/>
        <w:wordWrap w:val="0"/>
        <w:overflowPunct/>
        <w:topLinePunct w:val="0"/>
        <w:autoSpaceDE/>
        <w:autoSpaceDN/>
        <w:bidi w:val="0"/>
        <w:adjustRightInd/>
        <w:snapToGrid/>
        <w:spacing w:before="240" w:after="240" w:line="240" w:lineRule="atLeast"/>
        <w:textAlignment w:val="auto"/>
        <w:outlineLvl w:val="9"/>
        <w:rPr>
          <w:rFonts w:hint="default" w:ascii="Times New Roman" w:hAnsi="Times New Roman" w:eastAsia="黑体" w:cs="Times New Roman"/>
          <w:b w:val="0"/>
          <w:color w:val="auto"/>
          <w:sz w:val="24"/>
          <w:szCs w:val="24"/>
          <w:highlight w:val="none"/>
        </w:rPr>
      </w:pPr>
      <w:bookmarkStart w:id="150" w:name="_Toc20656"/>
      <w:bookmarkStart w:id="151" w:name="_Toc10304"/>
      <w:bookmarkStart w:id="152" w:name="_Toc234832882"/>
      <w:r>
        <w:rPr>
          <w:rFonts w:hint="default" w:ascii="Times New Roman" w:hAnsi="Times New Roman" w:eastAsia="黑体" w:cs="Times New Roman"/>
          <w:b w:val="0"/>
          <w:color w:val="auto"/>
          <w:sz w:val="24"/>
          <w:szCs w:val="24"/>
          <w:highlight w:val="none"/>
        </w:rPr>
        <w:t>1.11分包</w:t>
      </w:r>
      <w:bookmarkEnd w:id="150"/>
      <w:bookmarkEnd w:id="151"/>
      <w:bookmarkEnd w:id="152"/>
    </w:p>
    <w:p w14:paraId="51953733">
      <w:pPr>
        <w:pStyle w:val="16"/>
        <w:pageBreakBefore w:val="0"/>
        <w:kinsoku/>
        <w:wordWrap w:val="0"/>
        <w:topLinePunct/>
        <w:bidi w:val="0"/>
        <w:spacing w:line="400" w:lineRule="atLeast"/>
        <w:ind w:firstLine="48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highlight w:val="none"/>
        </w:rPr>
        <w:t>1.11.1</w:t>
      </w:r>
      <w:r>
        <w:rPr>
          <w:rFonts w:hint="default" w:ascii="Times New Roman" w:hAnsi="Times New Roman" w:eastAsia="宋体" w:cs="Times New Roman"/>
          <w:color w:val="auto"/>
          <w:szCs w:val="24"/>
          <w:highlight w:val="none"/>
        </w:rPr>
        <w:t>投标人拟在中标后将中标项目的部分工作进行分包的，应</w:t>
      </w:r>
      <w:r>
        <w:rPr>
          <w:rFonts w:hint="eastAsia" w:ascii="Times New Roman" w:cs="Times New Roman"/>
          <w:color w:val="auto"/>
          <w:szCs w:val="24"/>
          <w:highlight w:val="none"/>
          <w:lang w:val="en-US" w:eastAsia="zh-CN"/>
        </w:rPr>
        <w:t>按辽宁省交通运输厅关于印发《辽宁省公路工程施工分包管理实施细则》的通知（辽交公路规〔2025〕1号）要求执行。</w:t>
      </w:r>
    </w:p>
    <w:p w14:paraId="7CAD9C31">
      <w:pPr>
        <w:pStyle w:val="16"/>
        <w:pageBreakBefore w:val="0"/>
        <w:kinsoku/>
        <w:wordWrap w:val="0"/>
        <w:topLinePunct/>
        <w:bidi w:val="0"/>
        <w:spacing w:line="400" w:lineRule="atLeast"/>
        <w:ind w:firstLine="48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1.11.2中标人不得向他人转让中标项目，接受分包的人不得再次分包。中标人应就分包项目向招标人负责，接受分包的人就分包项目承担连带责任。</w:t>
      </w:r>
    </w:p>
    <w:p w14:paraId="2B737487">
      <w:pPr>
        <w:keepNext w:val="0"/>
        <w:keepLines w:val="0"/>
        <w:pageBreakBefore w:val="0"/>
        <w:widowControl w:val="0"/>
        <w:kinsoku/>
        <w:wordWrap w:val="0"/>
        <w:overflowPunct/>
        <w:topLinePunct w:val="0"/>
        <w:autoSpaceDE/>
        <w:autoSpaceDN/>
        <w:bidi w:val="0"/>
        <w:adjustRightInd/>
        <w:snapToGrid/>
        <w:spacing w:before="240" w:after="240" w:line="240" w:lineRule="atLeast"/>
        <w:textAlignment w:val="auto"/>
        <w:outlineLvl w:val="9"/>
        <w:rPr>
          <w:rFonts w:hint="default" w:ascii="Times New Roman" w:hAnsi="Times New Roman" w:eastAsia="黑体" w:cs="Times New Roman"/>
          <w:b w:val="0"/>
          <w:color w:val="auto"/>
          <w:sz w:val="24"/>
          <w:szCs w:val="24"/>
          <w:highlight w:val="none"/>
        </w:rPr>
      </w:pPr>
      <w:bookmarkStart w:id="153" w:name="_Toc234832883"/>
      <w:bookmarkStart w:id="154" w:name="_Toc3394"/>
      <w:bookmarkStart w:id="155" w:name="_Toc10366"/>
      <w:r>
        <w:rPr>
          <w:rFonts w:hint="default" w:ascii="Times New Roman" w:hAnsi="Times New Roman" w:eastAsia="黑体" w:cs="Times New Roman"/>
          <w:b w:val="0"/>
          <w:color w:val="auto"/>
          <w:sz w:val="24"/>
          <w:szCs w:val="24"/>
          <w:highlight w:val="none"/>
        </w:rPr>
        <w:t>1.12</w:t>
      </w:r>
      <w:bookmarkEnd w:id="153"/>
      <w:r>
        <w:rPr>
          <w:rFonts w:hint="default" w:ascii="Times New Roman" w:hAnsi="Times New Roman" w:eastAsia="黑体" w:cs="Times New Roman"/>
          <w:b w:val="0"/>
          <w:color w:val="auto"/>
          <w:sz w:val="24"/>
          <w:szCs w:val="24"/>
          <w:highlight w:val="none"/>
        </w:rPr>
        <w:t>响应和偏差</w:t>
      </w:r>
      <w:bookmarkEnd w:id="154"/>
      <w:bookmarkEnd w:id="155"/>
    </w:p>
    <w:p w14:paraId="62BC17BC">
      <w:pPr>
        <w:pStyle w:val="16"/>
        <w:pageBreakBefore w:val="0"/>
        <w:kinsoku/>
        <w:wordWrap w:val="0"/>
        <w:topLinePunct/>
        <w:bidi w:val="0"/>
        <w:spacing w:line="400" w:lineRule="atLeast"/>
        <w:ind w:firstLine="48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1.12.1投标文件偏离招标文件某些要求，视为投标文件存在偏差。偏差包括重大偏差和细微偏差。</w:t>
      </w:r>
    </w:p>
    <w:p w14:paraId="4773A100">
      <w:pPr>
        <w:pStyle w:val="16"/>
        <w:pageBreakBefore w:val="0"/>
        <w:kinsoku/>
        <w:wordWrap w:val="0"/>
        <w:topLinePunct/>
        <w:bidi w:val="0"/>
        <w:spacing w:line="400" w:lineRule="atLeast"/>
        <w:ind w:firstLine="48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1.12.2投标文件应对招标文件的实质性要求和条件作出满足性或更有利于招标人的响应，否则，视为投标文件存在重大偏差，投标人的投标将被否决。</w:t>
      </w:r>
    </w:p>
    <w:p w14:paraId="40B873A8">
      <w:pPr>
        <w:pStyle w:val="16"/>
        <w:pageBreakBefore w:val="0"/>
        <w:kinsoku/>
        <w:wordWrap w:val="0"/>
        <w:topLinePunct/>
        <w:bidi w:val="0"/>
        <w:spacing w:line="400" w:lineRule="atLeast"/>
        <w:ind w:firstLine="48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投标文件存在第三章</w:t>
      </w:r>
      <w:r>
        <w:rPr>
          <w:rFonts w:hint="eastAsia" w:ascii="宋体" w:hAnsi="宋体" w:eastAsia="宋体" w:cs="宋体"/>
          <w:color w:val="auto"/>
          <w:szCs w:val="24"/>
          <w:highlight w:val="none"/>
        </w:rPr>
        <w:t>“</w:t>
      </w:r>
      <w:r>
        <w:rPr>
          <w:rFonts w:hint="default" w:ascii="Times New Roman" w:hAnsi="Times New Roman" w:eastAsia="宋体" w:cs="Times New Roman"/>
          <w:color w:val="auto"/>
          <w:szCs w:val="24"/>
          <w:highlight w:val="none"/>
        </w:rPr>
        <w:t>评标办法</w:t>
      </w:r>
      <w:r>
        <w:rPr>
          <w:rFonts w:hint="eastAsia" w:ascii="宋体" w:hAnsi="宋体" w:eastAsia="宋体" w:cs="宋体"/>
          <w:color w:val="auto"/>
          <w:szCs w:val="24"/>
          <w:highlight w:val="none"/>
        </w:rPr>
        <w:t>”</w:t>
      </w:r>
      <w:r>
        <w:rPr>
          <w:rFonts w:hint="default" w:ascii="Times New Roman" w:hAnsi="Times New Roman" w:eastAsia="宋体" w:cs="Times New Roman"/>
          <w:color w:val="auto"/>
          <w:szCs w:val="24"/>
          <w:highlight w:val="none"/>
        </w:rPr>
        <w:t>中所列任一否决投标情形的，均属于存在重大偏差。</w:t>
      </w:r>
    </w:p>
    <w:p w14:paraId="2B0D2EE1">
      <w:pPr>
        <w:pStyle w:val="16"/>
        <w:pageBreakBefore w:val="0"/>
        <w:kinsoku/>
        <w:wordWrap w:val="0"/>
        <w:topLinePunct/>
        <w:bidi w:val="0"/>
        <w:spacing w:line="400" w:lineRule="atLeast"/>
        <w:ind w:firstLine="48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1.12.3投标文件中的下列偏差为细微偏差：</w:t>
      </w:r>
    </w:p>
    <w:p w14:paraId="04DE253D">
      <w:pPr>
        <w:pStyle w:val="16"/>
        <w:pageBreakBefore w:val="0"/>
        <w:kinsoku/>
        <w:wordWrap w:val="0"/>
        <w:topLinePunct/>
        <w:bidi w:val="0"/>
        <w:spacing w:line="400" w:lineRule="atLeast"/>
        <w:ind w:firstLine="48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（1）</w:t>
      </w:r>
      <w:r>
        <w:rPr>
          <w:rFonts w:hint="default" w:ascii="Times New Roman" w:hAnsi="Times New Roman" w:eastAsia="宋体" w:cs="Times New Roman"/>
          <w:color w:val="auto"/>
          <w:highlight w:val="none"/>
        </w:rPr>
        <w:t>在按照</w:t>
      </w:r>
      <w:r>
        <w:rPr>
          <w:rFonts w:hint="default" w:ascii="Times New Roman" w:hAnsi="Times New Roman" w:eastAsia="宋体" w:cs="Times New Roman"/>
          <w:color w:val="auto"/>
          <w:szCs w:val="24"/>
          <w:highlight w:val="none"/>
        </w:rPr>
        <w:t>第三章</w:t>
      </w:r>
      <w:r>
        <w:rPr>
          <w:rFonts w:hint="eastAsia" w:ascii="宋体" w:hAnsi="宋体" w:eastAsia="宋体" w:cs="宋体"/>
          <w:color w:val="auto"/>
          <w:szCs w:val="24"/>
          <w:highlight w:val="none"/>
        </w:rPr>
        <w:t>“</w:t>
      </w:r>
      <w:r>
        <w:rPr>
          <w:rFonts w:hint="default" w:ascii="Times New Roman" w:hAnsi="Times New Roman" w:eastAsia="宋体" w:cs="Times New Roman"/>
          <w:color w:val="auto"/>
          <w:szCs w:val="24"/>
          <w:highlight w:val="none"/>
        </w:rPr>
        <w:t>评标办法</w:t>
      </w:r>
      <w:r>
        <w:rPr>
          <w:rFonts w:hint="eastAsia" w:ascii="宋体" w:hAnsi="宋体" w:eastAsia="宋体" w:cs="宋体"/>
          <w:color w:val="auto"/>
          <w:szCs w:val="24"/>
          <w:highlight w:val="none"/>
        </w:rPr>
        <w:t>”</w:t>
      </w:r>
      <w:r>
        <w:rPr>
          <w:rFonts w:hint="default" w:ascii="Times New Roman" w:hAnsi="Times New Roman" w:eastAsia="宋体" w:cs="Times New Roman"/>
          <w:color w:val="auto"/>
          <w:szCs w:val="24"/>
          <w:highlight w:val="none"/>
        </w:rPr>
        <w:t>的规定对投标价进行其他错误</w:t>
      </w:r>
      <w:r>
        <w:rPr>
          <w:rFonts w:hint="default" w:ascii="Times New Roman" w:hAnsi="Times New Roman" w:eastAsia="宋体" w:cs="Times New Roman"/>
          <w:color w:val="auto"/>
          <w:highlight w:val="none"/>
        </w:rPr>
        <w:t>修正后，最终投标报价未超过最高投标限价（如有）的情况下，出现</w:t>
      </w:r>
      <w:r>
        <w:rPr>
          <w:rFonts w:hint="default" w:ascii="Times New Roman" w:hAnsi="Times New Roman" w:eastAsia="宋体" w:cs="Times New Roman"/>
          <w:color w:val="auto"/>
          <w:szCs w:val="24"/>
          <w:highlight w:val="none"/>
        </w:rPr>
        <w:t>第三章</w:t>
      </w:r>
      <w:r>
        <w:rPr>
          <w:rFonts w:hint="eastAsia" w:ascii="宋体" w:hAnsi="宋体" w:eastAsia="宋体" w:cs="宋体"/>
          <w:color w:val="auto"/>
          <w:szCs w:val="24"/>
          <w:highlight w:val="none"/>
        </w:rPr>
        <w:t>“</w:t>
      </w:r>
      <w:r>
        <w:rPr>
          <w:rFonts w:hint="default" w:ascii="Times New Roman" w:hAnsi="Times New Roman" w:eastAsia="宋体" w:cs="Times New Roman"/>
          <w:color w:val="auto"/>
          <w:szCs w:val="24"/>
          <w:highlight w:val="none"/>
        </w:rPr>
        <w:t>评标办法</w:t>
      </w:r>
      <w:r>
        <w:rPr>
          <w:rFonts w:hint="eastAsia" w:ascii="宋体" w:hAnsi="宋体" w:eastAsia="宋体" w:cs="宋体"/>
          <w:color w:val="auto"/>
          <w:szCs w:val="24"/>
          <w:highlight w:val="none"/>
        </w:rPr>
        <w:t>”</w:t>
      </w:r>
      <w:r>
        <w:rPr>
          <w:rFonts w:hint="default" w:ascii="Times New Roman" w:hAnsi="Times New Roman" w:eastAsia="宋体" w:cs="Times New Roman"/>
          <w:color w:val="auto"/>
          <w:szCs w:val="24"/>
          <w:highlight w:val="none"/>
        </w:rPr>
        <w:t>规定的投标报价其他错误；</w:t>
      </w:r>
    </w:p>
    <w:p w14:paraId="78B11C17">
      <w:pPr>
        <w:pStyle w:val="16"/>
        <w:pageBreakBefore w:val="0"/>
        <w:kinsoku/>
        <w:wordWrap w:val="0"/>
        <w:topLinePunct/>
        <w:bidi w:val="0"/>
        <w:spacing w:line="400" w:lineRule="atLeast"/>
        <w:ind w:firstLine="48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（2）施工组织设计（含关键工程技术方案）和项目管理机构不够完善；</w:t>
      </w:r>
    </w:p>
    <w:p w14:paraId="532DBA89">
      <w:pPr>
        <w:pStyle w:val="16"/>
        <w:pageBreakBefore w:val="0"/>
        <w:kinsoku/>
        <w:wordWrap w:val="0"/>
        <w:topLinePunct/>
        <w:bidi w:val="0"/>
        <w:spacing w:line="400" w:lineRule="atLeast"/>
        <w:ind w:firstLine="48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（3）投标文件个别文字有遗漏错误等不影响投标文件实质性内容的偏差。</w:t>
      </w:r>
    </w:p>
    <w:p w14:paraId="30841D02">
      <w:pPr>
        <w:pStyle w:val="16"/>
        <w:pageBreakBefore w:val="0"/>
        <w:kinsoku/>
        <w:wordWrap w:val="0"/>
        <w:topLinePunct/>
        <w:bidi w:val="0"/>
        <w:spacing w:line="400" w:lineRule="atLeast"/>
        <w:ind w:firstLine="48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1.12.4评标委员会对投标文件中的细微偏差按如下规定处理：</w:t>
      </w:r>
    </w:p>
    <w:p w14:paraId="40B07133">
      <w:pPr>
        <w:pStyle w:val="16"/>
        <w:pageBreakBefore w:val="0"/>
        <w:kinsoku/>
        <w:wordWrap w:val="0"/>
        <w:topLinePunct/>
        <w:bidi w:val="0"/>
        <w:spacing w:line="400" w:lineRule="atLeast"/>
        <w:ind w:firstLine="48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（1）对于本章第1.12.3项（1）目所述的细微偏差，按照第三章</w:t>
      </w:r>
      <w:r>
        <w:rPr>
          <w:rFonts w:hint="eastAsia" w:ascii="宋体" w:hAnsi="宋体" w:eastAsia="宋体" w:cs="宋体"/>
          <w:color w:val="auto"/>
          <w:szCs w:val="24"/>
          <w:highlight w:val="none"/>
        </w:rPr>
        <w:t>“</w:t>
      </w:r>
      <w:r>
        <w:rPr>
          <w:rFonts w:hint="default" w:ascii="Times New Roman" w:hAnsi="Times New Roman" w:eastAsia="宋体" w:cs="Times New Roman"/>
          <w:color w:val="auto"/>
          <w:szCs w:val="24"/>
          <w:highlight w:val="none"/>
        </w:rPr>
        <w:t>评标办法</w:t>
      </w:r>
      <w:r>
        <w:rPr>
          <w:rFonts w:hint="eastAsia" w:ascii="宋体" w:hAnsi="宋体" w:eastAsia="宋体" w:cs="宋体"/>
          <w:color w:val="auto"/>
          <w:szCs w:val="24"/>
          <w:highlight w:val="none"/>
        </w:rPr>
        <w:t>”</w:t>
      </w:r>
      <w:r>
        <w:rPr>
          <w:rFonts w:hint="default" w:ascii="Times New Roman" w:hAnsi="Times New Roman" w:eastAsia="宋体" w:cs="Times New Roman"/>
          <w:color w:val="auto"/>
          <w:szCs w:val="24"/>
          <w:highlight w:val="none"/>
        </w:rPr>
        <w:t>的规定予以修正并要求投标人进行澄清；</w:t>
      </w:r>
    </w:p>
    <w:p w14:paraId="61C8967A">
      <w:pPr>
        <w:pStyle w:val="16"/>
        <w:pageBreakBefore w:val="0"/>
        <w:kinsoku/>
        <w:wordWrap w:val="0"/>
        <w:topLinePunct/>
        <w:bidi w:val="0"/>
        <w:spacing w:line="400" w:lineRule="atLeast"/>
        <w:ind w:firstLine="48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2）对于本章第1.12.3项（2）目所述的细微偏差，如果采用合理低价法或经评审的最低投标价法评标，应要求投标人对细微偏差进行澄清，只有投标人的澄清文件被评标委员会接受，投标人才能参加评标价的最终评比。如果采用技术评分最低标价法或综合评分法评标，可在相关评分因素的评分中酌情扣分；</w:t>
      </w:r>
    </w:p>
    <w:p w14:paraId="77ED413E">
      <w:pPr>
        <w:pStyle w:val="16"/>
        <w:pageBreakBefore w:val="0"/>
        <w:kinsoku/>
        <w:wordWrap w:val="0"/>
        <w:topLinePunct/>
        <w:bidi w:val="0"/>
        <w:spacing w:line="400" w:lineRule="atLeast"/>
        <w:ind w:firstLine="48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（3）对于本章第1.12.3项（3）目所述的细微偏差，可要求投标人对细微偏差进行澄清。</w:t>
      </w:r>
    </w:p>
    <w:p w14:paraId="1CB6186B">
      <w:pPr>
        <w:pStyle w:val="16"/>
        <w:pageBreakBefore w:val="0"/>
        <w:kinsoku/>
        <w:wordWrap w:val="0"/>
        <w:topLinePunct/>
        <w:bidi w:val="0"/>
        <w:spacing w:line="400" w:lineRule="atLeast"/>
        <w:ind w:firstLine="48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1.12.5投标人应根据招标文件的要求提供施工组织设计等内容以对招标文件作出响应。</w:t>
      </w:r>
    </w:p>
    <w:p w14:paraId="43AB67C4">
      <w:pPr>
        <w:pStyle w:val="5"/>
        <w:keepNext/>
        <w:keepLines/>
        <w:pageBreakBefore w:val="0"/>
        <w:widowControl w:val="0"/>
        <w:kinsoku/>
        <w:wordWrap w:val="0"/>
        <w:overflowPunct/>
        <w:topLinePunct w:val="0"/>
        <w:autoSpaceDE/>
        <w:autoSpaceDN/>
        <w:bidi w:val="0"/>
        <w:adjustRightInd/>
        <w:snapToGrid/>
        <w:spacing w:before="240" w:after="240" w:line="240" w:lineRule="atLeast"/>
        <w:jc w:val="both"/>
        <w:textAlignment w:val="auto"/>
        <w:outlineLvl w:val="2"/>
        <w:rPr>
          <w:rFonts w:hint="default" w:ascii="黑体" w:hAnsi="黑体" w:eastAsia="黑体" w:cs="黑体"/>
          <w:b w:val="0"/>
          <w:bCs/>
          <w:i w:val="0"/>
          <w:iCs w:val="0"/>
          <w:color w:val="auto"/>
          <w:sz w:val="28"/>
          <w:szCs w:val="28"/>
          <w:highlight w:val="none"/>
          <w:lang w:val="en-US" w:eastAsia="zh-CN"/>
        </w:rPr>
      </w:pPr>
      <w:bookmarkStart w:id="156" w:name="_Toc28741"/>
      <w:bookmarkStart w:id="157" w:name="_Toc5915"/>
      <w:bookmarkStart w:id="158" w:name="_Toc20402"/>
      <w:bookmarkStart w:id="159" w:name="_Toc5070"/>
      <w:bookmarkStart w:id="160" w:name="_Toc234832884"/>
      <w:r>
        <w:rPr>
          <w:rFonts w:hint="default" w:ascii="黑体" w:hAnsi="黑体" w:eastAsia="黑体" w:cs="黑体"/>
          <w:b w:val="0"/>
          <w:bCs/>
          <w:i w:val="0"/>
          <w:iCs w:val="0"/>
          <w:color w:val="auto"/>
          <w:sz w:val="28"/>
          <w:szCs w:val="28"/>
          <w:highlight w:val="none"/>
          <w:lang w:val="en-US" w:eastAsia="zh-CN"/>
        </w:rPr>
        <w:t>2.招标文件</w:t>
      </w:r>
      <w:bookmarkEnd w:id="156"/>
      <w:bookmarkEnd w:id="157"/>
      <w:bookmarkEnd w:id="158"/>
      <w:bookmarkEnd w:id="159"/>
      <w:bookmarkEnd w:id="160"/>
    </w:p>
    <w:p w14:paraId="0FC14816">
      <w:pPr>
        <w:keepNext w:val="0"/>
        <w:keepLines w:val="0"/>
        <w:pageBreakBefore w:val="0"/>
        <w:widowControl w:val="0"/>
        <w:kinsoku/>
        <w:wordWrap w:val="0"/>
        <w:overflowPunct/>
        <w:topLinePunct w:val="0"/>
        <w:autoSpaceDE/>
        <w:autoSpaceDN/>
        <w:bidi w:val="0"/>
        <w:adjustRightInd/>
        <w:snapToGrid/>
        <w:spacing w:before="240" w:after="240" w:line="240" w:lineRule="atLeast"/>
        <w:textAlignment w:val="auto"/>
        <w:outlineLvl w:val="9"/>
        <w:rPr>
          <w:rFonts w:hint="default" w:ascii="Times New Roman" w:hAnsi="Times New Roman" w:eastAsia="黑体" w:cs="Times New Roman"/>
          <w:b w:val="0"/>
          <w:color w:val="auto"/>
          <w:sz w:val="24"/>
          <w:szCs w:val="24"/>
          <w:highlight w:val="none"/>
        </w:rPr>
      </w:pPr>
      <w:bookmarkStart w:id="161" w:name="_Toc12252"/>
      <w:bookmarkStart w:id="162" w:name="_Toc234832885"/>
      <w:bookmarkStart w:id="163" w:name="_Toc28112"/>
      <w:r>
        <w:rPr>
          <w:rFonts w:hint="default" w:ascii="Times New Roman" w:hAnsi="Times New Roman" w:eastAsia="黑体" w:cs="Times New Roman"/>
          <w:b w:val="0"/>
          <w:color w:val="auto"/>
          <w:sz w:val="24"/>
          <w:szCs w:val="24"/>
          <w:highlight w:val="none"/>
        </w:rPr>
        <w:t>2.1招标文件的组成</w:t>
      </w:r>
      <w:bookmarkEnd w:id="161"/>
      <w:bookmarkEnd w:id="162"/>
      <w:bookmarkEnd w:id="163"/>
    </w:p>
    <w:p w14:paraId="73D23D78">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本招标文件包括：</w:t>
      </w:r>
    </w:p>
    <w:p w14:paraId="404FF1E2">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（1）招标公告；</w:t>
      </w:r>
    </w:p>
    <w:p w14:paraId="7F6BE76F">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（2）投标人须知；</w:t>
      </w:r>
    </w:p>
    <w:p w14:paraId="690C1C1F">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（3）评标办法；</w:t>
      </w:r>
    </w:p>
    <w:p w14:paraId="4426374B">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（4）合同条款及格式；</w:t>
      </w:r>
    </w:p>
    <w:p w14:paraId="645DD709">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（5）工程量清单；</w:t>
      </w:r>
    </w:p>
    <w:p w14:paraId="7A572A79">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（6）图纸；</w:t>
      </w:r>
    </w:p>
    <w:p w14:paraId="61AF8E40">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（7）技术规范；</w:t>
      </w:r>
    </w:p>
    <w:p w14:paraId="7D4DEB1E">
      <w:pPr>
        <w:pageBreakBefore w:val="0"/>
        <w:tabs>
          <w:tab w:val="center" w:pos="4634"/>
        </w:tabs>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（8）工程量清单计量规则；</w:t>
      </w:r>
    </w:p>
    <w:p w14:paraId="5893FBC6">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（9）投标文件格式；</w:t>
      </w:r>
    </w:p>
    <w:p w14:paraId="02178295">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（10）投标人须知前附表规定的其他资料。</w:t>
      </w:r>
    </w:p>
    <w:p w14:paraId="6EAB9F29">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根据本章第1.10款、第2.2款和第2.3款对招标文件所作的澄清、修改，构成招标文件的组成部分。</w:t>
      </w:r>
    </w:p>
    <w:p w14:paraId="090D0631">
      <w:pPr>
        <w:pStyle w:val="16"/>
        <w:pageBreakBefore w:val="0"/>
        <w:kinsoku/>
        <w:wordWrap w:val="0"/>
        <w:topLinePunct/>
        <w:bidi w:val="0"/>
        <w:spacing w:line="400" w:lineRule="atLeast"/>
        <w:ind w:firstLine="48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当招标文件、招标文件的澄清或修改等在同一内容的表述上不一致时，以最后发出的书面文件为准。</w:t>
      </w:r>
    </w:p>
    <w:p w14:paraId="09AF4845">
      <w:pPr>
        <w:keepNext w:val="0"/>
        <w:keepLines w:val="0"/>
        <w:pageBreakBefore w:val="0"/>
        <w:widowControl w:val="0"/>
        <w:kinsoku/>
        <w:wordWrap w:val="0"/>
        <w:overflowPunct/>
        <w:topLinePunct w:val="0"/>
        <w:autoSpaceDE/>
        <w:autoSpaceDN/>
        <w:bidi w:val="0"/>
        <w:adjustRightInd/>
        <w:snapToGrid/>
        <w:spacing w:before="240" w:after="240" w:line="240" w:lineRule="atLeast"/>
        <w:textAlignment w:val="auto"/>
        <w:outlineLvl w:val="9"/>
        <w:rPr>
          <w:rFonts w:hint="default" w:ascii="Times New Roman" w:hAnsi="Times New Roman" w:eastAsia="黑体" w:cs="Times New Roman"/>
          <w:b w:val="0"/>
          <w:color w:val="auto"/>
          <w:sz w:val="24"/>
          <w:szCs w:val="24"/>
          <w:highlight w:val="none"/>
        </w:rPr>
      </w:pPr>
      <w:bookmarkStart w:id="164" w:name="_Toc13346"/>
      <w:bookmarkStart w:id="165" w:name="_Toc6916"/>
      <w:bookmarkStart w:id="166" w:name="_Toc234832886"/>
      <w:r>
        <w:rPr>
          <w:rFonts w:hint="default" w:ascii="Times New Roman" w:hAnsi="Times New Roman" w:eastAsia="黑体" w:cs="Times New Roman"/>
          <w:b w:val="0"/>
          <w:color w:val="auto"/>
          <w:sz w:val="24"/>
          <w:szCs w:val="24"/>
          <w:highlight w:val="none"/>
        </w:rPr>
        <w:t>2.2招标文件的澄清</w:t>
      </w:r>
      <w:bookmarkEnd w:id="164"/>
      <w:bookmarkEnd w:id="165"/>
      <w:bookmarkEnd w:id="166"/>
    </w:p>
    <w:p w14:paraId="0406C512">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2.2.1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14:paraId="57B5B433">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2.2.2招标文件的澄清以投标人须知前附表规定的形式发给所有</w:t>
      </w:r>
      <w:r>
        <w:rPr>
          <w:rFonts w:hint="default" w:ascii="Times New Roman" w:hAnsi="Times New Roman" w:cs="Times New Roman"/>
          <w:color w:val="auto"/>
          <w:sz w:val="24"/>
          <w:highlight w:val="none"/>
          <w:lang w:eastAsia="zh-CN"/>
        </w:rPr>
        <w:t>获取招标文件</w:t>
      </w:r>
      <w:r>
        <w:rPr>
          <w:rFonts w:hint="default" w:ascii="Times New Roman" w:hAnsi="Times New Roman" w:eastAsia="宋体" w:cs="Times New Roman"/>
          <w:color w:val="auto"/>
          <w:sz w:val="24"/>
          <w:highlight w:val="none"/>
        </w:rPr>
        <w:t>的投标人，但不指明澄清问题的来源。澄清发出的时间距本章第4.2.1项规定的投标截止时间不足15日，且澄清内容可能影响投标文件编制的，将相应延长投标截止时间。</w:t>
      </w:r>
    </w:p>
    <w:p w14:paraId="264C476B">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2.2.3</w:t>
      </w:r>
      <w:r>
        <w:rPr>
          <w:rFonts w:hint="default" w:ascii="Times New Roman" w:hAnsi="Times New Roman" w:cs="Times New Roman"/>
          <w:color w:val="auto"/>
          <w:sz w:val="24"/>
          <w:szCs w:val="24"/>
          <w:highlight w:val="none"/>
        </w:rPr>
        <w:t>投标人</w:t>
      </w:r>
      <w:r>
        <w:rPr>
          <w:rFonts w:hint="default" w:ascii="Times New Roman" w:hAnsi="Times New Roman" w:cs="Times New Roman"/>
          <w:color w:val="auto"/>
          <w:sz w:val="24"/>
          <w:szCs w:val="24"/>
          <w:highlight w:val="none"/>
          <w:lang w:val="en-US" w:eastAsia="zh-CN"/>
        </w:rPr>
        <w:t>应</w:t>
      </w:r>
      <w:r>
        <w:rPr>
          <w:rFonts w:hint="default" w:ascii="Times New Roman" w:hAnsi="Times New Roman" w:cs="Times New Roman"/>
          <w:color w:val="auto"/>
          <w:sz w:val="24"/>
          <w:szCs w:val="24"/>
          <w:highlight w:val="none"/>
        </w:rPr>
        <w:t>按照投标人须知前附表要求及时收悉澄清内容。</w:t>
      </w:r>
      <w:r>
        <w:rPr>
          <w:rFonts w:hint="default" w:ascii="Times New Roman" w:hAnsi="Times New Roman" w:cs="Times New Roman"/>
          <w:color w:val="auto"/>
          <w:sz w:val="24"/>
          <w:highlight w:val="none"/>
        </w:rPr>
        <w:t>投标人应注意及时浏览网上发出的澄清，因投标人自身原因未及时获知澄清内容而导致的任何后果将由投标人自行承担</w:t>
      </w:r>
      <w:r>
        <w:rPr>
          <w:rFonts w:hint="default" w:ascii="Times New Roman" w:hAnsi="Times New Roman" w:eastAsia="宋体" w:cs="Times New Roman"/>
          <w:color w:val="auto"/>
          <w:sz w:val="24"/>
          <w:highlight w:val="none"/>
        </w:rPr>
        <w:t>。</w:t>
      </w:r>
    </w:p>
    <w:p w14:paraId="508D4E51">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2.2.4除非招标人认为确有必要答复，否则，招标人有权拒绝回复投标人在本章第2.2.1项规定的时间后提出的任何澄清要求。</w:t>
      </w:r>
    </w:p>
    <w:p w14:paraId="5EF78C1D">
      <w:pPr>
        <w:keepNext w:val="0"/>
        <w:keepLines w:val="0"/>
        <w:pageBreakBefore w:val="0"/>
        <w:widowControl w:val="0"/>
        <w:kinsoku/>
        <w:wordWrap w:val="0"/>
        <w:overflowPunct/>
        <w:topLinePunct w:val="0"/>
        <w:autoSpaceDE/>
        <w:autoSpaceDN/>
        <w:bidi w:val="0"/>
        <w:adjustRightInd/>
        <w:snapToGrid/>
        <w:spacing w:before="240" w:after="240" w:line="240" w:lineRule="atLeast"/>
        <w:textAlignment w:val="auto"/>
        <w:outlineLvl w:val="9"/>
        <w:rPr>
          <w:rFonts w:hint="default" w:ascii="Times New Roman" w:hAnsi="Times New Roman" w:eastAsia="黑体" w:cs="Times New Roman"/>
          <w:b w:val="0"/>
          <w:color w:val="auto"/>
          <w:sz w:val="24"/>
          <w:szCs w:val="24"/>
          <w:highlight w:val="none"/>
        </w:rPr>
      </w:pPr>
      <w:bookmarkStart w:id="167" w:name="_Toc20407"/>
      <w:bookmarkStart w:id="168" w:name="_Toc19533"/>
      <w:bookmarkStart w:id="169" w:name="_Toc234832887"/>
      <w:r>
        <w:rPr>
          <w:rFonts w:hint="default" w:ascii="Times New Roman" w:hAnsi="Times New Roman" w:eastAsia="黑体" w:cs="Times New Roman"/>
          <w:b w:val="0"/>
          <w:color w:val="auto"/>
          <w:sz w:val="24"/>
          <w:szCs w:val="24"/>
          <w:highlight w:val="none"/>
        </w:rPr>
        <w:t>2.3招标文件的修改</w:t>
      </w:r>
      <w:bookmarkEnd w:id="167"/>
      <w:bookmarkEnd w:id="168"/>
      <w:bookmarkEnd w:id="169"/>
    </w:p>
    <w:p w14:paraId="7FB7BF4E">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2.3.1招标人以投标人须知前附表规定的形式修改招标文件。修改招标文件的时间距本章第4.2.1项规定的投标截止时间不足15日，且修改内容可能影响投标文件编制的，将相应延长投标截止时间。</w:t>
      </w:r>
    </w:p>
    <w:p w14:paraId="4FC96076">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2.3.2</w:t>
      </w:r>
      <w:r>
        <w:rPr>
          <w:rFonts w:hint="default" w:ascii="Times New Roman" w:hAnsi="Times New Roman" w:cs="Times New Roman"/>
          <w:color w:val="auto"/>
          <w:sz w:val="24"/>
          <w:szCs w:val="24"/>
          <w:highlight w:val="none"/>
        </w:rPr>
        <w:t>投标人</w:t>
      </w:r>
      <w:r>
        <w:rPr>
          <w:rFonts w:hint="default" w:ascii="Times New Roman" w:hAnsi="Times New Roman" w:cs="Times New Roman"/>
          <w:color w:val="auto"/>
          <w:sz w:val="24"/>
          <w:szCs w:val="24"/>
          <w:highlight w:val="none"/>
          <w:lang w:val="en-US" w:eastAsia="zh-CN"/>
        </w:rPr>
        <w:t>应</w:t>
      </w:r>
      <w:r>
        <w:rPr>
          <w:rFonts w:hint="default" w:ascii="Times New Roman" w:hAnsi="Times New Roman" w:cs="Times New Roman"/>
          <w:color w:val="auto"/>
          <w:sz w:val="24"/>
          <w:szCs w:val="24"/>
          <w:highlight w:val="none"/>
        </w:rPr>
        <w:t>按照投标人须知前附表要求及时收悉</w:t>
      </w:r>
      <w:r>
        <w:rPr>
          <w:rFonts w:hint="default" w:ascii="Times New Roman" w:hAnsi="Times New Roman" w:cs="Times New Roman"/>
          <w:color w:val="auto"/>
          <w:sz w:val="24"/>
          <w:szCs w:val="24"/>
          <w:highlight w:val="none"/>
          <w:lang w:val="en-US" w:eastAsia="zh-CN"/>
        </w:rPr>
        <w:t>修改</w:t>
      </w:r>
      <w:r>
        <w:rPr>
          <w:rFonts w:hint="default" w:ascii="Times New Roman" w:hAnsi="Times New Roman" w:cs="Times New Roman"/>
          <w:color w:val="auto"/>
          <w:sz w:val="24"/>
          <w:szCs w:val="24"/>
          <w:highlight w:val="none"/>
        </w:rPr>
        <w:t>内容</w:t>
      </w:r>
      <w:r>
        <w:rPr>
          <w:rFonts w:hint="default" w:ascii="Times New Roman" w:hAnsi="Times New Roman" w:cs="Times New Roman"/>
          <w:color w:val="auto"/>
          <w:sz w:val="24"/>
          <w:highlight w:val="none"/>
        </w:rPr>
        <w:t>。投标人应注意及时浏览网上发出的修改，因投标人自身原因未及时获知修改内容而导致的任何后果将由投标人自行承担</w:t>
      </w:r>
      <w:r>
        <w:rPr>
          <w:rFonts w:hint="default" w:ascii="Times New Roman" w:hAnsi="Times New Roman" w:eastAsia="宋体" w:cs="Times New Roman"/>
          <w:color w:val="auto"/>
          <w:sz w:val="24"/>
          <w:highlight w:val="none"/>
        </w:rPr>
        <w:t>。</w:t>
      </w:r>
    </w:p>
    <w:p w14:paraId="15ACC5ED">
      <w:pPr>
        <w:keepNext w:val="0"/>
        <w:keepLines w:val="0"/>
        <w:pageBreakBefore w:val="0"/>
        <w:widowControl w:val="0"/>
        <w:kinsoku/>
        <w:wordWrap w:val="0"/>
        <w:overflowPunct/>
        <w:topLinePunct w:val="0"/>
        <w:autoSpaceDE/>
        <w:autoSpaceDN/>
        <w:bidi w:val="0"/>
        <w:adjustRightInd/>
        <w:snapToGrid/>
        <w:spacing w:before="240" w:after="240" w:line="240" w:lineRule="atLeast"/>
        <w:textAlignment w:val="auto"/>
        <w:outlineLvl w:val="9"/>
        <w:rPr>
          <w:rFonts w:hint="default" w:ascii="Times New Roman" w:hAnsi="Times New Roman" w:eastAsia="黑体" w:cs="Times New Roman"/>
          <w:b w:val="0"/>
          <w:color w:val="auto"/>
          <w:sz w:val="24"/>
          <w:szCs w:val="24"/>
          <w:highlight w:val="none"/>
        </w:rPr>
      </w:pPr>
      <w:bookmarkStart w:id="170" w:name="_Toc13132"/>
      <w:bookmarkStart w:id="171" w:name="_Toc8985"/>
      <w:r>
        <w:rPr>
          <w:rFonts w:hint="default" w:ascii="Times New Roman" w:hAnsi="Times New Roman" w:eastAsia="黑体" w:cs="Times New Roman"/>
          <w:b w:val="0"/>
          <w:color w:val="auto"/>
          <w:sz w:val="24"/>
          <w:szCs w:val="24"/>
          <w:highlight w:val="none"/>
        </w:rPr>
        <w:t>2.4招标文件的异议</w:t>
      </w:r>
      <w:bookmarkEnd w:id="170"/>
      <w:bookmarkEnd w:id="171"/>
    </w:p>
    <w:p w14:paraId="3B84DDB9">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cs="Times New Roman"/>
          <w:color w:val="auto"/>
          <w:sz w:val="24"/>
          <w:highlight w:val="none"/>
        </w:rPr>
        <w:t>投标人或其他利害关系人对招标文件有异议的，应在投标截止时间10日前以书面形式提出。招标人将在收到异议之日起3日内作出答复；作出答复前，将暂停招标投标活动。</w:t>
      </w:r>
    </w:p>
    <w:p w14:paraId="2FEC1060">
      <w:pPr>
        <w:pStyle w:val="5"/>
        <w:keepNext/>
        <w:keepLines/>
        <w:pageBreakBefore w:val="0"/>
        <w:widowControl w:val="0"/>
        <w:kinsoku/>
        <w:wordWrap w:val="0"/>
        <w:overflowPunct/>
        <w:topLinePunct w:val="0"/>
        <w:autoSpaceDE/>
        <w:autoSpaceDN/>
        <w:bidi w:val="0"/>
        <w:adjustRightInd/>
        <w:snapToGrid/>
        <w:spacing w:before="240" w:after="240" w:line="240" w:lineRule="atLeast"/>
        <w:jc w:val="both"/>
        <w:textAlignment w:val="auto"/>
        <w:outlineLvl w:val="2"/>
        <w:rPr>
          <w:rFonts w:hint="default" w:ascii="黑体" w:hAnsi="黑体" w:eastAsia="黑体" w:cs="黑体"/>
          <w:b w:val="0"/>
          <w:bCs/>
          <w:i w:val="0"/>
          <w:iCs w:val="0"/>
          <w:color w:val="auto"/>
          <w:sz w:val="28"/>
          <w:szCs w:val="28"/>
          <w:highlight w:val="none"/>
          <w:lang w:val="en-US" w:eastAsia="zh-CN"/>
        </w:rPr>
      </w:pPr>
      <w:bookmarkStart w:id="172" w:name="_Toc234832888"/>
      <w:bookmarkStart w:id="173" w:name="_Toc4963"/>
      <w:bookmarkStart w:id="174" w:name="_Toc22401"/>
      <w:bookmarkStart w:id="175" w:name="_Toc5874"/>
      <w:bookmarkStart w:id="176" w:name="_Toc24250"/>
      <w:r>
        <w:rPr>
          <w:rFonts w:hint="default" w:ascii="黑体" w:hAnsi="黑体" w:eastAsia="黑体" w:cs="黑体"/>
          <w:b w:val="0"/>
          <w:bCs/>
          <w:i w:val="0"/>
          <w:iCs w:val="0"/>
          <w:color w:val="auto"/>
          <w:sz w:val="28"/>
          <w:szCs w:val="28"/>
          <w:highlight w:val="none"/>
          <w:lang w:val="en-US" w:eastAsia="zh-CN"/>
        </w:rPr>
        <w:t>3.投标文件</w:t>
      </w:r>
      <w:bookmarkEnd w:id="172"/>
      <w:bookmarkEnd w:id="173"/>
      <w:bookmarkEnd w:id="174"/>
      <w:bookmarkEnd w:id="175"/>
      <w:bookmarkEnd w:id="176"/>
    </w:p>
    <w:p w14:paraId="410DFC4F">
      <w:pPr>
        <w:keepNext w:val="0"/>
        <w:keepLines w:val="0"/>
        <w:pageBreakBefore w:val="0"/>
        <w:widowControl w:val="0"/>
        <w:kinsoku/>
        <w:wordWrap w:val="0"/>
        <w:overflowPunct/>
        <w:topLinePunct w:val="0"/>
        <w:autoSpaceDE/>
        <w:autoSpaceDN/>
        <w:bidi w:val="0"/>
        <w:adjustRightInd/>
        <w:snapToGrid/>
        <w:spacing w:before="240" w:after="240" w:line="240" w:lineRule="atLeast"/>
        <w:textAlignment w:val="auto"/>
        <w:outlineLvl w:val="9"/>
        <w:rPr>
          <w:rFonts w:hint="default" w:ascii="Times New Roman" w:hAnsi="Times New Roman" w:eastAsia="黑体" w:cs="Times New Roman"/>
          <w:b w:val="0"/>
          <w:color w:val="auto"/>
          <w:sz w:val="24"/>
          <w:szCs w:val="24"/>
          <w:highlight w:val="none"/>
        </w:rPr>
      </w:pPr>
      <w:bookmarkStart w:id="177" w:name="_Toc18046"/>
      <w:bookmarkStart w:id="178" w:name="_Toc20988"/>
      <w:bookmarkStart w:id="179" w:name="_Toc234832889"/>
      <w:r>
        <w:rPr>
          <w:rFonts w:hint="default" w:ascii="Times New Roman" w:hAnsi="Times New Roman" w:eastAsia="黑体" w:cs="Times New Roman"/>
          <w:b w:val="0"/>
          <w:color w:val="auto"/>
          <w:sz w:val="24"/>
          <w:szCs w:val="24"/>
          <w:highlight w:val="none"/>
        </w:rPr>
        <w:t>3.1投标文件的组成</w:t>
      </w:r>
      <w:bookmarkEnd w:id="177"/>
      <w:bookmarkEnd w:id="178"/>
      <w:bookmarkEnd w:id="179"/>
    </w:p>
    <w:p w14:paraId="123D4475">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3.1.1投标文件应采用双信封形式，包括下列内容：</w:t>
      </w:r>
    </w:p>
    <w:p w14:paraId="26E54757">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第一个信封（商务及技术文件）：</w:t>
      </w:r>
    </w:p>
    <w:p w14:paraId="4C5B6200">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（1）投标函及投标函附录；</w:t>
      </w:r>
    </w:p>
    <w:p w14:paraId="40E02939">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（2）授权委托书或法定代表人身份证明；</w:t>
      </w:r>
    </w:p>
    <w:p w14:paraId="38B08C75">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（3）联合体协议书（如有）；</w:t>
      </w:r>
    </w:p>
    <w:p w14:paraId="2922554C">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（4）投标保证金（如有）；</w:t>
      </w:r>
    </w:p>
    <w:p w14:paraId="31D2109F">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（5）施工组织设计；</w:t>
      </w:r>
    </w:p>
    <w:p w14:paraId="4D88D14C">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（6）项目管理机构；</w:t>
      </w:r>
    </w:p>
    <w:p w14:paraId="417831D9">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（7）拟分包项目情况表（</w:t>
      </w:r>
      <w:r>
        <w:rPr>
          <w:rFonts w:hint="eastAsia" w:cs="Times New Roman"/>
          <w:color w:val="auto"/>
          <w:sz w:val="24"/>
          <w:highlight w:val="none"/>
          <w:lang w:val="en-US" w:eastAsia="zh-CN"/>
        </w:rPr>
        <w:t>如有</w:t>
      </w:r>
      <w:r>
        <w:rPr>
          <w:rFonts w:hint="default" w:ascii="Times New Roman" w:hAnsi="Times New Roman" w:eastAsia="宋体" w:cs="Times New Roman"/>
          <w:color w:val="auto"/>
          <w:sz w:val="24"/>
          <w:highlight w:val="none"/>
        </w:rPr>
        <w:t>）</w:t>
      </w:r>
    </w:p>
    <w:p w14:paraId="2BC519D8">
      <w:pPr>
        <w:pageBreakBefore w:val="0"/>
        <w:kinsoku/>
        <w:wordWrap w:val="0"/>
        <w:bidi w:val="0"/>
        <w:spacing w:line="400" w:lineRule="atLeast"/>
        <w:ind w:firstLine="480" w:firstLineChars="200"/>
        <w:rPr>
          <w:rFonts w:hint="eastAsia"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rPr>
        <w:t>（</w:t>
      </w:r>
      <w:r>
        <w:rPr>
          <w:rFonts w:hint="eastAsia" w:cs="Times New Roman"/>
          <w:color w:val="auto"/>
          <w:sz w:val="24"/>
          <w:highlight w:val="none"/>
          <w:lang w:val="en-US" w:eastAsia="zh-CN"/>
        </w:rPr>
        <w:t>8</w:t>
      </w:r>
      <w:r>
        <w:rPr>
          <w:rFonts w:hint="default" w:ascii="Times New Roman" w:hAnsi="Times New Roman" w:eastAsia="宋体" w:cs="Times New Roman"/>
          <w:color w:val="auto"/>
          <w:sz w:val="24"/>
          <w:highlight w:val="none"/>
        </w:rPr>
        <w:t>）资格审查资料；</w:t>
      </w:r>
    </w:p>
    <w:p w14:paraId="47A3DEC0">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w:t>
      </w:r>
      <w:r>
        <w:rPr>
          <w:rFonts w:hint="eastAsia" w:cs="Times New Roman"/>
          <w:color w:val="auto"/>
          <w:sz w:val="24"/>
          <w:highlight w:val="none"/>
          <w:lang w:val="en-US" w:eastAsia="zh-CN"/>
        </w:rPr>
        <w:t>9</w:t>
      </w:r>
      <w:r>
        <w:rPr>
          <w:rFonts w:hint="default" w:ascii="Times New Roman" w:hAnsi="Times New Roman" w:eastAsia="宋体" w:cs="Times New Roman"/>
          <w:color w:val="auto"/>
          <w:sz w:val="24"/>
          <w:highlight w:val="none"/>
        </w:rPr>
        <w:t>）投标人须知前附表规定的其他资料。</w:t>
      </w:r>
    </w:p>
    <w:p w14:paraId="0632E218">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第二个信封（报价文件）：</w:t>
      </w:r>
    </w:p>
    <w:p w14:paraId="33C4C1C1">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（1）投标函；</w:t>
      </w:r>
    </w:p>
    <w:p w14:paraId="62580172">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w:t>
      </w:r>
      <w:r>
        <w:rPr>
          <w:rFonts w:hint="eastAsia" w:cs="Times New Roman"/>
          <w:color w:val="auto"/>
          <w:sz w:val="24"/>
          <w:highlight w:val="none"/>
          <w:lang w:val="en-US" w:eastAsia="zh-CN"/>
        </w:rPr>
        <w:t>2</w:t>
      </w:r>
      <w:r>
        <w:rPr>
          <w:rFonts w:hint="default" w:ascii="Times New Roman" w:hAnsi="Times New Roman" w:eastAsia="宋体" w:cs="Times New Roman"/>
          <w:color w:val="auto"/>
          <w:sz w:val="24"/>
          <w:highlight w:val="none"/>
        </w:rPr>
        <w:t>）已标价工程量清单；</w:t>
      </w:r>
    </w:p>
    <w:p w14:paraId="5FF0AB62">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w:t>
      </w:r>
      <w:r>
        <w:rPr>
          <w:rFonts w:hint="eastAsia" w:cs="Times New Roman"/>
          <w:color w:val="auto"/>
          <w:sz w:val="24"/>
          <w:highlight w:val="none"/>
          <w:lang w:val="en-US" w:eastAsia="zh-CN"/>
        </w:rPr>
        <w:t>3</w:t>
      </w:r>
      <w:r>
        <w:rPr>
          <w:rFonts w:hint="default" w:ascii="Times New Roman" w:hAnsi="Times New Roman" w:eastAsia="宋体" w:cs="Times New Roman"/>
          <w:color w:val="auto"/>
          <w:sz w:val="24"/>
          <w:highlight w:val="none"/>
        </w:rPr>
        <w:t>）合同用款估算表。</w:t>
      </w:r>
    </w:p>
    <w:p w14:paraId="3B2CEEA3">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投标人在评标过程中作出的符合法律法规和招标文件规定的澄清确认，构成投标文件的组成部分。</w:t>
      </w:r>
    </w:p>
    <w:p w14:paraId="7E910E3E">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3.1.2投标人须知前附表规定不接受联合体投标的，或投标人没有组成联合体的，投标文件不包括本章第3.1.1（3）目所指的联合体协议书。</w:t>
      </w:r>
    </w:p>
    <w:p w14:paraId="605A34E0">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3.1.3投标人须知前附表未要求提交投标保证金的，投标文件不包括本章第3.1.1（4）目所指的投标保证金。</w:t>
      </w:r>
    </w:p>
    <w:p w14:paraId="5662B813">
      <w:pPr>
        <w:keepNext w:val="0"/>
        <w:keepLines w:val="0"/>
        <w:pageBreakBefore w:val="0"/>
        <w:widowControl w:val="0"/>
        <w:kinsoku/>
        <w:wordWrap w:val="0"/>
        <w:overflowPunct/>
        <w:topLinePunct w:val="0"/>
        <w:autoSpaceDE/>
        <w:autoSpaceDN/>
        <w:bidi w:val="0"/>
        <w:adjustRightInd/>
        <w:snapToGrid/>
        <w:spacing w:before="240" w:after="240" w:line="240" w:lineRule="atLeast"/>
        <w:textAlignment w:val="auto"/>
        <w:outlineLvl w:val="9"/>
        <w:rPr>
          <w:rFonts w:hint="eastAsia" w:ascii="Times New Roman" w:hAnsi="Times New Roman" w:eastAsia="黑体" w:cs="Times New Roman"/>
          <w:b w:val="0"/>
          <w:color w:val="auto"/>
          <w:sz w:val="24"/>
          <w:szCs w:val="24"/>
          <w:highlight w:val="none"/>
          <w:lang w:eastAsia="zh-CN"/>
        </w:rPr>
      </w:pPr>
      <w:bookmarkStart w:id="180" w:name="_Toc234832890"/>
      <w:bookmarkStart w:id="181" w:name="_Toc4919"/>
      <w:bookmarkStart w:id="182" w:name="_Toc22349"/>
      <w:r>
        <w:rPr>
          <w:rFonts w:hint="default" w:ascii="Times New Roman" w:hAnsi="Times New Roman" w:eastAsia="黑体" w:cs="Times New Roman"/>
          <w:b w:val="0"/>
          <w:color w:val="auto"/>
          <w:sz w:val="24"/>
          <w:szCs w:val="24"/>
          <w:highlight w:val="none"/>
        </w:rPr>
        <w:t>3.2投标报价</w:t>
      </w:r>
      <w:bookmarkEnd w:id="180"/>
      <w:bookmarkEnd w:id="181"/>
      <w:bookmarkEnd w:id="182"/>
    </w:p>
    <w:p w14:paraId="54EBC6EC">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3.2.1投标报价应包括国家规定的增值税税金，除投标人须知前附表另有规定外，增值税税金按一般计税方法计算。投标人应按第九章</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投标文件格式</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的要求在投标函中进行报价并填写工程量清单相应表格。</w:t>
      </w:r>
    </w:p>
    <w:p w14:paraId="0A6676DE">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本项目招标采用工程量清单，招标人在</w:t>
      </w:r>
      <w:r>
        <w:rPr>
          <w:rFonts w:hint="default" w:ascii="Times New Roman" w:hAnsi="Times New Roman" w:cs="Times New Roman"/>
          <w:color w:val="auto"/>
          <w:sz w:val="24"/>
          <w:highlight w:val="none"/>
          <w:lang w:val="en-US" w:eastAsia="zh-CN"/>
        </w:rPr>
        <w:t>发布</w:t>
      </w:r>
      <w:r>
        <w:rPr>
          <w:rFonts w:hint="default" w:ascii="Times New Roman" w:hAnsi="Times New Roman" w:eastAsia="宋体" w:cs="Times New Roman"/>
          <w:color w:val="auto"/>
          <w:sz w:val="24"/>
          <w:highlight w:val="none"/>
        </w:rPr>
        <w:t>招标文件的同时将工程量清单电子文件上传至投标人须知前附表载明的网站供投标人自行下载。投标人填写工程量清单中各子目的单价</w:t>
      </w:r>
      <w:r>
        <w:rPr>
          <w:rFonts w:hint="eastAsia" w:cs="Times New Roman"/>
          <w:color w:val="auto"/>
          <w:sz w:val="24"/>
          <w:highlight w:val="none"/>
          <w:lang w:val="en-US" w:eastAsia="zh-CN"/>
        </w:rPr>
        <w:t>或</w:t>
      </w:r>
      <w:r>
        <w:rPr>
          <w:rFonts w:hint="default" w:ascii="Times New Roman" w:hAnsi="Times New Roman" w:eastAsia="宋体" w:cs="Times New Roman"/>
          <w:color w:val="auto"/>
          <w:sz w:val="24"/>
          <w:highlight w:val="none"/>
        </w:rPr>
        <w:t>总额价，即可完成投标工程量清单的编制，确定投标报价，并</w:t>
      </w:r>
      <w:r>
        <w:rPr>
          <w:rFonts w:hint="eastAsia" w:cs="Times New Roman"/>
          <w:color w:val="auto"/>
          <w:sz w:val="24"/>
          <w:highlight w:val="none"/>
          <w:lang w:val="en-US" w:eastAsia="zh-CN"/>
        </w:rPr>
        <w:t>生成电子版</w:t>
      </w:r>
      <w:r>
        <w:rPr>
          <w:rFonts w:hint="default" w:ascii="Times New Roman" w:hAnsi="Times New Roman" w:eastAsia="宋体" w:cs="Times New Roman"/>
          <w:color w:val="auto"/>
          <w:sz w:val="24"/>
          <w:highlight w:val="none"/>
        </w:rPr>
        <w:t>工程量清单，编入投标文件。投标人未在工程量清单中填入单价或总额价的工程子目，将被认为其已包含在工程量清单其他子目的单价和总额价中，招标人将不予支付。</w:t>
      </w:r>
    </w:p>
    <w:p w14:paraId="5305714B">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严禁投标人修改工程量清单电子文件中的数据、格式及运算定义。</w:t>
      </w:r>
    </w:p>
    <w:p w14:paraId="6160B734">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投标人根据招标人提供的工程量清单电子文件填报完成并</w:t>
      </w:r>
      <w:r>
        <w:rPr>
          <w:rFonts w:hint="eastAsia" w:cs="Times New Roman"/>
          <w:color w:val="auto"/>
          <w:sz w:val="24"/>
          <w:highlight w:val="none"/>
          <w:lang w:val="en-US" w:eastAsia="zh-CN"/>
        </w:rPr>
        <w:t>生成</w:t>
      </w:r>
      <w:r>
        <w:rPr>
          <w:rFonts w:hint="default" w:ascii="Times New Roman" w:hAnsi="Times New Roman" w:eastAsia="宋体" w:cs="Times New Roman"/>
          <w:color w:val="auto"/>
          <w:sz w:val="24"/>
          <w:highlight w:val="none"/>
        </w:rPr>
        <w:t>的投标工程量清单中的投标报价和投标函大写金额报价应一致，如果报价金额出现差异，其投标将被否决。</w:t>
      </w:r>
    </w:p>
    <w:p w14:paraId="127378FD">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3.2.2投标人应充分了解本项目的总体情况以及影响投标报价的其他要素。</w:t>
      </w:r>
    </w:p>
    <w:p w14:paraId="1B3121F7">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3.2.3本项目的报价方式见投标人须知前附表。投标人在投标截止时间前修改投标函中的投标总报价，应同时修改投标文件</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已标价工程量清单</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中的相应报价。此修改须符合本章第4.3款的有关要求。</w:t>
      </w:r>
    </w:p>
    <w:p w14:paraId="100EF9F3">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3.2.4投标人如果发现工程量清单中的数量与图纸中数量不一致时，应立即通知招标人核查，除非招标人</w:t>
      </w:r>
      <w:r>
        <w:rPr>
          <w:rFonts w:hint="eastAsia" w:cs="Times New Roman"/>
          <w:color w:val="auto"/>
          <w:sz w:val="24"/>
          <w:highlight w:val="none"/>
          <w:lang w:val="en-US" w:eastAsia="zh-CN"/>
        </w:rPr>
        <w:t>在指定媒介上</w:t>
      </w:r>
      <w:r>
        <w:rPr>
          <w:rFonts w:hint="default" w:ascii="Times New Roman" w:hAnsi="Times New Roman" w:eastAsia="宋体" w:cs="Times New Roman"/>
          <w:color w:val="auto"/>
          <w:sz w:val="24"/>
          <w:highlight w:val="none"/>
        </w:rPr>
        <w:t>以书面方式予以更正，否则，应以工程量清单中列出的数量为准。</w:t>
      </w:r>
    </w:p>
    <w:p w14:paraId="69BAB192">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3.2.5投标人应根据《公路水运工程安全生产监督管理办法》，在投标总价中计入安全生产费用，安全生产费用应符合合同条款第9.2.5项的规定。工程量清单第100章内列有上述安全生产费的支付子目，由投标人按招标文件的规定填写总额价。</w:t>
      </w:r>
    </w:p>
    <w:p w14:paraId="1F968232">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3.2.</w:t>
      </w:r>
      <w:r>
        <w:rPr>
          <w:rFonts w:hint="eastAsia" w:cs="Times New Roman"/>
          <w:color w:val="auto"/>
          <w:sz w:val="24"/>
          <w:highlight w:val="none"/>
          <w:lang w:val="en-US" w:eastAsia="zh-CN"/>
        </w:rPr>
        <w:t>6</w:t>
      </w:r>
      <w:r>
        <w:rPr>
          <w:rFonts w:hint="default" w:ascii="Times New Roman" w:hAnsi="Times New Roman" w:eastAsia="宋体" w:cs="Times New Roman"/>
          <w:color w:val="auto"/>
          <w:sz w:val="24"/>
          <w:highlight w:val="none"/>
        </w:rPr>
        <w:t>在合同实施期间，投标人填写的单价、合价和总额价是否由于物价波动进行价格调整按照合同条款第16.1款的规定处理。如果按照合同条款第16.1.1项的规定采用价格调整公式进行价格调整，由招标人根据项目实际情况测算确定价格调整公式中的变值权重范围，并在投标函附录价格指数和权重表中约定范围；投标人在此范围内填写各可调因子的权重，合同实施期间将按此权重进行调价。</w:t>
      </w:r>
    </w:p>
    <w:p w14:paraId="2A3869F0">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3.2.</w:t>
      </w:r>
      <w:r>
        <w:rPr>
          <w:rFonts w:hint="eastAsia" w:cs="Times New Roman"/>
          <w:color w:val="auto"/>
          <w:sz w:val="24"/>
          <w:highlight w:val="none"/>
          <w:lang w:val="en-US" w:eastAsia="zh-CN"/>
        </w:rPr>
        <w:t>7</w:t>
      </w:r>
      <w:r>
        <w:rPr>
          <w:rFonts w:hint="default" w:ascii="Times New Roman" w:hAnsi="Times New Roman" w:eastAsia="宋体" w:cs="Times New Roman"/>
          <w:color w:val="auto"/>
          <w:sz w:val="24"/>
          <w:highlight w:val="none"/>
        </w:rPr>
        <w:t>招标人设有最高投标限价的，投标人的投标报价不得超过最高投标限价，最高投标限价在投标</w:t>
      </w:r>
      <w:bookmarkStart w:id="183" w:name="_Toc300834965"/>
      <w:bookmarkStart w:id="184" w:name="_Toc247527569"/>
      <w:bookmarkStart w:id="185" w:name="_Toc152042320"/>
      <w:bookmarkStart w:id="186" w:name="_Toc247513968"/>
      <w:bookmarkStart w:id="187" w:name="_Toc361508600"/>
      <w:bookmarkStart w:id="188" w:name="_Toc369531531"/>
      <w:bookmarkStart w:id="189" w:name="_Toc10429"/>
      <w:bookmarkStart w:id="190" w:name="_Toc144974512"/>
      <w:bookmarkStart w:id="191" w:name="_Toc384308225"/>
      <w:bookmarkStart w:id="192" w:name="_Toc152045544"/>
      <w:bookmarkStart w:id="193" w:name="_Toc352691488"/>
      <w:r>
        <w:rPr>
          <w:rFonts w:hint="default" w:ascii="Times New Roman" w:hAnsi="Times New Roman" w:eastAsia="宋体" w:cs="Times New Roman"/>
          <w:color w:val="auto"/>
          <w:sz w:val="24"/>
          <w:highlight w:val="none"/>
        </w:rPr>
        <w:t>人须知前附表中载明。</w:t>
      </w:r>
      <w:bookmarkEnd w:id="183"/>
      <w:bookmarkEnd w:id="184"/>
      <w:bookmarkEnd w:id="185"/>
      <w:bookmarkEnd w:id="186"/>
      <w:bookmarkEnd w:id="187"/>
      <w:bookmarkEnd w:id="188"/>
      <w:bookmarkEnd w:id="189"/>
      <w:bookmarkEnd w:id="190"/>
      <w:bookmarkEnd w:id="191"/>
      <w:bookmarkEnd w:id="192"/>
      <w:bookmarkEnd w:id="193"/>
    </w:p>
    <w:p w14:paraId="3726AAAD">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3.2.</w:t>
      </w:r>
      <w:r>
        <w:rPr>
          <w:rFonts w:hint="eastAsia" w:cs="Times New Roman"/>
          <w:color w:val="auto"/>
          <w:sz w:val="24"/>
          <w:highlight w:val="none"/>
          <w:lang w:val="en-US" w:eastAsia="zh-CN"/>
        </w:rPr>
        <w:t>8</w:t>
      </w:r>
      <w:r>
        <w:rPr>
          <w:rFonts w:hint="default" w:ascii="Times New Roman" w:hAnsi="Times New Roman" w:eastAsia="宋体" w:cs="Times New Roman"/>
          <w:color w:val="auto"/>
          <w:sz w:val="24"/>
          <w:highlight w:val="none"/>
        </w:rPr>
        <w:t>投标报价的其他要求见投标人须知前附表。</w:t>
      </w:r>
    </w:p>
    <w:p w14:paraId="46BF4AE0">
      <w:pPr>
        <w:keepNext w:val="0"/>
        <w:keepLines w:val="0"/>
        <w:pageBreakBefore w:val="0"/>
        <w:widowControl w:val="0"/>
        <w:kinsoku/>
        <w:wordWrap w:val="0"/>
        <w:overflowPunct/>
        <w:topLinePunct w:val="0"/>
        <w:autoSpaceDE/>
        <w:autoSpaceDN/>
        <w:bidi w:val="0"/>
        <w:adjustRightInd/>
        <w:snapToGrid/>
        <w:spacing w:before="240" w:after="240" w:line="240" w:lineRule="atLeast"/>
        <w:textAlignment w:val="auto"/>
        <w:outlineLvl w:val="9"/>
        <w:rPr>
          <w:rFonts w:hint="default" w:ascii="Times New Roman" w:hAnsi="Times New Roman" w:eastAsia="黑体" w:cs="Times New Roman"/>
          <w:b w:val="0"/>
          <w:color w:val="auto"/>
          <w:sz w:val="24"/>
          <w:szCs w:val="24"/>
          <w:highlight w:val="none"/>
        </w:rPr>
      </w:pPr>
      <w:bookmarkStart w:id="194" w:name="_Toc31161"/>
      <w:bookmarkStart w:id="195" w:name="_Toc234832891"/>
      <w:bookmarkStart w:id="196" w:name="_Toc5681"/>
      <w:r>
        <w:rPr>
          <w:rFonts w:hint="default" w:ascii="Times New Roman" w:hAnsi="Times New Roman" w:eastAsia="黑体" w:cs="Times New Roman"/>
          <w:b w:val="0"/>
          <w:color w:val="auto"/>
          <w:sz w:val="24"/>
          <w:szCs w:val="24"/>
          <w:highlight w:val="none"/>
        </w:rPr>
        <w:t>3.3投标有效期</w:t>
      </w:r>
      <w:bookmarkEnd w:id="194"/>
      <w:bookmarkEnd w:id="195"/>
      <w:bookmarkEnd w:id="196"/>
    </w:p>
    <w:p w14:paraId="5C64B1F4">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3.3.1除投标人须知前附表另有规定外，投标有效期为90日。</w:t>
      </w:r>
    </w:p>
    <w:p w14:paraId="704D9D98">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3.3.2在投标有效期内，投标人撤销投标文件的，应承担招标文件和法律规定的责任。</w:t>
      </w:r>
    </w:p>
    <w:p w14:paraId="3F08B122">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3.3.3出现特殊情况需要延长投标有效期的，招标人</w:t>
      </w:r>
      <w:r>
        <w:rPr>
          <w:rFonts w:hint="eastAsia" w:cs="Times New Roman"/>
          <w:color w:val="auto"/>
          <w:sz w:val="24"/>
          <w:highlight w:val="none"/>
          <w:lang w:val="en-US" w:eastAsia="zh-CN"/>
        </w:rPr>
        <w:t>通过电子交易平台</w:t>
      </w:r>
      <w:r>
        <w:rPr>
          <w:rFonts w:hint="default" w:ascii="Times New Roman" w:hAnsi="Times New Roman" w:eastAsia="宋体" w:cs="Times New Roman"/>
          <w:color w:val="auto"/>
          <w:sz w:val="24"/>
          <w:highlight w:val="none"/>
        </w:rPr>
        <w:t>通知所有投标人延长投标有效期。投标人同意延长的，应相应延长其投标保证金的有效期，但不得要求或被允许修改其投标文件；投标人拒绝延长的，其投标失效，但投标人有权收回其投标保证金及以现金或支票形式递交的投标保证金的银行同期活期存款利息。</w:t>
      </w:r>
    </w:p>
    <w:p w14:paraId="0E2DFEBE">
      <w:pPr>
        <w:keepNext w:val="0"/>
        <w:keepLines w:val="0"/>
        <w:pageBreakBefore w:val="0"/>
        <w:widowControl w:val="0"/>
        <w:kinsoku/>
        <w:wordWrap w:val="0"/>
        <w:overflowPunct/>
        <w:topLinePunct w:val="0"/>
        <w:autoSpaceDE/>
        <w:autoSpaceDN/>
        <w:bidi w:val="0"/>
        <w:adjustRightInd/>
        <w:snapToGrid/>
        <w:spacing w:before="240" w:after="240" w:line="240" w:lineRule="atLeast"/>
        <w:textAlignment w:val="auto"/>
        <w:outlineLvl w:val="9"/>
        <w:rPr>
          <w:rFonts w:hint="default" w:ascii="Times New Roman" w:hAnsi="Times New Roman" w:eastAsia="黑体" w:cs="Times New Roman"/>
          <w:b w:val="0"/>
          <w:color w:val="auto"/>
          <w:sz w:val="24"/>
          <w:szCs w:val="24"/>
          <w:highlight w:val="none"/>
        </w:rPr>
      </w:pPr>
      <w:bookmarkStart w:id="197" w:name="_Toc17536"/>
      <w:bookmarkStart w:id="198" w:name="_Toc234832892"/>
      <w:bookmarkStart w:id="199" w:name="_Toc14943"/>
      <w:r>
        <w:rPr>
          <w:rFonts w:hint="default" w:ascii="Times New Roman" w:hAnsi="Times New Roman" w:eastAsia="黑体" w:cs="Times New Roman"/>
          <w:b w:val="0"/>
          <w:color w:val="auto"/>
          <w:sz w:val="24"/>
          <w:szCs w:val="24"/>
          <w:highlight w:val="none"/>
        </w:rPr>
        <w:t>3.4投标保证金</w:t>
      </w:r>
      <w:bookmarkEnd w:id="197"/>
      <w:bookmarkEnd w:id="198"/>
      <w:bookmarkEnd w:id="199"/>
    </w:p>
    <w:p w14:paraId="4B2CAB14">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3.4.1投标人在递交投标文件的同时，应按投标人须知前附表规定的金额和第九章</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投标文件格式</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规定的投标保证金格式递交投标保证金，并作为其投标文件的组成部分。联合体投标的，其投标保证金由牵头人递交，并应符合投标人须知前附表的规定。</w:t>
      </w:r>
    </w:p>
    <w:p w14:paraId="0A3EDB85">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投标保证金应采用现金、支票、银行保函或招标人在投标人须知前附表规定的其他形式。</w:t>
      </w:r>
    </w:p>
    <w:p w14:paraId="59501211">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（1）若采用现金或支票，投标人应在递交投标文件截止时间之前，将投标保证金由投标人的基本账户转入招标人指定账户，否则视为投标保证金无效。招标人指定的开户银行及账号见投标人须知前附表。</w:t>
      </w:r>
    </w:p>
    <w:p w14:paraId="6563E8B8">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（2）若采用银行保函，则应由符合投标人须知前附表规定级别的银行开具，并采用招标文件提供的格式。银行保函</w:t>
      </w:r>
      <w:r>
        <w:rPr>
          <w:rFonts w:hint="eastAsia" w:cs="Times New Roman"/>
          <w:color w:val="auto"/>
          <w:sz w:val="24"/>
          <w:highlight w:val="none"/>
          <w:lang w:eastAsia="zh-CN"/>
        </w:rPr>
        <w:t>原件扫描件</w:t>
      </w:r>
      <w:r>
        <w:rPr>
          <w:rFonts w:hint="eastAsia" w:cs="Times New Roman"/>
          <w:color w:val="auto"/>
          <w:sz w:val="24"/>
          <w:highlight w:val="none"/>
          <w:lang w:val="en-US" w:eastAsia="zh-CN"/>
        </w:rPr>
        <w:t>编辑</w:t>
      </w:r>
      <w:r>
        <w:rPr>
          <w:rFonts w:hint="default" w:ascii="Times New Roman" w:hAnsi="Times New Roman" w:eastAsia="宋体" w:cs="Times New Roman"/>
          <w:color w:val="auto"/>
          <w:sz w:val="24"/>
          <w:highlight w:val="none"/>
        </w:rPr>
        <w:t>在投标文件内。</w:t>
      </w:r>
    </w:p>
    <w:p w14:paraId="79638B5D">
      <w:pPr>
        <w:pageBreakBefore w:val="0"/>
        <w:kinsoku/>
        <w:wordWrap w:val="0"/>
        <w:bidi w:val="0"/>
        <w:spacing w:line="400" w:lineRule="atLeast"/>
        <w:ind w:firstLine="480" w:firstLineChars="200"/>
        <w:rPr>
          <w:rFonts w:hint="eastAsia" w:ascii="Times New Roman" w:hAnsi="Times New Roman" w:eastAsia="宋体" w:cs="Times New Roman"/>
          <w:color w:val="auto"/>
          <w:sz w:val="24"/>
          <w:highlight w:val="none"/>
          <w:lang w:eastAsia="zh-CN"/>
        </w:rPr>
      </w:pPr>
      <w:r>
        <w:rPr>
          <w:rFonts w:hint="eastAsia" w:cs="Times New Roman"/>
          <w:color w:val="auto"/>
          <w:sz w:val="24"/>
          <w:highlight w:val="none"/>
          <w:lang w:eastAsia="zh-CN"/>
        </w:rPr>
        <w:t>（</w:t>
      </w:r>
      <w:r>
        <w:rPr>
          <w:rFonts w:hint="eastAsia" w:cs="Times New Roman"/>
          <w:color w:val="auto"/>
          <w:sz w:val="24"/>
          <w:highlight w:val="none"/>
          <w:lang w:val="en-US" w:eastAsia="zh-CN"/>
        </w:rPr>
        <w:t>3</w:t>
      </w:r>
      <w:r>
        <w:rPr>
          <w:rFonts w:hint="eastAsia" w:cs="Times New Roman"/>
          <w:color w:val="auto"/>
          <w:sz w:val="24"/>
          <w:highlight w:val="none"/>
          <w:lang w:eastAsia="zh-CN"/>
        </w:rPr>
        <w:t>）若采用电子保函形式提交，投标人应在投标文件中提供电子保函的扫描件和电子化保函验真渠道。</w:t>
      </w:r>
    </w:p>
    <w:p w14:paraId="4D7E9EF5">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无论采取何种形式的投标保证金，投标保证金有效期均应与投标有效期一致。招标人如果按本章第3.3.3项的规定延长了投标有效期，则投标保证金的有效期也相应延长。</w:t>
      </w:r>
    </w:p>
    <w:p w14:paraId="4A889F0C">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3.4.2投标人不按本章第3.4.1项要求提交投标保证金的，评标委员会将否决其投标。</w:t>
      </w:r>
    </w:p>
    <w:p w14:paraId="16A18F00">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3.4.3招标人最迟将在中标通知书发出后5日内向中标候选人以外的其他投标人退还投标保证金，与中标人签订合同后5日内向中标人和其他中标候选人退还投标保证金。投标保证金以现金或支票形式递交的，招标人应同时退还投标保证金的银行同期活期存款利息，且退还至投标人的基本账户。</w:t>
      </w:r>
    </w:p>
    <w:p w14:paraId="352F863D">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u w:val="single"/>
        </w:rPr>
      </w:pPr>
      <w:r>
        <w:rPr>
          <w:rFonts w:hint="default" w:ascii="Times New Roman" w:hAnsi="Times New Roman" w:eastAsia="宋体" w:cs="Times New Roman"/>
          <w:color w:val="auto"/>
          <w:sz w:val="24"/>
          <w:highlight w:val="none"/>
        </w:rPr>
        <w:t>利息计算原则见投标人须知前附表。</w:t>
      </w:r>
    </w:p>
    <w:p w14:paraId="770502A5">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3.4.4有下列情形之一的，投标保证金将不予退还：</w:t>
      </w:r>
    </w:p>
    <w:p w14:paraId="443C06E6">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（1）投标人在投标有效期内撤销投标文件；</w:t>
      </w:r>
    </w:p>
    <w:p w14:paraId="72AD31EE">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（2）中标人在收到中标通知书后，无正当理由不与招标人订立合同，在签订合同时向招标人提出附加条件，或不按照招标文件要求提交履约保证金；</w:t>
      </w:r>
    </w:p>
    <w:p w14:paraId="492C8B2B">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（3）发生投标人须知前附表规定的其他可以不予退还投标保证金的情形。</w:t>
      </w:r>
    </w:p>
    <w:p w14:paraId="6D247F0E">
      <w:pPr>
        <w:keepNext w:val="0"/>
        <w:keepLines w:val="0"/>
        <w:pageBreakBefore w:val="0"/>
        <w:widowControl w:val="0"/>
        <w:kinsoku/>
        <w:wordWrap w:val="0"/>
        <w:overflowPunct/>
        <w:topLinePunct w:val="0"/>
        <w:autoSpaceDE/>
        <w:autoSpaceDN/>
        <w:bidi w:val="0"/>
        <w:adjustRightInd/>
        <w:snapToGrid/>
        <w:spacing w:before="240" w:after="240" w:line="240" w:lineRule="atLeast"/>
        <w:textAlignment w:val="auto"/>
        <w:outlineLvl w:val="9"/>
        <w:rPr>
          <w:rFonts w:hint="default" w:ascii="Times New Roman" w:hAnsi="Times New Roman" w:eastAsia="黑体" w:cs="Times New Roman"/>
          <w:b w:val="0"/>
          <w:color w:val="auto"/>
          <w:sz w:val="24"/>
          <w:szCs w:val="24"/>
          <w:highlight w:val="none"/>
        </w:rPr>
      </w:pPr>
      <w:bookmarkStart w:id="200" w:name="_Toc234832894"/>
      <w:bookmarkStart w:id="201" w:name="_Toc6927"/>
      <w:bookmarkStart w:id="202" w:name="_Toc19802"/>
      <w:r>
        <w:rPr>
          <w:rFonts w:hint="default" w:ascii="Times New Roman" w:hAnsi="Times New Roman" w:eastAsia="黑体" w:cs="Times New Roman"/>
          <w:b w:val="0"/>
          <w:color w:val="auto"/>
          <w:sz w:val="24"/>
          <w:szCs w:val="24"/>
          <w:highlight w:val="none"/>
        </w:rPr>
        <w:t>3.5资格审查资料</w:t>
      </w:r>
      <w:bookmarkEnd w:id="200"/>
      <w:bookmarkEnd w:id="201"/>
      <w:bookmarkEnd w:id="202"/>
    </w:p>
    <w:p w14:paraId="32E3BDD7">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除投标人须知前附表另有规定外，投标人应按下列规定提供资格审查资料，以证明其满足本章第1.4款规定的资质、财务、业绩、信誉等要求。</w:t>
      </w:r>
    </w:p>
    <w:p w14:paraId="454F859C">
      <w:pPr>
        <w:pageBreakBefore w:val="0"/>
        <w:kinsoku/>
        <w:wordWrap w:val="0"/>
        <w:bidi w:val="0"/>
        <w:spacing w:line="400" w:lineRule="atLeas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投标人应在</w:t>
      </w:r>
      <w:r>
        <w:rPr>
          <w:rFonts w:hint="eastAsia" w:ascii="宋体" w:hAnsi="宋体" w:eastAsia="宋体" w:cs="宋体"/>
          <w:color w:val="auto"/>
          <w:sz w:val="24"/>
          <w:szCs w:val="24"/>
          <w:highlight w:val="none"/>
        </w:rPr>
        <w:t>“</w:t>
      </w:r>
      <w:r>
        <w:rPr>
          <w:rFonts w:hint="default" w:ascii="Times New Roman" w:hAnsi="Times New Roman" w:eastAsia="宋体" w:cs="Times New Roman"/>
          <w:color w:val="auto"/>
          <w:sz w:val="24"/>
          <w:szCs w:val="24"/>
          <w:highlight w:val="none"/>
        </w:rPr>
        <w:t>辽宁省公共资源交易</w:t>
      </w:r>
      <w:r>
        <w:rPr>
          <w:rFonts w:hint="default" w:ascii="Times New Roman" w:hAnsi="Times New Roman" w:cs="Times New Roman"/>
          <w:color w:val="auto"/>
          <w:sz w:val="24"/>
          <w:szCs w:val="24"/>
          <w:highlight w:val="none"/>
          <w:lang w:val="en-US" w:eastAsia="zh-CN"/>
        </w:rPr>
        <w:t>一</w:t>
      </w:r>
      <w:r>
        <w:rPr>
          <w:rFonts w:hint="default" w:ascii="Times New Roman" w:hAnsi="Times New Roman" w:eastAsia="宋体" w:cs="Times New Roman"/>
          <w:color w:val="auto"/>
          <w:sz w:val="24"/>
          <w:szCs w:val="24"/>
          <w:highlight w:val="none"/>
        </w:rPr>
        <w:t>张网电子化平台</w:t>
      </w:r>
      <w:r>
        <w:rPr>
          <w:rFonts w:hint="eastAsia" w:ascii="宋体" w:hAnsi="宋体" w:eastAsia="宋体" w:cs="宋体"/>
          <w:color w:val="auto"/>
          <w:sz w:val="24"/>
          <w:szCs w:val="24"/>
          <w:highlight w:val="none"/>
        </w:rPr>
        <w:t>”</w:t>
      </w:r>
      <w:r>
        <w:rPr>
          <w:rFonts w:hint="default" w:ascii="Times New Roman" w:hAnsi="Times New Roman" w:eastAsia="宋体" w:cs="Times New Roman"/>
          <w:color w:val="auto"/>
          <w:sz w:val="24"/>
          <w:szCs w:val="24"/>
          <w:highlight w:val="none"/>
        </w:rPr>
        <w:t>中建立信用信息档案，并对在系统中所填报内容的真实性、准确性和完整性负责。投标人需要在</w:t>
      </w:r>
      <w:r>
        <w:rPr>
          <w:rFonts w:hint="eastAsia" w:ascii="宋体" w:hAnsi="宋体" w:eastAsia="宋体" w:cs="宋体"/>
          <w:color w:val="auto"/>
          <w:sz w:val="24"/>
          <w:szCs w:val="24"/>
          <w:highlight w:val="none"/>
        </w:rPr>
        <w:t>“</w:t>
      </w:r>
      <w:r>
        <w:rPr>
          <w:rFonts w:hint="default" w:ascii="Times New Roman" w:hAnsi="Times New Roman" w:eastAsia="宋体" w:cs="Times New Roman"/>
          <w:color w:val="auto"/>
          <w:sz w:val="24"/>
          <w:szCs w:val="24"/>
          <w:highlight w:val="none"/>
        </w:rPr>
        <w:t>辽宁省公共资源交易</w:t>
      </w:r>
      <w:r>
        <w:rPr>
          <w:rFonts w:hint="default" w:ascii="Times New Roman" w:hAnsi="Times New Roman" w:cs="Times New Roman"/>
          <w:color w:val="auto"/>
          <w:sz w:val="24"/>
          <w:szCs w:val="24"/>
          <w:highlight w:val="none"/>
          <w:lang w:val="en-US" w:eastAsia="zh-CN"/>
        </w:rPr>
        <w:t>一</w:t>
      </w:r>
      <w:r>
        <w:rPr>
          <w:rFonts w:hint="default" w:ascii="Times New Roman" w:hAnsi="Times New Roman" w:eastAsia="宋体" w:cs="Times New Roman"/>
          <w:color w:val="auto"/>
          <w:sz w:val="24"/>
          <w:szCs w:val="24"/>
          <w:highlight w:val="none"/>
        </w:rPr>
        <w:t>张网电子化平台</w:t>
      </w:r>
      <w:r>
        <w:rPr>
          <w:rFonts w:hint="eastAsia" w:ascii="宋体" w:hAnsi="宋体" w:eastAsia="宋体" w:cs="宋体"/>
          <w:color w:val="auto"/>
          <w:sz w:val="24"/>
          <w:szCs w:val="24"/>
          <w:highlight w:val="none"/>
        </w:rPr>
        <w:t>”</w:t>
      </w:r>
      <w:r>
        <w:rPr>
          <w:rFonts w:hint="default" w:ascii="Times New Roman" w:hAnsi="Times New Roman" w:eastAsia="宋体" w:cs="Times New Roman"/>
          <w:color w:val="auto"/>
          <w:sz w:val="24"/>
          <w:szCs w:val="24"/>
          <w:highlight w:val="none"/>
        </w:rPr>
        <w:t>中备案或更新的内容，</w:t>
      </w:r>
      <w:r>
        <w:rPr>
          <w:rFonts w:hint="default" w:ascii="Times New Roman" w:hAnsi="Times New Roman" w:cs="Times New Roman"/>
          <w:color w:val="auto"/>
          <w:sz w:val="24"/>
          <w:szCs w:val="24"/>
          <w:highlight w:val="none"/>
          <w:lang w:val="en-US" w:eastAsia="zh-CN"/>
        </w:rPr>
        <w:t>应</w:t>
      </w:r>
      <w:r>
        <w:rPr>
          <w:rFonts w:hint="default" w:ascii="Times New Roman" w:hAnsi="Times New Roman" w:eastAsia="宋体" w:cs="Times New Roman"/>
          <w:color w:val="auto"/>
          <w:sz w:val="24"/>
          <w:szCs w:val="24"/>
          <w:highlight w:val="none"/>
        </w:rPr>
        <w:t>在投标文件递交截止时间之前完成备案或更新，未录入、更新至</w:t>
      </w:r>
      <w:r>
        <w:rPr>
          <w:rFonts w:hint="eastAsia" w:ascii="宋体" w:hAnsi="宋体" w:eastAsia="宋体" w:cs="宋体"/>
          <w:color w:val="auto"/>
          <w:sz w:val="24"/>
          <w:szCs w:val="24"/>
          <w:highlight w:val="none"/>
        </w:rPr>
        <w:t>“</w:t>
      </w:r>
      <w:r>
        <w:rPr>
          <w:rFonts w:hint="default" w:ascii="Times New Roman" w:hAnsi="Times New Roman" w:eastAsia="宋体" w:cs="Times New Roman"/>
          <w:color w:val="auto"/>
          <w:sz w:val="24"/>
          <w:szCs w:val="24"/>
          <w:highlight w:val="none"/>
        </w:rPr>
        <w:t>辽宁省公共资源交易</w:t>
      </w:r>
      <w:r>
        <w:rPr>
          <w:rFonts w:hint="default" w:ascii="Times New Roman" w:hAnsi="Times New Roman" w:cs="Times New Roman"/>
          <w:color w:val="auto"/>
          <w:sz w:val="24"/>
          <w:szCs w:val="24"/>
          <w:highlight w:val="none"/>
          <w:lang w:val="en-US" w:eastAsia="zh-CN"/>
        </w:rPr>
        <w:t>一</w:t>
      </w:r>
      <w:r>
        <w:rPr>
          <w:rFonts w:hint="default" w:ascii="Times New Roman" w:hAnsi="Times New Roman" w:eastAsia="宋体" w:cs="Times New Roman"/>
          <w:color w:val="auto"/>
          <w:sz w:val="24"/>
          <w:szCs w:val="24"/>
          <w:highlight w:val="none"/>
        </w:rPr>
        <w:t>张网电子化平台</w:t>
      </w:r>
      <w:r>
        <w:rPr>
          <w:rFonts w:hint="eastAsia" w:ascii="宋体" w:hAnsi="宋体" w:eastAsia="宋体" w:cs="宋体"/>
          <w:color w:val="auto"/>
          <w:sz w:val="24"/>
          <w:szCs w:val="24"/>
          <w:highlight w:val="none"/>
        </w:rPr>
        <w:t>”</w:t>
      </w:r>
      <w:r>
        <w:rPr>
          <w:rFonts w:hint="default" w:ascii="Times New Roman" w:hAnsi="Times New Roman" w:eastAsia="宋体" w:cs="Times New Roman"/>
          <w:color w:val="auto"/>
          <w:sz w:val="24"/>
          <w:szCs w:val="24"/>
          <w:highlight w:val="none"/>
        </w:rPr>
        <w:t>的信息数据或已录入、更新至</w:t>
      </w:r>
      <w:r>
        <w:rPr>
          <w:rFonts w:hint="eastAsia" w:ascii="宋体" w:hAnsi="宋体" w:eastAsia="宋体" w:cs="宋体"/>
          <w:color w:val="auto"/>
          <w:sz w:val="24"/>
          <w:szCs w:val="24"/>
          <w:highlight w:val="none"/>
        </w:rPr>
        <w:t>“</w:t>
      </w:r>
      <w:r>
        <w:rPr>
          <w:rFonts w:hint="default" w:ascii="Times New Roman" w:hAnsi="Times New Roman" w:eastAsia="宋体" w:cs="Times New Roman"/>
          <w:color w:val="auto"/>
          <w:sz w:val="24"/>
          <w:szCs w:val="24"/>
          <w:highlight w:val="none"/>
        </w:rPr>
        <w:t>辽宁省公共资源交易</w:t>
      </w:r>
      <w:r>
        <w:rPr>
          <w:rFonts w:hint="default" w:ascii="Times New Roman" w:hAnsi="Times New Roman" w:cs="Times New Roman"/>
          <w:color w:val="auto"/>
          <w:sz w:val="24"/>
          <w:szCs w:val="24"/>
          <w:highlight w:val="none"/>
          <w:lang w:val="en-US" w:eastAsia="zh-CN"/>
        </w:rPr>
        <w:t>一</w:t>
      </w:r>
      <w:r>
        <w:rPr>
          <w:rFonts w:hint="default" w:ascii="Times New Roman" w:hAnsi="Times New Roman" w:eastAsia="宋体" w:cs="Times New Roman"/>
          <w:color w:val="auto"/>
          <w:sz w:val="24"/>
          <w:szCs w:val="24"/>
          <w:highlight w:val="none"/>
        </w:rPr>
        <w:t>张网电子化平台</w:t>
      </w:r>
      <w:r>
        <w:rPr>
          <w:rFonts w:hint="eastAsia" w:ascii="宋体" w:hAnsi="宋体" w:eastAsia="宋体" w:cs="宋体"/>
          <w:color w:val="auto"/>
          <w:sz w:val="24"/>
          <w:szCs w:val="24"/>
          <w:highlight w:val="none"/>
        </w:rPr>
        <w:t>”</w:t>
      </w:r>
      <w:r>
        <w:rPr>
          <w:rFonts w:hint="default" w:ascii="Times New Roman" w:hAnsi="Times New Roman" w:eastAsia="宋体" w:cs="Times New Roman"/>
          <w:color w:val="auto"/>
          <w:sz w:val="24"/>
          <w:szCs w:val="24"/>
          <w:highlight w:val="none"/>
        </w:rPr>
        <w:t>中但</w:t>
      </w:r>
      <w:r>
        <w:rPr>
          <w:rFonts w:hint="eastAsia" w:ascii="宋体" w:hAnsi="宋体" w:eastAsia="宋体" w:cs="宋体"/>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投标文件</w:t>
      </w:r>
      <w:r>
        <w:rPr>
          <w:rFonts w:hint="eastAsia" w:ascii="宋体" w:hAnsi="宋体" w:eastAsia="宋体" w:cs="宋体"/>
          <w:color w:val="auto"/>
          <w:sz w:val="24"/>
          <w:szCs w:val="24"/>
          <w:highlight w:val="none"/>
          <w:lang w:eastAsia="zh-CN"/>
        </w:rPr>
        <w:t>”</w:t>
      </w:r>
      <w:r>
        <w:rPr>
          <w:rFonts w:hint="default" w:ascii="Times New Roman" w:hAnsi="Times New Roman" w:eastAsia="宋体" w:cs="Times New Roman"/>
          <w:color w:val="auto"/>
          <w:sz w:val="24"/>
          <w:szCs w:val="24"/>
          <w:highlight w:val="none"/>
        </w:rPr>
        <w:t>中未填报的内容，均不予认可，投标文件中证明资料的</w:t>
      </w:r>
      <w:r>
        <w:rPr>
          <w:rFonts w:hint="eastAsia" w:ascii="宋体" w:hAnsi="宋体" w:eastAsia="宋体" w:cs="宋体"/>
          <w:color w:val="auto"/>
          <w:sz w:val="24"/>
          <w:szCs w:val="24"/>
          <w:highlight w:val="none"/>
        </w:rPr>
        <w:t>“</w:t>
      </w:r>
      <w:r>
        <w:rPr>
          <w:rFonts w:hint="eastAsia" w:cs="Times New Roman"/>
          <w:color w:val="auto"/>
          <w:sz w:val="24"/>
          <w:szCs w:val="24"/>
          <w:highlight w:val="none"/>
          <w:lang w:eastAsia="zh-CN"/>
        </w:rPr>
        <w:t>原件扫描件</w:t>
      </w:r>
      <w:r>
        <w:rPr>
          <w:rFonts w:hint="eastAsia" w:ascii="宋体" w:hAnsi="宋体" w:eastAsia="宋体" w:cs="宋体"/>
          <w:color w:val="auto"/>
          <w:sz w:val="24"/>
          <w:szCs w:val="24"/>
          <w:highlight w:val="none"/>
        </w:rPr>
        <w:t>”</w:t>
      </w:r>
      <w:r>
        <w:rPr>
          <w:rFonts w:hint="default" w:ascii="Times New Roman" w:hAnsi="Times New Roman" w:eastAsia="宋体" w:cs="Times New Roman"/>
          <w:color w:val="auto"/>
          <w:sz w:val="24"/>
          <w:szCs w:val="24"/>
          <w:highlight w:val="none"/>
        </w:rPr>
        <w:t>应从</w:t>
      </w:r>
      <w:r>
        <w:rPr>
          <w:rFonts w:hint="eastAsia" w:ascii="宋体" w:hAnsi="宋体" w:eastAsia="宋体" w:cs="宋体"/>
          <w:color w:val="auto"/>
          <w:sz w:val="24"/>
          <w:szCs w:val="24"/>
          <w:highlight w:val="none"/>
        </w:rPr>
        <w:t>“</w:t>
      </w:r>
      <w:r>
        <w:rPr>
          <w:rFonts w:hint="eastAsia" w:cs="Times New Roman"/>
          <w:color w:val="auto"/>
          <w:sz w:val="24"/>
          <w:szCs w:val="24"/>
          <w:highlight w:val="none"/>
          <w:lang w:eastAsia="zh-CN"/>
        </w:rPr>
        <w:t>电子交易平台</w:t>
      </w:r>
      <w:r>
        <w:rPr>
          <w:rFonts w:hint="eastAsia" w:ascii="宋体" w:hAnsi="宋体" w:eastAsia="宋体" w:cs="宋体"/>
          <w:color w:val="auto"/>
          <w:sz w:val="24"/>
          <w:szCs w:val="24"/>
          <w:highlight w:val="none"/>
        </w:rPr>
        <w:t>”</w:t>
      </w:r>
      <w:r>
        <w:rPr>
          <w:rFonts w:hint="eastAsia" w:cs="Times New Roman"/>
          <w:color w:val="auto"/>
          <w:sz w:val="24"/>
          <w:szCs w:val="24"/>
          <w:highlight w:val="none"/>
          <w:lang w:val="en-US" w:eastAsia="zh-CN"/>
        </w:rPr>
        <w:t>主体信息库</w:t>
      </w:r>
      <w:r>
        <w:rPr>
          <w:rFonts w:hint="default" w:ascii="Times New Roman" w:hAnsi="Times New Roman" w:eastAsia="宋体" w:cs="Times New Roman"/>
          <w:color w:val="auto"/>
          <w:sz w:val="24"/>
          <w:szCs w:val="24"/>
          <w:highlight w:val="none"/>
        </w:rPr>
        <w:t>中选择并进行超链接</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除投标人须知前附表另有规定外</w:t>
      </w:r>
      <w:r>
        <w:rPr>
          <w:rFonts w:hint="default" w:ascii="Times New Roman" w:hAnsi="Times New Roman" w:eastAsia="宋体" w:cs="Times New Roman"/>
          <w:color w:val="auto"/>
          <w:sz w:val="24"/>
          <w:szCs w:val="24"/>
          <w:highlight w:val="none"/>
        </w:rPr>
        <w:t>招标人不再接受投标人提交相关证明原件作为替代或补充。</w:t>
      </w:r>
    </w:p>
    <w:p w14:paraId="5402C407">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3.5.1</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投标人基本情况表</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应附企业法人营业执照、施工资质证书、安全生产许可证、基本账户开户许可证</w:t>
      </w:r>
      <w:r>
        <w:rPr>
          <w:rFonts w:hint="default" w:ascii="Times New Roman" w:hAnsi="Times New Roman" w:cs="Times New Roman"/>
          <w:color w:val="auto"/>
          <w:sz w:val="24"/>
          <w:szCs w:val="24"/>
          <w:highlight w:val="none"/>
          <w:lang w:val="en-US" w:eastAsia="zh-CN"/>
        </w:rPr>
        <w:t>或</w:t>
      </w:r>
      <w:r>
        <w:rPr>
          <w:rFonts w:hint="eastAsia" w:cs="Times New Roman"/>
          <w:color w:val="auto"/>
          <w:sz w:val="24"/>
          <w:szCs w:val="24"/>
          <w:highlight w:val="none"/>
          <w:lang w:val="en-US" w:eastAsia="zh-CN"/>
        </w:rPr>
        <w:t>基本存款账户信息</w:t>
      </w:r>
      <w:r>
        <w:rPr>
          <w:rFonts w:hint="default" w:ascii="Times New Roman" w:hAnsi="Times New Roman" w:eastAsia="宋体" w:cs="Times New Roman"/>
          <w:color w:val="auto"/>
          <w:sz w:val="24"/>
          <w:highlight w:val="none"/>
        </w:rPr>
        <w:t>的</w:t>
      </w:r>
      <w:r>
        <w:rPr>
          <w:rFonts w:hint="eastAsia" w:ascii="宋体" w:hAnsi="宋体" w:eastAsia="宋体" w:cs="宋体"/>
          <w:color w:val="auto"/>
          <w:sz w:val="24"/>
          <w:highlight w:val="none"/>
          <w:lang w:eastAsia="zh-CN"/>
        </w:rPr>
        <w:t>“</w:t>
      </w:r>
      <w:r>
        <w:rPr>
          <w:rFonts w:hint="eastAsia" w:cs="Times New Roman"/>
          <w:color w:val="auto"/>
          <w:sz w:val="24"/>
          <w:highlight w:val="none"/>
          <w:lang w:eastAsia="zh-CN"/>
        </w:rPr>
        <w:t>原件扫描件</w:t>
      </w:r>
      <w:r>
        <w:rPr>
          <w:rFonts w:hint="eastAsia" w:ascii="宋体" w:hAnsi="宋体" w:eastAsia="宋体" w:cs="宋体"/>
          <w:color w:val="auto"/>
          <w:sz w:val="24"/>
          <w:highlight w:val="none"/>
          <w:lang w:eastAsia="zh-CN"/>
        </w:rPr>
        <w:t>”</w:t>
      </w:r>
      <w:r>
        <w:rPr>
          <w:rFonts w:hint="default" w:ascii="Times New Roman" w:hAnsi="Times New Roman" w:eastAsia="宋体" w:cs="Times New Roman"/>
          <w:color w:val="auto"/>
          <w:sz w:val="24"/>
          <w:highlight w:val="none"/>
        </w:rPr>
        <w:t>，投标人在交通运输部</w:t>
      </w:r>
      <w:r>
        <w:rPr>
          <w:rFonts w:hint="eastAsia" w:ascii="宋体" w:hAnsi="宋体" w:eastAsia="宋体" w:cs="宋体"/>
          <w:color w:val="auto"/>
          <w:sz w:val="24"/>
          <w:highlight w:val="none"/>
        </w:rPr>
        <w:t>“</w:t>
      </w:r>
      <w:r>
        <w:rPr>
          <w:rFonts w:hint="eastAsia" w:cs="Times New Roman"/>
          <w:color w:val="auto"/>
          <w:sz w:val="24"/>
          <w:highlight w:val="none"/>
          <w:lang w:eastAsia="zh-CN"/>
        </w:rPr>
        <w:t>全国公路建设市场监督管理系统</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公路工程施工资质企业名录中的网页截图</w:t>
      </w:r>
      <w:r>
        <w:rPr>
          <w:rStyle w:val="48"/>
          <w:rFonts w:ascii="Times New Roman" w:hAnsi="Times New Roman" w:eastAsia="宋体" w:cs="Times New Roman"/>
          <w:color w:val="auto"/>
          <w:highlight w:val="none"/>
        </w:rPr>
        <w:footnoteReference w:id="21"/>
      </w:r>
      <w:r>
        <w:rPr>
          <w:rFonts w:hint="default" w:ascii="Times New Roman" w:hAnsi="Times New Roman" w:eastAsia="宋体" w:cs="Times New Roman"/>
          <w:color w:val="auto"/>
          <w:sz w:val="24"/>
          <w:highlight w:val="none"/>
        </w:rPr>
        <w:t>，以及投标人在国家企业信用信息公示系统中基础信息（体现股东及出资详细信息）的网页截图。</w:t>
      </w:r>
    </w:p>
    <w:p w14:paraId="7B5BA369">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企业法人营业执照、施工资质证书、安全生产许可证、基本账户开户许可证</w:t>
      </w:r>
      <w:r>
        <w:rPr>
          <w:rFonts w:hint="default" w:ascii="Times New Roman" w:hAnsi="Times New Roman" w:cs="Times New Roman"/>
          <w:color w:val="auto"/>
          <w:sz w:val="24"/>
          <w:szCs w:val="24"/>
          <w:highlight w:val="none"/>
          <w:lang w:val="en-US" w:eastAsia="zh-CN"/>
        </w:rPr>
        <w:t>或</w:t>
      </w:r>
      <w:r>
        <w:rPr>
          <w:rFonts w:hint="eastAsia" w:cs="Times New Roman"/>
          <w:color w:val="auto"/>
          <w:sz w:val="24"/>
          <w:szCs w:val="24"/>
          <w:highlight w:val="none"/>
          <w:lang w:val="en-US" w:eastAsia="zh-CN"/>
        </w:rPr>
        <w:t>基本存款账户信息</w:t>
      </w:r>
      <w:r>
        <w:rPr>
          <w:rFonts w:hint="default" w:ascii="Times New Roman" w:hAnsi="Times New Roman" w:eastAsia="宋体" w:cs="Times New Roman"/>
          <w:color w:val="auto"/>
          <w:sz w:val="24"/>
          <w:highlight w:val="none"/>
        </w:rPr>
        <w:t>的</w:t>
      </w:r>
      <w:r>
        <w:rPr>
          <w:rFonts w:hint="eastAsia" w:ascii="宋体" w:hAnsi="宋体" w:eastAsia="宋体" w:cs="宋体"/>
          <w:color w:val="auto"/>
          <w:sz w:val="24"/>
          <w:highlight w:val="none"/>
          <w:lang w:eastAsia="zh-CN"/>
        </w:rPr>
        <w:t>“</w:t>
      </w:r>
      <w:r>
        <w:rPr>
          <w:rFonts w:hint="eastAsia" w:cs="Times New Roman"/>
          <w:color w:val="auto"/>
          <w:sz w:val="24"/>
          <w:highlight w:val="none"/>
          <w:lang w:eastAsia="zh-CN"/>
        </w:rPr>
        <w:t>原件扫描件</w:t>
      </w:r>
      <w:r>
        <w:rPr>
          <w:rFonts w:hint="eastAsia" w:ascii="宋体" w:hAnsi="宋体" w:eastAsia="宋体" w:cs="宋体"/>
          <w:color w:val="auto"/>
          <w:sz w:val="24"/>
          <w:highlight w:val="none"/>
          <w:lang w:eastAsia="zh-CN"/>
        </w:rPr>
        <w:t>”</w:t>
      </w:r>
      <w:r>
        <w:rPr>
          <w:rFonts w:hint="default" w:ascii="Times New Roman" w:hAnsi="Times New Roman" w:eastAsia="宋体" w:cs="Times New Roman"/>
          <w:color w:val="auto"/>
          <w:sz w:val="24"/>
          <w:highlight w:val="none"/>
        </w:rPr>
        <w:t>应提供全本（证书封面、封底、空白页除外），应包括投标人名称、投标人其他相关信息、颁发机构名称、投标人信息变更情况等关键页在内。</w:t>
      </w:r>
    </w:p>
    <w:p w14:paraId="4864A8A6">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3.5.2</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财务状况表</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应附经会计师事务所或审计机构审计的财务会计报表，包括资产负债表、现金流量表、利润表和财务情况说明书的</w:t>
      </w:r>
      <w:r>
        <w:rPr>
          <w:rFonts w:hint="eastAsia" w:ascii="宋体" w:hAnsi="宋体" w:eastAsia="宋体" w:cs="宋体"/>
          <w:color w:val="auto"/>
          <w:sz w:val="24"/>
          <w:highlight w:val="none"/>
          <w:lang w:eastAsia="zh-CN"/>
        </w:rPr>
        <w:t>“</w:t>
      </w:r>
      <w:r>
        <w:rPr>
          <w:rFonts w:hint="eastAsia" w:cs="Times New Roman"/>
          <w:color w:val="auto"/>
          <w:sz w:val="24"/>
          <w:highlight w:val="none"/>
          <w:lang w:eastAsia="zh-CN"/>
        </w:rPr>
        <w:t>原件扫描件</w:t>
      </w:r>
      <w:r>
        <w:rPr>
          <w:rFonts w:hint="eastAsia" w:ascii="宋体" w:hAnsi="宋体" w:eastAsia="宋体" w:cs="宋体"/>
          <w:color w:val="auto"/>
          <w:sz w:val="24"/>
          <w:highlight w:val="none"/>
          <w:lang w:eastAsia="zh-CN"/>
        </w:rPr>
        <w:t>”</w:t>
      </w:r>
      <w:r>
        <w:rPr>
          <w:rFonts w:hint="default" w:ascii="Times New Roman" w:hAnsi="Times New Roman" w:eastAsia="宋体" w:cs="Times New Roman"/>
          <w:color w:val="auto"/>
          <w:sz w:val="24"/>
          <w:highlight w:val="none"/>
        </w:rPr>
        <w:t>，具体年份要求见投标人须知前附表。投标人的成立时间少于投标人须知前附表规定年份的，应提供成立以来的财务状况表。</w:t>
      </w:r>
    </w:p>
    <w:p w14:paraId="7756AA32">
      <w:pPr>
        <w:pageBreakBefore w:val="0"/>
        <w:kinsoku/>
        <w:wordWrap w:val="0"/>
        <w:topLinePunct/>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3.5.3</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近年完成的类似项目</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具体时间要求见投标人须知前附表。</w:t>
      </w:r>
    </w:p>
    <w:p w14:paraId="6CC214E4">
      <w:pPr>
        <w:pageBreakBefore w:val="0"/>
        <w:kinsoku/>
        <w:wordWrap w:val="0"/>
        <w:topLinePunct/>
        <w:bidi w:val="0"/>
        <w:spacing w:line="400" w:lineRule="atLeast"/>
        <w:ind w:firstLine="480" w:firstLineChars="200"/>
        <w:rPr>
          <w:rFonts w:hint="eastAsia" w:ascii="宋体" w:hAnsi="宋体" w:eastAsia="宋体" w:cs="宋体"/>
          <w:color w:val="auto"/>
          <w:sz w:val="24"/>
          <w:highlight w:val="none"/>
        </w:rPr>
      </w:pPr>
      <w:r>
        <w:rPr>
          <w:rFonts w:hint="eastAsia" w:cs="Times New Roman"/>
          <w:color w:val="auto"/>
          <w:sz w:val="24"/>
          <w:highlight w:val="none"/>
          <w:lang w:val="en-US" w:eastAsia="zh-CN"/>
        </w:rPr>
        <w:t>投标人应在</w:t>
      </w:r>
      <w:r>
        <w:rPr>
          <w:rFonts w:hint="eastAsia" w:ascii="宋体" w:hAnsi="宋体" w:eastAsia="宋体" w:cs="宋体"/>
          <w:color w:val="auto"/>
          <w:sz w:val="24"/>
          <w:highlight w:val="none"/>
        </w:rPr>
        <w:t>“辽宁省公共资源交易一张网电子化平台”</w:t>
      </w:r>
      <w:r>
        <w:rPr>
          <w:rFonts w:hint="eastAsia" w:ascii="宋体" w:hAnsi="宋体" w:cs="宋体"/>
          <w:color w:val="auto"/>
          <w:sz w:val="24"/>
          <w:highlight w:val="none"/>
          <w:lang w:eastAsia="zh-CN"/>
        </w:rPr>
        <w:t>主体信息库</w:t>
      </w:r>
      <w:r>
        <w:rPr>
          <w:rFonts w:hint="eastAsia" w:ascii="宋体" w:hAnsi="宋体" w:eastAsia="宋体" w:cs="宋体"/>
          <w:color w:val="auto"/>
          <w:sz w:val="24"/>
          <w:highlight w:val="none"/>
        </w:rPr>
        <w:t>中选择并进行超链接</w:t>
      </w:r>
      <w:r>
        <w:rPr>
          <w:rFonts w:hint="eastAsia" w:ascii="宋体" w:hAnsi="宋体" w:cs="宋体"/>
          <w:color w:val="auto"/>
          <w:sz w:val="24"/>
          <w:highlight w:val="none"/>
          <w:lang w:eastAsia="zh-CN"/>
        </w:rPr>
        <w:t>。</w:t>
      </w:r>
    </w:p>
    <w:p w14:paraId="24023A47">
      <w:pPr>
        <w:pageBreakBefore w:val="0"/>
        <w:kinsoku/>
        <w:wordWrap w:val="0"/>
        <w:topLinePunct/>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3.5.</w:t>
      </w:r>
      <w:r>
        <w:rPr>
          <w:rFonts w:hint="eastAsia" w:cs="Times New Roman"/>
          <w:color w:val="auto"/>
          <w:sz w:val="24"/>
          <w:highlight w:val="none"/>
          <w:lang w:val="en-US" w:eastAsia="zh-CN"/>
        </w:rPr>
        <w:t>4</w:t>
      </w:r>
      <w:r>
        <w:rPr>
          <w:rFonts w:hint="default" w:ascii="Times New Roman" w:hAnsi="Times New Roman" w:eastAsia="宋体" w:cs="Times New Roman"/>
          <w:color w:val="auto"/>
          <w:sz w:val="24"/>
          <w:highlight w:val="none"/>
        </w:rPr>
        <w:t>投标人的信誉情况表</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应附投标人在国家企业信用信息公示系统中未被列入严重违法失信企业名单、在</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信用中国</w:t>
      </w:r>
      <w:r>
        <w:rPr>
          <w:rFonts w:hint="eastAsia" w:ascii="宋体" w:hAnsi="宋体" w:eastAsia="宋体" w:cs="宋体"/>
          <w:color w:val="auto"/>
          <w:sz w:val="24"/>
          <w:highlight w:val="none"/>
        </w:rPr>
        <w:t>”（或中国执行信息公开网）</w:t>
      </w:r>
      <w:r>
        <w:rPr>
          <w:rFonts w:hint="default" w:ascii="Times New Roman" w:hAnsi="Times New Roman" w:eastAsia="宋体" w:cs="Times New Roman"/>
          <w:color w:val="auto"/>
          <w:sz w:val="24"/>
          <w:highlight w:val="none"/>
        </w:rPr>
        <w:t>网站中未被列入失信被执行人名单的网页截图，以及</w:t>
      </w:r>
      <w:r>
        <w:rPr>
          <w:rFonts w:hint="default" w:ascii="Times New Roman" w:hAnsi="Times New Roman" w:cs="Times New Roman"/>
          <w:color w:val="auto"/>
          <w:sz w:val="24"/>
          <w:szCs w:val="24"/>
          <w:highlight w:val="none"/>
          <w:lang w:val="en-US" w:eastAsia="zh-CN"/>
        </w:rPr>
        <w:t>近三年内（以投标截止日期为截止日、往前推算3个年度）投标人单位、个人（指法定代表人、拟投入的项目经理）均无行贿犯罪行为的书面承诺</w:t>
      </w:r>
      <w:r>
        <w:rPr>
          <w:rFonts w:hint="eastAsia" w:cs="Times New Roman"/>
          <w:color w:val="auto"/>
          <w:sz w:val="24"/>
          <w:szCs w:val="24"/>
          <w:highlight w:val="none"/>
          <w:lang w:val="en-US" w:eastAsia="zh-CN"/>
        </w:rPr>
        <w:t>“原件扫描件”</w:t>
      </w:r>
      <w:r>
        <w:rPr>
          <w:rFonts w:hint="default" w:ascii="Times New Roman" w:hAnsi="Times New Roman" w:cs="Times New Roman"/>
          <w:color w:val="auto"/>
          <w:sz w:val="24"/>
          <w:szCs w:val="24"/>
          <w:highlight w:val="none"/>
          <w:lang w:val="en-US" w:eastAsia="zh-CN"/>
        </w:rPr>
        <w:t>（格式详见招标文件第九章）</w:t>
      </w:r>
      <w:r>
        <w:rPr>
          <w:rFonts w:hint="default" w:ascii="Times New Roman" w:hAnsi="Times New Roman" w:eastAsia="宋体" w:cs="Times New Roman"/>
          <w:color w:val="auto"/>
          <w:sz w:val="24"/>
          <w:highlight w:val="none"/>
        </w:rPr>
        <w:t>。</w:t>
      </w:r>
    </w:p>
    <w:p w14:paraId="6A23B367">
      <w:pPr>
        <w:pageBreakBefore w:val="0"/>
        <w:kinsoku/>
        <w:wordWrap w:val="0"/>
        <w:bidi w:val="0"/>
        <w:spacing w:line="400" w:lineRule="atLeast"/>
        <w:ind w:firstLine="482" w:firstLineChars="200"/>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3.5.5</w:t>
      </w:r>
      <w:r>
        <w:rPr>
          <w:rFonts w:hint="eastAsia" w:ascii="宋体" w:hAnsi="宋体" w:eastAsia="宋体" w:cs="宋体"/>
          <w:b/>
          <w:bCs/>
          <w:color w:val="auto"/>
          <w:sz w:val="24"/>
          <w:highlight w:val="none"/>
        </w:rPr>
        <w:t>“</w:t>
      </w:r>
      <w:r>
        <w:rPr>
          <w:rFonts w:hint="default" w:ascii="Times New Roman" w:hAnsi="Times New Roman" w:eastAsia="宋体" w:cs="Times New Roman"/>
          <w:b/>
          <w:bCs/>
          <w:color w:val="auto"/>
          <w:sz w:val="24"/>
          <w:highlight w:val="none"/>
        </w:rPr>
        <w:t>拟委任的项目经理和项目总工资历表</w:t>
      </w:r>
      <w:r>
        <w:rPr>
          <w:rFonts w:hint="eastAsia" w:ascii="宋体" w:hAnsi="宋体" w:eastAsia="宋体" w:cs="宋体"/>
          <w:b/>
          <w:bCs/>
          <w:color w:val="auto"/>
          <w:sz w:val="24"/>
          <w:highlight w:val="none"/>
        </w:rPr>
        <w:t>”</w:t>
      </w:r>
      <w:r>
        <w:rPr>
          <w:rFonts w:hint="default" w:ascii="Times New Roman" w:hAnsi="Times New Roman" w:eastAsia="宋体" w:cs="Times New Roman"/>
          <w:b/>
          <w:bCs/>
          <w:color w:val="auto"/>
          <w:sz w:val="24"/>
          <w:highlight w:val="none"/>
        </w:rPr>
        <w:t>应附项目经理和项目总工的身份证、职称资格证书</w:t>
      </w:r>
      <w:r>
        <w:rPr>
          <w:rFonts w:hint="eastAsia" w:cs="Times New Roman"/>
          <w:b/>
          <w:bCs/>
          <w:color w:val="auto"/>
          <w:sz w:val="24"/>
          <w:highlight w:val="none"/>
          <w:lang w:eastAsia="zh-CN"/>
        </w:rPr>
        <w:t>、</w:t>
      </w:r>
      <w:r>
        <w:rPr>
          <w:rFonts w:hint="default" w:ascii="Times New Roman" w:hAnsi="Times New Roman" w:eastAsia="宋体" w:cs="Times New Roman"/>
          <w:b/>
          <w:bCs/>
          <w:color w:val="auto"/>
          <w:sz w:val="24"/>
          <w:highlight w:val="none"/>
        </w:rPr>
        <w:t>以及资格审查条件所要求的其他相关证书（如建造师注册证书、安全生产考核合格证书等）的</w:t>
      </w:r>
      <w:r>
        <w:rPr>
          <w:rFonts w:hint="eastAsia" w:cs="Times New Roman"/>
          <w:b/>
          <w:bCs/>
          <w:color w:val="auto"/>
          <w:sz w:val="24"/>
          <w:highlight w:val="none"/>
          <w:lang w:eastAsia="zh-CN"/>
        </w:rPr>
        <w:t>原件扫描件</w:t>
      </w:r>
      <w:r>
        <w:rPr>
          <w:rFonts w:hint="default" w:ascii="Times New Roman" w:hAnsi="Times New Roman" w:eastAsia="宋体" w:cs="Times New Roman"/>
          <w:b/>
          <w:bCs/>
          <w:color w:val="auto"/>
          <w:sz w:val="24"/>
          <w:highlight w:val="none"/>
        </w:rPr>
        <w:t>，建造师注册证书、安全生产考核合格证书在政府相关部门网站上公开信息的网页截图，以及投标人所属社保机构出具的拟委任的项目经理和项目总工的社保缴费证明或其他能够证明拟委任的项目经理和项目总工参加社保的有效证明材料</w:t>
      </w:r>
      <w:r>
        <w:rPr>
          <w:rFonts w:hint="eastAsia" w:cs="Times New Roman"/>
          <w:b/>
          <w:bCs/>
          <w:color w:val="auto"/>
          <w:sz w:val="24"/>
          <w:highlight w:val="none"/>
          <w:lang w:eastAsia="zh-CN"/>
        </w:rPr>
        <w:t>原件扫描件</w:t>
      </w:r>
      <w:r>
        <w:rPr>
          <w:rFonts w:hint="default" w:ascii="Times New Roman" w:hAnsi="Times New Roman" w:eastAsia="宋体" w:cs="Times New Roman"/>
          <w:b/>
          <w:bCs/>
          <w:color w:val="auto"/>
          <w:sz w:val="24"/>
          <w:highlight w:val="none"/>
        </w:rPr>
        <w:t>。</w:t>
      </w:r>
    </w:p>
    <w:p w14:paraId="7C9346FB">
      <w:pPr>
        <w:pageBreakBefore w:val="0"/>
        <w:kinsoku/>
        <w:wordWrap w:val="0"/>
        <w:topLinePunct/>
        <w:bidi w:val="0"/>
        <w:spacing w:line="400" w:lineRule="atLeast"/>
        <w:ind w:firstLine="482" w:firstLineChars="200"/>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如项目经理或项目总工目前仍在其他项目上任职，则投标人应提供承诺上述人员能够从该项目撤离的书面</w:t>
      </w:r>
      <w:r>
        <w:rPr>
          <w:rFonts w:hint="eastAsia" w:cs="Times New Roman"/>
          <w:b/>
          <w:bCs/>
          <w:color w:val="auto"/>
          <w:sz w:val="24"/>
          <w:highlight w:val="none"/>
          <w:lang w:val="en-US" w:eastAsia="zh-CN"/>
        </w:rPr>
        <w:t>承诺</w:t>
      </w:r>
      <w:r>
        <w:rPr>
          <w:rFonts w:hint="default" w:ascii="Times New Roman" w:hAnsi="Times New Roman" w:eastAsia="宋体" w:cs="Times New Roman"/>
          <w:b/>
          <w:bCs/>
          <w:color w:val="auto"/>
          <w:sz w:val="24"/>
          <w:highlight w:val="none"/>
        </w:rPr>
        <w:t>。</w:t>
      </w:r>
    </w:p>
    <w:p w14:paraId="0F248A8F">
      <w:pPr>
        <w:pageBreakBefore w:val="0"/>
        <w:kinsoku/>
        <w:wordWrap w:val="0"/>
        <w:topLinePunct/>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3.5.6</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拟委任的其他管理和技术人员汇总表</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（如有）应填报满足投标人须知前附表附录6规定的其他人员的相关信息。</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拟委任的其他管理和技术人员资历表</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（如有）中相关人员应附身份证、职称资格证书以及资格审查条件所要求的其他相关证书的</w:t>
      </w:r>
      <w:r>
        <w:rPr>
          <w:rFonts w:hint="eastAsia" w:cs="Times New Roman"/>
          <w:color w:val="auto"/>
          <w:sz w:val="24"/>
          <w:highlight w:val="none"/>
          <w:lang w:eastAsia="zh-CN"/>
        </w:rPr>
        <w:t>原件扫描件</w:t>
      </w:r>
      <w:r>
        <w:rPr>
          <w:rFonts w:hint="default" w:ascii="Times New Roman" w:hAnsi="Times New Roman" w:eastAsia="宋体" w:cs="Times New Roman"/>
          <w:color w:val="auto"/>
          <w:sz w:val="24"/>
          <w:highlight w:val="none"/>
        </w:rPr>
        <w:t>，相关业绩证明材料</w:t>
      </w:r>
      <w:r>
        <w:rPr>
          <w:rFonts w:hint="eastAsia" w:cs="Times New Roman"/>
          <w:color w:val="auto"/>
          <w:sz w:val="24"/>
          <w:highlight w:val="none"/>
          <w:lang w:eastAsia="zh-CN"/>
        </w:rPr>
        <w:t>原件扫描件</w:t>
      </w:r>
      <w:r>
        <w:rPr>
          <w:rFonts w:hint="default" w:ascii="Times New Roman" w:hAnsi="Times New Roman" w:eastAsia="宋体" w:cs="Times New Roman"/>
          <w:color w:val="auto"/>
          <w:sz w:val="24"/>
          <w:highlight w:val="none"/>
        </w:rPr>
        <w:t>，以及投标人所属社保机构出具的社保缴费证明或其他能够证明其参加社保的有效证明材料</w:t>
      </w:r>
      <w:r>
        <w:rPr>
          <w:rFonts w:hint="eastAsia" w:cs="Times New Roman"/>
          <w:color w:val="auto"/>
          <w:sz w:val="24"/>
          <w:highlight w:val="none"/>
          <w:lang w:eastAsia="zh-CN"/>
        </w:rPr>
        <w:t>原件扫描件</w:t>
      </w:r>
      <w:r>
        <w:rPr>
          <w:rFonts w:hint="default" w:ascii="Times New Roman" w:hAnsi="Times New Roman" w:eastAsia="宋体" w:cs="Times New Roman"/>
          <w:color w:val="auto"/>
          <w:sz w:val="24"/>
          <w:highlight w:val="none"/>
        </w:rPr>
        <w:t>。</w:t>
      </w:r>
    </w:p>
    <w:p w14:paraId="12D35623">
      <w:pPr>
        <w:pageBreakBefore w:val="0"/>
        <w:kinsoku/>
        <w:wordWrap w:val="0"/>
        <w:topLinePunct/>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3.5.7</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拟投入本标段的主要施工机械表</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拟配备本标段的主要材料试验、测量、质检仪器设备表</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（如有）应填报满足投标人须知前附表附录7规定的机械设备和试验检测设备。</w:t>
      </w:r>
    </w:p>
    <w:p w14:paraId="5E08746A">
      <w:pPr>
        <w:pageBreakBefore w:val="0"/>
        <w:kinsoku/>
        <w:wordWrap w:val="0"/>
        <w:topLinePunct/>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3.5.8投标人须知前附表规定接受联合体投标的，本章第3.5.1项至第3.5.7项规定的表格和资料应包括联合体各方相关情况。</w:t>
      </w:r>
    </w:p>
    <w:p w14:paraId="3A044053">
      <w:pPr>
        <w:pageBreakBefore w:val="0"/>
        <w:kinsoku/>
        <w:wordWrap w:val="0"/>
        <w:topLinePunct/>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3.5.9除合同条款约定的特殊情形外，投标人在投标文件中填报的项目经理和项目总工不允许更换。</w:t>
      </w:r>
    </w:p>
    <w:p w14:paraId="03027EED">
      <w:pPr>
        <w:pageBreakBefore w:val="0"/>
        <w:kinsoku/>
        <w:wordWrap w:val="0"/>
        <w:topLinePunct/>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3.5.10投标人应根据本单位实际情况及时完成相关信息的申报、录入和动态更新，并对相关信息的真实性、完整性和准确性负责。</w:t>
      </w:r>
    </w:p>
    <w:p w14:paraId="77552F20">
      <w:pPr>
        <w:pageBreakBefore w:val="0"/>
        <w:kinsoku/>
        <w:wordWrap w:val="0"/>
        <w:topLinePunct/>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3.5.11招标人有权核查投标人在投标文件中提供的资料，若在评标期间发现投标人提供了虚假资料，其投标将被否决；若在签订合同前发现作为中标候选人的投标人提供了虚假资料，招标人有权取消其中标资格；若在合同实施期间发现投标人提供了虚假资料，招标人有权从工程支付款或履约保证金中扣除不超过</w:t>
      </w:r>
      <w:r>
        <w:rPr>
          <w:rFonts w:hint="default" w:ascii="Times New Roman" w:hAnsi="Times New Roman" w:eastAsia="宋体" w:cs="Times New Roman"/>
          <w:color w:val="auto"/>
          <w:sz w:val="24"/>
          <w:highlight w:val="none"/>
          <w:lang w:val="en-US"/>
        </w:rPr>
        <w:t>10</w:t>
      </w:r>
      <w:r>
        <w:rPr>
          <w:rFonts w:hint="default" w:ascii="Times New Roman" w:hAnsi="Times New Roman" w:eastAsia="宋体" w:cs="Times New Roman"/>
          <w:color w:val="auto"/>
          <w:sz w:val="24"/>
          <w:highlight w:val="none"/>
        </w:rPr>
        <w:t>％签约合同价的金额作为违约金。同时招标人将投标人上述弄虚作假行为上报省级交通运输主管部门，作为不良记录纳入</w:t>
      </w:r>
      <w:r>
        <w:rPr>
          <w:rFonts w:hint="eastAsia" w:cs="Times New Roman"/>
          <w:color w:val="auto"/>
          <w:sz w:val="24"/>
          <w:highlight w:val="none"/>
          <w:lang w:eastAsia="zh-CN"/>
        </w:rPr>
        <w:t>全国公路建设市场监督管理系统</w:t>
      </w:r>
      <w:r>
        <w:rPr>
          <w:rFonts w:hint="default" w:ascii="Times New Roman" w:hAnsi="Times New Roman" w:eastAsia="宋体" w:cs="Times New Roman"/>
          <w:color w:val="auto"/>
          <w:sz w:val="24"/>
          <w:highlight w:val="none"/>
        </w:rPr>
        <w:t>。</w:t>
      </w:r>
    </w:p>
    <w:p w14:paraId="6C499E81">
      <w:pPr>
        <w:keepNext w:val="0"/>
        <w:keepLines w:val="0"/>
        <w:pageBreakBefore w:val="0"/>
        <w:widowControl w:val="0"/>
        <w:kinsoku/>
        <w:wordWrap w:val="0"/>
        <w:overflowPunct/>
        <w:topLinePunct w:val="0"/>
        <w:autoSpaceDE/>
        <w:autoSpaceDN/>
        <w:bidi w:val="0"/>
        <w:adjustRightInd/>
        <w:snapToGrid/>
        <w:spacing w:before="240" w:after="240" w:line="240" w:lineRule="atLeast"/>
        <w:textAlignment w:val="auto"/>
        <w:outlineLvl w:val="9"/>
        <w:rPr>
          <w:rFonts w:hint="default" w:ascii="Times New Roman" w:hAnsi="Times New Roman" w:eastAsia="黑体" w:cs="Times New Roman"/>
          <w:b w:val="0"/>
          <w:color w:val="auto"/>
          <w:sz w:val="24"/>
          <w:szCs w:val="24"/>
          <w:highlight w:val="none"/>
        </w:rPr>
      </w:pPr>
      <w:bookmarkStart w:id="203" w:name="_Toc28097"/>
      <w:bookmarkStart w:id="204" w:name="_Toc28562"/>
      <w:bookmarkStart w:id="205" w:name="_Toc234832895"/>
      <w:r>
        <w:rPr>
          <w:rFonts w:hint="default" w:ascii="Times New Roman" w:hAnsi="Times New Roman" w:eastAsia="黑体" w:cs="Times New Roman"/>
          <w:b w:val="0"/>
          <w:color w:val="auto"/>
          <w:sz w:val="24"/>
          <w:szCs w:val="24"/>
          <w:highlight w:val="none"/>
        </w:rPr>
        <w:t>3.6备选投标方案</w:t>
      </w:r>
      <w:bookmarkEnd w:id="203"/>
      <w:bookmarkEnd w:id="204"/>
      <w:bookmarkEnd w:id="205"/>
    </w:p>
    <w:p w14:paraId="7A2D7A5C">
      <w:pPr>
        <w:pageBreakBefore w:val="0"/>
        <w:kinsoku/>
        <w:wordWrap w:val="0"/>
        <w:topLinePunct/>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3.6.1除投标人须知前附表规定允许外，投标人不得递交备选投标方案，否则其投标将被否决。</w:t>
      </w:r>
    </w:p>
    <w:p w14:paraId="436D9CC1">
      <w:pPr>
        <w:pageBreakBefore w:val="0"/>
        <w:kinsoku/>
        <w:wordWrap w:val="0"/>
        <w:topLinePunct/>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3.6.2允许投标人递交备选投标方案的，只有中标人所递交的备选投标方案方可予以考虑。评标委员会认为中标人的备选投标方案优于其按照招标文件要求编制的投标方案的，招标人可以接受该备选投标方案。</w:t>
      </w:r>
    </w:p>
    <w:p w14:paraId="062CCACC">
      <w:pPr>
        <w:pageBreakBefore w:val="0"/>
        <w:kinsoku/>
        <w:wordWrap w:val="0"/>
        <w:topLinePunct/>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3.6.3投标人提供两个或两个以上投标报价，或在投标文件中提供一个报价，但同时提供两个或两个以上</w:t>
      </w:r>
      <w:bookmarkStart w:id="206" w:name="_Toc247527575"/>
      <w:bookmarkStart w:id="207" w:name="_Toc300834971"/>
      <w:bookmarkStart w:id="208" w:name="_Toc352691495"/>
      <w:bookmarkStart w:id="209" w:name="_Toc361508607"/>
      <w:bookmarkStart w:id="210" w:name="_Toc384308232"/>
      <w:bookmarkStart w:id="211" w:name="_Toc29902"/>
      <w:bookmarkStart w:id="212" w:name="_Toc369531538"/>
      <w:bookmarkStart w:id="213" w:name="_Toc247513974"/>
      <w:bookmarkStart w:id="214" w:name="_Toc152042326"/>
      <w:bookmarkStart w:id="215" w:name="_Toc144974518"/>
      <w:bookmarkStart w:id="216" w:name="_Toc152045550"/>
      <w:r>
        <w:rPr>
          <w:rFonts w:hint="default" w:ascii="Times New Roman" w:hAnsi="Times New Roman" w:eastAsia="宋体" w:cs="Times New Roman"/>
          <w:color w:val="auto"/>
          <w:sz w:val="24"/>
          <w:highlight w:val="none"/>
        </w:rPr>
        <w:t>施工组织设计的</w:t>
      </w:r>
      <w:bookmarkEnd w:id="206"/>
      <w:bookmarkEnd w:id="207"/>
      <w:bookmarkEnd w:id="208"/>
      <w:bookmarkEnd w:id="209"/>
      <w:bookmarkEnd w:id="210"/>
      <w:bookmarkEnd w:id="211"/>
      <w:bookmarkEnd w:id="212"/>
      <w:bookmarkEnd w:id="213"/>
      <w:bookmarkEnd w:id="214"/>
      <w:bookmarkEnd w:id="215"/>
      <w:bookmarkEnd w:id="216"/>
      <w:r>
        <w:rPr>
          <w:rFonts w:hint="default" w:ascii="Times New Roman" w:hAnsi="Times New Roman" w:eastAsia="宋体" w:cs="Times New Roman"/>
          <w:color w:val="auto"/>
          <w:sz w:val="24"/>
          <w:highlight w:val="none"/>
        </w:rPr>
        <w:t>，视为提供备选方案。</w:t>
      </w:r>
    </w:p>
    <w:p w14:paraId="19CEF2FF">
      <w:pPr>
        <w:keepNext w:val="0"/>
        <w:keepLines w:val="0"/>
        <w:pageBreakBefore w:val="0"/>
        <w:widowControl w:val="0"/>
        <w:kinsoku/>
        <w:wordWrap w:val="0"/>
        <w:overflowPunct/>
        <w:topLinePunct w:val="0"/>
        <w:autoSpaceDE/>
        <w:autoSpaceDN/>
        <w:bidi w:val="0"/>
        <w:adjustRightInd/>
        <w:snapToGrid/>
        <w:spacing w:before="240" w:after="240" w:line="240" w:lineRule="atLeast"/>
        <w:textAlignment w:val="auto"/>
        <w:outlineLvl w:val="9"/>
        <w:rPr>
          <w:rFonts w:hint="default" w:ascii="Times New Roman" w:hAnsi="Times New Roman" w:eastAsia="黑体" w:cs="Times New Roman"/>
          <w:b w:val="0"/>
          <w:color w:val="auto"/>
          <w:sz w:val="24"/>
          <w:szCs w:val="24"/>
          <w:highlight w:val="none"/>
        </w:rPr>
      </w:pPr>
      <w:bookmarkStart w:id="217" w:name="_Toc13945"/>
      <w:bookmarkStart w:id="218" w:name="_Toc234832896"/>
      <w:bookmarkStart w:id="219" w:name="_Toc10660"/>
      <w:r>
        <w:rPr>
          <w:rFonts w:hint="default" w:ascii="Times New Roman" w:hAnsi="Times New Roman" w:eastAsia="黑体" w:cs="Times New Roman"/>
          <w:b w:val="0"/>
          <w:color w:val="auto"/>
          <w:sz w:val="24"/>
          <w:szCs w:val="24"/>
          <w:highlight w:val="none"/>
        </w:rPr>
        <w:t>3.7投标文件的编制</w:t>
      </w:r>
      <w:bookmarkEnd w:id="217"/>
      <w:bookmarkEnd w:id="218"/>
      <w:bookmarkEnd w:id="219"/>
    </w:p>
    <w:p w14:paraId="4A564972">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3.7.1投标文件应按第九章</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投标文件格式</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进行编写，如有必要，可以增加附页，作为投标文件的组成部分。其中，投标函附录在满足招标文件实质性要求的基础上，可以提出比招标文件要求更有利于招标人的承诺。</w:t>
      </w:r>
    </w:p>
    <w:p w14:paraId="67E1C528">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3.7.2投标文件应对招标文件有关工期、投标有效期、质量要求、安全目标、技术标准和要求、招标范围等实质性内容作出响应。</w:t>
      </w:r>
    </w:p>
    <w:p w14:paraId="0F0DC077">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3.7.3投标文件的制作应满足以下规定：</w:t>
      </w:r>
    </w:p>
    <w:p w14:paraId="56049F79">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（1）投标文件由投标人使用</w:t>
      </w:r>
      <w:r>
        <w:rPr>
          <w:rFonts w:hint="eastAsia" w:ascii="宋体" w:hAnsi="宋体" w:eastAsia="宋体" w:cs="宋体"/>
          <w:color w:val="auto"/>
          <w:sz w:val="24"/>
          <w:szCs w:val="24"/>
          <w:highlight w:val="none"/>
        </w:rPr>
        <w:t>“</w:t>
      </w:r>
      <w:r>
        <w:rPr>
          <w:rFonts w:hint="eastAsia" w:cs="Times New Roman"/>
          <w:color w:val="auto"/>
          <w:sz w:val="24"/>
          <w:szCs w:val="24"/>
          <w:highlight w:val="none"/>
          <w:lang w:eastAsia="zh-CN"/>
        </w:rPr>
        <w:t>电子交易平台</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自带的</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投标文件制作工具</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制作生成。</w:t>
      </w:r>
    </w:p>
    <w:p w14:paraId="1B78D449">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（2）投标人在编制投标文件时应建立分级目录，并按照标签提示导入相关内容。</w:t>
      </w:r>
    </w:p>
    <w:p w14:paraId="5D57F1C7">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（3）投标文件中证明资料的</w:t>
      </w:r>
      <w:r>
        <w:rPr>
          <w:rFonts w:hint="eastAsia" w:ascii="宋体" w:hAnsi="宋体" w:eastAsia="宋体" w:cs="宋体"/>
          <w:color w:val="auto"/>
          <w:sz w:val="24"/>
          <w:szCs w:val="24"/>
          <w:highlight w:val="none"/>
        </w:rPr>
        <w:t>“</w:t>
      </w:r>
      <w:r>
        <w:rPr>
          <w:rFonts w:hint="eastAsia" w:cs="Times New Roman"/>
          <w:color w:val="auto"/>
          <w:sz w:val="24"/>
          <w:szCs w:val="24"/>
          <w:highlight w:val="none"/>
          <w:lang w:eastAsia="zh-CN"/>
        </w:rPr>
        <w:t>原件扫描件</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，应从</w:t>
      </w:r>
      <w:r>
        <w:rPr>
          <w:rFonts w:hint="eastAsia" w:ascii="宋体" w:hAnsi="宋体" w:eastAsia="宋体" w:cs="宋体"/>
          <w:color w:val="auto"/>
          <w:sz w:val="24"/>
          <w:szCs w:val="24"/>
          <w:highlight w:val="none"/>
        </w:rPr>
        <w:t>“</w:t>
      </w:r>
      <w:r>
        <w:rPr>
          <w:rFonts w:hint="eastAsia" w:cs="Times New Roman"/>
          <w:color w:val="auto"/>
          <w:sz w:val="24"/>
          <w:szCs w:val="24"/>
          <w:highlight w:val="none"/>
          <w:lang w:eastAsia="zh-CN"/>
        </w:rPr>
        <w:t>电子交易平台</w:t>
      </w:r>
      <w:r>
        <w:rPr>
          <w:rFonts w:hint="eastAsia" w:ascii="宋体" w:hAnsi="宋体" w:eastAsia="宋体" w:cs="宋体"/>
          <w:color w:val="auto"/>
          <w:sz w:val="24"/>
          <w:szCs w:val="24"/>
          <w:highlight w:val="none"/>
        </w:rPr>
        <w:t>”</w:t>
      </w:r>
      <w:r>
        <w:rPr>
          <w:rFonts w:hint="eastAsia" w:cs="Times New Roman"/>
          <w:color w:val="auto"/>
          <w:sz w:val="24"/>
          <w:szCs w:val="24"/>
          <w:highlight w:val="none"/>
          <w:lang w:eastAsia="zh-CN"/>
        </w:rPr>
        <w:t>主体信息库</w:t>
      </w:r>
      <w:r>
        <w:rPr>
          <w:rFonts w:hint="default" w:ascii="Times New Roman" w:hAnsi="Times New Roman" w:cs="Times New Roman"/>
          <w:color w:val="auto"/>
          <w:sz w:val="24"/>
          <w:szCs w:val="24"/>
          <w:highlight w:val="none"/>
        </w:rPr>
        <w:t>中选择并进行超链接，未标示</w:t>
      </w:r>
      <w:r>
        <w:rPr>
          <w:rFonts w:hint="eastAsia" w:ascii="宋体" w:hAnsi="宋体" w:eastAsia="宋体" w:cs="宋体"/>
          <w:color w:val="auto"/>
          <w:sz w:val="24"/>
          <w:szCs w:val="24"/>
          <w:highlight w:val="none"/>
        </w:rPr>
        <w:t>“</w:t>
      </w:r>
      <w:r>
        <w:rPr>
          <w:rFonts w:hint="eastAsia" w:cs="Times New Roman"/>
          <w:color w:val="auto"/>
          <w:sz w:val="24"/>
          <w:szCs w:val="24"/>
          <w:highlight w:val="none"/>
          <w:lang w:eastAsia="zh-CN"/>
        </w:rPr>
        <w:t>原件扫描件</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的证明资料均应直接制作生成。</w:t>
      </w:r>
    </w:p>
    <w:p w14:paraId="2C426F4F">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（4）投标文件中的已标价报价清单数据文件应与招标人提供的报价清单数据文件格式一致。</w:t>
      </w:r>
    </w:p>
    <w:p w14:paraId="69E58466">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（5）第</w:t>
      </w:r>
      <w:r>
        <w:rPr>
          <w:rFonts w:hint="default" w:ascii="Times New Roman" w:hAnsi="Times New Roman" w:cs="Times New Roman"/>
          <w:color w:val="auto"/>
          <w:sz w:val="24"/>
          <w:szCs w:val="24"/>
          <w:highlight w:val="none"/>
          <w:lang w:val="en-US" w:eastAsia="zh-CN"/>
        </w:rPr>
        <w:t>九</w:t>
      </w:r>
      <w:r>
        <w:rPr>
          <w:rFonts w:hint="default" w:ascii="Times New Roman" w:hAnsi="Times New Roman" w:cs="Times New Roman"/>
          <w:color w:val="auto"/>
          <w:sz w:val="24"/>
          <w:szCs w:val="24"/>
          <w:highlight w:val="none"/>
        </w:rPr>
        <w:t>章</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投标文件格式</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中要求盖单位章和（或）签字的地方，投标人均应使用CA数字证书加盖投标人的单位电子印章和（或）法定代表人</w:t>
      </w:r>
      <w:r>
        <w:rPr>
          <w:rFonts w:hint="default" w:ascii="Times New Roman" w:hAnsi="Times New Roman" w:cs="Times New Roman"/>
          <w:color w:val="auto"/>
          <w:sz w:val="24"/>
          <w:szCs w:val="24"/>
          <w:highlight w:val="none"/>
          <w:lang w:val="en-US" w:eastAsia="zh-CN"/>
        </w:rPr>
        <w:t>或</w:t>
      </w:r>
      <w:r>
        <w:rPr>
          <w:rFonts w:hint="eastAsia" w:cs="Times New Roman"/>
          <w:color w:val="auto"/>
          <w:sz w:val="24"/>
          <w:szCs w:val="24"/>
          <w:highlight w:val="none"/>
          <w:lang w:val="en-US" w:eastAsia="zh-CN"/>
        </w:rPr>
        <w:t>其</w:t>
      </w:r>
      <w:r>
        <w:rPr>
          <w:rFonts w:hint="default" w:ascii="Times New Roman" w:hAnsi="Times New Roman" w:cs="Times New Roman"/>
          <w:color w:val="auto"/>
          <w:sz w:val="24"/>
          <w:szCs w:val="24"/>
          <w:highlight w:val="none"/>
          <w:lang w:val="en-US" w:eastAsia="zh-CN"/>
        </w:rPr>
        <w:t>委托代理人</w:t>
      </w:r>
      <w:r>
        <w:rPr>
          <w:rFonts w:hint="default" w:ascii="Times New Roman" w:hAnsi="Times New Roman" w:cs="Times New Roman"/>
          <w:color w:val="auto"/>
          <w:sz w:val="24"/>
          <w:szCs w:val="24"/>
          <w:highlight w:val="none"/>
        </w:rPr>
        <w:t>的个人电子印章或</w:t>
      </w:r>
      <w:r>
        <w:rPr>
          <w:rFonts w:hint="eastAsia" w:cs="Times New Roman"/>
          <w:color w:val="auto"/>
          <w:sz w:val="24"/>
          <w:szCs w:val="24"/>
          <w:highlight w:val="none"/>
          <w:lang w:eastAsia="zh-CN"/>
        </w:rPr>
        <w:t>电子签名</w:t>
      </w:r>
      <w:r>
        <w:rPr>
          <w:rFonts w:hint="default" w:ascii="Times New Roman" w:hAnsi="Times New Roman" w:cs="Times New Roman"/>
          <w:color w:val="auto"/>
          <w:sz w:val="24"/>
          <w:szCs w:val="24"/>
          <w:highlight w:val="none"/>
        </w:rPr>
        <w:t>。联合体投标的，投标文件由联合体牵头人按上述规定加盖联合体牵头人单位电子印章和（或）法定代表人</w:t>
      </w:r>
      <w:r>
        <w:rPr>
          <w:rFonts w:hint="default" w:ascii="Times New Roman" w:hAnsi="Times New Roman" w:cs="Times New Roman"/>
          <w:color w:val="auto"/>
          <w:sz w:val="24"/>
          <w:szCs w:val="24"/>
          <w:highlight w:val="none"/>
          <w:lang w:val="en-US" w:eastAsia="zh-CN"/>
        </w:rPr>
        <w:t>或</w:t>
      </w:r>
      <w:r>
        <w:rPr>
          <w:rFonts w:hint="eastAsia" w:cs="Times New Roman"/>
          <w:color w:val="auto"/>
          <w:sz w:val="24"/>
          <w:szCs w:val="24"/>
          <w:highlight w:val="none"/>
          <w:lang w:val="en-US" w:eastAsia="zh-CN"/>
        </w:rPr>
        <w:t>其</w:t>
      </w:r>
      <w:r>
        <w:rPr>
          <w:rFonts w:hint="default" w:ascii="Times New Roman" w:hAnsi="Times New Roman" w:cs="Times New Roman"/>
          <w:color w:val="auto"/>
          <w:sz w:val="24"/>
          <w:szCs w:val="24"/>
          <w:highlight w:val="none"/>
          <w:lang w:val="en-US" w:eastAsia="zh-CN"/>
        </w:rPr>
        <w:t>委托代理人</w:t>
      </w:r>
      <w:r>
        <w:rPr>
          <w:rFonts w:hint="default" w:ascii="Times New Roman" w:hAnsi="Times New Roman" w:cs="Times New Roman"/>
          <w:color w:val="auto"/>
          <w:sz w:val="24"/>
          <w:szCs w:val="24"/>
          <w:highlight w:val="none"/>
        </w:rPr>
        <w:t>的个人电子印章或</w:t>
      </w:r>
      <w:r>
        <w:rPr>
          <w:rFonts w:hint="eastAsia" w:cs="Times New Roman"/>
          <w:color w:val="auto"/>
          <w:sz w:val="24"/>
          <w:szCs w:val="24"/>
          <w:highlight w:val="none"/>
          <w:lang w:eastAsia="zh-CN"/>
        </w:rPr>
        <w:t>电子签名</w:t>
      </w:r>
      <w:r>
        <w:rPr>
          <w:rFonts w:hint="default" w:ascii="Times New Roman" w:hAnsi="Times New Roman" w:cs="Times New Roman"/>
          <w:color w:val="auto"/>
          <w:sz w:val="24"/>
          <w:szCs w:val="24"/>
          <w:highlight w:val="none"/>
        </w:rPr>
        <w:t>。</w:t>
      </w:r>
    </w:p>
    <w:p w14:paraId="28CC0E55">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（6）投标文件制作完成后，投标人应使用CA数字证书对投标文件进行文件加密，形成加密的投标文件。</w:t>
      </w:r>
    </w:p>
    <w:p w14:paraId="6E94776B">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（7）投标文件制作的具体方法详见</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投标文件制作工具</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中的</w:t>
      </w:r>
      <w:r>
        <w:rPr>
          <w:rFonts w:hint="eastAsia" w:ascii="宋体" w:hAnsi="宋体" w:eastAsia="宋体" w:cs="宋体"/>
          <w:color w:val="auto"/>
          <w:sz w:val="24"/>
          <w:szCs w:val="24"/>
          <w:highlight w:val="none"/>
          <w:lang w:eastAsia="zh-CN"/>
        </w:rPr>
        <w:t>“</w:t>
      </w:r>
      <w:r>
        <w:rPr>
          <w:rFonts w:hint="default" w:ascii="Times New Roman" w:hAnsi="Times New Roman" w:cs="Times New Roman"/>
          <w:color w:val="auto"/>
          <w:sz w:val="24"/>
          <w:szCs w:val="24"/>
          <w:highlight w:val="none"/>
          <w:lang w:eastAsia="zh-CN"/>
        </w:rPr>
        <w:t>操作指南</w:t>
      </w:r>
      <w:r>
        <w:rPr>
          <w:rFonts w:hint="eastAsia" w:ascii="宋体" w:hAnsi="宋体" w:eastAsia="宋体" w:cs="宋体"/>
          <w:color w:val="auto"/>
          <w:sz w:val="24"/>
          <w:szCs w:val="24"/>
          <w:highlight w:val="none"/>
          <w:lang w:eastAsia="zh-CN"/>
        </w:rPr>
        <w:t>”</w:t>
      </w:r>
      <w:r>
        <w:rPr>
          <w:rFonts w:hint="default" w:ascii="Times New Roman" w:hAnsi="Times New Roman" w:cs="Times New Roman"/>
          <w:color w:val="auto"/>
          <w:sz w:val="24"/>
          <w:szCs w:val="24"/>
          <w:highlight w:val="none"/>
        </w:rPr>
        <w:t>。</w:t>
      </w:r>
    </w:p>
    <w:p w14:paraId="5A5B75BF">
      <w:pPr>
        <w:pageBreakBefore w:val="0"/>
        <w:kinsoku/>
        <w:wordWrap w:val="0"/>
        <w:bidi w:val="0"/>
        <w:spacing w:line="400" w:lineRule="exact"/>
        <w:ind w:firstLine="480" w:firstLineChars="200"/>
        <w:rPr>
          <w:rFonts w:hint="default" w:ascii="Times New Roman" w:hAnsi="Times New Roman" w:eastAsia="宋体" w:cs="Times New Roman"/>
          <w:color w:val="auto"/>
          <w:sz w:val="24"/>
          <w:szCs w:val="24"/>
          <w:highlight w:val="none"/>
          <w:lang w:eastAsia="zh-CN"/>
        </w:rPr>
      </w:pPr>
      <w:r>
        <w:rPr>
          <w:rFonts w:hint="default" w:ascii="Times New Roman" w:hAnsi="Times New Roman" w:cs="Times New Roman"/>
          <w:color w:val="auto"/>
          <w:sz w:val="24"/>
          <w:szCs w:val="24"/>
          <w:highlight w:val="none"/>
        </w:rPr>
        <w:t>3.7.4因投标人自身原因而导致投标文件无法导入</w:t>
      </w:r>
      <w:r>
        <w:rPr>
          <w:rFonts w:hint="eastAsia" w:ascii="宋体" w:hAnsi="宋体" w:eastAsia="宋体" w:cs="宋体"/>
          <w:color w:val="auto"/>
          <w:sz w:val="24"/>
          <w:szCs w:val="24"/>
          <w:highlight w:val="none"/>
        </w:rPr>
        <w:t>“</w:t>
      </w:r>
      <w:r>
        <w:rPr>
          <w:rFonts w:hint="eastAsia" w:cs="Times New Roman"/>
          <w:color w:val="auto"/>
          <w:sz w:val="24"/>
          <w:szCs w:val="24"/>
          <w:highlight w:val="none"/>
          <w:lang w:eastAsia="zh-CN"/>
        </w:rPr>
        <w:t>电子交易平台</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电子开标、评标系统，该投标视为无效投标，投标人自行承担由此导致的全部责任</w:t>
      </w:r>
      <w:r>
        <w:rPr>
          <w:rFonts w:hint="default" w:ascii="Times New Roman" w:hAnsi="Times New Roman" w:cs="Times New Roman"/>
          <w:color w:val="auto"/>
          <w:sz w:val="24"/>
          <w:szCs w:val="24"/>
          <w:highlight w:val="none"/>
          <w:lang w:eastAsia="zh-CN"/>
        </w:rPr>
        <w:t>。</w:t>
      </w:r>
    </w:p>
    <w:p w14:paraId="633F04B2">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3.7.5</w:t>
      </w:r>
      <w:r>
        <w:rPr>
          <w:rFonts w:hint="default" w:ascii="Times New Roman" w:hAnsi="Times New Roman" w:cs="Times New Roman"/>
          <w:color w:val="auto"/>
          <w:sz w:val="24"/>
          <w:szCs w:val="24"/>
          <w:highlight w:val="none"/>
        </w:rPr>
        <w:t>投标文件上传的要求</w:t>
      </w:r>
      <w:r>
        <w:rPr>
          <w:rFonts w:hint="default" w:ascii="Times New Roman" w:hAnsi="Times New Roman" w:cs="Times New Roman"/>
          <w:color w:val="auto"/>
          <w:sz w:val="24"/>
          <w:szCs w:val="24"/>
          <w:highlight w:val="none"/>
          <w:lang w:val="en-US" w:eastAsia="zh-CN"/>
        </w:rPr>
        <w:t>：见投标人须知前附表。</w:t>
      </w:r>
    </w:p>
    <w:p w14:paraId="7FEDA837">
      <w:pPr>
        <w:pStyle w:val="16"/>
        <w:pageBreakBefore w:val="0"/>
        <w:kinsoku/>
        <w:wordWrap w:val="0"/>
        <w:topLinePunct/>
        <w:bidi w:val="0"/>
        <w:spacing w:line="400" w:lineRule="atLeast"/>
        <w:ind w:firstLine="480" w:firstLineChars="200"/>
        <w:rPr>
          <w:rFonts w:hint="default" w:ascii="Times New Roman" w:hAnsi="Times New Roman" w:eastAsia="宋体" w:cs="Times New Roman"/>
          <w:color w:val="auto"/>
          <w:szCs w:val="24"/>
          <w:highlight w:val="none"/>
        </w:rPr>
      </w:pPr>
      <w:r>
        <w:rPr>
          <w:rFonts w:hint="default" w:ascii="Times New Roman" w:hAnsi="Times New Roman" w:cs="Times New Roman"/>
          <w:color w:val="auto"/>
          <w:sz w:val="24"/>
          <w:szCs w:val="24"/>
          <w:highlight w:val="none"/>
        </w:rPr>
        <w:t>3.7.</w:t>
      </w:r>
      <w:r>
        <w:rPr>
          <w:rFonts w:hint="default" w:ascii="Times New Roman" w:hAnsi="Times New Roman" w:cs="Times New Roman"/>
          <w:color w:val="auto"/>
          <w:sz w:val="24"/>
          <w:szCs w:val="24"/>
          <w:highlight w:val="none"/>
          <w:lang w:val="en-US" w:eastAsia="zh-CN"/>
        </w:rPr>
        <w:t>6投标文件其他要求</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见投标人须知前附表。</w:t>
      </w:r>
    </w:p>
    <w:p w14:paraId="7A8BB656">
      <w:pPr>
        <w:pStyle w:val="5"/>
        <w:keepNext/>
        <w:keepLines/>
        <w:pageBreakBefore w:val="0"/>
        <w:widowControl w:val="0"/>
        <w:kinsoku/>
        <w:wordWrap w:val="0"/>
        <w:overflowPunct/>
        <w:topLinePunct w:val="0"/>
        <w:autoSpaceDE/>
        <w:autoSpaceDN/>
        <w:bidi w:val="0"/>
        <w:adjustRightInd/>
        <w:snapToGrid/>
        <w:spacing w:before="240" w:after="240" w:line="240" w:lineRule="atLeast"/>
        <w:jc w:val="both"/>
        <w:textAlignment w:val="auto"/>
        <w:outlineLvl w:val="2"/>
        <w:rPr>
          <w:rFonts w:hint="default" w:ascii="黑体" w:hAnsi="黑体" w:eastAsia="黑体" w:cs="黑体"/>
          <w:b w:val="0"/>
          <w:bCs/>
          <w:i w:val="0"/>
          <w:iCs w:val="0"/>
          <w:color w:val="auto"/>
          <w:sz w:val="28"/>
          <w:szCs w:val="28"/>
          <w:highlight w:val="none"/>
          <w:lang w:val="en-US" w:eastAsia="zh-CN"/>
        </w:rPr>
      </w:pPr>
      <w:bookmarkStart w:id="220" w:name="_Toc2947"/>
      <w:bookmarkStart w:id="221" w:name="_Toc15271"/>
      <w:bookmarkStart w:id="222" w:name="_Toc234832897"/>
      <w:bookmarkStart w:id="223" w:name="_Toc17066"/>
      <w:bookmarkStart w:id="224" w:name="_Toc3604"/>
      <w:r>
        <w:rPr>
          <w:rFonts w:hint="default" w:ascii="黑体" w:hAnsi="黑体" w:eastAsia="黑体" w:cs="黑体"/>
          <w:b w:val="0"/>
          <w:bCs/>
          <w:i w:val="0"/>
          <w:iCs w:val="0"/>
          <w:color w:val="auto"/>
          <w:sz w:val="28"/>
          <w:szCs w:val="28"/>
          <w:highlight w:val="none"/>
          <w:lang w:val="en-US" w:eastAsia="zh-CN"/>
        </w:rPr>
        <w:t>4.投标</w:t>
      </w:r>
      <w:bookmarkEnd w:id="220"/>
      <w:bookmarkEnd w:id="221"/>
      <w:bookmarkEnd w:id="222"/>
      <w:bookmarkEnd w:id="223"/>
      <w:bookmarkEnd w:id="224"/>
      <w:r>
        <w:rPr>
          <w:rFonts w:hint="default" w:ascii="黑体" w:hAnsi="黑体" w:eastAsia="黑体" w:cs="黑体"/>
          <w:b w:val="0"/>
          <w:bCs/>
          <w:i w:val="0"/>
          <w:iCs w:val="0"/>
          <w:color w:val="auto"/>
          <w:sz w:val="28"/>
          <w:szCs w:val="28"/>
          <w:highlight w:val="none"/>
          <w:lang w:val="en-US" w:eastAsia="zh-CN"/>
        </w:rPr>
        <w:tab/>
      </w:r>
    </w:p>
    <w:p w14:paraId="6CD44FC3">
      <w:pPr>
        <w:keepNext w:val="0"/>
        <w:keepLines w:val="0"/>
        <w:pageBreakBefore w:val="0"/>
        <w:widowControl w:val="0"/>
        <w:kinsoku/>
        <w:wordWrap w:val="0"/>
        <w:overflowPunct/>
        <w:topLinePunct w:val="0"/>
        <w:autoSpaceDE/>
        <w:autoSpaceDN/>
        <w:bidi w:val="0"/>
        <w:adjustRightInd/>
        <w:snapToGrid/>
        <w:spacing w:before="240" w:after="240" w:line="240" w:lineRule="atLeast"/>
        <w:textAlignment w:val="auto"/>
        <w:outlineLvl w:val="9"/>
        <w:rPr>
          <w:rFonts w:hint="default" w:ascii="Times New Roman" w:hAnsi="Times New Roman" w:eastAsia="黑体" w:cs="Times New Roman"/>
          <w:b w:val="0"/>
          <w:color w:val="auto"/>
          <w:sz w:val="24"/>
          <w:szCs w:val="24"/>
          <w:highlight w:val="none"/>
        </w:rPr>
      </w:pPr>
      <w:bookmarkStart w:id="225" w:name="_Toc26001"/>
      <w:bookmarkStart w:id="226" w:name="_Toc21870"/>
      <w:bookmarkStart w:id="227" w:name="_Toc2664"/>
      <w:r>
        <w:rPr>
          <w:rFonts w:hint="default" w:ascii="Times New Roman" w:hAnsi="Times New Roman" w:eastAsia="黑体" w:cs="Times New Roman"/>
          <w:b w:val="0"/>
          <w:color w:val="auto"/>
          <w:sz w:val="24"/>
          <w:szCs w:val="24"/>
          <w:highlight w:val="none"/>
        </w:rPr>
        <w:t>4.1投标文件的密封和标记</w:t>
      </w:r>
      <w:bookmarkEnd w:id="225"/>
      <w:bookmarkEnd w:id="226"/>
      <w:bookmarkEnd w:id="227"/>
    </w:p>
    <w:p w14:paraId="1B11954D">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投标文件应按照本章第3.7.3项要求制作并加密，未按要求加密的投标文件，招标人（</w:t>
      </w:r>
      <w:r>
        <w:rPr>
          <w:rFonts w:hint="eastAsia" w:ascii="宋体" w:hAnsi="宋体" w:eastAsia="宋体" w:cs="宋体"/>
          <w:color w:val="auto"/>
          <w:sz w:val="24"/>
          <w:szCs w:val="24"/>
          <w:highlight w:val="none"/>
        </w:rPr>
        <w:t>“</w:t>
      </w:r>
      <w:r>
        <w:rPr>
          <w:rFonts w:hint="eastAsia" w:cs="Times New Roman"/>
          <w:color w:val="auto"/>
          <w:sz w:val="24"/>
          <w:szCs w:val="24"/>
          <w:highlight w:val="none"/>
          <w:lang w:eastAsia="zh-CN"/>
        </w:rPr>
        <w:t>电子交易平台</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）将拒绝接收并提示。</w:t>
      </w:r>
    </w:p>
    <w:p w14:paraId="2B44AD0F">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p>
    <w:p w14:paraId="2B75E028">
      <w:pPr>
        <w:keepNext w:val="0"/>
        <w:keepLines w:val="0"/>
        <w:pageBreakBefore w:val="0"/>
        <w:widowControl w:val="0"/>
        <w:kinsoku/>
        <w:wordWrap w:val="0"/>
        <w:overflowPunct/>
        <w:topLinePunct w:val="0"/>
        <w:autoSpaceDE/>
        <w:autoSpaceDN/>
        <w:bidi w:val="0"/>
        <w:adjustRightInd/>
        <w:snapToGrid/>
        <w:spacing w:before="240" w:after="240" w:line="240" w:lineRule="atLeast"/>
        <w:textAlignment w:val="auto"/>
        <w:outlineLvl w:val="9"/>
        <w:rPr>
          <w:rFonts w:hint="default" w:ascii="Times New Roman" w:hAnsi="Times New Roman" w:eastAsia="黑体" w:cs="Times New Roman"/>
          <w:b w:val="0"/>
          <w:color w:val="auto"/>
          <w:sz w:val="24"/>
          <w:szCs w:val="24"/>
          <w:highlight w:val="none"/>
        </w:rPr>
      </w:pPr>
      <w:bookmarkStart w:id="228" w:name="_Toc10211"/>
      <w:bookmarkStart w:id="229" w:name="_Toc26071"/>
      <w:bookmarkStart w:id="230" w:name="_Toc10897"/>
      <w:r>
        <w:rPr>
          <w:rFonts w:hint="default" w:ascii="Times New Roman" w:hAnsi="Times New Roman" w:eastAsia="黑体" w:cs="Times New Roman"/>
          <w:b w:val="0"/>
          <w:color w:val="auto"/>
          <w:sz w:val="24"/>
          <w:szCs w:val="24"/>
          <w:highlight w:val="none"/>
        </w:rPr>
        <w:t>4.2投标文件的递交</w:t>
      </w:r>
      <w:bookmarkEnd w:id="228"/>
      <w:bookmarkEnd w:id="229"/>
      <w:bookmarkEnd w:id="230"/>
    </w:p>
    <w:p w14:paraId="481A8B3E">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4.2.1投标人应在第一章</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招标公告</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规定的投标截止时间前，通过互联网使用CA数字证书登录</w:t>
      </w:r>
      <w:r>
        <w:rPr>
          <w:rFonts w:hint="eastAsia" w:ascii="宋体" w:hAnsi="宋体" w:eastAsia="宋体" w:cs="宋体"/>
          <w:color w:val="auto"/>
          <w:sz w:val="24"/>
          <w:szCs w:val="24"/>
          <w:highlight w:val="none"/>
        </w:rPr>
        <w:t>“</w:t>
      </w:r>
      <w:r>
        <w:rPr>
          <w:rFonts w:hint="eastAsia" w:cs="Times New Roman"/>
          <w:color w:val="auto"/>
          <w:sz w:val="24"/>
          <w:szCs w:val="24"/>
          <w:highlight w:val="none"/>
          <w:lang w:eastAsia="zh-CN"/>
        </w:rPr>
        <w:t>电子交易平台</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，将加密的投标文件上传。投标人应充分考虑上传文件时的不可预见因素，未在投标截止时间前完成上传的，视为逾期送达，招标人（</w:t>
      </w:r>
      <w:r>
        <w:rPr>
          <w:rFonts w:hint="eastAsia" w:ascii="宋体" w:hAnsi="宋体" w:eastAsia="宋体" w:cs="宋体"/>
          <w:color w:val="auto"/>
          <w:sz w:val="24"/>
          <w:szCs w:val="24"/>
          <w:highlight w:val="none"/>
        </w:rPr>
        <w:t>“</w:t>
      </w:r>
      <w:r>
        <w:rPr>
          <w:rFonts w:hint="eastAsia" w:cs="Times New Roman"/>
          <w:color w:val="auto"/>
          <w:sz w:val="24"/>
          <w:szCs w:val="24"/>
          <w:highlight w:val="none"/>
          <w:lang w:eastAsia="zh-CN"/>
        </w:rPr>
        <w:t>电子交易平台</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）将拒绝接收。</w:t>
      </w:r>
    </w:p>
    <w:p w14:paraId="756A47CB">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4.2.2根据本章第4.1款的规定，投标人递交的投标文件，只要出现应当拒收的情形，其投标文件予以拒收。</w:t>
      </w:r>
    </w:p>
    <w:p w14:paraId="660ACC57">
      <w:pPr>
        <w:keepNext w:val="0"/>
        <w:keepLines w:val="0"/>
        <w:pageBreakBefore w:val="0"/>
        <w:widowControl w:val="0"/>
        <w:kinsoku/>
        <w:wordWrap w:val="0"/>
        <w:overflowPunct/>
        <w:topLinePunct w:val="0"/>
        <w:autoSpaceDE/>
        <w:autoSpaceDN/>
        <w:bidi w:val="0"/>
        <w:adjustRightInd/>
        <w:snapToGrid/>
        <w:spacing w:before="240" w:after="240" w:line="240" w:lineRule="atLeast"/>
        <w:textAlignment w:val="auto"/>
        <w:outlineLvl w:val="9"/>
        <w:rPr>
          <w:rFonts w:hint="default" w:ascii="Times New Roman" w:hAnsi="Times New Roman" w:eastAsia="黑体" w:cs="Times New Roman"/>
          <w:b w:val="0"/>
          <w:color w:val="auto"/>
          <w:sz w:val="24"/>
          <w:szCs w:val="24"/>
          <w:highlight w:val="none"/>
        </w:rPr>
      </w:pPr>
      <w:bookmarkStart w:id="231" w:name="_Toc16651"/>
      <w:bookmarkStart w:id="232" w:name="_Toc31061"/>
      <w:bookmarkStart w:id="233" w:name="_Toc10369"/>
      <w:r>
        <w:rPr>
          <w:rFonts w:hint="default" w:ascii="Times New Roman" w:hAnsi="Times New Roman" w:eastAsia="黑体" w:cs="Times New Roman"/>
          <w:b w:val="0"/>
          <w:color w:val="auto"/>
          <w:sz w:val="24"/>
          <w:szCs w:val="24"/>
          <w:highlight w:val="none"/>
        </w:rPr>
        <w:t>4.3投标文件的修改与撤回</w:t>
      </w:r>
      <w:bookmarkEnd w:id="231"/>
      <w:bookmarkEnd w:id="232"/>
      <w:bookmarkEnd w:id="233"/>
    </w:p>
    <w:p w14:paraId="32DFE099">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4.3.1在本章第4.2.1项规定的投标截止时间前，投标人可以修改或撤回已递交的投标文件。投标人对加密的投标文件进行撤回的，应在</w:t>
      </w:r>
      <w:r>
        <w:rPr>
          <w:rFonts w:hint="eastAsia" w:ascii="宋体" w:hAnsi="宋体" w:eastAsia="宋体" w:cs="宋体"/>
          <w:color w:val="auto"/>
          <w:sz w:val="24"/>
          <w:szCs w:val="24"/>
          <w:highlight w:val="none"/>
        </w:rPr>
        <w:t>“</w:t>
      </w:r>
      <w:r>
        <w:rPr>
          <w:rFonts w:hint="eastAsia" w:cs="Times New Roman"/>
          <w:color w:val="auto"/>
          <w:sz w:val="24"/>
          <w:szCs w:val="24"/>
          <w:highlight w:val="none"/>
          <w:lang w:eastAsia="zh-CN"/>
        </w:rPr>
        <w:t>电子交易平台</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直接进行撤回操作；投标人对加密的投标文件进行修改的，应在投标截止时间前完成上传。</w:t>
      </w:r>
    </w:p>
    <w:p w14:paraId="0DA8CB4E">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4.3.2投标人修改投标文件的，应使用</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投标文件制作工具</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制作成完整的投标文件，并按照本章第3条、第4条规定进行编制、加密和递交。对采用网上递交的加密的投标文件，以投标截止时间前最后完成上传的文件为准。</w:t>
      </w:r>
    </w:p>
    <w:p w14:paraId="28F115D7">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cs="Times New Roman"/>
          <w:color w:val="auto"/>
          <w:sz w:val="24"/>
          <w:szCs w:val="24"/>
          <w:highlight w:val="none"/>
        </w:rPr>
        <w:t>4.3.3投标人撤回投标文件的，招标人自收到投标人书面撤回通知之日起5日内退还已收取的投标保证金。</w:t>
      </w:r>
    </w:p>
    <w:p w14:paraId="2B0AC6BA">
      <w:pPr>
        <w:pStyle w:val="5"/>
        <w:keepNext/>
        <w:keepLines/>
        <w:pageBreakBefore w:val="0"/>
        <w:widowControl w:val="0"/>
        <w:kinsoku/>
        <w:wordWrap w:val="0"/>
        <w:overflowPunct/>
        <w:topLinePunct w:val="0"/>
        <w:autoSpaceDE/>
        <w:autoSpaceDN/>
        <w:bidi w:val="0"/>
        <w:adjustRightInd/>
        <w:snapToGrid/>
        <w:spacing w:before="240" w:after="240" w:line="240" w:lineRule="atLeast"/>
        <w:jc w:val="both"/>
        <w:textAlignment w:val="auto"/>
        <w:outlineLvl w:val="2"/>
        <w:rPr>
          <w:rFonts w:hint="default" w:ascii="黑体" w:hAnsi="黑体" w:eastAsia="黑体" w:cs="黑体"/>
          <w:b w:val="0"/>
          <w:bCs/>
          <w:i w:val="0"/>
          <w:iCs w:val="0"/>
          <w:color w:val="auto"/>
          <w:sz w:val="28"/>
          <w:szCs w:val="28"/>
          <w:highlight w:val="none"/>
          <w:lang w:val="en-US" w:eastAsia="zh-CN"/>
        </w:rPr>
      </w:pPr>
      <w:bookmarkStart w:id="234" w:name="_Toc31196"/>
      <w:bookmarkStart w:id="235" w:name="_Toc29100"/>
      <w:bookmarkStart w:id="236" w:name="_Toc31784"/>
      <w:bookmarkStart w:id="237" w:name="_Toc234832901"/>
      <w:bookmarkStart w:id="238" w:name="_Toc19321"/>
      <w:r>
        <w:rPr>
          <w:rFonts w:hint="default" w:ascii="黑体" w:hAnsi="黑体" w:eastAsia="黑体" w:cs="黑体"/>
          <w:b w:val="0"/>
          <w:bCs/>
          <w:i w:val="0"/>
          <w:iCs w:val="0"/>
          <w:color w:val="auto"/>
          <w:sz w:val="28"/>
          <w:szCs w:val="28"/>
          <w:highlight w:val="none"/>
          <w:lang w:val="en-US" w:eastAsia="zh-CN"/>
        </w:rPr>
        <w:t>5.开标</w:t>
      </w:r>
      <w:bookmarkEnd w:id="234"/>
      <w:bookmarkEnd w:id="235"/>
      <w:bookmarkEnd w:id="236"/>
      <w:bookmarkEnd w:id="237"/>
      <w:bookmarkEnd w:id="238"/>
    </w:p>
    <w:p w14:paraId="7B74B303">
      <w:pPr>
        <w:keepNext w:val="0"/>
        <w:keepLines w:val="0"/>
        <w:pageBreakBefore w:val="0"/>
        <w:widowControl w:val="0"/>
        <w:kinsoku/>
        <w:wordWrap w:val="0"/>
        <w:overflowPunct/>
        <w:topLinePunct w:val="0"/>
        <w:autoSpaceDE/>
        <w:autoSpaceDN/>
        <w:bidi w:val="0"/>
        <w:adjustRightInd/>
        <w:snapToGrid/>
        <w:spacing w:before="240" w:after="240" w:line="240" w:lineRule="atLeast"/>
        <w:textAlignment w:val="auto"/>
        <w:outlineLvl w:val="9"/>
        <w:rPr>
          <w:rFonts w:hint="default" w:ascii="Times New Roman" w:hAnsi="Times New Roman" w:eastAsia="黑体" w:cs="Times New Roman"/>
          <w:b w:val="0"/>
          <w:color w:val="auto"/>
          <w:sz w:val="24"/>
          <w:szCs w:val="24"/>
          <w:highlight w:val="none"/>
        </w:rPr>
      </w:pPr>
      <w:bookmarkStart w:id="239" w:name="_Toc22056"/>
      <w:bookmarkStart w:id="240" w:name="_Toc6841"/>
      <w:bookmarkStart w:id="241" w:name="_Toc234832902"/>
      <w:r>
        <w:rPr>
          <w:rFonts w:hint="default" w:ascii="Times New Roman" w:hAnsi="Times New Roman" w:eastAsia="黑体" w:cs="Times New Roman"/>
          <w:b w:val="0"/>
          <w:color w:val="auto"/>
          <w:sz w:val="24"/>
          <w:szCs w:val="24"/>
          <w:highlight w:val="none"/>
        </w:rPr>
        <w:t>5.1开标时间和地点</w:t>
      </w:r>
      <w:bookmarkEnd w:id="239"/>
      <w:bookmarkEnd w:id="240"/>
    </w:p>
    <w:p w14:paraId="1D5D9349">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5.1.1招标人在投标人须知前附表规定的投标截止时间</w:t>
      </w: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rPr>
        <w:t>开标时间</w:t>
      </w: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rPr>
        <w:t>和地点在</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辽宁省公共资源交易中心不见面开标大厅</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（以下简称</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不见面开标大厅</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）上公开进行第一个信封（商务及技术文件）开标，所有投标人均应当准时在线参加开标。</w:t>
      </w:r>
    </w:p>
    <w:p w14:paraId="4579736C">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招标人还将在投标人须知前附表规定的时间和地点对投标文件第二个信封（报价文件）在</w:t>
      </w:r>
      <w:r>
        <w:rPr>
          <w:rFonts w:hint="eastAsia" w:ascii="宋体" w:hAnsi="宋体" w:eastAsia="宋体" w:cs="宋体"/>
          <w:color w:val="auto"/>
          <w:sz w:val="24"/>
          <w:highlight w:val="none"/>
        </w:rPr>
        <w:t>“不见面开标大厅”</w:t>
      </w:r>
      <w:r>
        <w:rPr>
          <w:rFonts w:hint="default" w:ascii="Times New Roman" w:hAnsi="Times New Roman" w:eastAsia="宋体" w:cs="Times New Roman"/>
          <w:color w:val="auto"/>
          <w:sz w:val="24"/>
          <w:highlight w:val="none"/>
        </w:rPr>
        <w:t>进行公开开标，并邀请所有投标人代表准时参加。</w:t>
      </w:r>
    </w:p>
    <w:p w14:paraId="7213C2E3">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投标人代表应按时参加第一个信封（商务及技术文件）及第二个信封（报价文件）</w:t>
      </w:r>
      <w:r>
        <w:rPr>
          <w:rFonts w:hint="eastAsia" w:cs="Times New Roman"/>
          <w:color w:val="auto"/>
          <w:sz w:val="24"/>
          <w:highlight w:val="none"/>
          <w:lang w:val="en-US" w:eastAsia="zh-CN"/>
        </w:rPr>
        <w:t>线上</w:t>
      </w:r>
      <w:r>
        <w:rPr>
          <w:rFonts w:hint="default" w:ascii="Times New Roman" w:hAnsi="Times New Roman" w:eastAsia="宋体" w:cs="Times New Roman"/>
          <w:color w:val="auto"/>
          <w:sz w:val="24"/>
          <w:highlight w:val="none"/>
        </w:rPr>
        <w:t>开标会。</w:t>
      </w:r>
    </w:p>
    <w:p w14:paraId="3D078FD9">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5.1.2投标人应当在能够保证设施设备可靠、互联网畅通的任意地点，通过互联网在线参加开标，并实时在线关注招标人的操作情况。</w:t>
      </w:r>
    </w:p>
    <w:p w14:paraId="411DD11F">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p>
    <w:bookmarkEnd w:id="241"/>
    <w:p w14:paraId="693FAC08">
      <w:pPr>
        <w:keepNext w:val="0"/>
        <w:keepLines w:val="0"/>
        <w:pageBreakBefore w:val="0"/>
        <w:widowControl w:val="0"/>
        <w:kinsoku/>
        <w:wordWrap w:val="0"/>
        <w:overflowPunct/>
        <w:topLinePunct w:val="0"/>
        <w:autoSpaceDE/>
        <w:autoSpaceDN/>
        <w:bidi w:val="0"/>
        <w:adjustRightInd/>
        <w:snapToGrid/>
        <w:spacing w:before="240" w:after="240" w:line="240" w:lineRule="atLeast"/>
        <w:textAlignment w:val="auto"/>
        <w:outlineLvl w:val="9"/>
        <w:rPr>
          <w:rFonts w:hint="default" w:ascii="Times New Roman" w:hAnsi="Times New Roman" w:eastAsia="黑体" w:cs="Times New Roman"/>
          <w:b w:val="0"/>
          <w:color w:val="auto"/>
          <w:sz w:val="24"/>
          <w:szCs w:val="24"/>
          <w:highlight w:val="none"/>
        </w:rPr>
      </w:pPr>
      <w:bookmarkStart w:id="242" w:name="_Toc17800"/>
      <w:bookmarkStart w:id="243" w:name="_Toc29801"/>
      <w:r>
        <w:rPr>
          <w:rFonts w:hint="default" w:ascii="Times New Roman" w:hAnsi="Times New Roman" w:eastAsia="黑体" w:cs="Times New Roman"/>
          <w:b w:val="0"/>
          <w:color w:val="auto"/>
          <w:sz w:val="24"/>
          <w:szCs w:val="24"/>
          <w:highlight w:val="none"/>
        </w:rPr>
        <w:t>5.2开标程序</w:t>
      </w:r>
      <w:bookmarkEnd w:id="242"/>
      <w:bookmarkEnd w:id="243"/>
    </w:p>
    <w:p w14:paraId="3F6F7E07">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5.2.1主持人按下列程序对投标文件第一个信封（商务及技术文件）进行开标：</w:t>
      </w:r>
    </w:p>
    <w:p w14:paraId="2FBFD4B3">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（1）宣布开标纪律；</w:t>
      </w:r>
    </w:p>
    <w:p w14:paraId="47CA14B5">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（2）公布在投标截止时间前递交</w:t>
      </w:r>
      <w:r>
        <w:rPr>
          <w:rFonts w:hint="default" w:ascii="Times New Roman" w:hAnsi="Times New Roman" w:cs="Times New Roman"/>
          <w:color w:val="auto"/>
          <w:sz w:val="24"/>
          <w:szCs w:val="24"/>
          <w:highlight w:val="none"/>
          <w:lang w:val="en-US" w:eastAsia="zh-CN"/>
        </w:rPr>
        <w:t>至</w:t>
      </w:r>
      <w:r>
        <w:rPr>
          <w:rFonts w:hint="eastAsia" w:ascii="宋体" w:hAnsi="宋体" w:eastAsia="宋体" w:cs="宋体"/>
          <w:color w:val="auto"/>
          <w:sz w:val="24"/>
          <w:szCs w:val="24"/>
          <w:highlight w:val="none"/>
          <w:lang w:val="en-US" w:eastAsia="zh-CN"/>
        </w:rPr>
        <w:t>“</w:t>
      </w:r>
      <w:r>
        <w:rPr>
          <w:rFonts w:hint="eastAsia" w:cs="Times New Roman"/>
          <w:color w:val="auto"/>
          <w:sz w:val="24"/>
          <w:szCs w:val="24"/>
          <w:highlight w:val="none"/>
          <w:lang w:val="en-US" w:eastAsia="zh-CN"/>
        </w:rPr>
        <w:t>电子交易平台</w:t>
      </w:r>
      <w:r>
        <w:rPr>
          <w:rFonts w:hint="eastAsia" w:ascii="宋体" w:hAnsi="宋体" w:eastAsia="宋体" w:cs="宋体"/>
          <w:color w:val="auto"/>
          <w:sz w:val="24"/>
          <w:szCs w:val="24"/>
          <w:highlight w:val="none"/>
          <w:lang w:val="en-US" w:eastAsia="zh-CN"/>
        </w:rPr>
        <w:t>”</w:t>
      </w:r>
      <w:r>
        <w:rPr>
          <w:rFonts w:hint="default" w:ascii="Times New Roman" w:hAnsi="Times New Roman" w:cs="Times New Roman"/>
          <w:color w:val="auto"/>
          <w:sz w:val="24"/>
          <w:szCs w:val="24"/>
          <w:highlight w:val="none"/>
        </w:rPr>
        <w:t>投标文件的投标人数量；</w:t>
      </w:r>
    </w:p>
    <w:p w14:paraId="49A2CA57">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（3）投标人代表</w:t>
      </w:r>
      <w:r>
        <w:rPr>
          <w:rFonts w:hint="default" w:ascii="Times New Roman" w:hAnsi="Times New Roman" w:cs="Times New Roman"/>
          <w:color w:val="auto"/>
          <w:sz w:val="24"/>
          <w:highlight w:val="none"/>
        </w:rPr>
        <w:t>通过互联网使用CA数字证书登录</w:t>
      </w:r>
      <w:r>
        <w:rPr>
          <w:rFonts w:hint="eastAsia" w:ascii="宋体" w:hAnsi="宋体" w:eastAsia="宋体" w:cs="宋体"/>
          <w:color w:val="auto"/>
          <w:sz w:val="24"/>
          <w:highlight w:val="none"/>
        </w:rPr>
        <w:t>“不见面开标大厅”</w:t>
      </w:r>
      <w:r>
        <w:rPr>
          <w:rFonts w:hint="default" w:ascii="Times New Roman" w:hAnsi="Times New Roman" w:cs="Times New Roman"/>
          <w:color w:val="auto"/>
          <w:sz w:val="24"/>
          <w:highlight w:val="none"/>
          <w:lang w:val="en-US" w:eastAsia="zh-CN"/>
        </w:rPr>
        <w:t>在投标人须知前附表规定的时间内</w:t>
      </w:r>
      <w:r>
        <w:rPr>
          <w:rFonts w:hint="default" w:ascii="Times New Roman" w:hAnsi="Times New Roman" w:cs="Times New Roman"/>
          <w:color w:val="auto"/>
          <w:sz w:val="24"/>
          <w:szCs w:val="24"/>
          <w:highlight w:val="none"/>
        </w:rPr>
        <w:t>解密加密的投标文件</w:t>
      </w:r>
      <w:r>
        <w:rPr>
          <w:rFonts w:hint="default" w:ascii="Times New Roman" w:hAnsi="Times New Roman" w:cs="Times New Roman"/>
          <w:color w:val="auto"/>
          <w:sz w:val="24"/>
          <w:szCs w:val="24"/>
          <w:highlight w:val="none"/>
          <w:lang w:val="en-US" w:eastAsia="zh-CN"/>
        </w:rPr>
        <w:t>第一个信封</w:t>
      </w:r>
      <w:r>
        <w:rPr>
          <w:rFonts w:hint="default" w:ascii="Times New Roman" w:hAnsi="Times New Roman" w:cs="Times New Roman"/>
          <w:color w:val="auto"/>
          <w:sz w:val="24"/>
          <w:szCs w:val="24"/>
          <w:highlight w:val="none"/>
        </w:rPr>
        <w:t>（商务及技术文件）；</w:t>
      </w:r>
    </w:p>
    <w:p w14:paraId="6116D797">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w:t>
      </w:r>
      <w:r>
        <w:rPr>
          <w:rFonts w:hint="eastAsia" w:cs="Times New Roman"/>
          <w:color w:val="auto"/>
          <w:sz w:val="24"/>
          <w:szCs w:val="24"/>
          <w:highlight w:val="none"/>
          <w:lang w:val="en-US" w:eastAsia="zh-CN"/>
        </w:rPr>
        <w:t>4</w:t>
      </w:r>
      <w:r>
        <w:rPr>
          <w:rFonts w:hint="default" w:ascii="Times New Roman" w:hAnsi="Times New Roman" w:cs="Times New Roman"/>
          <w:color w:val="auto"/>
          <w:sz w:val="24"/>
          <w:szCs w:val="24"/>
          <w:highlight w:val="none"/>
        </w:rPr>
        <w:t>）招标人对未成功解密的投标文件进行退回并按本章第5.3款进行补救处理；</w:t>
      </w:r>
    </w:p>
    <w:p w14:paraId="5F886487">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w:t>
      </w:r>
      <w:r>
        <w:rPr>
          <w:rFonts w:hint="eastAsia" w:cs="Times New Roman"/>
          <w:color w:val="auto"/>
          <w:sz w:val="24"/>
          <w:szCs w:val="24"/>
          <w:highlight w:val="none"/>
          <w:lang w:val="en-US" w:eastAsia="zh-CN"/>
        </w:rPr>
        <w:t>5</w:t>
      </w:r>
      <w:r>
        <w:rPr>
          <w:rFonts w:hint="default" w:ascii="Times New Roman" w:hAnsi="Times New Roman" w:cs="Times New Roman"/>
          <w:color w:val="auto"/>
          <w:sz w:val="24"/>
          <w:szCs w:val="24"/>
          <w:highlight w:val="none"/>
        </w:rPr>
        <w:t>）导入并读取所有解密成功的投标文件第一个信封（商务及技术文件）的内容；</w:t>
      </w:r>
    </w:p>
    <w:p w14:paraId="72DBC58B">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w:t>
      </w:r>
      <w:r>
        <w:rPr>
          <w:rFonts w:hint="eastAsia" w:cs="Times New Roman"/>
          <w:color w:val="auto"/>
          <w:sz w:val="24"/>
          <w:szCs w:val="24"/>
          <w:highlight w:val="none"/>
          <w:lang w:val="en-US" w:eastAsia="zh-CN"/>
        </w:rPr>
        <w:t>6</w:t>
      </w:r>
      <w:r>
        <w:rPr>
          <w:rFonts w:hint="default" w:ascii="Times New Roman" w:hAnsi="Times New Roman" w:cs="Times New Roman"/>
          <w:color w:val="auto"/>
          <w:sz w:val="24"/>
          <w:szCs w:val="24"/>
          <w:highlight w:val="none"/>
        </w:rPr>
        <w:t>）公布标段名称、投标人名称的递交情况、</w:t>
      </w:r>
      <w:r>
        <w:rPr>
          <w:rFonts w:hint="eastAsia" w:cs="Times New Roman"/>
          <w:color w:val="auto"/>
          <w:sz w:val="24"/>
          <w:szCs w:val="24"/>
          <w:highlight w:val="none"/>
          <w:lang w:val="en-US" w:eastAsia="zh-CN"/>
        </w:rPr>
        <w:t>工期</w:t>
      </w:r>
      <w:r>
        <w:rPr>
          <w:rFonts w:hint="default" w:ascii="Times New Roman" w:hAnsi="Times New Roman" w:cs="Times New Roman"/>
          <w:color w:val="auto"/>
          <w:sz w:val="24"/>
          <w:szCs w:val="24"/>
          <w:highlight w:val="none"/>
        </w:rPr>
        <w:t>及其他内容，并记录在案；</w:t>
      </w:r>
    </w:p>
    <w:p w14:paraId="0EA06818">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w:t>
      </w:r>
      <w:r>
        <w:rPr>
          <w:rFonts w:hint="eastAsia" w:cs="Times New Roman"/>
          <w:color w:val="auto"/>
          <w:sz w:val="24"/>
          <w:szCs w:val="24"/>
          <w:highlight w:val="none"/>
          <w:lang w:val="en-US" w:eastAsia="zh-CN"/>
        </w:rPr>
        <w:t>7</w:t>
      </w:r>
      <w:r>
        <w:rPr>
          <w:rFonts w:hint="default" w:ascii="Times New Roman" w:hAnsi="Times New Roman" w:cs="Times New Roman"/>
          <w:color w:val="auto"/>
          <w:sz w:val="24"/>
          <w:szCs w:val="24"/>
          <w:highlight w:val="none"/>
        </w:rPr>
        <w:t>）投标人代表对开标记录进行确认。投标人代表对开标结果有异议的应在</w:t>
      </w:r>
      <w:r>
        <w:rPr>
          <w:rFonts w:hint="default" w:ascii="Times New Roman" w:hAnsi="Times New Roman" w:cs="Times New Roman"/>
          <w:color w:val="auto"/>
          <w:sz w:val="24"/>
          <w:szCs w:val="24"/>
          <w:highlight w:val="none"/>
          <w:lang w:val="en-US" w:eastAsia="zh-CN"/>
        </w:rPr>
        <w:t>规定时间内通过</w:t>
      </w:r>
      <w:r>
        <w:rPr>
          <w:rFonts w:hint="eastAsia" w:ascii="宋体" w:hAnsi="宋体" w:eastAsia="宋体" w:cs="宋体"/>
          <w:color w:val="auto"/>
          <w:sz w:val="24"/>
          <w:szCs w:val="24"/>
          <w:highlight w:val="none"/>
          <w:lang w:val="en-US" w:eastAsia="zh-CN"/>
        </w:rPr>
        <w:t>“</w:t>
      </w:r>
      <w:r>
        <w:rPr>
          <w:rFonts w:hint="eastAsia" w:cs="Times New Roman"/>
          <w:color w:val="auto"/>
          <w:sz w:val="24"/>
          <w:szCs w:val="24"/>
          <w:highlight w:val="none"/>
          <w:lang w:val="en-US" w:eastAsia="zh-CN"/>
        </w:rPr>
        <w:t>不见面开标大厅</w:t>
      </w:r>
      <w:r>
        <w:rPr>
          <w:rFonts w:hint="eastAsia" w:ascii="宋体" w:hAnsi="宋体" w:eastAsia="宋体" w:cs="宋体"/>
          <w:color w:val="auto"/>
          <w:sz w:val="24"/>
          <w:szCs w:val="24"/>
          <w:highlight w:val="none"/>
          <w:lang w:val="en-US" w:eastAsia="zh-CN"/>
        </w:rPr>
        <w:t>”</w:t>
      </w:r>
      <w:r>
        <w:rPr>
          <w:rFonts w:hint="default" w:ascii="Times New Roman" w:hAnsi="Times New Roman" w:cs="Times New Roman"/>
          <w:color w:val="auto"/>
          <w:sz w:val="24"/>
          <w:szCs w:val="24"/>
          <w:highlight w:val="none"/>
        </w:rPr>
        <w:t>提出，否则视为无异议；</w:t>
      </w:r>
    </w:p>
    <w:p w14:paraId="5DED77BF">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cs="Times New Roman"/>
          <w:color w:val="auto"/>
          <w:sz w:val="24"/>
          <w:szCs w:val="24"/>
          <w:highlight w:val="none"/>
        </w:rPr>
        <w:t>（</w:t>
      </w:r>
      <w:r>
        <w:rPr>
          <w:rFonts w:hint="eastAsia" w:cs="Times New Roman"/>
          <w:color w:val="auto"/>
          <w:sz w:val="24"/>
          <w:szCs w:val="24"/>
          <w:highlight w:val="none"/>
          <w:lang w:val="en-US" w:eastAsia="zh-CN"/>
        </w:rPr>
        <w:t>8</w:t>
      </w:r>
      <w:r>
        <w:rPr>
          <w:rFonts w:hint="default" w:ascii="Times New Roman" w:hAnsi="Times New Roman" w:cs="Times New Roman"/>
          <w:color w:val="auto"/>
          <w:sz w:val="24"/>
          <w:szCs w:val="24"/>
          <w:highlight w:val="none"/>
        </w:rPr>
        <w:t>）开标结束</w:t>
      </w:r>
      <w:r>
        <w:rPr>
          <w:rFonts w:hint="default" w:ascii="Times New Roman" w:hAnsi="Times New Roman" w:eastAsia="宋体" w:cs="Times New Roman"/>
          <w:color w:val="auto"/>
          <w:sz w:val="24"/>
          <w:highlight w:val="none"/>
        </w:rPr>
        <w:t>。</w:t>
      </w:r>
    </w:p>
    <w:p w14:paraId="6B78A4FC">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5.2.2投标文件第二个信封（报价文件）在投标文件第一个信封（商务及技术文件）完成评审前，</w:t>
      </w:r>
      <w:r>
        <w:rPr>
          <w:rFonts w:hint="eastAsia" w:ascii="宋体" w:hAnsi="宋体" w:eastAsia="宋体" w:cs="宋体"/>
          <w:color w:val="auto"/>
          <w:sz w:val="24"/>
          <w:szCs w:val="24"/>
          <w:highlight w:val="none"/>
        </w:rPr>
        <w:t>“</w:t>
      </w:r>
      <w:r>
        <w:rPr>
          <w:rFonts w:hint="eastAsia" w:cs="Times New Roman"/>
          <w:color w:val="auto"/>
          <w:sz w:val="24"/>
          <w:szCs w:val="24"/>
          <w:highlight w:val="none"/>
          <w:lang w:eastAsia="zh-CN"/>
        </w:rPr>
        <w:t>电子交易平台</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的开标评标系统将不进行读取。</w:t>
      </w:r>
    </w:p>
    <w:p w14:paraId="1C007CF0">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5.2.3招标人将按照本章第5.1款规定的时间和地点对投标文件第二个信封（报价文件）进行开标。主持人按下列程序进行开标：</w:t>
      </w:r>
    </w:p>
    <w:p w14:paraId="0348E554">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（1）宣布开标纪律；</w:t>
      </w:r>
    </w:p>
    <w:p w14:paraId="43ABC419">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（2）当众宣布通过投标文件第一个信封（商务及技术文件）评审的投标人名单；</w:t>
      </w:r>
    </w:p>
    <w:p w14:paraId="4F912AD9">
      <w:pPr>
        <w:pageBreakBefore w:val="0"/>
        <w:kinsoku/>
        <w:wordWrap w:val="0"/>
        <w:bidi w:val="0"/>
        <w:spacing w:line="400" w:lineRule="exact"/>
        <w:ind w:firstLine="480" w:firstLineChars="200"/>
        <w:rPr>
          <w:rFonts w:hint="eastAsia" w:ascii="Times New Roman" w:hAnsi="Times New Roman" w:eastAsia="宋体" w:cs="Times New Roman"/>
          <w:color w:val="auto"/>
          <w:sz w:val="24"/>
          <w:szCs w:val="24"/>
          <w:highlight w:val="none"/>
          <w:lang w:eastAsia="zh-CN"/>
        </w:rPr>
      </w:pP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3</w:t>
      </w:r>
      <w:r>
        <w:rPr>
          <w:rFonts w:hint="eastAsia" w:cs="Times New Roman"/>
          <w:color w:val="auto"/>
          <w:sz w:val="24"/>
          <w:szCs w:val="24"/>
          <w:highlight w:val="none"/>
          <w:lang w:eastAsia="zh-CN"/>
        </w:rPr>
        <w:t>）</w:t>
      </w:r>
      <w:r>
        <w:rPr>
          <w:rFonts w:hint="eastAsia" w:ascii="宋体" w:hAnsi="宋体" w:cs="宋体"/>
          <w:color w:val="auto"/>
          <w:sz w:val="24"/>
          <w:szCs w:val="24"/>
          <w:highlight w:val="none"/>
          <w:lang w:val="en-US" w:eastAsia="zh-CN"/>
        </w:rPr>
        <w:t>对</w:t>
      </w:r>
      <w:r>
        <w:rPr>
          <w:rFonts w:hint="default" w:ascii="Times New Roman" w:hAnsi="Times New Roman" w:cs="Times New Roman"/>
          <w:color w:val="auto"/>
          <w:sz w:val="24"/>
          <w:szCs w:val="24"/>
          <w:highlight w:val="none"/>
        </w:rPr>
        <w:t>通过投标文件第一个信封（商务及技术文件）评审的投标人</w:t>
      </w:r>
      <w:r>
        <w:rPr>
          <w:rFonts w:hint="eastAsia" w:cs="Times New Roman"/>
          <w:color w:val="auto"/>
          <w:sz w:val="24"/>
          <w:szCs w:val="24"/>
          <w:highlight w:val="none"/>
          <w:lang w:val="en-US" w:eastAsia="zh-CN"/>
        </w:rPr>
        <w:t>进行随机分配投标标段</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（如有）</w:t>
      </w:r>
    </w:p>
    <w:p w14:paraId="0D2C8663">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w:t>
      </w:r>
      <w:r>
        <w:rPr>
          <w:rFonts w:hint="eastAsia" w:cs="Times New Roman"/>
          <w:color w:val="auto"/>
          <w:sz w:val="24"/>
          <w:szCs w:val="24"/>
          <w:highlight w:val="none"/>
          <w:lang w:val="en-US" w:eastAsia="zh-CN"/>
        </w:rPr>
        <w:t>4</w:t>
      </w:r>
      <w:r>
        <w:rPr>
          <w:rFonts w:hint="default" w:ascii="Times New Roman" w:hAnsi="Times New Roman" w:cs="Times New Roman"/>
          <w:color w:val="auto"/>
          <w:sz w:val="24"/>
          <w:szCs w:val="24"/>
          <w:highlight w:val="none"/>
        </w:rPr>
        <w:t>）通过投标文件第一个信封（商务及技术文件）评审的投标人代表</w:t>
      </w:r>
      <w:r>
        <w:rPr>
          <w:rFonts w:hint="default" w:ascii="Times New Roman" w:hAnsi="Times New Roman" w:cs="Times New Roman"/>
          <w:color w:val="auto"/>
          <w:sz w:val="24"/>
          <w:highlight w:val="none"/>
        </w:rPr>
        <w:t>通过互联网使用CA数字证书登录</w:t>
      </w:r>
      <w:r>
        <w:rPr>
          <w:rFonts w:hint="eastAsia" w:ascii="宋体" w:hAnsi="宋体" w:eastAsia="宋体" w:cs="宋体"/>
          <w:color w:val="auto"/>
          <w:sz w:val="24"/>
          <w:highlight w:val="none"/>
        </w:rPr>
        <w:t>“不见面开标大厅”</w:t>
      </w:r>
      <w:r>
        <w:rPr>
          <w:rFonts w:hint="default" w:ascii="Times New Roman" w:hAnsi="Times New Roman" w:cs="Times New Roman"/>
          <w:color w:val="auto"/>
          <w:sz w:val="24"/>
          <w:highlight w:val="none"/>
          <w:lang w:val="en-US" w:eastAsia="zh-CN"/>
        </w:rPr>
        <w:t>在投标人须知前附表规定的时间内</w:t>
      </w:r>
      <w:r>
        <w:rPr>
          <w:rFonts w:hint="default" w:ascii="Times New Roman" w:hAnsi="Times New Roman" w:cs="Times New Roman"/>
          <w:color w:val="auto"/>
          <w:sz w:val="24"/>
          <w:szCs w:val="24"/>
          <w:highlight w:val="none"/>
        </w:rPr>
        <w:t>解密加密的投标文件第二个信封（报价文件）；</w:t>
      </w:r>
    </w:p>
    <w:p w14:paraId="6BB5D4FE">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w:t>
      </w:r>
      <w:r>
        <w:rPr>
          <w:rFonts w:hint="eastAsia" w:cs="Times New Roman"/>
          <w:color w:val="auto"/>
          <w:sz w:val="24"/>
          <w:szCs w:val="24"/>
          <w:highlight w:val="none"/>
          <w:lang w:val="en-US" w:eastAsia="zh-CN"/>
        </w:rPr>
        <w:t>5</w:t>
      </w:r>
      <w:r>
        <w:rPr>
          <w:rFonts w:hint="default" w:ascii="Times New Roman" w:hAnsi="Times New Roman" w:cs="Times New Roman"/>
          <w:color w:val="auto"/>
          <w:sz w:val="24"/>
          <w:szCs w:val="24"/>
          <w:highlight w:val="none"/>
        </w:rPr>
        <w:t>）招标人对未成功解密的投标文件进行退回并按本章第5.3款进行补救处理；</w:t>
      </w:r>
    </w:p>
    <w:p w14:paraId="628F9D8B">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w:t>
      </w:r>
      <w:r>
        <w:rPr>
          <w:rFonts w:hint="eastAsia" w:cs="Times New Roman"/>
          <w:color w:val="auto"/>
          <w:sz w:val="24"/>
          <w:szCs w:val="24"/>
          <w:highlight w:val="none"/>
          <w:lang w:val="en-US" w:eastAsia="zh-CN"/>
        </w:rPr>
        <w:t>6</w:t>
      </w:r>
      <w:r>
        <w:rPr>
          <w:rFonts w:hint="default" w:ascii="Times New Roman" w:hAnsi="Times New Roman" w:cs="Times New Roman"/>
          <w:color w:val="auto"/>
          <w:sz w:val="24"/>
          <w:szCs w:val="24"/>
          <w:highlight w:val="none"/>
        </w:rPr>
        <w:t>）导入并读取所有通过投标文件第一个信封（商务及技术文件）评审的解密成功的投标文件第二个信封（报价文件）的内容；</w:t>
      </w:r>
    </w:p>
    <w:p w14:paraId="673BE138">
      <w:pPr>
        <w:pageBreakBefore w:val="0"/>
        <w:kinsoku/>
        <w:wordWrap w:val="0"/>
        <w:bidi w:val="0"/>
        <w:spacing w:line="400" w:lineRule="exact"/>
        <w:ind w:firstLine="480" w:firstLineChars="200"/>
        <w:rPr>
          <w:rFonts w:hint="eastAsia" w:ascii="Times New Roman" w:hAnsi="Times New Roman" w:eastAsia="宋体" w:cs="Times New Roman"/>
          <w:color w:val="auto"/>
          <w:sz w:val="24"/>
          <w:szCs w:val="24"/>
          <w:highlight w:val="none"/>
          <w:lang w:eastAsia="zh-CN"/>
        </w:rPr>
      </w:pPr>
      <w:r>
        <w:rPr>
          <w:rFonts w:hint="default" w:ascii="Times New Roman" w:hAnsi="Times New Roman" w:cs="Times New Roman"/>
          <w:color w:val="auto"/>
          <w:sz w:val="24"/>
          <w:szCs w:val="24"/>
          <w:highlight w:val="none"/>
        </w:rPr>
        <w:t>（</w:t>
      </w:r>
      <w:r>
        <w:rPr>
          <w:rFonts w:hint="eastAsia" w:cs="Times New Roman"/>
          <w:color w:val="auto"/>
          <w:sz w:val="24"/>
          <w:szCs w:val="24"/>
          <w:highlight w:val="none"/>
          <w:lang w:val="en-US" w:eastAsia="zh-CN"/>
        </w:rPr>
        <w:t>7</w:t>
      </w:r>
      <w:r>
        <w:rPr>
          <w:rFonts w:hint="default" w:ascii="Times New Roman" w:hAnsi="Times New Roman" w:cs="Times New Roman"/>
          <w:color w:val="auto"/>
          <w:sz w:val="24"/>
          <w:szCs w:val="24"/>
          <w:highlight w:val="none"/>
        </w:rPr>
        <w:t>）公布标段名称、投标人名称、投标报价及其他内容，并记录在案；</w:t>
      </w:r>
    </w:p>
    <w:p w14:paraId="4FCABDB8">
      <w:pPr>
        <w:pageBreakBefore w:val="0"/>
        <w:kinsoku/>
        <w:wordWrap w:val="0"/>
        <w:bidi w:val="0"/>
        <w:spacing w:line="400" w:lineRule="exact"/>
        <w:ind w:firstLine="480" w:firstLineChars="200"/>
        <w:rPr>
          <w:rFonts w:hint="default" w:ascii="Times New Roman" w:hAnsi="Times New Roman" w:eastAsia="宋体" w:cs="Times New Roman"/>
          <w:color w:val="auto"/>
          <w:sz w:val="24"/>
          <w:szCs w:val="24"/>
          <w:highlight w:val="none"/>
          <w:lang w:eastAsia="zh-CN"/>
        </w:rPr>
      </w:pPr>
      <w:r>
        <w:rPr>
          <w:rFonts w:hint="default" w:ascii="Times New Roman" w:hAnsi="Times New Roman" w:cs="Times New Roman"/>
          <w:color w:val="auto"/>
          <w:sz w:val="24"/>
          <w:szCs w:val="24"/>
          <w:highlight w:val="none"/>
          <w:lang w:eastAsia="zh-CN"/>
        </w:rPr>
        <w:t>（</w:t>
      </w:r>
      <w:r>
        <w:rPr>
          <w:rFonts w:hint="eastAsia" w:cs="Times New Roman"/>
          <w:color w:val="auto"/>
          <w:sz w:val="24"/>
          <w:szCs w:val="24"/>
          <w:highlight w:val="none"/>
          <w:lang w:val="en-US" w:eastAsia="zh-CN"/>
        </w:rPr>
        <w:t>8</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随机抽取评标基准价计算方法、评标基准价系数</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（如有）</w:t>
      </w:r>
    </w:p>
    <w:p w14:paraId="511A688D">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w:t>
      </w:r>
      <w:r>
        <w:rPr>
          <w:rFonts w:hint="eastAsia" w:cs="Times New Roman"/>
          <w:color w:val="auto"/>
          <w:sz w:val="24"/>
          <w:szCs w:val="24"/>
          <w:highlight w:val="none"/>
          <w:lang w:val="en-US" w:eastAsia="zh-CN"/>
        </w:rPr>
        <w:t>9</w:t>
      </w:r>
      <w:r>
        <w:rPr>
          <w:rFonts w:hint="default" w:ascii="Times New Roman" w:hAnsi="Times New Roman" w:cs="Times New Roman"/>
          <w:color w:val="auto"/>
          <w:sz w:val="24"/>
          <w:szCs w:val="24"/>
          <w:highlight w:val="none"/>
        </w:rPr>
        <w:t>）投标人代表对开标记录进行确认。投标人代表对开标结果有异议的应在</w:t>
      </w:r>
      <w:r>
        <w:rPr>
          <w:rFonts w:hint="default" w:ascii="Times New Roman" w:hAnsi="Times New Roman" w:cs="Times New Roman"/>
          <w:color w:val="auto"/>
          <w:sz w:val="24"/>
          <w:szCs w:val="24"/>
          <w:highlight w:val="none"/>
          <w:lang w:val="en-US" w:eastAsia="zh-CN"/>
        </w:rPr>
        <w:t>规定时间内通过</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不见面开标大厅</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提出，否则视为无异议；</w:t>
      </w:r>
    </w:p>
    <w:p w14:paraId="31BE2DB2">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cs="Times New Roman"/>
          <w:color w:val="auto"/>
          <w:sz w:val="24"/>
          <w:szCs w:val="24"/>
          <w:highlight w:val="none"/>
        </w:rPr>
        <w:t>（</w:t>
      </w:r>
      <w:r>
        <w:rPr>
          <w:rFonts w:hint="eastAsia" w:cs="Times New Roman"/>
          <w:color w:val="auto"/>
          <w:sz w:val="24"/>
          <w:szCs w:val="24"/>
          <w:highlight w:val="none"/>
          <w:lang w:val="en-US" w:eastAsia="zh-CN"/>
        </w:rPr>
        <w:t>10</w:t>
      </w:r>
      <w:r>
        <w:rPr>
          <w:rFonts w:hint="default" w:ascii="Times New Roman" w:hAnsi="Times New Roman" w:cs="Times New Roman"/>
          <w:color w:val="auto"/>
          <w:sz w:val="24"/>
          <w:szCs w:val="24"/>
          <w:highlight w:val="none"/>
        </w:rPr>
        <w:t>）开标结束。</w:t>
      </w:r>
    </w:p>
    <w:p w14:paraId="1340FC74">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5.2.4若采用合理低价法或综合评分法，在投标文件第二个信封（报价文件）开标现场，招标人将按第三章</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评标办法</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规定的原则计算并宣布评标基准价。若招标人发现投标文件出现以下任一情况，其投标报价将不再参加评标基准价的计算：</w:t>
      </w:r>
    </w:p>
    <w:p w14:paraId="4870595A">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（1）未按要求在投标函上填写投标总价；</w:t>
      </w:r>
    </w:p>
    <w:p w14:paraId="5715EC3E">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（2）投标报价超出招标人公布的最高投标限价（如有）</w:t>
      </w:r>
      <w:r>
        <w:rPr>
          <w:rFonts w:hint="eastAsia" w:cs="Times New Roman"/>
          <w:color w:val="auto"/>
          <w:sz w:val="24"/>
          <w:highlight w:val="none"/>
          <w:lang w:eastAsia="zh-CN"/>
        </w:rPr>
        <w:t>，或低于招标人公布的最高投标限价（如有）的G</w:t>
      </w:r>
      <w:r>
        <w:rPr>
          <w:rStyle w:val="48"/>
          <w:rFonts w:hint="eastAsia" w:cs="Times New Roman"/>
          <w:color w:val="auto"/>
          <w:sz w:val="24"/>
          <w:highlight w:val="none"/>
          <w:lang w:eastAsia="zh-CN"/>
        </w:rPr>
        <w:footnoteReference w:id="22"/>
      </w: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rPr>
        <w:t>；</w:t>
      </w:r>
    </w:p>
    <w:p w14:paraId="5FA77477">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（3）无法确定投标报价具体数值；</w:t>
      </w:r>
    </w:p>
    <w:p w14:paraId="68C2AAAE">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（4）投标函上填写的标段号与上传的对应项目标段号不一致（如分标段）。</w:t>
      </w:r>
    </w:p>
    <w:p w14:paraId="5BA406EF">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如果投标人认为某</w:t>
      </w:r>
      <w:r>
        <w:rPr>
          <w:rFonts w:hint="eastAsia" w:cs="Times New Roman"/>
          <w:color w:val="auto"/>
          <w:sz w:val="24"/>
          <w:szCs w:val="24"/>
          <w:highlight w:val="none"/>
          <w:lang w:val="en-US" w:eastAsia="zh-CN"/>
        </w:rPr>
        <w:t>一</w:t>
      </w:r>
      <w:r>
        <w:rPr>
          <w:rFonts w:hint="eastAsia" w:cs="Times New Roman"/>
          <w:color w:val="auto"/>
          <w:sz w:val="24"/>
          <w:szCs w:val="24"/>
          <w:highlight w:val="none"/>
          <w:lang w:eastAsia="zh-CN"/>
        </w:rPr>
        <w:t>标段</w:t>
      </w:r>
      <w:r>
        <w:rPr>
          <w:rFonts w:hint="default" w:ascii="Times New Roman" w:hAnsi="Times New Roman" w:cs="Times New Roman"/>
          <w:color w:val="auto"/>
          <w:sz w:val="24"/>
          <w:szCs w:val="24"/>
          <w:highlight w:val="none"/>
        </w:rPr>
        <w:t>的评标基准价计算有误，有权在开标现场提出，经招标人当场核实确认之后，可重新宣布评标基准价。开标现场宣布的评标基准价除计算有误经评标委员会修正外，在整个评标期间保持不变，不随任何因素发生变化。</w:t>
      </w:r>
    </w:p>
    <w:p w14:paraId="2285CA89">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cs="Times New Roman"/>
          <w:color w:val="auto"/>
          <w:sz w:val="24"/>
          <w:szCs w:val="24"/>
          <w:highlight w:val="none"/>
        </w:rPr>
        <w:t>5.2.5在投标文件第一个信封（商务及技术文件）或第二个信封（报价文件）开标过程中，若</w:t>
      </w:r>
      <w:r>
        <w:rPr>
          <w:rFonts w:hint="default" w:ascii="Times New Roman" w:hAnsi="Times New Roman" w:cs="Times New Roman"/>
          <w:color w:val="auto"/>
          <w:sz w:val="24"/>
          <w:szCs w:val="24"/>
          <w:highlight w:val="none"/>
          <w:lang w:val="en-US" w:eastAsia="zh-CN"/>
        </w:rPr>
        <w:t>开标现场</w:t>
      </w:r>
      <w:r>
        <w:rPr>
          <w:rFonts w:hint="eastAsia" w:cs="Times New Roman"/>
          <w:color w:val="auto"/>
          <w:sz w:val="24"/>
          <w:szCs w:val="24"/>
          <w:highlight w:val="none"/>
          <w:lang w:val="en-US" w:eastAsia="zh-CN"/>
        </w:rPr>
        <w:t>公布</w:t>
      </w:r>
      <w:r>
        <w:rPr>
          <w:rFonts w:hint="default" w:ascii="Times New Roman" w:hAnsi="Times New Roman" w:cs="Times New Roman"/>
          <w:color w:val="auto"/>
          <w:sz w:val="24"/>
          <w:szCs w:val="24"/>
          <w:highlight w:val="none"/>
        </w:rPr>
        <w:t>的内容与投标文件不符，投标人有权在开标现场提出疑问，经招标人当场核查确认之后，可重新</w:t>
      </w:r>
      <w:r>
        <w:rPr>
          <w:rFonts w:hint="eastAsia" w:cs="Times New Roman"/>
          <w:color w:val="auto"/>
          <w:sz w:val="24"/>
          <w:szCs w:val="24"/>
          <w:highlight w:val="none"/>
          <w:lang w:val="en-US" w:eastAsia="zh-CN"/>
        </w:rPr>
        <w:t>公布</w:t>
      </w:r>
      <w:r>
        <w:rPr>
          <w:rFonts w:hint="default" w:ascii="Times New Roman" w:hAnsi="Times New Roman" w:cs="Times New Roman"/>
          <w:color w:val="auto"/>
          <w:sz w:val="24"/>
          <w:szCs w:val="24"/>
          <w:highlight w:val="none"/>
        </w:rPr>
        <w:t>其</w:t>
      </w:r>
      <w:r>
        <w:rPr>
          <w:rFonts w:hint="eastAsia" w:cs="Times New Roman"/>
          <w:color w:val="auto"/>
          <w:sz w:val="24"/>
          <w:szCs w:val="24"/>
          <w:highlight w:val="none"/>
          <w:lang w:val="en-US" w:eastAsia="zh-CN"/>
        </w:rPr>
        <w:t>内容</w:t>
      </w:r>
      <w:r>
        <w:rPr>
          <w:rFonts w:hint="default" w:ascii="Times New Roman" w:hAnsi="Times New Roman" w:cs="Times New Roman"/>
          <w:color w:val="auto"/>
          <w:sz w:val="24"/>
          <w:szCs w:val="24"/>
          <w:highlight w:val="none"/>
        </w:rPr>
        <w:t>。若投标人现场未提出疑问，则认为投标人已确认</w:t>
      </w:r>
      <w:r>
        <w:rPr>
          <w:rFonts w:hint="default" w:ascii="Times New Roman" w:hAnsi="Times New Roman" w:cs="Times New Roman"/>
          <w:color w:val="auto"/>
          <w:sz w:val="24"/>
          <w:szCs w:val="24"/>
          <w:highlight w:val="none"/>
          <w:lang w:val="en-US" w:eastAsia="zh-CN"/>
        </w:rPr>
        <w:t>开标现场</w:t>
      </w:r>
      <w:r>
        <w:rPr>
          <w:rFonts w:hint="eastAsia" w:cs="Times New Roman"/>
          <w:color w:val="auto"/>
          <w:sz w:val="24"/>
          <w:szCs w:val="24"/>
          <w:highlight w:val="none"/>
          <w:lang w:val="en-US" w:eastAsia="zh-CN"/>
        </w:rPr>
        <w:t>公布</w:t>
      </w:r>
      <w:r>
        <w:rPr>
          <w:rFonts w:hint="default" w:ascii="Times New Roman" w:hAnsi="Times New Roman" w:cs="Times New Roman"/>
          <w:color w:val="auto"/>
          <w:sz w:val="24"/>
          <w:szCs w:val="24"/>
          <w:highlight w:val="none"/>
        </w:rPr>
        <w:t>的内容。</w:t>
      </w:r>
    </w:p>
    <w:p w14:paraId="7030CC37">
      <w:pPr>
        <w:keepNext w:val="0"/>
        <w:keepLines w:val="0"/>
        <w:pageBreakBefore w:val="0"/>
        <w:widowControl w:val="0"/>
        <w:kinsoku/>
        <w:wordWrap w:val="0"/>
        <w:overflowPunct/>
        <w:topLinePunct w:val="0"/>
        <w:autoSpaceDE/>
        <w:autoSpaceDN/>
        <w:bidi w:val="0"/>
        <w:adjustRightInd/>
        <w:snapToGrid/>
        <w:spacing w:before="240" w:after="240" w:line="240" w:lineRule="atLeast"/>
        <w:textAlignment w:val="auto"/>
        <w:outlineLvl w:val="9"/>
        <w:rPr>
          <w:rFonts w:hint="default" w:ascii="Times New Roman" w:hAnsi="Times New Roman" w:eastAsia="黑体" w:cs="Times New Roman"/>
          <w:b w:val="0"/>
          <w:color w:val="auto"/>
          <w:sz w:val="24"/>
          <w:szCs w:val="24"/>
          <w:highlight w:val="none"/>
        </w:rPr>
      </w:pPr>
      <w:bookmarkStart w:id="244" w:name="_Toc24866"/>
      <w:bookmarkStart w:id="245" w:name="_Toc27278"/>
      <w:r>
        <w:rPr>
          <w:rFonts w:hint="default" w:ascii="Times New Roman" w:hAnsi="Times New Roman" w:eastAsia="黑体" w:cs="Times New Roman"/>
          <w:b w:val="0"/>
          <w:color w:val="auto"/>
          <w:sz w:val="24"/>
          <w:szCs w:val="24"/>
          <w:highlight w:val="none"/>
        </w:rPr>
        <w:t>5.3开标补救措施</w:t>
      </w:r>
      <w:bookmarkEnd w:id="244"/>
      <w:bookmarkEnd w:id="245"/>
    </w:p>
    <w:p w14:paraId="6BFD0025">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5.3.1开标过程中因本章第5.3.2项、第5.3.3项所列原因，导致系统无法正常运行，将按投标人须知前附表的规定采取补救措施。</w:t>
      </w:r>
    </w:p>
    <w:p w14:paraId="730641A8">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5.3.2因</w:t>
      </w:r>
      <w:r>
        <w:rPr>
          <w:rFonts w:hint="eastAsia" w:ascii="宋体" w:hAnsi="宋体" w:eastAsia="宋体" w:cs="宋体"/>
          <w:color w:val="auto"/>
          <w:sz w:val="24"/>
          <w:highlight w:val="none"/>
        </w:rPr>
        <w:t>“</w:t>
      </w:r>
      <w:r>
        <w:rPr>
          <w:rFonts w:hint="eastAsia" w:cs="Times New Roman"/>
          <w:color w:val="auto"/>
          <w:sz w:val="24"/>
          <w:highlight w:val="none"/>
          <w:lang w:eastAsia="zh-CN"/>
        </w:rPr>
        <w:t>电子交易平台</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系统故障导致投标人无法正常上传加密的投标文件，投标人应打印并递交</w:t>
      </w:r>
      <w:r>
        <w:rPr>
          <w:rFonts w:hint="eastAsia" w:cs="Times New Roman"/>
          <w:color w:val="auto"/>
          <w:sz w:val="24"/>
          <w:highlight w:val="none"/>
          <w:lang w:eastAsia="zh-CN"/>
        </w:rPr>
        <w:t>电子交易平台</w:t>
      </w:r>
      <w:r>
        <w:rPr>
          <w:rFonts w:hint="default" w:ascii="Times New Roman" w:hAnsi="Times New Roman" w:eastAsia="宋体" w:cs="Times New Roman"/>
          <w:color w:val="auto"/>
          <w:sz w:val="24"/>
          <w:highlight w:val="none"/>
        </w:rPr>
        <w:t>自动生成的上传失败的异常记录单。</w:t>
      </w:r>
    </w:p>
    <w:p w14:paraId="1752AB8F">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5.3.3当出现以下情况时，应对未开标的中止电子开标，并在恢复正常后及时安排时间开标：</w:t>
      </w:r>
    </w:p>
    <w:p w14:paraId="45901D43">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（1）系统服务器发生故障，无法访问或无法使用系统；</w:t>
      </w:r>
    </w:p>
    <w:p w14:paraId="548EB934">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（2）系统的软件或数据库出现错误，不能进行正常操作；</w:t>
      </w:r>
    </w:p>
    <w:p w14:paraId="2A75CF06">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（3）系统发现有安全漏洞，有潜在的泄密危险；</w:t>
      </w:r>
    </w:p>
    <w:p w14:paraId="63A4EF25">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（4）出现断电事故且短时间内无法恢复供电；</w:t>
      </w:r>
    </w:p>
    <w:p w14:paraId="2B8A820A">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（5）其他无法保证招投标过程正常进行的情形。</w:t>
      </w:r>
    </w:p>
    <w:p w14:paraId="7ADD0C78">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5.3.4采取补救措施时，必须对原有资料及信息作出妥善保密处理。</w:t>
      </w:r>
    </w:p>
    <w:p w14:paraId="67937B85">
      <w:pPr>
        <w:keepNext w:val="0"/>
        <w:keepLines w:val="0"/>
        <w:pageBreakBefore w:val="0"/>
        <w:widowControl w:val="0"/>
        <w:kinsoku/>
        <w:wordWrap w:val="0"/>
        <w:overflowPunct/>
        <w:topLinePunct w:val="0"/>
        <w:autoSpaceDE/>
        <w:autoSpaceDN/>
        <w:bidi w:val="0"/>
        <w:adjustRightInd/>
        <w:snapToGrid/>
        <w:spacing w:before="240" w:after="240" w:line="240" w:lineRule="atLeast"/>
        <w:textAlignment w:val="auto"/>
        <w:outlineLvl w:val="9"/>
        <w:rPr>
          <w:rFonts w:hint="default" w:ascii="Times New Roman" w:hAnsi="Times New Roman" w:eastAsia="黑体" w:cs="Times New Roman"/>
          <w:b w:val="0"/>
          <w:color w:val="auto"/>
          <w:sz w:val="24"/>
          <w:szCs w:val="24"/>
          <w:highlight w:val="none"/>
        </w:rPr>
      </w:pPr>
      <w:bookmarkStart w:id="246" w:name="_Toc20631"/>
      <w:bookmarkStart w:id="247" w:name="_Toc3488"/>
      <w:r>
        <w:rPr>
          <w:rFonts w:hint="default" w:ascii="Times New Roman" w:hAnsi="Times New Roman" w:eastAsia="黑体" w:cs="Times New Roman"/>
          <w:b w:val="0"/>
          <w:color w:val="auto"/>
          <w:sz w:val="24"/>
          <w:szCs w:val="24"/>
          <w:highlight w:val="none"/>
        </w:rPr>
        <w:t>5.4开标异议</w:t>
      </w:r>
      <w:bookmarkEnd w:id="246"/>
      <w:bookmarkEnd w:id="247"/>
    </w:p>
    <w:p w14:paraId="19A68499">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u w:val="single"/>
        </w:rPr>
      </w:pPr>
      <w:r>
        <w:rPr>
          <w:rFonts w:hint="default" w:ascii="Times New Roman" w:hAnsi="Times New Roman" w:cs="Times New Roman"/>
          <w:color w:val="auto"/>
          <w:sz w:val="24"/>
          <w:szCs w:val="24"/>
          <w:highlight w:val="none"/>
        </w:rPr>
        <w:t>投标人对开标有异议的，应在开标现场</w:t>
      </w:r>
      <w:r>
        <w:rPr>
          <w:rFonts w:hint="default" w:ascii="Times New Roman" w:hAnsi="Times New Roman" w:cs="Times New Roman"/>
          <w:color w:val="auto"/>
          <w:sz w:val="24"/>
          <w:szCs w:val="24"/>
          <w:highlight w:val="none"/>
          <w:lang w:val="en-US" w:eastAsia="zh-CN"/>
        </w:rPr>
        <w:t>通过</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不见面开标大厅</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提出，招标人当场作出答复，并制作记录</w:t>
      </w:r>
      <w:r>
        <w:rPr>
          <w:rFonts w:hint="default" w:ascii="Times New Roman" w:hAnsi="Times New Roman" w:eastAsia="宋体" w:cs="Times New Roman"/>
          <w:color w:val="auto"/>
          <w:sz w:val="24"/>
          <w:highlight w:val="none"/>
        </w:rPr>
        <w:t>。</w:t>
      </w:r>
    </w:p>
    <w:p w14:paraId="33022C4E">
      <w:pPr>
        <w:pStyle w:val="5"/>
        <w:keepNext/>
        <w:keepLines/>
        <w:pageBreakBefore w:val="0"/>
        <w:widowControl w:val="0"/>
        <w:kinsoku/>
        <w:wordWrap w:val="0"/>
        <w:overflowPunct/>
        <w:topLinePunct w:val="0"/>
        <w:autoSpaceDE/>
        <w:autoSpaceDN/>
        <w:bidi w:val="0"/>
        <w:adjustRightInd/>
        <w:snapToGrid/>
        <w:spacing w:before="240" w:after="240" w:line="240" w:lineRule="atLeast"/>
        <w:jc w:val="both"/>
        <w:textAlignment w:val="auto"/>
        <w:outlineLvl w:val="2"/>
        <w:rPr>
          <w:rFonts w:hint="default" w:ascii="黑体" w:hAnsi="黑体" w:eastAsia="黑体" w:cs="黑体"/>
          <w:b w:val="0"/>
          <w:bCs/>
          <w:i w:val="0"/>
          <w:iCs w:val="0"/>
          <w:color w:val="auto"/>
          <w:sz w:val="28"/>
          <w:szCs w:val="28"/>
          <w:highlight w:val="none"/>
          <w:lang w:val="en-US" w:eastAsia="zh-CN"/>
        </w:rPr>
      </w:pPr>
      <w:bookmarkStart w:id="248" w:name="_Toc26520"/>
      <w:bookmarkStart w:id="249" w:name="_Toc17337"/>
      <w:bookmarkStart w:id="250" w:name="_Toc31944"/>
      <w:bookmarkStart w:id="251" w:name="_Toc234832906"/>
      <w:bookmarkStart w:id="252" w:name="_Toc32026"/>
      <w:r>
        <w:rPr>
          <w:rFonts w:hint="default" w:ascii="黑体" w:hAnsi="黑体" w:eastAsia="黑体" w:cs="黑体"/>
          <w:b w:val="0"/>
          <w:bCs/>
          <w:i w:val="0"/>
          <w:iCs w:val="0"/>
          <w:color w:val="auto"/>
          <w:sz w:val="28"/>
          <w:szCs w:val="28"/>
          <w:highlight w:val="none"/>
          <w:lang w:val="en-US" w:eastAsia="zh-CN"/>
        </w:rPr>
        <w:t>6.评标</w:t>
      </w:r>
      <w:bookmarkEnd w:id="248"/>
      <w:bookmarkEnd w:id="249"/>
      <w:bookmarkEnd w:id="250"/>
      <w:bookmarkEnd w:id="251"/>
      <w:bookmarkEnd w:id="252"/>
    </w:p>
    <w:p w14:paraId="5F715567">
      <w:pPr>
        <w:keepNext w:val="0"/>
        <w:keepLines w:val="0"/>
        <w:pageBreakBefore w:val="0"/>
        <w:widowControl w:val="0"/>
        <w:kinsoku/>
        <w:wordWrap w:val="0"/>
        <w:overflowPunct/>
        <w:topLinePunct w:val="0"/>
        <w:autoSpaceDE/>
        <w:autoSpaceDN/>
        <w:bidi w:val="0"/>
        <w:adjustRightInd/>
        <w:snapToGrid/>
        <w:spacing w:before="240" w:after="240" w:line="240" w:lineRule="atLeast"/>
        <w:textAlignment w:val="auto"/>
        <w:outlineLvl w:val="9"/>
        <w:rPr>
          <w:rFonts w:hint="default" w:ascii="Times New Roman" w:hAnsi="Times New Roman" w:eastAsia="黑体" w:cs="Times New Roman"/>
          <w:b w:val="0"/>
          <w:color w:val="auto"/>
          <w:sz w:val="24"/>
          <w:szCs w:val="24"/>
          <w:highlight w:val="none"/>
        </w:rPr>
      </w:pPr>
      <w:bookmarkStart w:id="253" w:name="_Toc21787"/>
      <w:bookmarkStart w:id="254" w:name="_Toc475"/>
      <w:bookmarkStart w:id="255" w:name="_Toc234832907"/>
      <w:r>
        <w:rPr>
          <w:rFonts w:hint="default" w:ascii="Times New Roman" w:hAnsi="Times New Roman" w:eastAsia="黑体" w:cs="Times New Roman"/>
          <w:b w:val="0"/>
          <w:color w:val="auto"/>
          <w:sz w:val="24"/>
          <w:szCs w:val="24"/>
          <w:highlight w:val="none"/>
        </w:rPr>
        <w:t>6.1评标委员会</w:t>
      </w:r>
      <w:bookmarkEnd w:id="253"/>
      <w:bookmarkEnd w:id="254"/>
      <w:bookmarkEnd w:id="255"/>
    </w:p>
    <w:p w14:paraId="4C000440">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6.1.1评标由招标人依法组建的评标委员会负责。评标委员会由招标人或其委托熟悉相关业务的代表，以及有关技术、经济等方面的专家组成。评标委员会成员人数以及技术、经济等方面专家的确定方式见投标人须知前附表。</w:t>
      </w:r>
    </w:p>
    <w:p w14:paraId="75DB2196">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6.1.2评标委员会成员有下列情形之一的，应主动提出回避：</w:t>
      </w:r>
    </w:p>
    <w:p w14:paraId="2594A682">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（1）为负责招标项目监督管理的交通运输主管部门的工作人员；</w:t>
      </w:r>
    </w:p>
    <w:p w14:paraId="2D318A25">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（2）与投标人法定代表人或其委托代理人有近亲属关系；</w:t>
      </w:r>
    </w:p>
    <w:p w14:paraId="32B15FC5">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（3）为投标人的工作人员或退休人员；</w:t>
      </w:r>
    </w:p>
    <w:p w14:paraId="206C88A2">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（4）与投标人有其他利害关系，可能影响评标活动公正性；</w:t>
      </w:r>
    </w:p>
    <w:p w14:paraId="179C62A3">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（5）在与招标投标有关的活动中有过违法违规行为、曾受过行政处罚或刑事处罚。</w:t>
      </w:r>
    </w:p>
    <w:p w14:paraId="12C30C94">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招标人及其子公司、招标人下属单位、招标人的上级主管部门或者控股公司、招标代理机构的工作人员或者退休人员不得以专家身份参与本单位招标或者招标代理项目的评标。</w:t>
      </w:r>
    </w:p>
    <w:p w14:paraId="107561EA">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6.1.3评标过程中，评标委员会成员有回避事由、擅离职守或因健康等原因不能继续评标的，招标人有权更换。被更换的评标委员会成员作出的评审结论无效，由更换后的评标委员会成员重新进行评审。</w:t>
      </w:r>
    </w:p>
    <w:p w14:paraId="16355EA6">
      <w:pPr>
        <w:keepNext w:val="0"/>
        <w:keepLines w:val="0"/>
        <w:pageBreakBefore w:val="0"/>
        <w:widowControl w:val="0"/>
        <w:kinsoku/>
        <w:wordWrap w:val="0"/>
        <w:overflowPunct/>
        <w:topLinePunct w:val="0"/>
        <w:autoSpaceDE/>
        <w:autoSpaceDN/>
        <w:bidi w:val="0"/>
        <w:adjustRightInd/>
        <w:snapToGrid/>
        <w:spacing w:before="240" w:after="240" w:line="240" w:lineRule="atLeast"/>
        <w:textAlignment w:val="auto"/>
        <w:outlineLvl w:val="9"/>
        <w:rPr>
          <w:rFonts w:hint="default" w:ascii="Times New Roman" w:hAnsi="Times New Roman" w:eastAsia="黑体" w:cs="Times New Roman"/>
          <w:b w:val="0"/>
          <w:color w:val="auto"/>
          <w:sz w:val="24"/>
          <w:szCs w:val="24"/>
          <w:highlight w:val="none"/>
        </w:rPr>
      </w:pPr>
      <w:bookmarkStart w:id="256" w:name="_Toc2946"/>
      <w:bookmarkStart w:id="257" w:name="_Toc234832908"/>
      <w:bookmarkStart w:id="258" w:name="_Toc9194"/>
      <w:r>
        <w:rPr>
          <w:rFonts w:hint="default" w:ascii="Times New Roman" w:hAnsi="Times New Roman" w:eastAsia="黑体" w:cs="Times New Roman"/>
          <w:b w:val="0"/>
          <w:color w:val="auto"/>
          <w:sz w:val="24"/>
          <w:szCs w:val="24"/>
          <w:highlight w:val="none"/>
        </w:rPr>
        <w:t>6.2评标原则</w:t>
      </w:r>
      <w:bookmarkEnd w:id="256"/>
      <w:bookmarkEnd w:id="257"/>
      <w:bookmarkEnd w:id="258"/>
    </w:p>
    <w:p w14:paraId="1D6E8F58">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评标活动遵循公平、公正、科学和择优的原则。</w:t>
      </w:r>
    </w:p>
    <w:p w14:paraId="18F777DF">
      <w:pPr>
        <w:keepNext w:val="0"/>
        <w:keepLines w:val="0"/>
        <w:pageBreakBefore w:val="0"/>
        <w:widowControl w:val="0"/>
        <w:kinsoku/>
        <w:wordWrap w:val="0"/>
        <w:overflowPunct/>
        <w:topLinePunct w:val="0"/>
        <w:autoSpaceDE/>
        <w:autoSpaceDN/>
        <w:bidi w:val="0"/>
        <w:adjustRightInd/>
        <w:snapToGrid/>
        <w:spacing w:before="240" w:after="240" w:line="240" w:lineRule="atLeast"/>
        <w:textAlignment w:val="auto"/>
        <w:outlineLvl w:val="9"/>
        <w:rPr>
          <w:rFonts w:hint="default" w:ascii="Times New Roman" w:hAnsi="Times New Roman" w:eastAsia="黑体" w:cs="Times New Roman"/>
          <w:b w:val="0"/>
          <w:color w:val="auto"/>
          <w:sz w:val="24"/>
          <w:szCs w:val="24"/>
          <w:highlight w:val="none"/>
        </w:rPr>
      </w:pPr>
      <w:bookmarkStart w:id="259" w:name="_Toc32567"/>
      <w:bookmarkStart w:id="260" w:name="_Toc22506"/>
      <w:bookmarkStart w:id="261" w:name="_Toc234832909"/>
      <w:r>
        <w:rPr>
          <w:rFonts w:hint="default" w:ascii="Times New Roman" w:hAnsi="Times New Roman" w:eastAsia="黑体" w:cs="Times New Roman"/>
          <w:b w:val="0"/>
          <w:color w:val="auto"/>
          <w:sz w:val="24"/>
          <w:szCs w:val="24"/>
          <w:highlight w:val="none"/>
        </w:rPr>
        <w:t>6.3评标</w:t>
      </w:r>
      <w:bookmarkEnd w:id="259"/>
      <w:bookmarkEnd w:id="260"/>
      <w:bookmarkEnd w:id="261"/>
    </w:p>
    <w:p w14:paraId="34BD896B">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6.3.1评标委员会按照第三章</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评标办法</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规定的方法、评审因素、标准和程序对投标文件进行评审。第三章</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评标办法</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没有规定的方法、评审因素和标准，不作为评标依据。</w:t>
      </w:r>
    </w:p>
    <w:p w14:paraId="45DC7597">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6.3.2评标及补救措施</w:t>
      </w:r>
    </w:p>
    <w:p w14:paraId="6F80C8B0">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评标委员会按照本章第6.3.1项的规定在电子评标系统上开展评审工作。如果评标过程中出现异常情况，导致无法继续评审工作的，可暂停评标，对原有资料及信息作出妥善保密处理，待电子评标系统恢复正常之后，应重新组织评审。</w:t>
      </w:r>
    </w:p>
    <w:p w14:paraId="2F7325AB">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cs="Times New Roman"/>
          <w:color w:val="auto"/>
          <w:sz w:val="24"/>
          <w:szCs w:val="24"/>
          <w:highlight w:val="none"/>
        </w:rPr>
        <w:t>评标完成后，评标委员会应当向招标人提交书面评标报告和中标候选人名单。评标委员会推荐中标</w:t>
      </w:r>
      <w:bookmarkStart w:id="262" w:name="_Toc144974526"/>
      <w:bookmarkStart w:id="263" w:name="_Toc300834979"/>
      <w:bookmarkStart w:id="264" w:name="_Toc152045558"/>
      <w:bookmarkStart w:id="265" w:name="_Toc352691502"/>
      <w:bookmarkStart w:id="266" w:name="_Toc247527583"/>
      <w:bookmarkStart w:id="267" w:name="_Toc361508615"/>
      <w:bookmarkStart w:id="268" w:name="_Toc152042334"/>
      <w:bookmarkStart w:id="269" w:name="_Toc12259"/>
      <w:bookmarkStart w:id="270" w:name="_Toc369531546"/>
      <w:bookmarkStart w:id="271" w:name="_Toc247513982"/>
      <w:bookmarkStart w:id="272" w:name="_Toc384308240"/>
      <w:r>
        <w:rPr>
          <w:rFonts w:hint="default" w:ascii="Times New Roman" w:hAnsi="Times New Roman" w:cs="Times New Roman"/>
          <w:color w:val="auto"/>
          <w:sz w:val="24"/>
          <w:szCs w:val="24"/>
          <w:highlight w:val="none"/>
        </w:rPr>
        <w:t>候选人的人数见投标人须知前附</w:t>
      </w:r>
      <w:bookmarkEnd w:id="262"/>
      <w:bookmarkEnd w:id="263"/>
      <w:bookmarkEnd w:id="264"/>
      <w:bookmarkEnd w:id="265"/>
      <w:bookmarkEnd w:id="266"/>
      <w:bookmarkEnd w:id="267"/>
      <w:bookmarkEnd w:id="268"/>
      <w:bookmarkEnd w:id="269"/>
      <w:bookmarkEnd w:id="270"/>
      <w:bookmarkEnd w:id="271"/>
      <w:bookmarkEnd w:id="272"/>
      <w:r>
        <w:rPr>
          <w:rFonts w:hint="default" w:ascii="Times New Roman" w:hAnsi="Times New Roman" w:cs="Times New Roman"/>
          <w:color w:val="auto"/>
          <w:sz w:val="24"/>
          <w:szCs w:val="24"/>
          <w:highlight w:val="none"/>
        </w:rPr>
        <w:t>表</w:t>
      </w:r>
      <w:r>
        <w:rPr>
          <w:rFonts w:hint="default" w:ascii="Times New Roman" w:hAnsi="Times New Roman" w:eastAsia="宋体" w:cs="Times New Roman"/>
          <w:color w:val="auto"/>
          <w:sz w:val="24"/>
          <w:highlight w:val="none"/>
        </w:rPr>
        <w:t>。</w:t>
      </w:r>
    </w:p>
    <w:p w14:paraId="774980C6">
      <w:pPr>
        <w:pStyle w:val="5"/>
        <w:keepNext/>
        <w:keepLines/>
        <w:pageBreakBefore w:val="0"/>
        <w:widowControl w:val="0"/>
        <w:kinsoku/>
        <w:wordWrap w:val="0"/>
        <w:overflowPunct/>
        <w:topLinePunct w:val="0"/>
        <w:autoSpaceDE/>
        <w:autoSpaceDN/>
        <w:bidi w:val="0"/>
        <w:adjustRightInd/>
        <w:snapToGrid/>
        <w:spacing w:before="240" w:after="240" w:line="240" w:lineRule="atLeast"/>
        <w:jc w:val="both"/>
        <w:textAlignment w:val="auto"/>
        <w:outlineLvl w:val="2"/>
        <w:rPr>
          <w:rFonts w:hint="default" w:ascii="黑体" w:hAnsi="黑体" w:eastAsia="黑体" w:cs="黑体"/>
          <w:b w:val="0"/>
          <w:bCs/>
          <w:i w:val="0"/>
          <w:iCs w:val="0"/>
          <w:color w:val="auto"/>
          <w:sz w:val="28"/>
          <w:szCs w:val="28"/>
          <w:highlight w:val="none"/>
          <w:lang w:val="en-US" w:eastAsia="zh-CN"/>
        </w:rPr>
      </w:pPr>
      <w:bookmarkStart w:id="273" w:name="_Toc234832910"/>
      <w:bookmarkStart w:id="274" w:name="_Toc8692"/>
      <w:bookmarkStart w:id="275" w:name="_Toc29075"/>
      <w:bookmarkStart w:id="276" w:name="_Toc5930"/>
      <w:bookmarkStart w:id="277" w:name="_Toc5813"/>
      <w:r>
        <w:rPr>
          <w:rFonts w:hint="default" w:ascii="黑体" w:hAnsi="黑体" w:eastAsia="黑体" w:cs="黑体"/>
          <w:b w:val="0"/>
          <w:bCs/>
          <w:i w:val="0"/>
          <w:iCs w:val="0"/>
          <w:color w:val="auto"/>
          <w:sz w:val="28"/>
          <w:szCs w:val="28"/>
          <w:highlight w:val="none"/>
          <w:lang w:val="en-US" w:eastAsia="zh-CN"/>
        </w:rPr>
        <w:t>7.合同授予</w:t>
      </w:r>
      <w:bookmarkEnd w:id="273"/>
      <w:bookmarkEnd w:id="274"/>
      <w:bookmarkEnd w:id="275"/>
      <w:bookmarkEnd w:id="276"/>
      <w:bookmarkEnd w:id="277"/>
    </w:p>
    <w:p w14:paraId="6CF6A91E">
      <w:pPr>
        <w:keepNext w:val="0"/>
        <w:keepLines w:val="0"/>
        <w:pageBreakBefore w:val="0"/>
        <w:widowControl w:val="0"/>
        <w:kinsoku/>
        <w:wordWrap w:val="0"/>
        <w:overflowPunct/>
        <w:topLinePunct w:val="0"/>
        <w:autoSpaceDE/>
        <w:autoSpaceDN/>
        <w:bidi w:val="0"/>
        <w:adjustRightInd/>
        <w:snapToGrid/>
        <w:spacing w:before="240" w:after="240" w:line="240" w:lineRule="atLeast"/>
        <w:textAlignment w:val="auto"/>
        <w:outlineLvl w:val="9"/>
        <w:rPr>
          <w:rFonts w:hint="default" w:ascii="Times New Roman" w:hAnsi="Times New Roman" w:eastAsia="黑体" w:cs="Times New Roman"/>
          <w:b w:val="0"/>
          <w:color w:val="auto"/>
          <w:sz w:val="24"/>
          <w:szCs w:val="24"/>
          <w:highlight w:val="none"/>
        </w:rPr>
      </w:pPr>
      <w:bookmarkStart w:id="278" w:name="_Toc6153"/>
      <w:bookmarkStart w:id="279" w:name="_Toc29612"/>
      <w:bookmarkStart w:id="280" w:name="_Toc234832911"/>
      <w:r>
        <w:rPr>
          <w:rFonts w:hint="default" w:ascii="Times New Roman" w:hAnsi="Times New Roman" w:eastAsia="黑体" w:cs="Times New Roman"/>
          <w:b w:val="0"/>
          <w:color w:val="auto"/>
          <w:sz w:val="24"/>
          <w:szCs w:val="24"/>
          <w:highlight w:val="none"/>
        </w:rPr>
        <w:t>7.1中标候选人公示</w:t>
      </w:r>
      <w:bookmarkEnd w:id="278"/>
      <w:bookmarkEnd w:id="279"/>
    </w:p>
    <w:p w14:paraId="2566147F">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招标人在收到评标报告之日起3日内，按照投标人须知前附表规定的公示媒介和期限公示中标候选人，公示期不得少于3日，公示内容包括：</w:t>
      </w:r>
    </w:p>
    <w:p w14:paraId="5871E620">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（1）中标候选人排序、名称、投标报价，对工程质量要求、安全目标和工期的响应情况；</w:t>
      </w:r>
    </w:p>
    <w:p w14:paraId="708C09A2">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（2）中标候选人在投标文件中承诺的项目经理和项目总工姓名、个人业绩、相关证书名称和编号；</w:t>
      </w:r>
    </w:p>
    <w:p w14:paraId="43442ABF">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（3）中标候选人在投标文件中填报的项目业绩；</w:t>
      </w:r>
    </w:p>
    <w:p w14:paraId="1A2373DE">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（4）被否决投标的投标人名称、否决依据和原因；</w:t>
      </w:r>
    </w:p>
    <w:p w14:paraId="514994C9">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（5）提出异议的渠道和方式；</w:t>
      </w:r>
    </w:p>
    <w:p w14:paraId="2CB9833E">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（6）投标人须知前附表规定公示的其他内容。</w:t>
      </w:r>
    </w:p>
    <w:p w14:paraId="77FC8A79">
      <w:pPr>
        <w:keepNext w:val="0"/>
        <w:keepLines w:val="0"/>
        <w:pageBreakBefore w:val="0"/>
        <w:widowControl w:val="0"/>
        <w:kinsoku/>
        <w:wordWrap w:val="0"/>
        <w:overflowPunct/>
        <w:topLinePunct w:val="0"/>
        <w:autoSpaceDE/>
        <w:autoSpaceDN/>
        <w:bidi w:val="0"/>
        <w:adjustRightInd/>
        <w:snapToGrid/>
        <w:spacing w:before="240" w:after="240" w:line="240" w:lineRule="atLeast"/>
        <w:textAlignment w:val="auto"/>
        <w:outlineLvl w:val="9"/>
        <w:rPr>
          <w:rFonts w:hint="default" w:ascii="Times New Roman" w:hAnsi="Times New Roman" w:eastAsia="黑体" w:cs="Times New Roman"/>
          <w:b w:val="0"/>
          <w:color w:val="auto"/>
          <w:sz w:val="24"/>
          <w:szCs w:val="24"/>
          <w:highlight w:val="none"/>
        </w:rPr>
      </w:pPr>
      <w:bookmarkStart w:id="281" w:name="_Toc9333"/>
      <w:bookmarkStart w:id="282" w:name="_Toc28677"/>
      <w:r>
        <w:rPr>
          <w:rFonts w:hint="default" w:ascii="Times New Roman" w:hAnsi="Times New Roman" w:eastAsia="黑体" w:cs="Times New Roman"/>
          <w:b w:val="0"/>
          <w:color w:val="auto"/>
          <w:sz w:val="24"/>
          <w:szCs w:val="24"/>
          <w:highlight w:val="none"/>
        </w:rPr>
        <w:t>7.2评标结果异议</w:t>
      </w:r>
      <w:bookmarkEnd w:id="281"/>
      <w:bookmarkEnd w:id="282"/>
    </w:p>
    <w:p w14:paraId="566BDEBA">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cs="Times New Roman"/>
          <w:color w:val="auto"/>
          <w:sz w:val="24"/>
          <w:highlight w:val="none"/>
        </w:rPr>
        <w:t>投标人或其他利害关系人对依法必须进行招标的项目的评标结果有异议的，应在中标候选人公示期间提出。招标人将在收到异议之日起3日内作出答复；作出答复前，将暂停招标投标活动。</w:t>
      </w:r>
    </w:p>
    <w:p w14:paraId="2C7B6387">
      <w:pPr>
        <w:keepNext w:val="0"/>
        <w:keepLines w:val="0"/>
        <w:pageBreakBefore w:val="0"/>
        <w:widowControl w:val="0"/>
        <w:kinsoku/>
        <w:wordWrap w:val="0"/>
        <w:overflowPunct/>
        <w:topLinePunct w:val="0"/>
        <w:autoSpaceDE/>
        <w:autoSpaceDN/>
        <w:bidi w:val="0"/>
        <w:adjustRightInd/>
        <w:snapToGrid/>
        <w:spacing w:before="240" w:after="240" w:line="240" w:lineRule="atLeast"/>
        <w:textAlignment w:val="auto"/>
        <w:outlineLvl w:val="9"/>
        <w:rPr>
          <w:rFonts w:hint="default" w:ascii="Times New Roman" w:hAnsi="Times New Roman" w:eastAsia="黑体" w:cs="Times New Roman"/>
          <w:b w:val="0"/>
          <w:color w:val="auto"/>
          <w:sz w:val="24"/>
          <w:szCs w:val="24"/>
          <w:highlight w:val="none"/>
        </w:rPr>
      </w:pPr>
      <w:bookmarkStart w:id="283" w:name="_Toc9159"/>
      <w:bookmarkStart w:id="284" w:name="_Toc2167"/>
      <w:r>
        <w:rPr>
          <w:rFonts w:hint="default" w:ascii="Times New Roman" w:hAnsi="Times New Roman" w:eastAsia="黑体" w:cs="Times New Roman"/>
          <w:b w:val="0"/>
          <w:color w:val="auto"/>
          <w:sz w:val="24"/>
          <w:szCs w:val="24"/>
          <w:highlight w:val="none"/>
        </w:rPr>
        <w:t>7.3中标候选人履约能力审查</w:t>
      </w:r>
      <w:bookmarkEnd w:id="283"/>
      <w:bookmarkEnd w:id="284"/>
    </w:p>
    <w:p w14:paraId="3B0085CE">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中标候选人的经营、财务状况发生较大变化或存在违法行为，招标人认为可能影响其履约能力的，将在发出中标通知书前提请原评标委员会按照招标文件规定的标准和方法进行审查确认。</w:t>
      </w:r>
    </w:p>
    <w:p w14:paraId="2A18C59F">
      <w:pPr>
        <w:keepNext w:val="0"/>
        <w:keepLines w:val="0"/>
        <w:pageBreakBefore w:val="0"/>
        <w:widowControl w:val="0"/>
        <w:kinsoku/>
        <w:wordWrap w:val="0"/>
        <w:overflowPunct/>
        <w:topLinePunct w:val="0"/>
        <w:autoSpaceDE/>
        <w:autoSpaceDN/>
        <w:bidi w:val="0"/>
        <w:adjustRightInd/>
        <w:snapToGrid/>
        <w:spacing w:before="240" w:after="240" w:line="240" w:lineRule="atLeast"/>
        <w:textAlignment w:val="auto"/>
        <w:outlineLvl w:val="9"/>
        <w:rPr>
          <w:rFonts w:hint="default" w:ascii="Times New Roman" w:hAnsi="Times New Roman" w:eastAsia="黑体" w:cs="Times New Roman"/>
          <w:b w:val="0"/>
          <w:color w:val="auto"/>
          <w:sz w:val="24"/>
          <w:szCs w:val="24"/>
          <w:highlight w:val="none"/>
        </w:rPr>
      </w:pPr>
      <w:bookmarkStart w:id="285" w:name="_Toc766"/>
      <w:bookmarkStart w:id="286" w:name="_Toc5726"/>
      <w:r>
        <w:rPr>
          <w:rFonts w:hint="default" w:ascii="Times New Roman" w:hAnsi="Times New Roman" w:eastAsia="黑体" w:cs="Times New Roman"/>
          <w:b w:val="0"/>
          <w:color w:val="auto"/>
          <w:sz w:val="24"/>
          <w:szCs w:val="24"/>
          <w:highlight w:val="none"/>
        </w:rPr>
        <w:t>7.</w:t>
      </w:r>
      <w:r>
        <w:rPr>
          <w:rFonts w:hint="default" w:ascii="Times New Roman" w:hAnsi="Times New Roman" w:eastAsia="黑体" w:cs="Times New Roman"/>
          <w:b w:val="0"/>
          <w:color w:val="auto"/>
          <w:sz w:val="24"/>
          <w:szCs w:val="24"/>
          <w:highlight w:val="none"/>
          <w:lang w:eastAsia="zh-CN"/>
        </w:rPr>
        <w:t>4</w:t>
      </w:r>
      <w:r>
        <w:rPr>
          <w:rFonts w:hint="default" w:ascii="Times New Roman" w:hAnsi="Times New Roman" w:eastAsia="黑体" w:cs="Times New Roman"/>
          <w:b w:val="0"/>
          <w:color w:val="auto"/>
          <w:sz w:val="24"/>
          <w:szCs w:val="24"/>
          <w:highlight w:val="none"/>
        </w:rPr>
        <w:t>定标</w:t>
      </w:r>
      <w:bookmarkEnd w:id="280"/>
      <w:bookmarkEnd w:id="285"/>
      <w:bookmarkEnd w:id="286"/>
    </w:p>
    <w:p w14:paraId="19E82D26">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eastAsia" w:cs="Times New Roman"/>
          <w:color w:val="auto"/>
          <w:sz w:val="24"/>
          <w:highlight w:val="none"/>
          <w:lang w:val="en-US" w:eastAsia="zh-CN"/>
        </w:rPr>
        <w:t>7.4.1</w:t>
      </w:r>
      <w:r>
        <w:rPr>
          <w:rFonts w:hint="default" w:ascii="Times New Roman" w:hAnsi="Times New Roman" w:eastAsia="宋体" w:cs="Times New Roman"/>
          <w:color w:val="auto"/>
          <w:sz w:val="24"/>
          <w:highlight w:val="none"/>
        </w:rPr>
        <w:t>按照投标人须知前附表的规定，招标人或招标人授权的评标委员会依法确定中标人。</w:t>
      </w:r>
    </w:p>
    <w:p w14:paraId="56F41F66">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eastAsia" w:cs="Times New Roman"/>
          <w:color w:val="auto"/>
          <w:sz w:val="24"/>
          <w:highlight w:val="none"/>
          <w:lang w:val="en-US" w:eastAsia="zh-CN"/>
        </w:rPr>
        <w:t>7.4.2招标人依据投标须知前附表的</w:t>
      </w:r>
      <w:r>
        <w:rPr>
          <w:rFonts w:hint="eastAsia" w:cs="Times New Roman"/>
          <w:color w:val="auto"/>
          <w:sz w:val="24"/>
          <w:szCs w:val="24"/>
          <w:highlight w:val="none"/>
          <w:lang w:val="en-US" w:eastAsia="zh-CN"/>
        </w:rPr>
        <w:t>定标规则</w:t>
      </w:r>
      <w:r>
        <w:rPr>
          <w:rFonts w:hint="eastAsia" w:cs="Times New Roman"/>
          <w:color w:val="auto"/>
          <w:sz w:val="24"/>
          <w:highlight w:val="none"/>
          <w:lang w:val="en-US" w:eastAsia="zh-CN"/>
        </w:rPr>
        <w:t>，在评标委员会推荐的中标候选人中确定中标人</w:t>
      </w:r>
      <w:r>
        <w:rPr>
          <w:rFonts w:hint="default" w:ascii="Times New Roman" w:hAnsi="Times New Roman" w:eastAsia="宋体" w:cs="Times New Roman"/>
          <w:color w:val="auto"/>
          <w:sz w:val="24"/>
          <w:highlight w:val="none"/>
        </w:rPr>
        <w:t>。</w:t>
      </w:r>
    </w:p>
    <w:p w14:paraId="13F53499">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7.4.3招标人授权评标委员会按前附表7.4.2项规定的规则直接定标。</w:t>
      </w:r>
    </w:p>
    <w:p w14:paraId="4C974A8A">
      <w:pPr>
        <w:keepNext w:val="0"/>
        <w:keepLines w:val="0"/>
        <w:pageBreakBefore w:val="0"/>
        <w:widowControl w:val="0"/>
        <w:kinsoku/>
        <w:wordWrap w:val="0"/>
        <w:overflowPunct/>
        <w:topLinePunct w:val="0"/>
        <w:autoSpaceDE/>
        <w:autoSpaceDN/>
        <w:bidi w:val="0"/>
        <w:adjustRightInd/>
        <w:snapToGrid/>
        <w:spacing w:before="240" w:after="240" w:line="240" w:lineRule="atLeast"/>
        <w:textAlignment w:val="auto"/>
        <w:outlineLvl w:val="9"/>
        <w:rPr>
          <w:rFonts w:hint="default" w:ascii="Times New Roman" w:hAnsi="Times New Roman" w:eastAsia="黑体" w:cs="Times New Roman"/>
          <w:b w:val="0"/>
          <w:color w:val="auto"/>
          <w:sz w:val="24"/>
          <w:szCs w:val="24"/>
          <w:highlight w:val="none"/>
        </w:rPr>
      </w:pPr>
      <w:bookmarkStart w:id="287" w:name="_Toc11520"/>
      <w:bookmarkStart w:id="288" w:name="_Toc10213"/>
      <w:bookmarkStart w:id="289" w:name="_Toc234832912"/>
      <w:r>
        <w:rPr>
          <w:rFonts w:hint="default" w:ascii="Times New Roman" w:hAnsi="Times New Roman" w:eastAsia="黑体" w:cs="Times New Roman"/>
          <w:b w:val="0"/>
          <w:color w:val="auto"/>
          <w:sz w:val="24"/>
          <w:szCs w:val="24"/>
          <w:highlight w:val="none"/>
        </w:rPr>
        <w:t>7.</w:t>
      </w:r>
      <w:r>
        <w:rPr>
          <w:rFonts w:hint="default" w:ascii="Times New Roman" w:hAnsi="Times New Roman" w:eastAsia="黑体" w:cs="Times New Roman"/>
          <w:b w:val="0"/>
          <w:color w:val="auto"/>
          <w:sz w:val="24"/>
          <w:szCs w:val="24"/>
          <w:highlight w:val="none"/>
          <w:lang w:eastAsia="zh-CN"/>
        </w:rPr>
        <w:t>5中标通知</w:t>
      </w:r>
      <w:bookmarkEnd w:id="287"/>
      <w:bookmarkEnd w:id="288"/>
      <w:bookmarkEnd w:id="289"/>
    </w:p>
    <w:p w14:paraId="6875AD16">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cs="Times New Roman"/>
          <w:color w:val="auto"/>
          <w:sz w:val="24"/>
          <w:highlight w:val="none"/>
        </w:rPr>
        <w:t>在本章第3.3款规定的投标有效期内，招标人应通过</w:t>
      </w:r>
      <w:r>
        <w:rPr>
          <w:rFonts w:hint="default" w:ascii="Times New Roman" w:hAnsi="Times New Roman" w:cs="Times New Roman"/>
          <w:color w:val="auto"/>
          <w:sz w:val="24"/>
          <w:highlight w:val="none"/>
          <w:lang w:val="en-US" w:eastAsia="zh-CN"/>
        </w:rPr>
        <w:t>投标人须知前附表规定的</w:t>
      </w:r>
      <w:r>
        <w:rPr>
          <w:rFonts w:hint="default" w:ascii="Times New Roman" w:hAnsi="Times New Roman" w:cs="Times New Roman"/>
          <w:color w:val="auto"/>
          <w:sz w:val="24"/>
          <w:highlight w:val="none"/>
        </w:rPr>
        <w:t>形式向中标人发出中标通知书，同时将中标结果通知未中标的投标人</w:t>
      </w:r>
      <w:r>
        <w:rPr>
          <w:rFonts w:hint="default" w:ascii="Times New Roman" w:hAnsi="Times New Roman" w:eastAsia="宋体" w:cs="Times New Roman"/>
          <w:color w:val="auto"/>
          <w:sz w:val="24"/>
          <w:highlight w:val="none"/>
        </w:rPr>
        <w:t>。</w:t>
      </w:r>
    </w:p>
    <w:p w14:paraId="1F737C9D">
      <w:pPr>
        <w:keepNext w:val="0"/>
        <w:keepLines w:val="0"/>
        <w:pageBreakBefore w:val="0"/>
        <w:widowControl w:val="0"/>
        <w:kinsoku/>
        <w:wordWrap w:val="0"/>
        <w:overflowPunct/>
        <w:topLinePunct w:val="0"/>
        <w:autoSpaceDE/>
        <w:autoSpaceDN/>
        <w:bidi w:val="0"/>
        <w:adjustRightInd/>
        <w:snapToGrid/>
        <w:spacing w:before="240" w:after="240" w:line="240" w:lineRule="atLeast"/>
        <w:textAlignment w:val="auto"/>
        <w:outlineLvl w:val="9"/>
        <w:rPr>
          <w:rFonts w:hint="default" w:ascii="Times New Roman" w:hAnsi="Times New Roman" w:eastAsia="黑体" w:cs="Times New Roman"/>
          <w:b w:val="0"/>
          <w:color w:val="auto"/>
          <w:sz w:val="24"/>
          <w:szCs w:val="24"/>
          <w:highlight w:val="none"/>
        </w:rPr>
      </w:pPr>
      <w:bookmarkStart w:id="290" w:name="_Toc2116"/>
      <w:bookmarkStart w:id="291" w:name="_Toc16073"/>
      <w:r>
        <w:rPr>
          <w:rFonts w:hint="default" w:ascii="Times New Roman" w:hAnsi="Times New Roman" w:eastAsia="黑体" w:cs="Times New Roman"/>
          <w:b w:val="0"/>
          <w:color w:val="auto"/>
          <w:sz w:val="24"/>
          <w:szCs w:val="24"/>
          <w:highlight w:val="none"/>
        </w:rPr>
        <w:t>7.</w:t>
      </w:r>
      <w:r>
        <w:rPr>
          <w:rFonts w:hint="default" w:ascii="Times New Roman" w:hAnsi="Times New Roman" w:eastAsia="黑体" w:cs="Times New Roman"/>
          <w:b w:val="0"/>
          <w:color w:val="auto"/>
          <w:sz w:val="24"/>
          <w:szCs w:val="24"/>
          <w:highlight w:val="none"/>
          <w:lang w:eastAsia="zh-CN"/>
        </w:rPr>
        <w:t>6</w:t>
      </w:r>
      <w:r>
        <w:rPr>
          <w:rFonts w:hint="default" w:ascii="Times New Roman" w:hAnsi="Times New Roman" w:eastAsia="黑体" w:cs="Times New Roman"/>
          <w:b w:val="0"/>
          <w:color w:val="auto"/>
          <w:sz w:val="24"/>
          <w:szCs w:val="24"/>
          <w:highlight w:val="none"/>
        </w:rPr>
        <w:t>中标</w:t>
      </w:r>
      <w:r>
        <w:rPr>
          <w:rFonts w:hint="default" w:ascii="Times New Roman" w:hAnsi="Times New Roman" w:eastAsia="黑体" w:cs="Times New Roman"/>
          <w:b w:val="0"/>
          <w:color w:val="auto"/>
          <w:sz w:val="24"/>
          <w:szCs w:val="24"/>
          <w:highlight w:val="none"/>
          <w:lang w:eastAsia="zh-CN"/>
        </w:rPr>
        <w:t>结果</w:t>
      </w:r>
      <w:r>
        <w:rPr>
          <w:rFonts w:hint="default" w:ascii="Times New Roman" w:hAnsi="Times New Roman" w:eastAsia="黑体" w:cs="Times New Roman"/>
          <w:b w:val="0"/>
          <w:color w:val="auto"/>
          <w:sz w:val="24"/>
          <w:szCs w:val="24"/>
          <w:highlight w:val="none"/>
        </w:rPr>
        <w:t>公告</w:t>
      </w:r>
      <w:bookmarkEnd w:id="290"/>
      <w:bookmarkEnd w:id="291"/>
    </w:p>
    <w:p w14:paraId="466CEA63">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招标人在确定中标人之日起3日内，按照投标人须知前附表规定的公告媒介和期限公告中标结果，公告期不得少于3日。公告内容包括中标人名称、中标价。</w:t>
      </w:r>
    </w:p>
    <w:p w14:paraId="2FFDF375">
      <w:pPr>
        <w:keepNext w:val="0"/>
        <w:keepLines w:val="0"/>
        <w:pageBreakBefore w:val="0"/>
        <w:widowControl w:val="0"/>
        <w:kinsoku/>
        <w:wordWrap w:val="0"/>
        <w:overflowPunct/>
        <w:topLinePunct w:val="0"/>
        <w:autoSpaceDE/>
        <w:autoSpaceDN/>
        <w:bidi w:val="0"/>
        <w:adjustRightInd/>
        <w:snapToGrid/>
        <w:spacing w:before="240" w:after="240" w:line="240" w:lineRule="atLeast"/>
        <w:textAlignment w:val="auto"/>
        <w:outlineLvl w:val="9"/>
        <w:rPr>
          <w:rFonts w:hint="default" w:ascii="Times New Roman" w:hAnsi="Times New Roman" w:eastAsia="黑体" w:cs="Times New Roman"/>
          <w:b w:val="0"/>
          <w:color w:val="auto"/>
          <w:sz w:val="24"/>
          <w:szCs w:val="24"/>
          <w:highlight w:val="none"/>
        </w:rPr>
      </w:pPr>
      <w:bookmarkStart w:id="292" w:name="_Toc234832913"/>
      <w:bookmarkStart w:id="293" w:name="_Toc24614"/>
      <w:bookmarkStart w:id="294" w:name="_Toc12850"/>
      <w:r>
        <w:rPr>
          <w:rFonts w:hint="default" w:ascii="Times New Roman" w:hAnsi="Times New Roman" w:eastAsia="黑体" w:cs="Times New Roman"/>
          <w:b w:val="0"/>
          <w:color w:val="auto"/>
          <w:sz w:val="24"/>
          <w:szCs w:val="24"/>
          <w:highlight w:val="none"/>
        </w:rPr>
        <w:t>7.</w:t>
      </w:r>
      <w:r>
        <w:rPr>
          <w:rFonts w:hint="default" w:ascii="Times New Roman" w:hAnsi="Times New Roman" w:eastAsia="黑体" w:cs="Times New Roman"/>
          <w:b w:val="0"/>
          <w:color w:val="auto"/>
          <w:sz w:val="24"/>
          <w:szCs w:val="24"/>
          <w:highlight w:val="none"/>
          <w:lang w:eastAsia="zh-CN"/>
        </w:rPr>
        <w:t>7</w:t>
      </w:r>
      <w:r>
        <w:rPr>
          <w:rFonts w:hint="default" w:ascii="Times New Roman" w:hAnsi="Times New Roman" w:eastAsia="黑体" w:cs="Times New Roman"/>
          <w:b w:val="0"/>
          <w:color w:val="auto"/>
          <w:sz w:val="24"/>
          <w:szCs w:val="24"/>
          <w:highlight w:val="none"/>
        </w:rPr>
        <w:t>履约</w:t>
      </w:r>
      <w:bookmarkEnd w:id="292"/>
      <w:r>
        <w:rPr>
          <w:rFonts w:hint="default" w:ascii="Times New Roman" w:hAnsi="Times New Roman" w:eastAsia="黑体" w:cs="Times New Roman"/>
          <w:b w:val="0"/>
          <w:color w:val="auto"/>
          <w:sz w:val="24"/>
          <w:szCs w:val="24"/>
          <w:highlight w:val="none"/>
          <w:lang w:eastAsia="zh-CN"/>
        </w:rPr>
        <w:t>保证金</w:t>
      </w:r>
      <w:bookmarkEnd w:id="293"/>
      <w:bookmarkEnd w:id="294"/>
    </w:p>
    <w:p w14:paraId="6ED44CAF">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7.7.1在签订合同前中标人应按投标人须知前附表规定的形式、金额和招标文件第四章</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合同条款及格式</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规定的或事先经过招标人书面认可的履约保证金格式向招标人提交履约保证金。除投标人须知前附表另有规定外，履约保证金为签约合同价的</w:t>
      </w:r>
      <w:r>
        <w:rPr>
          <w:rFonts w:hint="default" w:ascii="Times New Roman" w:hAnsi="Times New Roman" w:eastAsia="宋体" w:cs="Times New Roman"/>
          <w:color w:val="auto"/>
          <w:sz w:val="24"/>
          <w:highlight w:val="none"/>
          <w:lang w:val="en-US"/>
        </w:rPr>
        <w:t>10</w:t>
      </w:r>
      <w:r>
        <w:rPr>
          <w:rFonts w:hint="default" w:ascii="Times New Roman" w:hAnsi="Times New Roman" w:eastAsia="宋体" w:cs="Times New Roman"/>
          <w:color w:val="auto"/>
          <w:sz w:val="24"/>
          <w:highlight w:val="none"/>
        </w:rPr>
        <w:t>%。联合体中标的，其履约保证金以联合体各方或联合体中牵头人的名义提交。</w:t>
      </w:r>
    </w:p>
    <w:p w14:paraId="778DB7A3">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采用银行保函时，应由符合投标人须知前附表规定级别的银行开具，所需的费用由中标人承担，中标人应保证银行保函有效。</w:t>
      </w:r>
    </w:p>
    <w:p w14:paraId="5848F403">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7.7.2中标人不能按本章第7.7.1项要求提交履约保证金的，视为放弃中标，其投标保证金不予退还，给招标人造成的损失超过投标保证金数额的，中标人还应对超过部分予以赔偿。</w:t>
      </w:r>
    </w:p>
    <w:p w14:paraId="1D2A494B">
      <w:pPr>
        <w:keepNext w:val="0"/>
        <w:keepLines w:val="0"/>
        <w:pageBreakBefore w:val="0"/>
        <w:widowControl w:val="0"/>
        <w:kinsoku/>
        <w:wordWrap w:val="0"/>
        <w:overflowPunct/>
        <w:topLinePunct w:val="0"/>
        <w:autoSpaceDE/>
        <w:autoSpaceDN/>
        <w:bidi w:val="0"/>
        <w:adjustRightInd/>
        <w:snapToGrid/>
        <w:spacing w:before="240" w:after="240" w:line="240" w:lineRule="atLeast"/>
        <w:textAlignment w:val="auto"/>
        <w:outlineLvl w:val="9"/>
        <w:rPr>
          <w:rFonts w:hint="default" w:ascii="Times New Roman" w:hAnsi="Times New Roman" w:eastAsia="黑体" w:cs="Times New Roman"/>
          <w:b w:val="0"/>
          <w:color w:val="auto"/>
          <w:sz w:val="24"/>
          <w:szCs w:val="24"/>
          <w:highlight w:val="none"/>
        </w:rPr>
      </w:pPr>
      <w:bookmarkStart w:id="295" w:name="_Toc12449"/>
      <w:bookmarkStart w:id="296" w:name="_Toc234832914"/>
      <w:bookmarkStart w:id="297" w:name="_Toc24076"/>
      <w:r>
        <w:rPr>
          <w:rFonts w:hint="default" w:ascii="Times New Roman" w:hAnsi="Times New Roman" w:eastAsia="黑体" w:cs="Times New Roman"/>
          <w:b w:val="0"/>
          <w:color w:val="auto"/>
          <w:sz w:val="24"/>
          <w:szCs w:val="24"/>
          <w:highlight w:val="none"/>
        </w:rPr>
        <w:t>7.</w:t>
      </w:r>
      <w:r>
        <w:rPr>
          <w:rFonts w:hint="default" w:ascii="Times New Roman" w:hAnsi="Times New Roman" w:eastAsia="黑体" w:cs="Times New Roman"/>
          <w:b w:val="0"/>
          <w:color w:val="auto"/>
          <w:sz w:val="24"/>
          <w:szCs w:val="24"/>
          <w:highlight w:val="none"/>
          <w:lang w:eastAsia="zh-CN"/>
        </w:rPr>
        <w:t>8</w:t>
      </w:r>
      <w:r>
        <w:rPr>
          <w:rFonts w:hint="default" w:ascii="Times New Roman" w:hAnsi="Times New Roman" w:eastAsia="黑体" w:cs="Times New Roman"/>
          <w:b w:val="0"/>
          <w:color w:val="auto"/>
          <w:sz w:val="24"/>
          <w:szCs w:val="24"/>
          <w:highlight w:val="none"/>
        </w:rPr>
        <w:t>签订合同</w:t>
      </w:r>
      <w:bookmarkEnd w:id="295"/>
      <w:bookmarkEnd w:id="296"/>
      <w:bookmarkEnd w:id="297"/>
    </w:p>
    <w:p w14:paraId="0C34A3B5">
      <w:pPr>
        <w:pageBreakBefore w:val="0"/>
        <w:kinsoku/>
        <w:wordWrap w:val="0"/>
        <w:bidi w:val="0"/>
        <w:spacing w:line="400" w:lineRule="atLeast"/>
        <w:ind w:firstLine="480" w:firstLineChars="200"/>
        <w:rPr>
          <w:rFonts w:hint="eastAsia"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rPr>
        <w:t>7.8.1招标人和中标人应在中标通知书发出之日起30日内，根据招标文件和中标人的投标文件订立书面合同。中标人无正当理由拒签合同，在签订合同时向招标人提出附加条件，或不按照招标文件要求提交履约保证金的，招标人取消其中标资格，其投标保证金不予退还；给招标人造成的损失超过投标保证金数额的，中标人还应对超过部分予以赔偿。</w:t>
      </w:r>
    </w:p>
    <w:p w14:paraId="7A546B66">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7.8.2发出中标通知书后，招标人无正当理由拒签合同，或在签订合同时向中标人提出附加条件的，招标人向中标人退还投标保证金；给中标人造成损失的，还应赔偿损失。</w:t>
      </w:r>
    </w:p>
    <w:p w14:paraId="7DF5A0B2">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7.8.</w:t>
      </w:r>
      <w:r>
        <w:rPr>
          <w:rFonts w:hint="eastAsia" w:cs="Times New Roman"/>
          <w:color w:val="auto"/>
          <w:sz w:val="24"/>
          <w:highlight w:val="none"/>
          <w:lang w:val="en-US" w:eastAsia="zh-CN"/>
        </w:rPr>
        <w:t>3</w:t>
      </w:r>
      <w:r>
        <w:rPr>
          <w:rFonts w:hint="default" w:ascii="Times New Roman" w:hAnsi="Times New Roman" w:eastAsia="宋体" w:cs="Times New Roman"/>
          <w:color w:val="auto"/>
          <w:sz w:val="24"/>
          <w:highlight w:val="none"/>
        </w:rPr>
        <w:t>联合体中标的，联合体各方应共同与招标人签订合同，就中标项目向招标人承担连带责任。</w:t>
      </w:r>
    </w:p>
    <w:p w14:paraId="6B5BBDA4">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7.8.</w:t>
      </w:r>
      <w:r>
        <w:rPr>
          <w:rFonts w:hint="eastAsia" w:cs="Times New Roman"/>
          <w:color w:val="auto"/>
          <w:sz w:val="24"/>
          <w:highlight w:val="none"/>
          <w:lang w:val="en-US" w:eastAsia="zh-CN"/>
        </w:rPr>
        <w:t>4</w:t>
      </w:r>
      <w:r>
        <w:rPr>
          <w:rFonts w:hint="default" w:ascii="Times New Roman" w:hAnsi="Times New Roman" w:eastAsia="宋体" w:cs="Times New Roman"/>
          <w:color w:val="auto"/>
          <w:sz w:val="24"/>
          <w:highlight w:val="none"/>
        </w:rPr>
        <w:t>招标人和中标人在签订合同协议书的同时，须按照本招标文件规定的格式和要求签订廉政合同及安全生产合同，明确双方在廉政建设和安全生产方面的权利和义务以及应承担的违约责任。</w:t>
      </w:r>
    </w:p>
    <w:p w14:paraId="026287E5">
      <w:pPr>
        <w:pStyle w:val="5"/>
        <w:keepNext/>
        <w:keepLines/>
        <w:pageBreakBefore w:val="0"/>
        <w:widowControl w:val="0"/>
        <w:kinsoku/>
        <w:wordWrap w:val="0"/>
        <w:overflowPunct/>
        <w:topLinePunct w:val="0"/>
        <w:autoSpaceDE/>
        <w:autoSpaceDN/>
        <w:bidi w:val="0"/>
        <w:adjustRightInd/>
        <w:snapToGrid/>
        <w:spacing w:before="240" w:after="240" w:line="240" w:lineRule="atLeast"/>
        <w:jc w:val="both"/>
        <w:textAlignment w:val="auto"/>
        <w:outlineLvl w:val="2"/>
        <w:rPr>
          <w:rFonts w:hint="default" w:ascii="黑体" w:hAnsi="黑体" w:eastAsia="黑体" w:cs="黑体"/>
          <w:b w:val="0"/>
          <w:bCs/>
          <w:i w:val="0"/>
          <w:iCs w:val="0"/>
          <w:color w:val="auto"/>
          <w:sz w:val="28"/>
          <w:szCs w:val="28"/>
          <w:highlight w:val="none"/>
          <w:lang w:val="en-US" w:eastAsia="zh-CN"/>
        </w:rPr>
      </w:pPr>
      <w:bookmarkStart w:id="298" w:name="_Toc234832918"/>
      <w:bookmarkStart w:id="299" w:name="_Toc21562"/>
      <w:bookmarkStart w:id="300" w:name="_Toc11626"/>
      <w:bookmarkStart w:id="301" w:name="_Toc17560"/>
      <w:bookmarkStart w:id="302" w:name="_Toc14316"/>
      <w:r>
        <w:rPr>
          <w:rFonts w:hint="default" w:ascii="黑体" w:hAnsi="黑体" w:eastAsia="黑体" w:cs="黑体"/>
          <w:b w:val="0"/>
          <w:bCs/>
          <w:i w:val="0"/>
          <w:iCs w:val="0"/>
          <w:color w:val="auto"/>
          <w:sz w:val="28"/>
          <w:szCs w:val="28"/>
          <w:highlight w:val="none"/>
          <w:lang w:val="en-US" w:eastAsia="zh-CN"/>
        </w:rPr>
        <w:t>8.纪律和监督</w:t>
      </w:r>
      <w:bookmarkEnd w:id="298"/>
      <w:bookmarkEnd w:id="299"/>
      <w:bookmarkEnd w:id="300"/>
      <w:bookmarkEnd w:id="301"/>
      <w:bookmarkEnd w:id="302"/>
    </w:p>
    <w:p w14:paraId="1EACA5D4">
      <w:pPr>
        <w:keepNext w:val="0"/>
        <w:keepLines w:val="0"/>
        <w:pageBreakBefore w:val="0"/>
        <w:widowControl w:val="0"/>
        <w:kinsoku/>
        <w:wordWrap w:val="0"/>
        <w:overflowPunct/>
        <w:topLinePunct w:val="0"/>
        <w:autoSpaceDE/>
        <w:autoSpaceDN/>
        <w:bidi w:val="0"/>
        <w:adjustRightInd/>
        <w:snapToGrid/>
        <w:spacing w:before="240" w:after="240" w:line="240" w:lineRule="atLeast"/>
        <w:textAlignment w:val="auto"/>
        <w:outlineLvl w:val="9"/>
        <w:rPr>
          <w:rFonts w:hint="default" w:ascii="Times New Roman" w:hAnsi="Times New Roman" w:eastAsia="黑体" w:cs="Times New Roman"/>
          <w:b w:val="0"/>
          <w:color w:val="auto"/>
          <w:sz w:val="24"/>
          <w:szCs w:val="24"/>
          <w:highlight w:val="none"/>
        </w:rPr>
      </w:pPr>
      <w:bookmarkStart w:id="303" w:name="_Toc2195"/>
      <w:bookmarkStart w:id="304" w:name="_Toc234832919"/>
      <w:bookmarkStart w:id="305" w:name="_Toc23721"/>
      <w:r>
        <w:rPr>
          <w:rFonts w:hint="default" w:ascii="Times New Roman" w:hAnsi="Times New Roman" w:eastAsia="黑体" w:cs="Times New Roman"/>
          <w:b w:val="0"/>
          <w:color w:val="auto"/>
          <w:sz w:val="24"/>
          <w:szCs w:val="24"/>
          <w:highlight w:val="none"/>
          <w:lang w:eastAsia="zh-CN"/>
        </w:rPr>
        <w:t>8</w:t>
      </w:r>
      <w:r>
        <w:rPr>
          <w:rFonts w:hint="default" w:ascii="Times New Roman" w:hAnsi="Times New Roman" w:eastAsia="黑体" w:cs="Times New Roman"/>
          <w:b w:val="0"/>
          <w:color w:val="auto"/>
          <w:sz w:val="24"/>
          <w:szCs w:val="24"/>
          <w:highlight w:val="none"/>
        </w:rPr>
        <w:t>.1对招标人的纪律要求</w:t>
      </w:r>
      <w:bookmarkEnd w:id="303"/>
      <w:bookmarkEnd w:id="304"/>
      <w:bookmarkEnd w:id="305"/>
    </w:p>
    <w:p w14:paraId="5035F2EF">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招标人不得泄露招标投标活动中应保密的情况和资料，不得与投标人串通损害国家利益、社会公共利益或他人合法权益。</w:t>
      </w:r>
    </w:p>
    <w:p w14:paraId="6EE2999D">
      <w:pPr>
        <w:keepNext w:val="0"/>
        <w:keepLines w:val="0"/>
        <w:pageBreakBefore w:val="0"/>
        <w:widowControl w:val="0"/>
        <w:kinsoku/>
        <w:wordWrap w:val="0"/>
        <w:overflowPunct/>
        <w:topLinePunct w:val="0"/>
        <w:autoSpaceDE/>
        <w:autoSpaceDN/>
        <w:bidi w:val="0"/>
        <w:adjustRightInd/>
        <w:snapToGrid/>
        <w:spacing w:before="240" w:after="240" w:line="240" w:lineRule="atLeast"/>
        <w:textAlignment w:val="auto"/>
        <w:outlineLvl w:val="9"/>
        <w:rPr>
          <w:rFonts w:hint="default" w:ascii="Times New Roman" w:hAnsi="Times New Roman" w:eastAsia="黑体" w:cs="Times New Roman"/>
          <w:b w:val="0"/>
          <w:color w:val="auto"/>
          <w:sz w:val="24"/>
          <w:szCs w:val="24"/>
          <w:highlight w:val="none"/>
        </w:rPr>
      </w:pPr>
      <w:bookmarkStart w:id="306" w:name="_Toc28155"/>
      <w:bookmarkStart w:id="307" w:name="_Toc234832920"/>
      <w:bookmarkStart w:id="308" w:name="_Toc23019"/>
      <w:r>
        <w:rPr>
          <w:rFonts w:hint="default" w:ascii="Times New Roman" w:hAnsi="Times New Roman" w:eastAsia="黑体" w:cs="Times New Roman"/>
          <w:b w:val="0"/>
          <w:color w:val="auto"/>
          <w:sz w:val="24"/>
          <w:szCs w:val="24"/>
          <w:highlight w:val="none"/>
          <w:lang w:eastAsia="zh-CN"/>
        </w:rPr>
        <w:t>8</w:t>
      </w:r>
      <w:r>
        <w:rPr>
          <w:rFonts w:hint="default" w:ascii="Times New Roman" w:hAnsi="Times New Roman" w:eastAsia="黑体" w:cs="Times New Roman"/>
          <w:b w:val="0"/>
          <w:color w:val="auto"/>
          <w:sz w:val="24"/>
          <w:szCs w:val="24"/>
          <w:highlight w:val="none"/>
        </w:rPr>
        <w:t>.2对投标人的纪律要求</w:t>
      </w:r>
      <w:bookmarkEnd w:id="306"/>
      <w:bookmarkEnd w:id="307"/>
      <w:bookmarkEnd w:id="308"/>
    </w:p>
    <w:p w14:paraId="720FB80F">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投标人不得相互串通投标或与招标人串通投标，不得向招标人或评标委员会成员行贿谋取中标，不得以他人名义投标或以其他方式弄虚作假骗取中标；投标人不得以任何方式干扰、影响评标工作。</w:t>
      </w:r>
    </w:p>
    <w:p w14:paraId="67473180">
      <w:pPr>
        <w:keepNext w:val="0"/>
        <w:keepLines w:val="0"/>
        <w:pageBreakBefore w:val="0"/>
        <w:widowControl w:val="0"/>
        <w:kinsoku/>
        <w:wordWrap w:val="0"/>
        <w:overflowPunct/>
        <w:topLinePunct w:val="0"/>
        <w:autoSpaceDE/>
        <w:autoSpaceDN/>
        <w:bidi w:val="0"/>
        <w:adjustRightInd/>
        <w:snapToGrid/>
        <w:spacing w:before="240" w:after="240" w:line="240" w:lineRule="atLeast"/>
        <w:textAlignment w:val="auto"/>
        <w:outlineLvl w:val="9"/>
        <w:rPr>
          <w:rFonts w:hint="default" w:ascii="Times New Roman" w:hAnsi="Times New Roman" w:eastAsia="黑体" w:cs="Times New Roman"/>
          <w:b w:val="0"/>
          <w:color w:val="auto"/>
          <w:sz w:val="24"/>
          <w:szCs w:val="24"/>
          <w:highlight w:val="none"/>
        </w:rPr>
      </w:pPr>
      <w:bookmarkStart w:id="309" w:name="_Toc234832921"/>
      <w:bookmarkStart w:id="310" w:name="_Toc22216"/>
      <w:bookmarkStart w:id="311" w:name="_Toc5418"/>
      <w:r>
        <w:rPr>
          <w:rFonts w:hint="default" w:ascii="Times New Roman" w:hAnsi="Times New Roman" w:eastAsia="黑体" w:cs="Times New Roman"/>
          <w:b w:val="0"/>
          <w:color w:val="auto"/>
          <w:sz w:val="24"/>
          <w:szCs w:val="24"/>
          <w:highlight w:val="none"/>
          <w:lang w:eastAsia="zh-CN"/>
        </w:rPr>
        <w:t>8</w:t>
      </w:r>
      <w:r>
        <w:rPr>
          <w:rFonts w:hint="default" w:ascii="Times New Roman" w:hAnsi="Times New Roman" w:eastAsia="黑体" w:cs="Times New Roman"/>
          <w:b w:val="0"/>
          <w:color w:val="auto"/>
          <w:sz w:val="24"/>
          <w:szCs w:val="24"/>
          <w:highlight w:val="none"/>
        </w:rPr>
        <w:t>.3对评标委员会成员的纪律要求</w:t>
      </w:r>
      <w:bookmarkEnd w:id="309"/>
      <w:bookmarkEnd w:id="310"/>
      <w:bookmarkEnd w:id="311"/>
    </w:p>
    <w:p w14:paraId="0771FE65">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评标委员会成员不得收受他人的财物或其他好处，不得向他人透露对投标文件的评审和比较、中标候选人的推荐情况以及评标有关的其他情况。在评标活动中，评标委员会成员应客观、公正地履行职责，遵守职业道德，不得擅离职守，影响评标程序正常进行，不得使用第三章</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评标办法</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没有规定的评审因素和标准进行评标。</w:t>
      </w:r>
    </w:p>
    <w:p w14:paraId="4D04A6B0">
      <w:pPr>
        <w:keepNext w:val="0"/>
        <w:keepLines w:val="0"/>
        <w:pageBreakBefore w:val="0"/>
        <w:widowControl w:val="0"/>
        <w:kinsoku/>
        <w:wordWrap w:val="0"/>
        <w:overflowPunct/>
        <w:topLinePunct w:val="0"/>
        <w:autoSpaceDE/>
        <w:autoSpaceDN/>
        <w:bidi w:val="0"/>
        <w:adjustRightInd/>
        <w:snapToGrid/>
        <w:spacing w:before="240" w:after="240" w:line="240" w:lineRule="atLeast"/>
        <w:textAlignment w:val="auto"/>
        <w:outlineLvl w:val="9"/>
        <w:rPr>
          <w:rFonts w:hint="default" w:ascii="Times New Roman" w:hAnsi="Times New Roman" w:eastAsia="黑体" w:cs="Times New Roman"/>
          <w:b w:val="0"/>
          <w:color w:val="auto"/>
          <w:sz w:val="24"/>
          <w:szCs w:val="24"/>
          <w:highlight w:val="none"/>
        </w:rPr>
      </w:pPr>
      <w:bookmarkStart w:id="312" w:name="_Toc234832922"/>
      <w:bookmarkStart w:id="313" w:name="_Toc9801"/>
      <w:bookmarkStart w:id="314" w:name="_Toc6211"/>
      <w:r>
        <w:rPr>
          <w:rFonts w:hint="default" w:ascii="Times New Roman" w:hAnsi="Times New Roman" w:eastAsia="黑体" w:cs="Times New Roman"/>
          <w:b w:val="0"/>
          <w:color w:val="auto"/>
          <w:sz w:val="24"/>
          <w:szCs w:val="24"/>
          <w:highlight w:val="none"/>
          <w:lang w:eastAsia="zh-CN"/>
        </w:rPr>
        <w:t>8</w:t>
      </w:r>
      <w:r>
        <w:rPr>
          <w:rFonts w:hint="default" w:ascii="Times New Roman" w:hAnsi="Times New Roman" w:eastAsia="黑体" w:cs="Times New Roman"/>
          <w:b w:val="0"/>
          <w:color w:val="auto"/>
          <w:sz w:val="24"/>
          <w:szCs w:val="24"/>
          <w:highlight w:val="none"/>
        </w:rPr>
        <w:t>.4对与评标活动有关的工作人员的纪律要求</w:t>
      </w:r>
      <w:bookmarkEnd w:id="312"/>
      <w:bookmarkEnd w:id="313"/>
      <w:bookmarkEnd w:id="314"/>
    </w:p>
    <w:p w14:paraId="159E81D9">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与评标活动有关的工作人员不得收受他人的财物或其他好处，不得向他人透露对投标文件的评审和比较、中标候选人的推荐情况以及评标有关的其他情况。在评标活动中，与评标活动有关的工作人员不得擅离职守，影响评标程序正常进行。</w:t>
      </w:r>
    </w:p>
    <w:p w14:paraId="7B916F6C">
      <w:pPr>
        <w:keepNext w:val="0"/>
        <w:keepLines w:val="0"/>
        <w:pageBreakBefore w:val="0"/>
        <w:widowControl w:val="0"/>
        <w:kinsoku/>
        <w:wordWrap w:val="0"/>
        <w:overflowPunct/>
        <w:topLinePunct w:val="0"/>
        <w:autoSpaceDE/>
        <w:autoSpaceDN/>
        <w:bidi w:val="0"/>
        <w:adjustRightInd/>
        <w:snapToGrid/>
        <w:spacing w:before="240" w:after="240" w:line="240" w:lineRule="atLeast"/>
        <w:textAlignment w:val="auto"/>
        <w:outlineLvl w:val="9"/>
        <w:rPr>
          <w:rFonts w:hint="default" w:ascii="Times New Roman" w:hAnsi="Times New Roman" w:eastAsia="黑体" w:cs="Times New Roman"/>
          <w:b w:val="0"/>
          <w:color w:val="auto"/>
          <w:sz w:val="24"/>
          <w:szCs w:val="24"/>
          <w:highlight w:val="none"/>
        </w:rPr>
      </w:pPr>
      <w:bookmarkStart w:id="315" w:name="_Toc22150"/>
      <w:bookmarkStart w:id="316" w:name="_Toc234832923"/>
      <w:bookmarkStart w:id="317" w:name="_Toc19294"/>
      <w:r>
        <w:rPr>
          <w:rFonts w:hint="default" w:ascii="Times New Roman" w:hAnsi="Times New Roman" w:eastAsia="黑体" w:cs="Times New Roman"/>
          <w:b w:val="0"/>
          <w:color w:val="auto"/>
          <w:sz w:val="24"/>
          <w:szCs w:val="24"/>
          <w:highlight w:val="none"/>
          <w:lang w:eastAsia="zh-CN"/>
        </w:rPr>
        <w:t>8</w:t>
      </w:r>
      <w:r>
        <w:rPr>
          <w:rFonts w:hint="default" w:ascii="Times New Roman" w:hAnsi="Times New Roman" w:eastAsia="黑体" w:cs="Times New Roman"/>
          <w:b w:val="0"/>
          <w:color w:val="auto"/>
          <w:sz w:val="24"/>
          <w:szCs w:val="24"/>
          <w:highlight w:val="none"/>
        </w:rPr>
        <w:t>.5投诉</w:t>
      </w:r>
      <w:bookmarkEnd w:id="315"/>
      <w:bookmarkEnd w:id="316"/>
      <w:bookmarkEnd w:id="317"/>
    </w:p>
    <w:p w14:paraId="65731604">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8.5.1投标人或其他利害关系人认为招标投标活动不符合法律、行政法规规定的，可以自知道或应当知道之日起10日内向有关行政监督部门投诉。投诉应有明确的请求和必要的证明材料。</w:t>
      </w:r>
    </w:p>
    <w:p w14:paraId="05B9B226">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监督部门的联系方式见投标人须知前附表。</w:t>
      </w:r>
    </w:p>
    <w:p w14:paraId="0C014183">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8.5.2投标人或其他利害关系人对招标文件、开标和评标结果提出投诉的，应按照本章第2.4款、第5.3款和第7.2款的规定先向招标人提出异议。异议答复期间</w:t>
      </w:r>
      <w:bookmarkStart w:id="318" w:name="_Toc152045570"/>
      <w:bookmarkStart w:id="319" w:name="_Toc144974538"/>
      <w:bookmarkStart w:id="320" w:name="_Toc369531561"/>
      <w:bookmarkStart w:id="321" w:name="_Toc152042346"/>
      <w:bookmarkStart w:id="322" w:name="_Toc384308255"/>
      <w:bookmarkStart w:id="323" w:name="_Toc247513994"/>
      <w:bookmarkStart w:id="324" w:name="_Toc361508630"/>
      <w:bookmarkStart w:id="325" w:name="_Toc300834993"/>
      <w:bookmarkStart w:id="326" w:name="_Toc12776"/>
      <w:bookmarkStart w:id="327" w:name="_Toc352691517"/>
      <w:bookmarkStart w:id="328" w:name="_Toc247527595"/>
      <w:r>
        <w:rPr>
          <w:rFonts w:hint="default" w:ascii="Times New Roman" w:hAnsi="Times New Roman" w:eastAsia="宋体" w:cs="Times New Roman"/>
          <w:color w:val="auto"/>
          <w:sz w:val="24"/>
          <w:highlight w:val="none"/>
        </w:rPr>
        <w:t>不计算在第8.5.</w:t>
      </w:r>
      <w:bookmarkEnd w:id="318"/>
      <w:bookmarkEnd w:id="319"/>
      <w:bookmarkEnd w:id="320"/>
      <w:bookmarkEnd w:id="321"/>
      <w:bookmarkEnd w:id="322"/>
      <w:bookmarkEnd w:id="323"/>
      <w:bookmarkEnd w:id="324"/>
      <w:bookmarkEnd w:id="325"/>
      <w:bookmarkEnd w:id="326"/>
      <w:bookmarkEnd w:id="327"/>
      <w:bookmarkEnd w:id="328"/>
      <w:r>
        <w:rPr>
          <w:rFonts w:hint="default" w:ascii="Times New Roman" w:hAnsi="Times New Roman" w:eastAsia="宋体" w:cs="Times New Roman"/>
          <w:color w:val="auto"/>
          <w:sz w:val="24"/>
          <w:highlight w:val="none"/>
        </w:rPr>
        <w:t>1项规定的期限内。</w:t>
      </w:r>
    </w:p>
    <w:p w14:paraId="0C2BAF02">
      <w:pPr>
        <w:pStyle w:val="5"/>
        <w:keepNext/>
        <w:keepLines/>
        <w:pageBreakBefore w:val="0"/>
        <w:widowControl w:val="0"/>
        <w:kinsoku/>
        <w:wordWrap w:val="0"/>
        <w:overflowPunct/>
        <w:topLinePunct w:val="0"/>
        <w:autoSpaceDE/>
        <w:autoSpaceDN/>
        <w:bidi w:val="0"/>
        <w:adjustRightInd/>
        <w:snapToGrid/>
        <w:spacing w:before="240" w:after="240" w:line="240" w:lineRule="atLeast"/>
        <w:jc w:val="both"/>
        <w:textAlignment w:val="auto"/>
        <w:outlineLvl w:val="2"/>
        <w:rPr>
          <w:rFonts w:hint="default" w:ascii="黑体" w:hAnsi="黑体" w:eastAsia="黑体" w:cs="黑体"/>
          <w:b w:val="0"/>
          <w:bCs/>
          <w:i w:val="0"/>
          <w:iCs w:val="0"/>
          <w:color w:val="auto"/>
          <w:sz w:val="28"/>
          <w:szCs w:val="28"/>
          <w:highlight w:val="none"/>
          <w:lang w:val="en-US" w:eastAsia="zh-CN"/>
        </w:rPr>
      </w:pPr>
      <w:bookmarkStart w:id="329" w:name="_Toc22135"/>
      <w:bookmarkStart w:id="330" w:name="_Toc234832924"/>
      <w:bookmarkStart w:id="331" w:name="_Toc18903"/>
      <w:bookmarkStart w:id="332" w:name="_Toc7531"/>
      <w:bookmarkStart w:id="333" w:name="_Toc13754"/>
      <w:r>
        <w:rPr>
          <w:rFonts w:hint="default" w:ascii="黑体" w:hAnsi="黑体" w:eastAsia="黑体" w:cs="黑体"/>
          <w:b w:val="0"/>
          <w:bCs/>
          <w:i w:val="0"/>
          <w:iCs w:val="0"/>
          <w:color w:val="auto"/>
          <w:sz w:val="28"/>
          <w:szCs w:val="28"/>
          <w:highlight w:val="none"/>
          <w:lang w:val="en-US" w:eastAsia="zh-CN"/>
        </w:rPr>
        <w:t>9.需要补充的其他内容</w:t>
      </w:r>
      <w:bookmarkEnd w:id="329"/>
      <w:bookmarkEnd w:id="330"/>
      <w:bookmarkEnd w:id="331"/>
      <w:bookmarkEnd w:id="332"/>
      <w:bookmarkEnd w:id="333"/>
    </w:p>
    <w:p w14:paraId="3C7EB18B">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eastAsia="宋体" w:cs="Times New Roman"/>
          <w:color w:val="auto"/>
          <w:sz w:val="24"/>
          <w:highlight w:val="none"/>
        </w:rPr>
        <w:t>需要补充的其他内容：见投标人须知前附表。</w:t>
      </w:r>
    </w:p>
    <w:p w14:paraId="0160E7F0">
      <w:pPr>
        <w:pStyle w:val="5"/>
        <w:keepNext/>
        <w:keepLines/>
        <w:pageBreakBefore w:val="0"/>
        <w:widowControl w:val="0"/>
        <w:kinsoku/>
        <w:wordWrap w:val="0"/>
        <w:overflowPunct/>
        <w:topLinePunct w:val="0"/>
        <w:autoSpaceDE/>
        <w:autoSpaceDN/>
        <w:bidi w:val="0"/>
        <w:adjustRightInd/>
        <w:snapToGrid/>
        <w:spacing w:before="240" w:after="240" w:line="240" w:lineRule="atLeast"/>
        <w:jc w:val="both"/>
        <w:textAlignment w:val="auto"/>
        <w:outlineLvl w:val="2"/>
        <w:rPr>
          <w:rFonts w:hint="default" w:ascii="Times New Roman" w:hAnsi="Times New Roman" w:eastAsia="黑体" w:cs="Times New Roman"/>
          <w:b w:val="0"/>
          <w:i w:val="0"/>
          <w:iCs w:val="0"/>
          <w:color w:val="auto"/>
          <w:sz w:val="24"/>
          <w:szCs w:val="24"/>
          <w:highlight w:val="none"/>
        </w:rPr>
      </w:pPr>
      <w:r>
        <w:rPr>
          <w:rFonts w:hint="default" w:ascii="Times New Roman" w:hAnsi="Times New Roman" w:eastAsia="隶书" w:cs="Times New Roman"/>
          <w:color w:val="auto"/>
          <w:sz w:val="24"/>
          <w:highlight w:val="none"/>
        </w:rPr>
        <w:br w:type="page"/>
      </w:r>
      <w:bookmarkStart w:id="334" w:name="_Toc234832925"/>
      <w:bookmarkStart w:id="335" w:name="_Toc19391"/>
      <w:bookmarkStart w:id="336" w:name="_Toc26380"/>
      <w:bookmarkStart w:id="337" w:name="_Toc12892"/>
      <w:bookmarkStart w:id="338" w:name="_Toc18463"/>
      <w:r>
        <w:rPr>
          <w:rFonts w:hint="default" w:ascii="黑体" w:hAnsi="黑体" w:eastAsia="黑体" w:cs="黑体"/>
          <w:b w:val="0"/>
          <w:bCs/>
          <w:i w:val="0"/>
          <w:iCs w:val="0"/>
          <w:color w:val="auto"/>
          <w:sz w:val="28"/>
          <w:szCs w:val="28"/>
          <w:highlight w:val="none"/>
          <w:lang w:val="en-US" w:eastAsia="zh-CN"/>
        </w:rPr>
        <w:t>附件一</w:t>
      </w:r>
      <w:r>
        <w:rPr>
          <w:rFonts w:hint="eastAsia" w:ascii="黑体" w:hAnsi="黑体" w:eastAsia="黑体" w:cs="黑体"/>
          <w:b w:val="0"/>
          <w:bCs/>
          <w:i w:val="0"/>
          <w:iCs w:val="0"/>
          <w:color w:val="auto"/>
          <w:sz w:val="28"/>
          <w:szCs w:val="28"/>
          <w:highlight w:val="none"/>
          <w:lang w:val="en-US" w:eastAsia="zh-CN"/>
        </w:rPr>
        <w:t xml:space="preserve"> </w:t>
      </w:r>
      <w:r>
        <w:rPr>
          <w:rFonts w:hint="default" w:ascii="黑体" w:hAnsi="黑体" w:eastAsia="黑体" w:cs="黑体"/>
          <w:b w:val="0"/>
          <w:bCs/>
          <w:i w:val="0"/>
          <w:iCs w:val="0"/>
          <w:color w:val="auto"/>
          <w:sz w:val="28"/>
          <w:szCs w:val="28"/>
          <w:highlight w:val="none"/>
          <w:lang w:val="en-US" w:eastAsia="zh-CN"/>
        </w:rPr>
        <w:t>开标记录表</w:t>
      </w:r>
      <w:r>
        <w:rPr>
          <w:rFonts w:hint="default" w:ascii="黑体" w:hAnsi="黑体" w:eastAsia="黑体" w:cs="黑体"/>
          <w:b w:val="0"/>
          <w:bCs/>
          <w:i w:val="0"/>
          <w:iCs w:val="0"/>
          <w:color w:val="auto"/>
          <w:sz w:val="28"/>
          <w:szCs w:val="28"/>
          <w:highlight w:val="none"/>
          <w:vertAlign w:val="superscript"/>
          <w:lang w:val="en-US" w:eastAsia="zh-CN"/>
        </w:rPr>
        <w:footnoteReference w:id="23"/>
      </w:r>
      <w:bookmarkEnd w:id="334"/>
      <w:bookmarkEnd w:id="335"/>
      <w:bookmarkEnd w:id="336"/>
      <w:bookmarkEnd w:id="337"/>
      <w:bookmarkEnd w:id="338"/>
    </w:p>
    <w:p w14:paraId="53580B08">
      <w:pPr>
        <w:wordWrap w:val="0"/>
        <w:spacing w:before="0" w:after="100" w:afterAutospacing="1" w:line="240" w:lineRule="atLeast"/>
        <w:outlineLvl w:val="9"/>
        <w:rPr>
          <w:rFonts w:hint="default" w:ascii="Times New Roman" w:hAnsi="Times New Roman" w:eastAsia="黑体" w:cs="Times New Roman"/>
          <w:b w:val="0"/>
          <w:color w:val="auto"/>
          <w:sz w:val="24"/>
          <w:szCs w:val="24"/>
          <w:highlight w:val="none"/>
        </w:rPr>
      </w:pPr>
      <w:bookmarkStart w:id="339" w:name="_Toc8817"/>
      <w:bookmarkStart w:id="340" w:name="_Toc20922"/>
      <w:bookmarkStart w:id="341" w:name="_Toc16381"/>
      <w:bookmarkStart w:id="342" w:name="_Toc2455"/>
      <w:r>
        <w:rPr>
          <w:rFonts w:hint="eastAsia" w:ascii="宋体" w:hAnsi="宋体" w:eastAsia="宋体" w:cs="宋体"/>
          <w:color w:val="auto"/>
          <w:sz w:val="24"/>
          <w:szCs w:val="24"/>
          <w:highlight w:val="none"/>
          <w:u w:val="none"/>
          <w:lang w:val="en-US" w:eastAsia="zh-CN"/>
        </w:rPr>
        <w:t>以电子交易平台生成格式为准。</w:t>
      </w:r>
      <w:bookmarkEnd w:id="339"/>
      <w:bookmarkEnd w:id="340"/>
      <w:bookmarkEnd w:id="341"/>
      <w:bookmarkEnd w:id="342"/>
    </w:p>
    <w:p w14:paraId="18AEAA88">
      <w:pPr>
        <w:keepNext/>
        <w:keepLines/>
        <w:pageBreakBefore w:val="0"/>
        <w:widowControl w:val="0"/>
        <w:kinsoku/>
        <w:wordWrap/>
        <w:overflowPunct/>
        <w:topLinePunct w:val="0"/>
        <w:autoSpaceDE/>
        <w:autoSpaceDN/>
        <w:bidi w:val="0"/>
        <w:adjustRightInd/>
        <w:snapToGrid/>
        <w:spacing w:after="100" w:afterAutospacing="1" w:line="240" w:lineRule="atLeast"/>
        <w:jc w:val="left"/>
        <w:textAlignment w:val="auto"/>
        <w:outlineLvl w:val="9"/>
        <w:rPr>
          <w:rFonts w:hint="default" w:ascii="Times New Roman" w:hAnsi="Times New Roman" w:cs="Times New Roman"/>
          <w:color w:val="auto"/>
          <w:szCs w:val="21"/>
          <w:highlight w:val="none"/>
        </w:rPr>
      </w:pPr>
      <w:bookmarkStart w:id="343" w:name="_Toc24468"/>
      <w:r>
        <w:rPr>
          <w:rFonts w:hint="default" w:ascii="Times New Roman" w:hAnsi="Times New Roman" w:cs="Times New Roman"/>
          <w:color w:val="auto"/>
          <w:szCs w:val="24"/>
          <w:highlight w:val="none"/>
        </w:rPr>
        <w:br w:type="page"/>
      </w:r>
      <w:bookmarkEnd w:id="343"/>
    </w:p>
    <w:p w14:paraId="5ED86EB3">
      <w:pPr>
        <w:pageBreakBefore w:val="0"/>
        <w:kinsoku/>
        <w:wordWrap w:val="0"/>
        <w:bidi w:val="0"/>
        <w:spacing w:line="620" w:lineRule="exact"/>
        <w:ind w:right="630"/>
        <w:jc w:val="center"/>
        <w:rPr>
          <w:rFonts w:hint="default" w:ascii="Times New Roman" w:hAnsi="Times New Roman" w:cs="Times New Roman"/>
          <w:color w:val="auto"/>
          <w:szCs w:val="21"/>
          <w:highlight w:val="none"/>
        </w:rPr>
        <w:sectPr>
          <w:footnotePr>
            <w:numFmt w:val="decimalEnclosedCircleChinese"/>
            <w:numRestart w:val="eachPage"/>
          </w:footnotePr>
          <w:pgSz w:w="11907" w:h="16840"/>
          <w:pgMar w:top="1588" w:right="1531" w:bottom="1644" w:left="1588" w:header="851" w:footer="851" w:gutter="0"/>
          <w:pgNumType w:fmt="decimal"/>
          <w:cols w:space="720" w:num="1"/>
          <w:docGrid w:linePitch="312" w:charSpace="0"/>
        </w:sectPr>
      </w:pPr>
    </w:p>
    <w:p w14:paraId="76533FBB">
      <w:pPr>
        <w:pStyle w:val="5"/>
        <w:keepNext/>
        <w:keepLines/>
        <w:pageBreakBefore w:val="0"/>
        <w:widowControl w:val="0"/>
        <w:kinsoku/>
        <w:wordWrap w:val="0"/>
        <w:overflowPunct/>
        <w:topLinePunct w:val="0"/>
        <w:autoSpaceDE/>
        <w:autoSpaceDN/>
        <w:bidi w:val="0"/>
        <w:adjustRightInd/>
        <w:snapToGrid/>
        <w:spacing w:before="240" w:after="240" w:line="240" w:lineRule="atLeast"/>
        <w:jc w:val="both"/>
        <w:textAlignment w:val="auto"/>
        <w:outlineLvl w:val="2"/>
        <w:rPr>
          <w:rFonts w:hint="default" w:ascii="黑体" w:hAnsi="黑体" w:eastAsia="黑体" w:cs="黑体"/>
          <w:b w:val="0"/>
          <w:bCs/>
          <w:i w:val="0"/>
          <w:iCs w:val="0"/>
          <w:color w:val="auto"/>
          <w:sz w:val="28"/>
          <w:szCs w:val="28"/>
          <w:highlight w:val="none"/>
          <w:lang w:val="en-US" w:eastAsia="zh-CN"/>
        </w:rPr>
      </w:pPr>
      <w:bookmarkStart w:id="344" w:name="_Toc28813"/>
      <w:bookmarkStart w:id="345" w:name="_Toc19637"/>
      <w:bookmarkStart w:id="346" w:name="_Toc234832926"/>
      <w:bookmarkStart w:id="347" w:name="_Toc25086"/>
      <w:bookmarkStart w:id="348" w:name="_Toc3403"/>
      <w:r>
        <w:rPr>
          <w:rFonts w:hint="default" w:ascii="黑体" w:hAnsi="黑体" w:eastAsia="黑体" w:cs="黑体"/>
          <w:b w:val="0"/>
          <w:bCs/>
          <w:i w:val="0"/>
          <w:iCs w:val="0"/>
          <w:color w:val="auto"/>
          <w:sz w:val="28"/>
          <w:szCs w:val="28"/>
          <w:highlight w:val="none"/>
          <w:lang w:val="en-US" w:eastAsia="zh-CN"/>
        </w:rPr>
        <w:t>附件二 问题澄清通知</w:t>
      </w:r>
      <w:bookmarkEnd w:id="344"/>
      <w:bookmarkEnd w:id="345"/>
      <w:bookmarkEnd w:id="346"/>
      <w:bookmarkEnd w:id="347"/>
      <w:bookmarkEnd w:id="348"/>
    </w:p>
    <w:p w14:paraId="048CEDCC">
      <w:pPr>
        <w:pageBreakBefore w:val="0"/>
        <w:kinsoku/>
        <w:wordWrap w:val="0"/>
        <w:bidi w:val="0"/>
        <w:spacing w:line="440" w:lineRule="exact"/>
        <w:jc w:val="center"/>
        <w:rPr>
          <w:rFonts w:hint="default" w:ascii="Times New Roman" w:hAnsi="Times New Roman" w:cs="Times New Roman"/>
          <w:color w:val="auto"/>
          <w:sz w:val="28"/>
          <w:szCs w:val="28"/>
          <w:highlight w:val="none"/>
        </w:rPr>
      </w:pPr>
    </w:p>
    <w:p w14:paraId="6D7D423D">
      <w:pPr>
        <w:pageBreakBefore w:val="0"/>
        <w:kinsoku/>
        <w:wordWrap w:val="0"/>
        <w:bidi w:val="0"/>
        <w:spacing w:line="440" w:lineRule="exact"/>
        <w:jc w:val="center"/>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问题澄清通知</w:t>
      </w:r>
    </w:p>
    <w:p w14:paraId="002D5E90">
      <w:pPr>
        <w:pageBreakBefore w:val="0"/>
        <w:kinsoku/>
        <w:wordWrap w:val="0"/>
        <w:bidi w:val="0"/>
        <w:spacing w:line="440" w:lineRule="exact"/>
        <w:jc w:val="center"/>
        <w:rPr>
          <w:rFonts w:hint="default" w:ascii="Times New Roman" w:hAnsi="Times New Roman" w:cs="Times New Roman"/>
          <w:color w:val="auto"/>
          <w:sz w:val="24"/>
          <w:highlight w:val="none"/>
        </w:rPr>
      </w:pPr>
      <w:r>
        <w:rPr>
          <w:rFonts w:hint="default" w:ascii="Times New Roman" w:hAnsi="Times New Roman" w:cs="Times New Roman"/>
          <w:color w:val="auto"/>
          <w:highlight w:val="none"/>
        </w:rPr>
        <w:t>（编号：</w:t>
      </w:r>
      <w:r>
        <w:rPr>
          <w:rFonts w:hint="default" w:ascii="Times New Roman" w:hAnsi="Times New Roman" w:eastAsia="黑体" w:cs="Times New Roman"/>
          <w:color w:val="auto"/>
          <w:sz w:val="28"/>
          <w:highlight w:val="none"/>
          <w:u w:val="single"/>
        </w:rPr>
        <w:t xml:space="preserve">               </w:t>
      </w:r>
      <w:r>
        <w:rPr>
          <w:rFonts w:hint="default" w:ascii="Times New Roman" w:hAnsi="Times New Roman" w:cs="Times New Roman"/>
          <w:color w:val="auto"/>
          <w:highlight w:val="none"/>
        </w:rPr>
        <w:t>）</w:t>
      </w:r>
    </w:p>
    <w:p w14:paraId="04C6E8C8">
      <w:pPr>
        <w:pageBreakBefore w:val="0"/>
        <w:kinsoku/>
        <w:wordWrap w:val="0"/>
        <w:bidi w:val="0"/>
        <w:spacing w:line="440" w:lineRule="exact"/>
        <w:rPr>
          <w:rFonts w:hint="default" w:ascii="Times New Roman" w:hAnsi="Times New Roman" w:cs="Times New Roman"/>
          <w:color w:val="auto"/>
          <w:sz w:val="24"/>
          <w:highlight w:val="none"/>
        </w:rPr>
      </w:pPr>
    </w:p>
    <w:p w14:paraId="21AD753A">
      <w:pPr>
        <w:pageBreakBefore w:val="0"/>
        <w:kinsoku/>
        <w:wordWrap w:val="0"/>
        <w:bidi w:val="0"/>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（投标人名称）：</w:t>
      </w:r>
    </w:p>
    <w:p w14:paraId="484A9D1F">
      <w:pPr>
        <w:pageBreakBefore w:val="0"/>
        <w:kinsoku/>
        <w:wordWrap w:val="0"/>
        <w:bidi w:val="0"/>
        <w:spacing w:line="440" w:lineRule="exact"/>
        <w:rPr>
          <w:rFonts w:hint="default" w:ascii="Times New Roman" w:hAnsi="Times New Roman" w:cs="Times New Roman"/>
          <w:color w:val="auto"/>
          <w:sz w:val="24"/>
          <w:highlight w:val="none"/>
        </w:rPr>
      </w:pPr>
    </w:p>
    <w:p w14:paraId="216A1302">
      <w:pPr>
        <w:pageBreakBefore w:val="0"/>
        <w:kinsoku/>
        <w:wordWrap w:val="0"/>
        <w:bidi w:val="0"/>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 （项目名称）</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标段施工招标的评标委员会，对你方的投标文件进行了仔细的审查，现需你方对下列问题以书面形式予以澄清或说明：</w:t>
      </w:r>
    </w:p>
    <w:p w14:paraId="72EF233C">
      <w:pPr>
        <w:pageBreakBefore w:val="0"/>
        <w:kinsoku/>
        <w:wordWrap w:val="0"/>
        <w:bidi w:val="0"/>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w:t>
      </w:r>
    </w:p>
    <w:p w14:paraId="2880E709">
      <w:pPr>
        <w:pageBreakBefore w:val="0"/>
        <w:kinsoku/>
        <w:wordWrap w:val="0"/>
        <w:bidi w:val="0"/>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1.</w:t>
      </w:r>
    </w:p>
    <w:p w14:paraId="5747B02C">
      <w:pPr>
        <w:pageBreakBefore w:val="0"/>
        <w:kinsoku/>
        <w:wordWrap w:val="0"/>
        <w:bidi w:val="0"/>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2.</w:t>
      </w:r>
    </w:p>
    <w:p w14:paraId="2AFB3F2B">
      <w:pPr>
        <w:pageBreakBefore w:val="0"/>
        <w:kinsoku/>
        <w:wordWrap w:val="0"/>
        <w:bidi w:val="0"/>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   </w:t>
      </w:r>
    </w:p>
    <w:p w14:paraId="3F00AB22">
      <w:pPr>
        <w:pageBreakBefore w:val="0"/>
        <w:kinsoku/>
        <w:wordWrap w:val="0"/>
        <w:bidi w:val="0"/>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w:t>
      </w:r>
    </w:p>
    <w:p w14:paraId="7B3CBFF0">
      <w:pPr>
        <w:pageBreakBefore w:val="0"/>
        <w:kinsoku/>
        <w:wordWrap w:val="0"/>
        <w:bidi w:val="0"/>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请将上述问题的澄清或说明于</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月</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日</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时</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分前通过</w:t>
      </w:r>
      <w:r>
        <w:rPr>
          <w:rFonts w:hint="eastAsia" w:ascii="宋体" w:hAnsi="宋体" w:eastAsia="宋体" w:cs="宋体"/>
          <w:color w:val="auto"/>
          <w:sz w:val="24"/>
          <w:highlight w:val="none"/>
          <w:lang w:eastAsia="zh-CN"/>
        </w:rPr>
        <w:t>“</w:t>
      </w:r>
      <w:r>
        <w:rPr>
          <w:rFonts w:hint="eastAsia" w:cs="Times New Roman"/>
          <w:color w:val="auto"/>
          <w:sz w:val="24"/>
          <w:highlight w:val="none"/>
          <w:lang w:eastAsia="zh-CN"/>
        </w:rPr>
        <w:t>电子交易平台</w:t>
      </w:r>
      <w:r>
        <w:rPr>
          <w:rFonts w:hint="eastAsia" w:ascii="宋体" w:hAnsi="宋体" w:eastAsia="宋体" w:cs="宋体"/>
          <w:color w:val="auto"/>
          <w:sz w:val="24"/>
          <w:highlight w:val="none"/>
          <w:lang w:eastAsia="zh-CN"/>
        </w:rPr>
        <w:t>”</w:t>
      </w:r>
      <w:r>
        <w:rPr>
          <w:rFonts w:hint="default" w:ascii="Times New Roman" w:hAnsi="Times New Roman" w:cs="Times New Roman"/>
          <w:color w:val="auto"/>
          <w:sz w:val="24"/>
          <w:highlight w:val="none"/>
        </w:rPr>
        <w:t>上传。</w:t>
      </w:r>
    </w:p>
    <w:p w14:paraId="21E9E83E">
      <w:pPr>
        <w:pageBreakBefore w:val="0"/>
        <w:kinsoku/>
        <w:wordWrap w:val="0"/>
        <w:bidi w:val="0"/>
        <w:spacing w:line="440" w:lineRule="exact"/>
        <w:rPr>
          <w:rFonts w:hint="default" w:ascii="Times New Roman" w:hAnsi="Times New Roman" w:cs="Times New Roman"/>
          <w:color w:val="auto"/>
          <w:sz w:val="24"/>
          <w:highlight w:val="none"/>
        </w:rPr>
      </w:pPr>
    </w:p>
    <w:p w14:paraId="6CCEC6E2">
      <w:pPr>
        <w:pageBreakBefore w:val="0"/>
        <w:kinsoku/>
        <w:wordWrap w:val="0"/>
        <w:bidi w:val="0"/>
        <w:spacing w:line="440" w:lineRule="exact"/>
        <w:rPr>
          <w:rFonts w:hint="default" w:ascii="Times New Roman" w:hAnsi="Times New Roman" w:cs="Times New Roman"/>
          <w:color w:val="auto"/>
          <w:sz w:val="24"/>
          <w:highlight w:val="none"/>
        </w:rPr>
      </w:pPr>
    </w:p>
    <w:p w14:paraId="626A9BCD">
      <w:pPr>
        <w:pageBreakBefore w:val="0"/>
        <w:kinsoku/>
        <w:wordWrap w:val="0"/>
        <w:bidi w:val="0"/>
        <w:spacing w:line="440" w:lineRule="exact"/>
        <w:jc w:val="right"/>
        <w:rPr>
          <w:rFonts w:hint="default" w:ascii="Times New Roman" w:hAnsi="Times New Roman" w:cs="Times New Roman"/>
          <w:color w:val="auto"/>
          <w:sz w:val="24"/>
          <w:highlight w:val="none"/>
          <w:u w:val="single"/>
        </w:rPr>
      </w:pPr>
      <w:r>
        <w:rPr>
          <w:rFonts w:hint="default" w:ascii="Times New Roman" w:hAnsi="Times New Roman" w:cs="Times New Roman"/>
          <w:color w:val="auto"/>
          <w:sz w:val="24"/>
          <w:highlight w:val="none"/>
        </w:rPr>
        <w:t>评标委员会授权的招标人或招标代理机构：</w:t>
      </w:r>
      <w:r>
        <w:rPr>
          <w:rFonts w:hint="default" w:ascii="Times New Roman" w:hAnsi="Times New Roman" w:eastAsia="黑体" w:cs="Times New Roman"/>
          <w:color w:val="auto"/>
          <w:sz w:val="24"/>
          <w:highlight w:val="none"/>
          <w:u w:val="single"/>
        </w:rPr>
        <w:t xml:space="preserve">        </w:t>
      </w:r>
      <w:r>
        <w:rPr>
          <w:rFonts w:hint="default" w:ascii="Times New Roman" w:hAnsi="Times New Roman" w:cs="Times New Roman"/>
          <w:color w:val="auto"/>
          <w:sz w:val="24"/>
          <w:highlight w:val="none"/>
        </w:rPr>
        <w:t>（签字或盖单位章）</w:t>
      </w:r>
    </w:p>
    <w:p w14:paraId="6CF76602">
      <w:pPr>
        <w:pageBreakBefore w:val="0"/>
        <w:kinsoku/>
        <w:wordWrap w:val="0"/>
        <w:bidi w:val="0"/>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w:t>
      </w:r>
    </w:p>
    <w:p w14:paraId="486B224E">
      <w:pPr>
        <w:pageBreakBefore w:val="0"/>
        <w:kinsoku/>
        <w:wordWrap w:val="0"/>
        <w:bidi w:val="0"/>
        <w:spacing w:line="440" w:lineRule="exact"/>
        <w:ind w:right="48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月</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日</w:t>
      </w:r>
    </w:p>
    <w:p w14:paraId="4F6BF8C8">
      <w:pPr>
        <w:pStyle w:val="5"/>
        <w:keepNext/>
        <w:keepLines/>
        <w:pageBreakBefore w:val="0"/>
        <w:widowControl w:val="0"/>
        <w:kinsoku/>
        <w:wordWrap w:val="0"/>
        <w:overflowPunct/>
        <w:topLinePunct w:val="0"/>
        <w:autoSpaceDE/>
        <w:autoSpaceDN/>
        <w:bidi w:val="0"/>
        <w:adjustRightInd/>
        <w:snapToGrid/>
        <w:spacing w:before="240" w:after="240" w:line="240" w:lineRule="atLeast"/>
        <w:jc w:val="both"/>
        <w:textAlignment w:val="auto"/>
        <w:outlineLvl w:val="2"/>
        <w:rPr>
          <w:rFonts w:hint="default" w:ascii="Times New Roman" w:hAnsi="Times New Roman" w:eastAsia="黑体" w:cs="Times New Roman"/>
          <w:b w:val="0"/>
          <w:color w:val="auto"/>
          <w:sz w:val="24"/>
          <w:szCs w:val="24"/>
          <w:highlight w:val="none"/>
        </w:rPr>
      </w:pPr>
      <w:r>
        <w:rPr>
          <w:rFonts w:hint="default" w:ascii="Times New Roman" w:hAnsi="Times New Roman" w:cs="Times New Roman"/>
          <w:color w:val="auto"/>
          <w:sz w:val="24"/>
          <w:highlight w:val="none"/>
        </w:rPr>
        <w:br w:type="page"/>
      </w:r>
      <w:bookmarkStart w:id="349" w:name="_Toc23171"/>
      <w:bookmarkStart w:id="350" w:name="_Toc10752"/>
      <w:bookmarkStart w:id="351" w:name="_Toc11792"/>
      <w:bookmarkStart w:id="352" w:name="_Toc234832927"/>
      <w:bookmarkStart w:id="353" w:name="_Toc6756"/>
      <w:bookmarkStart w:id="354" w:name="_Toc15693"/>
      <w:bookmarkStart w:id="355" w:name="_Toc10765"/>
      <w:bookmarkStart w:id="356" w:name="_Toc234832928"/>
      <w:r>
        <w:rPr>
          <w:rFonts w:hint="default" w:ascii="黑体" w:hAnsi="黑体" w:eastAsia="黑体" w:cs="黑体"/>
          <w:b w:val="0"/>
          <w:bCs/>
          <w:i w:val="0"/>
          <w:iCs w:val="0"/>
          <w:color w:val="auto"/>
          <w:sz w:val="28"/>
          <w:szCs w:val="28"/>
          <w:highlight w:val="none"/>
          <w:lang w:val="en-US" w:eastAsia="zh-CN"/>
        </w:rPr>
        <w:t>附件三 问题的澄清</w:t>
      </w:r>
      <w:bookmarkEnd w:id="349"/>
      <w:bookmarkEnd w:id="350"/>
      <w:bookmarkEnd w:id="351"/>
      <w:bookmarkEnd w:id="352"/>
      <w:bookmarkEnd w:id="353"/>
    </w:p>
    <w:p w14:paraId="0AAC2373">
      <w:pPr>
        <w:pageBreakBefore w:val="0"/>
        <w:kinsoku/>
        <w:wordWrap w:val="0"/>
        <w:bidi w:val="0"/>
        <w:spacing w:line="440" w:lineRule="exact"/>
        <w:jc w:val="center"/>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问题的澄清</w:t>
      </w:r>
    </w:p>
    <w:p w14:paraId="11D5C19D">
      <w:pPr>
        <w:pageBreakBefore w:val="0"/>
        <w:kinsoku/>
        <w:wordWrap w:val="0"/>
        <w:bidi w:val="0"/>
        <w:spacing w:line="440" w:lineRule="exact"/>
        <w:jc w:val="center"/>
        <w:rPr>
          <w:rFonts w:hint="default" w:ascii="Times New Roman" w:hAnsi="Times New Roman" w:cs="Times New Roman"/>
          <w:color w:val="auto"/>
          <w:sz w:val="24"/>
          <w:highlight w:val="none"/>
        </w:rPr>
      </w:pPr>
      <w:r>
        <w:rPr>
          <w:rFonts w:hint="default" w:ascii="Times New Roman" w:hAnsi="Times New Roman" w:cs="Times New Roman"/>
          <w:color w:val="auto"/>
          <w:highlight w:val="none"/>
        </w:rPr>
        <w:t>（编号：</w:t>
      </w:r>
      <w:r>
        <w:rPr>
          <w:rFonts w:hint="default" w:ascii="Times New Roman" w:hAnsi="Times New Roman" w:eastAsia="黑体" w:cs="Times New Roman"/>
          <w:color w:val="auto"/>
          <w:sz w:val="28"/>
          <w:highlight w:val="none"/>
          <w:u w:val="single"/>
        </w:rPr>
        <w:t xml:space="preserve">           </w:t>
      </w:r>
      <w:r>
        <w:rPr>
          <w:rFonts w:hint="default" w:ascii="Times New Roman" w:hAnsi="Times New Roman" w:cs="Times New Roman"/>
          <w:color w:val="auto"/>
          <w:highlight w:val="none"/>
        </w:rPr>
        <w:t>）</w:t>
      </w:r>
    </w:p>
    <w:p w14:paraId="052917E4">
      <w:pPr>
        <w:pageBreakBefore w:val="0"/>
        <w:kinsoku/>
        <w:wordWrap w:val="0"/>
        <w:bidi w:val="0"/>
        <w:spacing w:line="440" w:lineRule="exact"/>
        <w:rPr>
          <w:rFonts w:hint="default" w:ascii="Times New Roman" w:hAnsi="Times New Roman" w:cs="Times New Roman"/>
          <w:color w:val="auto"/>
          <w:sz w:val="24"/>
          <w:highlight w:val="none"/>
        </w:rPr>
      </w:pPr>
    </w:p>
    <w:p w14:paraId="451DE93F">
      <w:pPr>
        <w:pageBreakBefore w:val="0"/>
        <w:kinsoku/>
        <w:wordWrap w:val="0"/>
        <w:bidi w:val="0"/>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项目名称）</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标段施工招标评标委员会：</w:t>
      </w:r>
    </w:p>
    <w:p w14:paraId="5AC72027">
      <w:pPr>
        <w:pageBreakBefore w:val="0"/>
        <w:kinsoku/>
        <w:wordWrap w:val="0"/>
        <w:bidi w:val="0"/>
        <w:spacing w:line="440" w:lineRule="exact"/>
        <w:rPr>
          <w:rFonts w:hint="default" w:ascii="Times New Roman" w:hAnsi="Times New Roman" w:cs="Times New Roman"/>
          <w:color w:val="auto"/>
          <w:sz w:val="24"/>
          <w:highlight w:val="none"/>
        </w:rPr>
      </w:pPr>
    </w:p>
    <w:p w14:paraId="3A6C8BE9">
      <w:pPr>
        <w:pageBreakBefore w:val="0"/>
        <w:kinsoku/>
        <w:wordWrap w:val="0"/>
        <w:bidi w:val="0"/>
        <w:spacing w:line="440" w:lineRule="exact"/>
        <w:rPr>
          <w:rFonts w:hint="default" w:ascii="Times New Roman" w:hAnsi="Times New Roman" w:cs="Times New Roman"/>
          <w:color w:val="auto"/>
          <w:sz w:val="24"/>
          <w:highlight w:val="none"/>
        </w:rPr>
      </w:pPr>
    </w:p>
    <w:p w14:paraId="766981F0">
      <w:pPr>
        <w:pageBreakBefore w:val="0"/>
        <w:kinsoku/>
        <w:wordWrap w:val="0"/>
        <w:bidi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问题澄清通知（编号：</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）已收悉，现澄清、说明如下：</w:t>
      </w:r>
    </w:p>
    <w:p w14:paraId="4F44FCCD">
      <w:pPr>
        <w:pageBreakBefore w:val="0"/>
        <w:kinsoku/>
        <w:wordWrap w:val="0"/>
        <w:bidi w:val="0"/>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1.</w:t>
      </w:r>
    </w:p>
    <w:p w14:paraId="1D173C04">
      <w:pPr>
        <w:pageBreakBefore w:val="0"/>
        <w:kinsoku/>
        <w:wordWrap w:val="0"/>
        <w:bidi w:val="0"/>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2.</w:t>
      </w:r>
    </w:p>
    <w:p w14:paraId="1CBFF796">
      <w:pPr>
        <w:pageBreakBefore w:val="0"/>
        <w:kinsoku/>
        <w:wordWrap w:val="0"/>
        <w:bidi w:val="0"/>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w:t>
      </w:r>
    </w:p>
    <w:p w14:paraId="04980A90">
      <w:pPr>
        <w:pageBreakBefore w:val="0"/>
        <w:kinsoku/>
        <w:wordWrap w:val="0"/>
        <w:bidi w:val="0"/>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w:t>
      </w:r>
    </w:p>
    <w:p w14:paraId="6D54438E">
      <w:pPr>
        <w:pageBreakBefore w:val="0"/>
        <w:kinsoku/>
        <w:wordWrap w:val="0"/>
        <w:bidi w:val="0"/>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w:t>
      </w:r>
    </w:p>
    <w:p w14:paraId="2F8F16EF">
      <w:pPr>
        <w:pageBreakBefore w:val="0"/>
        <w:kinsoku/>
        <w:wordWrap w:val="0"/>
        <w:bidi w:val="0"/>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w:t>
      </w:r>
    </w:p>
    <w:p w14:paraId="7626BF15">
      <w:pPr>
        <w:pageBreakBefore w:val="0"/>
        <w:kinsoku/>
        <w:wordWrap w:val="0"/>
        <w:bidi w:val="0"/>
        <w:spacing w:line="440" w:lineRule="exact"/>
        <w:rPr>
          <w:rFonts w:hint="default" w:ascii="Times New Roman" w:hAnsi="Times New Roman" w:cs="Times New Roman"/>
          <w:color w:val="auto"/>
          <w:sz w:val="24"/>
          <w:highlight w:val="none"/>
        </w:rPr>
      </w:pPr>
    </w:p>
    <w:p w14:paraId="2E28CF1B">
      <w:pPr>
        <w:pageBreakBefore w:val="0"/>
        <w:kinsoku/>
        <w:wordWrap w:val="0"/>
        <w:bidi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上述问题澄清或说明，不改变我方投标文件的实质性内容，构成我方投标文件的组成部分。</w:t>
      </w:r>
    </w:p>
    <w:p w14:paraId="2141F805">
      <w:pPr>
        <w:pageBreakBefore w:val="0"/>
        <w:kinsoku/>
        <w:wordWrap w:val="0"/>
        <w:bidi w:val="0"/>
        <w:spacing w:line="440" w:lineRule="exact"/>
        <w:rPr>
          <w:rFonts w:hint="default" w:ascii="Times New Roman" w:hAnsi="Times New Roman" w:cs="Times New Roman"/>
          <w:color w:val="auto"/>
          <w:sz w:val="24"/>
          <w:highlight w:val="none"/>
        </w:rPr>
      </w:pPr>
    </w:p>
    <w:p w14:paraId="54F632CF">
      <w:pPr>
        <w:pageBreakBefore w:val="0"/>
        <w:kinsoku/>
        <w:wordWrap w:val="0"/>
        <w:bidi w:val="0"/>
        <w:spacing w:line="440" w:lineRule="exact"/>
        <w:rPr>
          <w:rFonts w:hint="default" w:ascii="Times New Roman" w:hAnsi="Times New Roman" w:cs="Times New Roman"/>
          <w:color w:val="auto"/>
          <w:sz w:val="24"/>
          <w:highlight w:val="none"/>
        </w:rPr>
      </w:pPr>
    </w:p>
    <w:p w14:paraId="79739AEE">
      <w:pPr>
        <w:pageBreakBefore w:val="0"/>
        <w:kinsoku/>
        <w:wordWrap w:val="0"/>
        <w:bidi w:val="0"/>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投标人：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（盖单位章）</w:t>
      </w:r>
      <w:r>
        <w:rPr>
          <w:rFonts w:hint="default" w:ascii="Times New Roman" w:hAnsi="Times New Roman" w:cs="Times New Roman"/>
          <w:color w:val="auto"/>
          <w:sz w:val="24"/>
          <w:highlight w:val="none"/>
          <w:vertAlign w:val="superscript"/>
        </w:rPr>
        <w:footnoteReference w:id="24"/>
      </w:r>
    </w:p>
    <w:p w14:paraId="7C511A2F">
      <w:pPr>
        <w:pageBreakBefore w:val="0"/>
        <w:kinsoku/>
        <w:wordWrap w:val="0"/>
        <w:bidi w:val="0"/>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w:t>
      </w:r>
    </w:p>
    <w:p w14:paraId="135C46A2">
      <w:pPr>
        <w:pageBreakBefore w:val="0"/>
        <w:kinsoku/>
        <w:wordWrap w:val="0"/>
        <w:bidi w:val="0"/>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月</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日</w:t>
      </w:r>
    </w:p>
    <w:p w14:paraId="11B42DD0">
      <w:pPr>
        <w:pStyle w:val="5"/>
        <w:keepNext/>
        <w:keepLines/>
        <w:pageBreakBefore w:val="0"/>
        <w:widowControl w:val="0"/>
        <w:kinsoku/>
        <w:wordWrap w:val="0"/>
        <w:overflowPunct/>
        <w:topLinePunct w:val="0"/>
        <w:autoSpaceDE/>
        <w:autoSpaceDN/>
        <w:bidi w:val="0"/>
        <w:adjustRightInd/>
        <w:snapToGrid/>
        <w:spacing w:before="240" w:after="240" w:line="240" w:lineRule="atLeast"/>
        <w:jc w:val="both"/>
        <w:textAlignment w:val="auto"/>
        <w:outlineLvl w:val="2"/>
        <w:rPr>
          <w:rFonts w:hint="default" w:ascii="Times New Roman" w:hAnsi="Times New Roman" w:eastAsia="黑体" w:cs="Times New Roman"/>
          <w:b w:val="0"/>
          <w:color w:val="auto"/>
          <w:sz w:val="24"/>
          <w:szCs w:val="24"/>
          <w:highlight w:val="none"/>
        </w:rPr>
      </w:pPr>
      <w:r>
        <w:rPr>
          <w:rFonts w:hint="default" w:ascii="Times New Roman" w:hAnsi="Times New Roman" w:cs="Times New Roman"/>
          <w:color w:val="auto"/>
          <w:sz w:val="20"/>
          <w:szCs w:val="20"/>
          <w:highlight w:val="none"/>
        </w:rPr>
        <w:br w:type="page"/>
      </w:r>
      <w:bookmarkStart w:id="357" w:name="_Toc5460"/>
      <w:bookmarkStart w:id="358" w:name="_Toc20484"/>
      <w:r>
        <w:rPr>
          <w:rFonts w:hint="default" w:ascii="黑体" w:hAnsi="黑体" w:eastAsia="黑体" w:cs="黑体"/>
          <w:b w:val="0"/>
          <w:bCs/>
          <w:i w:val="0"/>
          <w:iCs w:val="0"/>
          <w:color w:val="auto"/>
          <w:sz w:val="28"/>
          <w:szCs w:val="28"/>
          <w:highlight w:val="none"/>
          <w:lang w:val="en-US" w:eastAsia="zh-CN"/>
        </w:rPr>
        <w:t>附件四</w:t>
      </w:r>
      <w:r>
        <w:rPr>
          <w:rFonts w:hint="eastAsia" w:ascii="黑体" w:hAnsi="黑体" w:eastAsia="黑体" w:cs="黑体"/>
          <w:b w:val="0"/>
          <w:bCs/>
          <w:i w:val="0"/>
          <w:iCs w:val="0"/>
          <w:color w:val="auto"/>
          <w:sz w:val="28"/>
          <w:szCs w:val="28"/>
          <w:highlight w:val="none"/>
          <w:lang w:val="en-US" w:eastAsia="zh-CN"/>
        </w:rPr>
        <w:t xml:space="preserve"> </w:t>
      </w:r>
      <w:r>
        <w:rPr>
          <w:rFonts w:hint="default" w:ascii="黑体" w:hAnsi="黑体" w:eastAsia="黑体" w:cs="黑体"/>
          <w:b w:val="0"/>
          <w:bCs/>
          <w:i w:val="0"/>
          <w:iCs w:val="0"/>
          <w:color w:val="auto"/>
          <w:sz w:val="28"/>
          <w:szCs w:val="28"/>
          <w:highlight w:val="none"/>
          <w:lang w:val="en-US" w:eastAsia="zh-CN"/>
        </w:rPr>
        <w:t>中标通知书</w:t>
      </w:r>
      <w:bookmarkEnd w:id="354"/>
      <w:bookmarkEnd w:id="355"/>
      <w:bookmarkEnd w:id="356"/>
      <w:bookmarkEnd w:id="357"/>
      <w:bookmarkEnd w:id="358"/>
    </w:p>
    <w:p w14:paraId="774D9AAD">
      <w:pPr>
        <w:pageBreakBefore w:val="0"/>
        <w:kinsoku/>
        <w:wordWrap w:val="0"/>
        <w:bidi w:val="0"/>
        <w:spacing w:line="440" w:lineRule="exact"/>
        <w:ind w:firstLine="3640" w:firstLineChars="1300"/>
        <w:rPr>
          <w:rFonts w:hint="default" w:ascii="Times New Roman" w:hAnsi="Times New Roman" w:eastAsia="黑体" w:cs="Times New Roman"/>
          <w:color w:val="auto"/>
          <w:sz w:val="28"/>
          <w:szCs w:val="28"/>
          <w:highlight w:val="none"/>
        </w:rPr>
      </w:pPr>
    </w:p>
    <w:p w14:paraId="4BA1BB56">
      <w:pPr>
        <w:pageBreakBefore w:val="0"/>
        <w:kinsoku/>
        <w:wordWrap w:val="0"/>
        <w:bidi w:val="0"/>
        <w:spacing w:line="600" w:lineRule="exact"/>
        <w:ind w:firstLine="0" w:firstLineChars="0"/>
        <w:rPr>
          <w:rFonts w:hint="default" w:ascii="Times New Roman" w:hAnsi="Times New Roman" w:cs="Times New Roman"/>
          <w:color w:val="auto"/>
          <w:sz w:val="24"/>
          <w:highlight w:val="none"/>
        </w:rPr>
      </w:pPr>
      <w:r>
        <w:rPr>
          <w:rFonts w:hint="eastAsia" w:ascii="宋体" w:hAnsi="宋体" w:eastAsia="宋体" w:cs="宋体"/>
          <w:color w:val="auto"/>
          <w:sz w:val="24"/>
          <w:szCs w:val="24"/>
          <w:highlight w:val="none"/>
          <w:u w:val="none"/>
          <w:lang w:val="en-US" w:eastAsia="zh-CN"/>
        </w:rPr>
        <w:t>以</w:t>
      </w:r>
      <w:r>
        <w:rPr>
          <w:rFonts w:hint="eastAsia" w:cs="Times New Roman"/>
          <w:color w:val="auto"/>
          <w:sz w:val="24"/>
          <w:szCs w:val="24"/>
          <w:highlight w:val="none"/>
          <w:u w:val="none"/>
          <w:lang w:val="en-US" w:eastAsia="zh-CN"/>
        </w:rPr>
        <w:t>辽宁省招标投标监管网</w:t>
      </w:r>
      <w:r>
        <w:rPr>
          <w:rFonts w:hint="default" w:cs="Times New Roman"/>
          <w:color w:val="auto"/>
          <w:sz w:val="24"/>
          <w:szCs w:val="24"/>
          <w:highlight w:val="none"/>
          <w:u w:val="none"/>
          <w:lang w:val="en-US" w:eastAsia="zh-CN"/>
        </w:rPr>
        <w:t>生成格式为准</w:t>
      </w:r>
      <w:r>
        <w:rPr>
          <w:rFonts w:hint="eastAsia" w:cs="Times New Roman"/>
          <w:color w:val="auto"/>
          <w:sz w:val="24"/>
          <w:szCs w:val="24"/>
          <w:highlight w:val="none"/>
          <w:u w:val="none"/>
          <w:lang w:val="en-US" w:eastAsia="zh-CN"/>
        </w:rPr>
        <w:t>（如有）</w:t>
      </w:r>
      <w:r>
        <w:rPr>
          <w:rFonts w:hint="default" w:cs="Times New Roman"/>
          <w:color w:val="auto"/>
          <w:sz w:val="24"/>
          <w:szCs w:val="24"/>
          <w:highlight w:val="none"/>
          <w:u w:val="none"/>
          <w:lang w:val="en-US" w:eastAsia="zh-CN"/>
        </w:rPr>
        <w:t>。</w:t>
      </w:r>
    </w:p>
    <w:p w14:paraId="0C674B26">
      <w:pPr>
        <w:pageBreakBefore w:val="0"/>
        <w:kinsoku/>
        <w:wordWrap w:val="0"/>
        <w:bidi w:val="0"/>
        <w:spacing w:line="440" w:lineRule="exact"/>
        <w:rPr>
          <w:rFonts w:hint="default" w:ascii="Times New Roman" w:hAnsi="Times New Roman" w:eastAsia="黑体" w:cs="Times New Roman"/>
          <w:color w:val="auto"/>
          <w:sz w:val="24"/>
          <w:highlight w:val="none"/>
        </w:rPr>
      </w:pPr>
    </w:p>
    <w:p w14:paraId="23209AFD">
      <w:pPr>
        <w:pageBreakBefore w:val="0"/>
        <w:kinsoku/>
        <w:wordWrap w:val="0"/>
        <w:bidi w:val="0"/>
        <w:spacing w:line="440" w:lineRule="exact"/>
        <w:rPr>
          <w:rFonts w:hint="default" w:ascii="Times New Roman" w:hAnsi="Times New Roman" w:cs="Times New Roman"/>
          <w:color w:val="auto"/>
          <w:sz w:val="20"/>
          <w:szCs w:val="20"/>
          <w:highlight w:val="none"/>
        </w:rPr>
      </w:pPr>
    </w:p>
    <w:p w14:paraId="27CB33D9">
      <w:pPr>
        <w:pageBreakBefore w:val="0"/>
        <w:kinsoku/>
        <w:wordWrap w:val="0"/>
        <w:bidi w:val="0"/>
        <w:spacing w:line="440" w:lineRule="exact"/>
        <w:rPr>
          <w:rFonts w:hint="default" w:ascii="Times New Roman" w:hAnsi="Times New Roman" w:cs="Times New Roman"/>
          <w:color w:val="auto"/>
          <w:sz w:val="20"/>
          <w:szCs w:val="20"/>
          <w:highlight w:val="none"/>
        </w:rPr>
      </w:pPr>
    </w:p>
    <w:p w14:paraId="3B4FE281">
      <w:pPr>
        <w:pageBreakBefore w:val="0"/>
        <w:kinsoku/>
        <w:wordWrap w:val="0"/>
        <w:bidi w:val="0"/>
        <w:spacing w:line="440" w:lineRule="exact"/>
        <w:rPr>
          <w:rFonts w:hint="default" w:ascii="Times New Roman" w:hAnsi="Times New Roman" w:cs="Times New Roman"/>
          <w:color w:val="auto"/>
          <w:sz w:val="20"/>
          <w:szCs w:val="20"/>
          <w:highlight w:val="none"/>
        </w:rPr>
      </w:pPr>
    </w:p>
    <w:p w14:paraId="0B6F8760">
      <w:pPr>
        <w:pageBreakBefore w:val="0"/>
        <w:kinsoku/>
        <w:wordWrap w:val="0"/>
        <w:bidi w:val="0"/>
        <w:spacing w:line="440" w:lineRule="exact"/>
        <w:rPr>
          <w:rFonts w:hint="default" w:ascii="Times New Roman" w:hAnsi="Times New Roman" w:cs="Times New Roman"/>
          <w:color w:val="auto"/>
          <w:sz w:val="20"/>
          <w:szCs w:val="20"/>
          <w:highlight w:val="none"/>
        </w:rPr>
      </w:pPr>
    </w:p>
    <w:p w14:paraId="172F304A">
      <w:pPr>
        <w:pageBreakBefore w:val="0"/>
        <w:kinsoku/>
        <w:wordWrap w:val="0"/>
        <w:bidi w:val="0"/>
        <w:spacing w:line="440" w:lineRule="exact"/>
        <w:rPr>
          <w:rFonts w:hint="default" w:ascii="Times New Roman" w:hAnsi="Times New Roman" w:cs="Times New Roman"/>
          <w:color w:val="auto"/>
          <w:sz w:val="20"/>
          <w:szCs w:val="20"/>
          <w:highlight w:val="none"/>
        </w:rPr>
      </w:pPr>
    </w:p>
    <w:p w14:paraId="57C73C54">
      <w:pPr>
        <w:pageBreakBefore w:val="0"/>
        <w:kinsoku/>
        <w:wordWrap w:val="0"/>
        <w:bidi w:val="0"/>
        <w:spacing w:line="440" w:lineRule="exact"/>
        <w:rPr>
          <w:rFonts w:hint="default" w:ascii="Times New Roman" w:hAnsi="Times New Roman" w:cs="Times New Roman"/>
          <w:color w:val="auto"/>
          <w:sz w:val="20"/>
          <w:szCs w:val="20"/>
          <w:highlight w:val="none"/>
        </w:rPr>
      </w:pPr>
    </w:p>
    <w:p w14:paraId="14874330">
      <w:pPr>
        <w:pageBreakBefore w:val="0"/>
        <w:kinsoku/>
        <w:wordWrap w:val="0"/>
        <w:bidi w:val="0"/>
        <w:spacing w:line="440" w:lineRule="exact"/>
        <w:rPr>
          <w:rFonts w:hint="default" w:ascii="Times New Roman" w:hAnsi="Times New Roman" w:cs="Times New Roman"/>
          <w:color w:val="auto"/>
          <w:sz w:val="20"/>
          <w:szCs w:val="20"/>
          <w:highlight w:val="none"/>
        </w:rPr>
      </w:pPr>
    </w:p>
    <w:p w14:paraId="1A5EFF28">
      <w:pPr>
        <w:pageBreakBefore w:val="0"/>
        <w:kinsoku/>
        <w:wordWrap w:val="0"/>
        <w:bidi w:val="0"/>
        <w:spacing w:before="0" w:after="0" w:line="240" w:lineRule="atLeast"/>
        <w:rPr>
          <w:rFonts w:hint="default" w:ascii="Times New Roman" w:hAnsi="Times New Roman" w:eastAsia="黑体" w:cs="Times New Roman"/>
          <w:b w:val="0"/>
          <w:color w:val="auto"/>
          <w:sz w:val="24"/>
          <w:szCs w:val="24"/>
          <w:highlight w:val="none"/>
        </w:rPr>
      </w:pPr>
      <w:bookmarkStart w:id="359" w:name="_Toc234832929"/>
      <w:r>
        <w:rPr>
          <w:rFonts w:hint="default" w:ascii="Times New Roman" w:hAnsi="Times New Roman" w:eastAsia="黑体" w:cs="Times New Roman"/>
          <w:b w:val="0"/>
          <w:color w:val="auto"/>
          <w:sz w:val="24"/>
          <w:szCs w:val="24"/>
          <w:highlight w:val="none"/>
        </w:rPr>
        <w:br w:type="page"/>
      </w:r>
    </w:p>
    <w:bookmarkEnd w:id="359"/>
    <w:p w14:paraId="5671389B">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32"/>
          <w:szCs w:val="32"/>
          <w:highlight w:val="none"/>
        </w:rPr>
      </w:pPr>
    </w:p>
    <w:p w14:paraId="41302D71">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32"/>
          <w:szCs w:val="32"/>
          <w:highlight w:val="none"/>
        </w:rPr>
      </w:pPr>
    </w:p>
    <w:p w14:paraId="3B41DCA0">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32"/>
          <w:szCs w:val="32"/>
          <w:highlight w:val="none"/>
        </w:rPr>
      </w:pPr>
    </w:p>
    <w:p w14:paraId="52704DED">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32"/>
          <w:szCs w:val="32"/>
          <w:highlight w:val="none"/>
        </w:rPr>
      </w:pPr>
    </w:p>
    <w:p w14:paraId="506523F3">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32"/>
          <w:szCs w:val="32"/>
          <w:highlight w:val="none"/>
        </w:rPr>
      </w:pPr>
    </w:p>
    <w:p w14:paraId="1E463676">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32"/>
          <w:szCs w:val="32"/>
          <w:highlight w:val="none"/>
        </w:rPr>
      </w:pPr>
    </w:p>
    <w:p w14:paraId="5DB641BD">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32"/>
          <w:szCs w:val="32"/>
          <w:highlight w:val="none"/>
        </w:rPr>
      </w:pPr>
    </w:p>
    <w:p w14:paraId="73926E4D">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32"/>
          <w:szCs w:val="32"/>
          <w:highlight w:val="none"/>
        </w:rPr>
      </w:pPr>
    </w:p>
    <w:p w14:paraId="2A543666">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32"/>
          <w:szCs w:val="32"/>
          <w:highlight w:val="none"/>
        </w:rPr>
      </w:pPr>
    </w:p>
    <w:p w14:paraId="5BBCA9FC">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32"/>
          <w:szCs w:val="32"/>
          <w:highlight w:val="none"/>
        </w:rPr>
      </w:pPr>
    </w:p>
    <w:p w14:paraId="325B1AF3">
      <w:pPr>
        <w:pageBreakBefore w:val="0"/>
        <w:kinsoku/>
        <w:wordWrap w:val="0"/>
        <w:topLinePunct/>
        <w:bidi w:val="0"/>
        <w:spacing w:line="240" w:lineRule="atLeast"/>
        <w:ind w:right="31" w:rightChars="15"/>
        <w:jc w:val="center"/>
        <w:outlineLvl w:val="1"/>
        <w:rPr>
          <w:rFonts w:hint="default" w:ascii="Times New Roman" w:hAnsi="Times New Roman" w:eastAsia="黑体" w:cs="Times New Roman"/>
          <w:color w:val="auto"/>
          <w:sz w:val="36"/>
          <w:szCs w:val="36"/>
          <w:highlight w:val="none"/>
        </w:rPr>
        <w:sectPr>
          <w:headerReference r:id="rId23" w:type="default"/>
          <w:footerReference r:id="rId25" w:type="default"/>
          <w:headerReference r:id="rId24" w:type="even"/>
          <w:footerReference r:id="rId26" w:type="even"/>
          <w:footnotePr>
            <w:numFmt w:val="decimalEnclosedCircleChinese"/>
            <w:numRestart w:val="eachPage"/>
          </w:footnotePr>
          <w:pgSz w:w="11907" w:h="16840"/>
          <w:pgMar w:top="1588" w:right="1588" w:bottom="1474" w:left="1644" w:header="851" w:footer="851" w:gutter="0"/>
          <w:pgNumType w:fmt="decimal"/>
          <w:cols w:space="720" w:num="1"/>
          <w:docGrid w:linePitch="312" w:charSpace="0"/>
        </w:sectPr>
      </w:pPr>
      <w:bookmarkStart w:id="360" w:name="_Toc10943"/>
      <w:bookmarkStart w:id="361" w:name="_Toc29562"/>
      <w:r>
        <w:rPr>
          <w:rFonts w:hint="default" w:ascii="Times New Roman" w:hAnsi="Times New Roman" w:eastAsia="黑体" w:cs="Times New Roman"/>
          <w:color w:val="auto"/>
          <w:sz w:val="56"/>
          <w:szCs w:val="56"/>
          <w:highlight w:val="none"/>
        </w:rPr>
        <w:t>第三章</w:t>
      </w:r>
      <w:r>
        <w:rPr>
          <w:rFonts w:hint="eastAsia" w:eastAsia="黑体" w:cs="Times New Roman"/>
          <w:color w:val="auto"/>
          <w:sz w:val="56"/>
          <w:szCs w:val="56"/>
          <w:highlight w:val="none"/>
          <w:lang w:val="en-US" w:eastAsia="zh-CN"/>
        </w:rPr>
        <w:t xml:space="preserve"> </w:t>
      </w:r>
      <w:r>
        <w:rPr>
          <w:rFonts w:hint="default" w:ascii="Times New Roman" w:hAnsi="Times New Roman" w:eastAsia="黑体" w:cs="Times New Roman"/>
          <w:color w:val="auto"/>
          <w:sz w:val="56"/>
          <w:szCs w:val="56"/>
          <w:highlight w:val="none"/>
        </w:rPr>
        <w:t>评标办法</w:t>
      </w:r>
      <w:bookmarkEnd w:id="360"/>
      <w:bookmarkEnd w:id="361"/>
    </w:p>
    <w:p w14:paraId="500C3D81">
      <w:pPr>
        <w:spacing w:line="400" w:lineRule="atLeast"/>
        <w:rPr>
          <w:rFonts w:hint="default" w:ascii="Times New Roman" w:hAnsi="Times New Roman" w:eastAsia="宋体" w:cs="Times New Roman"/>
          <w:color w:val="auto"/>
          <w:sz w:val="24"/>
          <w:highlight w:val="none"/>
        </w:rPr>
      </w:pPr>
      <w:bookmarkStart w:id="362" w:name="_Toc234832931"/>
    </w:p>
    <w:p w14:paraId="27E7FD13">
      <w:pPr>
        <w:pageBreakBefore w:val="0"/>
        <w:kinsoku/>
        <w:wordWrap w:val="0"/>
        <w:bidi w:val="0"/>
        <w:spacing w:before="0" w:after="120" w:afterLines="50" w:line="240" w:lineRule="atLeast"/>
        <w:jc w:val="center"/>
        <w:outlineLvl w:val="9"/>
        <w:rPr>
          <w:rFonts w:hint="default" w:ascii="Times New Roman" w:hAnsi="Times New Roman" w:eastAsia="黑体" w:cs="Times New Roman"/>
          <w:b w:val="0"/>
          <w:color w:val="auto"/>
          <w:sz w:val="42"/>
          <w:szCs w:val="42"/>
          <w:highlight w:val="none"/>
        </w:rPr>
      </w:pPr>
      <w:bookmarkStart w:id="363" w:name="_Toc14682"/>
      <w:bookmarkStart w:id="364" w:name="_Toc26505"/>
      <w:r>
        <w:rPr>
          <w:rFonts w:hint="default" w:ascii="Times New Roman" w:hAnsi="Times New Roman" w:eastAsia="黑体" w:cs="Times New Roman"/>
          <w:b w:val="0"/>
          <w:color w:val="auto"/>
          <w:sz w:val="42"/>
          <w:szCs w:val="42"/>
          <w:highlight w:val="none"/>
        </w:rPr>
        <w:t>第三章评标办法（合理低价法）</w:t>
      </w:r>
      <w:r>
        <w:rPr>
          <w:rStyle w:val="48"/>
          <w:rFonts w:hint="default" w:ascii="Times New Roman" w:hAnsi="Times New Roman" w:eastAsia="黑体" w:cs="Times New Roman"/>
          <w:color w:val="auto"/>
          <w:sz w:val="42"/>
          <w:szCs w:val="42"/>
          <w:highlight w:val="none"/>
        </w:rPr>
        <w:footnoteReference w:id="25"/>
      </w:r>
      <w:bookmarkEnd w:id="362"/>
      <w:bookmarkEnd w:id="363"/>
      <w:bookmarkEnd w:id="364"/>
    </w:p>
    <w:p w14:paraId="2D2DF495">
      <w:pPr>
        <w:pageBreakBefore w:val="0"/>
        <w:kinsoku/>
        <w:wordWrap w:val="0"/>
        <w:bidi w:val="0"/>
        <w:spacing w:line="420" w:lineRule="atLeast"/>
        <w:rPr>
          <w:rFonts w:hint="default" w:ascii="Times New Roman" w:hAnsi="Times New Roman" w:eastAsia="黑体" w:cs="Times New Roman"/>
          <w:color w:val="auto"/>
          <w:sz w:val="20"/>
          <w:szCs w:val="20"/>
          <w:highlight w:val="none"/>
        </w:rPr>
      </w:pPr>
    </w:p>
    <w:p w14:paraId="07BBF582">
      <w:pPr>
        <w:pStyle w:val="5"/>
        <w:pageBreakBefore w:val="0"/>
        <w:kinsoku/>
        <w:wordWrap w:val="0"/>
        <w:bidi w:val="0"/>
        <w:spacing w:before="0" w:after="0" w:line="240" w:lineRule="atLeast"/>
        <w:jc w:val="both"/>
        <w:outlineLvl w:val="2"/>
        <w:rPr>
          <w:rFonts w:hint="default" w:ascii="Times New Roman" w:hAnsi="Times New Roman" w:eastAsia="黑体" w:cs="Times New Roman"/>
          <w:b w:val="0"/>
          <w:color w:val="auto"/>
          <w:sz w:val="28"/>
          <w:szCs w:val="28"/>
          <w:highlight w:val="none"/>
        </w:rPr>
      </w:pPr>
      <w:bookmarkStart w:id="365" w:name="_Toc11316"/>
      <w:bookmarkStart w:id="366" w:name="_Toc17606"/>
      <w:bookmarkStart w:id="367" w:name="_Toc18214"/>
      <w:bookmarkStart w:id="368" w:name="_Toc234832932"/>
      <w:bookmarkStart w:id="369" w:name="_Toc15202"/>
      <w:r>
        <w:rPr>
          <w:rFonts w:hint="default" w:ascii="Times New Roman" w:hAnsi="Times New Roman" w:eastAsia="黑体" w:cs="Times New Roman"/>
          <w:b w:val="0"/>
          <w:color w:val="auto"/>
          <w:sz w:val="24"/>
          <w:szCs w:val="24"/>
          <w:highlight w:val="none"/>
        </w:rPr>
        <w:t>评标办法前附表</w:t>
      </w:r>
      <w:r>
        <w:rPr>
          <w:rStyle w:val="48"/>
          <w:rFonts w:hint="default" w:ascii="Times New Roman" w:hAnsi="Times New Roman" w:cs="Times New Roman"/>
          <w:color w:val="auto"/>
          <w:sz w:val="28"/>
          <w:szCs w:val="28"/>
          <w:highlight w:val="none"/>
        </w:rPr>
        <w:footnoteReference w:id="26"/>
      </w:r>
      <w:bookmarkEnd w:id="365"/>
      <w:bookmarkEnd w:id="366"/>
      <w:bookmarkEnd w:id="367"/>
      <w:bookmarkEnd w:id="368"/>
      <w:bookmarkEnd w:id="369"/>
    </w:p>
    <w:tbl>
      <w:tblPr>
        <w:tblStyle w:val="40"/>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0"/>
        <w:gridCol w:w="1124"/>
        <w:gridCol w:w="12"/>
        <w:gridCol w:w="1505"/>
        <w:gridCol w:w="5099"/>
      </w:tblGrid>
      <w:tr w14:paraId="0C5155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dxa"/>
            <w:gridSpan w:val="2"/>
            <w:tcBorders>
              <w:top w:val="single" w:color="auto" w:sz="4" w:space="0"/>
              <w:bottom w:val="single" w:color="auto" w:sz="4" w:space="0"/>
              <w:right w:val="single" w:color="auto" w:sz="4" w:space="0"/>
            </w:tcBorders>
            <w:noWrap w:val="0"/>
            <w:vAlign w:val="center"/>
          </w:tcPr>
          <w:p w14:paraId="71820297">
            <w:pPr>
              <w:pageBreakBefore w:val="0"/>
              <w:kinsoku/>
              <w:wordWrap w:val="0"/>
              <w:bidi w:val="0"/>
              <w:spacing w:line="400" w:lineRule="atLeast"/>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条款号</w:t>
            </w:r>
          </w:p>
        </w:tc>
        <w:tc>
          <w:tcPr>
            <w:tcW w:w="6616" w:type="dxa"/>
            <w:gridSpan w:val="3"/>
            <w:tcBorders>
              <w:top w:val="single" w:color="auto" w:sz="4" w:space="0"/>
              <w:left w:val="single" w:color="auto" w:sz="4" w:space="0"/>
              <w:bottom w:val="single" w:color="auto" w:sz="4" w:space="0"/>
              <w:right w:val="single" w:color="auto" w:sz="4" w:space="0"/>
            </w:tcBorders>
            <w:noWrap w:val="0"/>
            <w:vAlign w:val="center"/>
          </w:tcPr>
          <w:p w14:paraId="172B4E0D">
            <w:pPr>
              <w:pageBreakBefore w:val="0"/>
              <w:kinsoku/>
              <w:wordWrap w:val="0"/>
              <w:bidi w:val="0"/>
              <w:spacing w:line="400" w:lineRule="atLeast"/>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评审因素与评审标准</w:t>
            </w:r>
          </w:p>
        </w:tc>
      </w:tr>
      <w:tr w14:paraId="4B80AD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0" w:type="dxa"/>
            <w:tcBorders>
              <w:top w:val="single" w:color="auto" w:sz="4" w:space="0"/>
              <w:bottom w:val="single" w:color="auto" w:sz="4" w:space="0"/>
              <w:right w:val="single" w:color="auto" w:sz="4" w:space="0"/>
            </w:tcBorders>
            <w:noWrap w:val="0"/>
            <w:vAlign w:val="center"/>
          </w:tcPr>
          <w:p w14:paraId="71FF52F2">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1124" w:type="dxa"/>
            <w:tcBorders>
              <w:top w:val="single" w:color="auto" w:sz="4" w:space="0"/>
              <w:bottom w:val="single" w:color="auto" w:sz="4" w:space="0"/>
              <w:right w:val="single" w:color="auto" w:sz="4" w:space="0"/>
            </w:tcBorders>
            <w:noWrap w:val="0"/>
            <w:vAlign w:val="center"/>
          </w:tcPr>
          <w:p w14:paraId="3A4EE452">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评标方法</w:t>
            </w:r>
          </w:p>
        </w:tc>
        <w:tc>
          <w:tcPr>
            <w:tcW w:w="6616" w:type="dxa"/>
            <w:gridSpan w:val="3"/>
            <w:tcBorders>
              <w:top w:val="single" w:color="auto" w:sz="4" w:space="0"/>
              <w:left w:val="single" w:color="auto" w:sz="4" w:space="0"/>
              <w:right w:val="single" w:color="auto" w:sz="4" w:space="0"/>
            </w:tcBorders>
            <w:noWrap w:val="0"/>
            <w:vAlign w:val="center"/>
          </w:tcPr>
          <w:p w14:paraId="3C7A2C08">
            <w:pPr>
              <w:pageBreakBefore w:val="0"/>
              <w:kinsoku/>
              <w:wordWrap w:val="0"/>
              <w:bidi w:val="0"/>
              <w:spacing w:line="360" w:lineRule="atLeas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综合评分相等时，评标委员会依次按照以下优先顺序推荐中标候选人或确定中标人：</w:t>
            </w:r>
          </w:p>
          <w:p w14:paraId="458D7E7E">
            <w:pPr>
              <w:pageBreakBefore w:val="0"/>
              <w:numPr>
                <w:ilvl w:val="0"/>
                <w:numId w:val="0"/>
              </w:numPr>
              <w:kinsoku/>
              <w:wordWrap w:val="0"/>
              <w:bidi w:val="0"/>
              <w:spacing w:line="360" w:lineRule="atLeast"/>
              <w:ind w:firstLine="420" w:firstLineChars="200"/>
              <w:rPr>
                <w:rFonts w:hint="eastAsia" w:ascii="宋体" w:hAnsi="宋体" w:eastAsia="宋体" w:cs="宋体"/>
                <w:color w:val="auto"/>
                <w:szCs w:val="21"/>
                <w:highlight w:val="none"/>
              </w:rPr>
            </w:pPr>
            <w:r>
              <w:rPr>
                <w:rFonts w:hint="eastAsia" w:ascii="宋体" w:hAnsi="宋体" w:eastAsia="宋体" w:cs="宋体"/>
                <w:color w:val="auto"/>
                <w:kern w:val="2"/>
                <w:sz w:val="21"/>
                <w:szCs w:val="21"/>
                <w:lang w:val="en-US" w:eastAsia="zh-CN" w:bidi="ar-SA"/>
              </w:rPr>
              <w:t>（1）</w:t>
            </w:r>
            <w:r>
              <w:rPr>
                <w:rFonts w:hint="eastAsia" w:ascii="宋体" w:hAnsi="宋体" w:eastAsia="宋体" w:cs="宋体"/>
                <w:color w:val="auto"/>
                <w:szCs w:val="21"/>
                <w:highlight w:val="none"/>
              </w:rPr>
              <w:t>评标价低的投标人优先；</w:t>
            </w:r>
          </w:p>
          <w:p w14:paraId="36647DFD">
            <w:pPr>
              <w:pageBreakBefore w:val="0"/>
              <w:numPr>
                <w:ilvl w:val="0"/>
                <w:numId w:val="0"/>
              </w:numPr>
              <w:kinsoku/>
              <w:wordWrap w:val="0"/>
              <w:bidi w:val="0"/>
              <w:spacing w:line="360" w:lineRule="atLeast"/>
              <w:ind w:firstLine="420" w:firstLineChars="200"/>
              <w:rPr>
                <w:rFonts w:hint="default" w:ascii="宋体" w:hAnsi="宋体" w:eastAsia="宋体" w:cs="宋体"/>
                <w:color w:val="auto"/>
                <w:szCs w:val="21"/>
                <w:highlight w:val="none"/>
                <w:lang w:eastAsia="zh-CN"/>
              </w:rPr>
            </w:pPr>
            <w:r>
              <w:rPr>
                <w:rFonts w:hint="eastAsia" w:ascii="宋体" w:hAnsi="宋体" w:eastAsia="宋体" w:cs="宋体"/>
                <w:color w:val="auto"/>
                <w:kern w:val="2"/>
                <w:sz w:val="21"/>
                <w:szCs w:val="21"/>
                <w:lang w:val="en-US" w:eastAsia="zh-CN" w:bidi="ar-SA"/>
              </w:rPr>
              <w:t>（2）</w:t>
            </w:r>
            <w:r>
              <w:rPr>
                <w:rFonts w:hint="eastAsia" w:ascii="宋体" w:hAnsi="宋体" w:eastAsia="宋体" w:cs="宋体"/>
                <w:color w:val="auto"/>
                <w:szCs w:val="21"/>
                <w:highlight w:val="none"/>
              </w:rPr>
              <w:t>被招标项目所在地省级交通运输主管部门评为较高信用等级的投标人优先</w:t>
            </w:r>
            <w:r>
              <w:rPr>
                <w:rFonts w:hint="eastAsia" w:ascii="宋体" w:hAnsi="宋体" w:eastAsia="宋体" w:cs="宋体"/>
                <w:color w:val="auto"/>
                <w:szCs w:val="21"/>
                <w:highlight w:val="none"/>
                <w:lang w:eastAsia="zh-CN"/>
              </w:rPr>
              <w:t>。</w:t>
            </w:r>
          </w:p>
        </w:tc>
      </w:tr>
      <w:tr w14:paraId="5BB244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0" w:type="dxa"/>
            <w:tcBorders>
              <w:top w:val="single" w:color="auto" w:sz="4" w:space="0"/>
              <w:bottom w:val="single" w:color="auto" w:sz="4" w:space="0"/>
              <w:right w:val="single" w:color="auto" w:sz="4" w:space="0"/>
            </w:tcBorders>
            <w:noWrap w:val="0"/>
            <w:vAlign w:val="center"/>
          </w:tcPr>
          <w:p w14:paraId="0BD8DC18">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2.1.1</w:t>
            </w:r>
          </w:p>
          <w:p w14:paraId="35682629">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2.1.3</w:t>
            </w:r>
          </w:p>
        </w:tc>
        <w:tc>
          <w:tcPr>
            <w:tcW w:w="1124" w:type="dxa"/>
            <w:tcBorders>
              <w:top w:val="single" w:color="auto" w:sz="4" w:space="0"/>
              <w:bottom w:val="single" w:color="auto" w:sz="4" w:space="0"/>
              <w:right w:val="single" w:color="auto" w:sz="4" w:space="0"/>
            </w:tcBorders>
            <w:noWrap w:val="0"/>
            <w:vAlign w:val="center"/>
          </w:tcPr>
          <w:p w14:paraId="3EABD90B">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形式评审与响应性评审标准</w:t>
            </w:r>
          </w:p>
        </w:tc>
        <w:tc>
          <w:tcPr>
            <w:tcW w:w="6616" w:type="dxa"/>
            <w:gridSpan w:val="3"/>
            <w:tcBorders>
              <w:top w:val="single" w:color="auto" w:sz="4" w:space="0"/>
              <w:left w:val="single" w:color="auto" w:sz="4" w:space="0"/>
              <w:right w:val="single" w:color="auto" w:sz="4" w:space="0"/>
            </w:tcBorders>
            <w:noWrap w:val="0"/>
            <w:vAlign w:val="center"/>
          </w:tcPr>
          <w:p w14:paraId="38D6558A">
            <w:pPr>
              <w:pageBreakBefore w:val="0"/>
              <w:kinsoku/>
              <w:wordWrap w:val="0"/>
              <w:bidi w:val="0"/>
              <w:spacing w:line="360" w:lineRule="atLeast"/>
              <w:ind w:firstLine="422" w:firstLineChars="200"/>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第一个信封（商务及技术文件）评审标准：</w:t>
            </w:r>
          </w:p>
          <w:p w14:paraId="3234522A">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（1）投标文件按照招标文件规定的格式、内容填写，字迹清晰可辨：</w:t>
            </w:r>
          </w:p>
          <w:p w14:paraId="378EAEBA">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a.投标函按招标文件规定填报了项目名称、标段号、补遗书编号（如有）、工期、工程质量要求及安全目标；</w:t>
            </w:r>
          </w:p>
          <w:p w14:paraId="62BD457B">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b.投标函附录的所有数据均符合招标文件规定；</w:t>
            </w:r>
          </w:p>
          <w:p w14:paraId="6CAE701C">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c.投标文件组成齐全完整，内容均按规定填写。</w:t>
            </w:r>
          </w:p>
          <w:p w14:paraId="65FC3D93">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（2）投标文件上法定代表人或其委托代理人的签字、投标人的单位章盖章齐全，符合招标文件规定。</w:t>
            </w:r>
          </w:p>
          <w:p w14:paraId="25E3D1DC">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r>
              <w:rPr>
                <w:rFonts w:hint="eastAsia" w:cs="Times New Roman"/>
                <w:color w:val="auto"/>
                <w:szCs w:val="21"/>
                <w:highlight w:val="none"/>
                <w:lang w:val="en-US" w:eastAsia="zh-CN"/>
              </w:rPr>
              <w:t>3</w:t>
            </w:r>
            <w:r>
              <w:rPr>
                <w:rFonts w:hint="default" w:ascii="Times New Roman" w:hAnsi="Times New Roman" w:cs="Times New Roman"/>
                <w:color w:val="auto"/>
                <w:szCs w:val="21"/>
                <w:highlight w:val="none"/>
              </w:rPr>
              <w:t>）投标人按照招标文件的规定提供了投标保证金：</w:t>
            </w:r>
          </w:p>
          <w:p w14:paraId="210A23F5">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a.投标保证金金额符合招标文件规定的金额，且投标保证金有效期不少于投标有效期；</w:t>
            </w:r>
          </w:p>
          <w:p w14:paraId="1B4921BB">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b.若投标保证金采用现金或支票形式提交，投标人应在递交投标文件截止时间之前，将投标保证金由投标人的基本账户转入招标人指定账户；</w:t>
            </w:r>
          </w:p>
          <w:p w14:paraId="74606518">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c.若投标保证金采用银行保函形式提交，银行保函的格式、开具保函的银行均满足招标文件要求。</w:t>
            </w:r>
          </w:p>
          <w:p w14:paraId="753E3C5D">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d.若投标保证金采用电子保函形式提交，投标人应在投标文件中提供电子保函的原件扫描件、电子化保函验真渠道和从投标人基本账户支出的保函财务费用支付凭证。</w:t>
            </w:r>
          </w:p>
          <w:p w14:paraId="2836355C">
            <w:pPr>
              <w:pageBreakBefore w:val="0"/>
              <w:shd w:val="clear"/>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（4）投标人法定代表人授权委托代理人签署投标文件的，须提交授权委托书，且授权人和被授权人均在授权委托书上使用CA数字证书加盖个人电子印章或电子签名章。</w:t>
            </w:r>
          </w:p>
          <w:p w14:paraId="10B49899">
            <w:pPr>
              <w:pageBreakBefore w:val="0"/>
              <w:shd w:val="clear"/>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（5）投标人法定代表人亲自签署投标文件的，提供了法定代表人身份证明，且法定代表人在法定代表人身份证明上使用CA数字证书加盖个人电子印章或电子签名。</w:t>
            </w:r>
          </w:p>
          <w:p w14:paraId="5D566FE9">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（6）投标人以联合体形式投标时，联合体满足招标文件的要求：投标人按照招标文件提供的格式签订了联合体协议书，明确各方承担连带责任，并明确了联合体牵头人。</w:t>
            </w:r>
          </w:p>
          <w:p w14:paraId="54753C79">
            <w:pPr>
              <w:pageBreakBefore w:val="0"/>
              <w:shd w:val="clear"/>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（7）投标人如有分包计划，符合招标文件第二章“投标人须知”第1.11款规定，且按招标文件第九章“投标文件格式”的要求填写了“拟分包项目情况表”。</w:t>
            </w:r>
          </w:p>
          <w:p w14:paraId="459BD796">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（8）同一投标人未提交两个以上不同的投标文件，但招标文件要求提交备选投标的除外。</w:t>
            </w:r>
          </w:p>
          <w:p w14:paraId="18BE6446">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（9）投标文件中未出现有关投标报价的内容。</w:t>
            </w:r>
          </w:p>
          <w:p w14:paraId="312B1918">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（10）投标文件载明的招标项目完成期限未超过招标文件规定的时限。</w:t>
            </w:r>
          </w:p>
          <w:p w14:paraId="68F19F00">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（11）投标文件对招标文件的实质性要求和条件作出响应。</w:t>
            </w:r>
          </w:p>
          <w:p w14:paraId="33F1A070">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（12）权利义务符合招标文件规定：</w:t>
            </w:r>
          </w:p>
          <w:p w14:paraId="405C0CEB">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a.投标人应接受招标文件规定的风险划分原则，未提出新的风险划分办法；</w:t>
            </w:r>
          </w:p>
          <w:p w14:paraId="53865815">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b.投标人未增加发包人的责任范围，或减少投标人义务；</w:t>
            </w:r>
          </w:p>
          <w:p w14:paraId="4F916527">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c.投标人未提出不同的工程验收、计量、支付办法；</w:t>
            </w:r>
          </w:p>
          <w:p w14:paraId="5649F30F">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d.投标人对合同纠纷、事故处理办法未提出异议；</w:t>
            </w:r>
          </w:p>
          <w:p w14:paraId="09762523">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e.投标人在投标活动中无欺诈行为；</w:t>
            </w:r>
          </w:p>
          <w:p w14:paraId="289FA3E5">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f.投标人未对合同条款有重要保留。</w:t>
            </w:r>
          </w:p>
          <w:p w14:paraId="74AE666E">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r>
              <w:rPr>
                <w:rFonts w:hint="default" w:ascii="Times New Roman" w:hAnsi="Times New Roman" w:cs="Times New Roman"/>
                <w:color w:val="auto"/>
                <w:szCs w:val="21"/>
                <w:highlight w:val="none"/>
                <w:lang w:val="en-US" w:eastAsia="zh-CN"/>
              </w:rPr>
              <w:t>3</w:t>
            </w:r>
            <w:r>
              <w:rPr>
                <w:rFonts w:hint="default" w:ascii="Times New Roman" w:hAnsi="Times New Roman" w:cs="Times New Roman"/>
                <w:color w:val="auto"/>
                <w:szCs w:val="21"/>
                <w:highlight w:val="none"/>
              </w:rPr>
              <w:t>）投标人上传投标文件的标段数量满足第一章“招标公告”第3.3款规定，投标函上填写的标段号与上传的对应项目标段号一致。</w:t>
            </w:r>
          </w:p>
          <w:p w14:paraId="4B478055">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（14）未发现投标人与其他投标人存在使用同一不可篡改的唯一标识软硬件设备投标的（如：MAC地址、标书制作特征码、标书唯一特征码等）。</w:t>
            </w:r>
          </w:p>
          <w:p w14:paraId="045C9735">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p>
          <w:p w14:paraId="2D78C93B">
            <w:pPr>
              <w:pageBreakBefore w:val="0"/>
              <w:kinsoku/>
              <w:wordWrap w:val="0"/>
              <w:bidi w:val="0"/>
              <w:spacing w:line="360" w:lineRule="atLeast"/>
              <w:ind w:firstLine="422" w:firstLineChars="200"/>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第二个信封（报价文件）评审标准：</w:t>
            </w:r>
          </w:p>
          <w:p w14:paraId="28F88B4A">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（1）投标文件按照招标文件规定的格式、内容填写，字迹清晰可辨：</w:t>
            </w:r>
          </w:p>
          <w:p w14:paraId="27362168">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a.投标函按招标文件规定填报了项目名称、标段号、补遗书编号（如有）、投标价（包括大写金额和小写金额）；</w:t>
            </w:r>
          </w:p>
          <w:p w14:paraId="144966EC">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b.已标价工程量清单说明文字与招标文件规定一致，未进行实质性修改和删减；</w:t>
            </w:r>
          </w:p>
          <w:p w14:paraId="71FF4502">
            <w:pPr>
              <w:spacing w:line="360" w:lineRule="atLeast"/>
              <w:ind w:firstLine="420" w:firstLineChars="200"/>
              <w:rPr>
                <w:rFonts w:hint="eastAsia"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c.投标文件组成齐全完整，内容均按规定填写。</w:t>
            </w:r>
          </w:p>
          <w:p w14:paraId="470E2EAA">
            <w:pPr>
              <w:spacing w:line="360" w:lineRule="atLeast"/>
              <w:ind w:firstLine="420" w:firstLineChars="200"/>
              <w:rPr>
                <w:rFonts w:hint="eastAsia"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（2）投标文件上法定代表人或其</w:t>
            </w:r>
            <w:r>
              <w:rPr>
                <w:rFonts w:hint="eastAsia" w:ascii="Times New Roman" w:hAnsi="Times New Roman" w:eastAsia="宋体" w:cs="Times New Roman"/>
                <w:color w:val="auto"/>
                <w:szCs w:val="21"/>
                <w:highlight w:val="none"/>
              </w:rPr>
              <w:t>委托</w:t>
            </w:r>
            <w:r>
              <w:rPr>
                <w:rFonts w:ascii="Times New Roman" w:hAnsi="Times New Roman" w:eastAsia="宋体" w:cs="Times New Roman"/>
                <w:color w:val="auto"/>
                <w:szCs w:val="21"/>
                <w:highlight w:val="none"/>
              </w:rPr>
              <w:t>代理人的签字、投标人的单位章盖章齐全，符合招标文件规定</w:t>
            </w:r>
            <w:r>
              <w:rPr>
                <w:rFonts w:hint="eastAsia" w:ascii="Times New Roman" w:hAnsi="Times New Roman" w:eastAsia="宋体" w:cs="Times New Roman"/>
                <w:color w:val="auto"/>
                <w:szCs w:val="21"/>
                <w:highlight w:val="none"/>
              </w:rPr>
              <w:t>。</w:t>
            </w:r>
          </w:p>
          <w:p w14:paraId="319488EE">
            <w:pPr>
              <w:spacing w:line="360" w:lineRule="atLeast"/>
              <w:ind w:firstLine="420" w:firstLineChars="200"/>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（3）投标报价中的报价未超过招标文件设定的最高投标限价（如有）。</w:t>
            </w:r>
          </w:p>
          <w:p w14:paraId="503988D9">
            <w:pPr>
              <w:spacing w:line="360" w:lineRule="atLeast"/>
              <w:ind w:firstLine="420" w:firstLineChars="200"/>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（4）投标报价中报价的</w:t>
            </w:r>
            <w:r>
              <w:rPr>
                <w:rFonts w:ascii="Times New Roman" w:hAnsi="Times New Roman" w:eastAsia="宋体" w:cs="Times New Roman"/>
                <w:color w:val="auto"/>
                <w:szCs w:val="21"/>
                <w:highlight w:val="none"/>
              </w:rPr>
              <w:t>大写金额</w:t>
            </w:r>
            <w:r>
              <w:rPr>
                <w:rFonts w:hint="eastAsia" w:ascii="Times New Roman" w:hAnsi="Times New Roman" w:eastAsia="宋体" w:cs="Times New Roman"/>
                <w:color w:val="auto"/>
                <w:szCs w:val="21"/>
                <w:highlight w:val="none"/>
              </w:rPr>
              <w:t>能够确定</w:t>
            </w:r>
            <w:r>
              <w:rPr>
                <w:rFonts w:ascii="Times New Roman" w:hAnsi="Times New Roman" w:eastAsia="宋体" w:cs="Times New Roman"/>
                <w:color w:val="auto"/>
                <w:szCs w:val="21"/>
                <w:highlight w:val="none"/>
              </w:rPr>
              <w:t>具体数值</w:t>
            </w:r>
            <w:r>
              <w:rPr>
                <w:rFonts w:hint="eastAsia" w:ascii="Times New Roman" w:hAnsi="Times New Roman" w:eastAsia="宋体" w:cs="Times New Roman"/>
                <w:color w:val="auto"/>
                <w:szCs w:val="21"/>
                <w:highlight w:val="none"/>
              </w:rPr>
              <w:t>。</w:t>
            </w:r>
          </w:p>
          <w:p w14:paraId="39D1E2B2">
            <w:pPr>
              <w:spacing w:line="360" w:lineRule="atLeast"/>
              <w:ind w:firstLine="420" w:firstLineChars="200"/>
              <w:rPr>
                <w:rFonts w:hint="eastAsia"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w:t>
            </w:r>
            <w:r>
              <w:rPr>
                <w:rFonts w:hint="eastAsia" w:ascii="Times New Roman" w:hAnsi="Times New Roman" w:eastAsia="宋体" w:cs="Times New Roman"/>
                <w:color w:val="auto"/>
                <w:szCs w:val="21"/>
                <w:highlight w:val="none"/>
              </w:rPr>
              <w:t>5</w:t>
            </w:r>
            <w:r>
              <w:rPr>
                <w:rFonts w:ascii="Times New Roman" w:hAnsi="Times New Roman" w:eastAsia="宋体" w:cs="Times New Roman"/>
                <w:color w:val="auto"/>
                <w:szCs w:val="21"/>
                <w:highlight w:val="none"/>
              </w:rPr>
              <w:t>）同一投标人</w:t>
            </w:r>
            <w:r>
              <w:rPr>
                <w:rFonts w:hint="eastAsia" w:ascii="Times New Roman" w:hAnsi="Times New Roman" w:eastAsia="宋体" w:cs="Times New Roman"/>
                <w:color w:val="auto"/>
                <w:szCs w:val="21"/>
                <w:highlight w:val="none"/>
              </w:rPr>
              <w:t>未</w:t>
            </w:r>
            <w:r>
              <w:rPr>
                <w:rFonts w:ascii="Times New Roman" w:hAnsi="Times New Roman" w:eastAsia="宋体" w:cs="Times New Roman"/>
                <w:color w:val="auto"/>
                <w:szCs w:val="21"/>
                <w:highlight w:val="none"/>
              </w:rPr>
              <w:t>提交两个以上不同的投标报价，但招标文件要求提交备选投标的除外</w:t>
            </w:r>
            <w:r>
              <w:rPr>
                <w:rFonts w:hint="eastAsia" w:ascii="Times New Roman" w:hAnsi="Times New Roman" w:eastAsia="宋体" w:cs="Times New Roman"/>
                <w:color w:val="auto"/>
                <w:szCs w:val="21"/>
                <w:highlight w:val="none"/>
              </w:rPr>
              <w:t>。</w:t>
            </w:r>
          </w:p>
          <w:p w14:paraId="04B522AD">
            <w:pPr>
              <w:spacing w:line="360" w:lineRule="atLeast"/>
              <w:ind w:firstLine="420" w:firstLineChars="200"/>
              <w:rPr>
                <w:rFonts w:hint="eastAsia"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w:t>
            </w:r>
            <w:r>
              <w:rPr>
                <w:rFonts w:hint="eastAsia" w:cs="Times New Roman"/>
                <w:color w:val="auto"/>
                <w:szCs w:val="21"/>
                <w:highlight w:val="none"/>
                <w:lang w:val="en-US" w:eastAsia="zh-CN"/>
              </w:rPr>
              <w:t>6</w:t>
            </w:r>
            <w:r>
              <w:rPr>
                <w:rFonts w:ascii="Times New Roman" w:hAnsi="Times New Roman" w:eastAsia="宋体" w:cs="Times New Roman"/>
                <w:color w:val="auto"/>
                <w:szCs w:val="21"/>
                <w:highlight w:val="none"/>
              </w:rPr>
              <w:t>）投标人若填写工程量固化清单，填写完毕的工程量固化清单未对工程量固化清单电子文件中的数据、格式和运算定义进行修改</w:t>
            </w:r>
            <w:r>
              <w:rPr>
                <w:rFonts w:hint="eastAsia" w:ascii="Times New Roman" w:hAnsi="Times New Roman" w:eastAsia="宋体" w:cs="Times New Roman"/>
                <w:color w:val="auto"/>
                <w:szCs w:val="21"/>
                <w:highlight w:val="none"/>
              </w:rPr>
              <w:t>；工程量固化清单中的投标报价和投标函大写金额报价一致。</w:t>
            </w:r>
          </w:p>
          <w:p w14:paraId="5AEA409E">
            <w:pPr>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r>
              <w:rPr>
                <w:rFonts w:hint="eastAsia" w:cs="Times New Roman"/>
                <w:color w:val="auto"/>
                <w:szCs w:val="21"/>
                <w:highlight w:val="none"/>
                <w:lang w:val="en-US" w:eastAsia="zh-CN"/>
              </w:rPr>
              <w:t>7</w:t>
            </w:r>
            <w:r>
              <w:rPr>
                <w:rFonts w:hint="default" w:ascii="Times New Roman" w:hAnsi="Times New Roman" w:cs="Times New Roman"/>
                <w:color w:val="auto"/>
                <w:szCs w:val="21"/>
                <w:highlight w:val="none"/>
              </w:rPr>
              <w:t>）未发现投标人与其他投标人存在使用同一不可篡改的唯一标识软硬件设备投标的（如：MAC地址、标书制作特征码、标书唯一特征码等）。</w:t>
            </w:r>
          </w:p>
        </w:tc>
      </w:tr>
      <w:tr w14:paraId="4246C1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30" w:hRule="atLeast"/>
        </w:trPr>
        <w:tc>
          <w:tcPr>
            <w:tcW w:w="900" w:type="dxa"/>
            <w:tcBorders>
              <w:top w:val="single" w:color="auto" w:sz="4" w:space="0"/>
              <w:right w:val="single" w:color="auto" w:sz="4" w:space="0"/>
            </w:tcBorders>
            <w:noWrap w:val="0"/>
            <w:vAlign w:val="center"/>
          </w:tcPr>
          <w:p w14:paraId="17961BAE">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2.1.2</w:t>
            </w:r>
          </w:p>
        </w:tc>
        <w:tc>
          <w:tcPr>
            <w:tcW w:w="1136" w:type="dxa"/>
            <w:gridSpan w:val="2"/>
            <w:tcBorders>
              <w:top w:val="single" w:color="auto" w:sz="4" w:space="0"/>
              <w:right w:val="single" w:color="auto" w:sz="4" w:space="0"/>
            </w:tcBorders>
            <w:noWrap w:val="0"/>
            <w:vAlign w:val="center"/>
          </w:tcPr>
          <w:p w14:paraId="49D53729">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资格评审标准</w:t>
            </w:r>
          </w:p>
        </w:tc>
        <w:tc>
          <w:tcPr>
            <w:tcW w:w="6604" w:type="dxa"/>
            <w:gridSpan w:val="2"/>
            <w:tcBorders>
              <w:top w:val="single" w:color="auto" w:sz="4" w:space="0"/>
              <w:left w:val="single" w:color="auto" w:sz="4" w:space="0"/>
              <w:right w:val="single" w:color="auto" w:sz="4" w:space="0"/>
            </w:tcBorders>
            <w:noWrap w:val="0"/>
            <w:vAlign w:val="center"/>
          </w:tcPr>
          <w:p w14:paraId="4DCCA8DD">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（1）投标人的资质等级符合招标文件规定。</w:t>
            </w:r>
          </w:p>
          <w:p w14:paraId="64B12FEB">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val="en-US" w:eastAsia="zh-CN"/>
              </w:rPr>
              <w:t>2</w:t>
            </w:r>
            <w:r>
              <w:rPr>
                <w:rFonts w:hint="default" w:ascii="Times New Roman" w:hAnsi="Times New Roman" w:cs="Times New Roman"/>
                <w:color w:val="auto"/>
                <w:szCs w:val="21"/>
                <w:highlight w:val="none"/>
              </w:rPr>
              <w:t>）投标人的财务状况符合招标文件规定。</w:t>
            </w:r>
          </w:p>
          <w:p w14:paraId="0F678C5D">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val="en-US" w:eastAsia="zh-CN"/>
              </w:rPr>
              <w:t>3</w:t>
            </w:r>
            <w:r>
              <w:rPr>
                <w:rFonts w:hint="default" w:ascii="Times New Roman" w:hAnsi="Times New Roman" w:cs="Times New Roman"/>
                <w:color w:val="auto"/>
                <w:szCs w:val="21"/>
                <w:highlight w:val="none"/>
              </w:rPr>
              <w:t>）投标人的类似项目业绩符合招标文件规定。</w:t>
            </w:r>
          </w:p>
          <w:p w14:paraId="1F0EFBB1">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val="en-US" w:eastAsia="zh-CN"/>
              </w:rPr>
              <w:t>4</w:t>
            </w:r>
            <w:r>
              <w:rPr>
                <w:rFonts w:hint="default" w:ascii="Times New Roman" w:hAnsi="Times New Roman" w:cs="Times New Roman"/>
                <w:color w:val="auto"/>
                <w:szCs w:val="21"/>
                <w:highlight w:val="none"/>
              </w:rPr>
              <w:t>）投标人的信誉符合招标文件规定。</w:t>
            </w:r>
          </w:p>
          <w:p w14:paraId="3C699994">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val="en-US" w:eastAsia="zh-CN"/>
              </w:rPr>
              <w:t>5</w:t>
            </w:r>
            <w:r>
              <w:rPr>
                <w:rFonts w:hint="default" w:ascii="Times New Roman" w:hAnsi="Times New Roman" w:cs="Times New Roman"/>
                <w:color w:val="auto"/>
                <w:szCs w:val="21"/>
                <w:highlight w:val="none"/>
              </w:rPr>
              <w:t>）投标人的项目经理和项目总工资格、在岗情况符合招标文件规定。</w:t>
            </w:r>
          </w:p>
          <w:p w14:paraId="25CC1F0D">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val="en-US" w:eastAsia="zh-CN"/>
              </w:rPr>
              <w:t>6</w:t>
            </w:r>
            <w:r>
              <w:rPr>
                <w:rFonts w:hint="default" w:ascii="Times New Roman" w:hAnsi="Times New Roman" w:cs="Times New Roman"/>
                <w:color w:val="auto"/>
                <w:szCs w:val="21"/>
                <w:highlight w:val="none"/>
              </w:rPr>
              <w:t>）投标人的其他要求符合招标文件规定。</w:t>
            </w:r>
            <w:r>
              <w:rPr>
                <w:rFonts w:hint="default" w:ascii="Times New Roman" w:hAnsi="Times New Roman" w:cs="Times New Roman"/>
                <w:color w:val="auto"/>
                <w:szCs w:val="21"/>
                <w:highlight w:val="none"/>
                <w:vertAlign w:val="superscript"/>
              </w:rPr>
              <w:footnoteReference w:id="27"/>
            </w:r>
          </w:p>
          <w:p w14:paraId="2B719D41">
            <w:pPr>
              <w:pageBreakBefore w:val="0"/>
              <w:kinsoku/>
              <w:wordWrap w:val="0"/>
              <w:bidi w:val="0"/>
              <w:spacing w:line="360" w:lineRule="atLeast"/>
              <w:ind w:firstLine="420" w:firstLineChars="200"/>
              <w:rPr>
                <w:rFonts w:hint="eastAsia"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val="en-US" w:eastAsia="zh-CN"/>
              </w:rPr>
              <w:t>7</w:t>
            </w:r>
            <w:r>
              <w:rPr>
                <w:rFonts w:hint="default" w:ascii="Times New Roman" w:hAnsi="Times New Roman" w:cs="Times New Roman"/>
                <w:color w:val="auto"/>
                <w:szCs w:val="21"/>
                <w:highlight w:val="none"/>
              </w:rPr>
              <w:t>）投标人不存在第二章</w:t>
            </w:r>
            <w:r>
              <w:rPr>
                <w:rFonts w:hint="eastAsia" w:ascii="宋体" w:hAnsi="宋体" w:eastAsia="宋体" w:cs="宋体"/>
                <w:color w:val="auto"/>
                <w:szCs w:val="21"/>
                <w:highlight w:val="none"/>
              </w:rPr>
              <w:t>“</w:t>
            </w:r>
            <w:r>
              <w:rPr>
                <w:rFonts w:hint="default" w:ascii="Times New Roman" w:hAnsi="Times New Roman" w:cs="Times New Roman"/>
                <w:color w:val="auto"/>
                <w:szCs w:val="21"/>
                <w:highlight w:val="none"/>
              </w:rPr>
              <w:t>投标人须知</w:t>
            </w:r>
            <w:r>
              <w:rPr>
                <w:rFonts w:hint="eastAsia" w:ascii="宋体" w:hAnsi="宋体" w:eastAsia="宋体" w:cs="宋体"/>
                <w:color w:val="auto"/>
                <w:szCs w:val="21"/>
                <w:highlight w:val="none"/>
              </w:rPr>
              <w:t>”</w:t>
            </w:r>
            <w:r>
              <w:rPr>
                <w:rFonts w:hint="default" w:ascii="Times New Roman" w:hAnsi="Times New Roman" w:cs="Times New Roman"/>
                <w:color w:val="auto"/>
                <w:szCs w:val="21"/>
                <w:highlight w:val="none"/>
              </w:rPr>
              <w:t>第1.4.3项或第1.4.4项规定的任何一种情形。</w:t>
            </w:r>
          </w:p>
          <w:p w14:paraId="46D5DFF2">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val="en-US" w:eastAsia="zh-CN"/>
              </w:rPr>
              <w:t>8</w:t>
            </w:r>
            <w:r>
              <w:rPr>
                <w:rFonts w:hint="default" w:ascii="Times New Roman" w:hAnsi="Times New Roman" w:cs="Times New Roman"/>
                <w:color w:val="auto"/>
                <w:szCs w:val="21"/>
                <w:highlight w:val="none"/>
              </w:rPr>
              <w:t>）投标人符合第二章</w:t>
            </w:r>
            <w:r>
              <w:rPr>
                <w:rFonts w:hint="eastAsia" w:ascii="宋体" w:hAnsi="宋体" w:eastAsia="宋体" w:cs="宋体"/>
                <w:color w:val="auto"/>
                <w:szCs w:val="21"/>
                <w:highlight w:val="none"/>
              </w:rPr>
              <w:t>“</w:t>
            </w:r>
            <w:r>
              <w:rPr>
                <w:rFonts w:hint="default" w:ascii="Times New Roman" w:hAnsi="Times New Roman" w:cs="Times New Roman"/>
                <w:color w:val="auto"/>
                <w:szCs w:val="21"/>
                <w:highlight w:val="none"/>
              </w:rPr>
              <w:t>投标人须知</w:t>
            </w:r>
            <w:r>
              <w:rPr>
                <w:rFonts w:hint="eastAsia" w:ascii="宋体" w:hAnsi="宋体" w:eastAsia="宋体" w:cs="宋体"/>
                <w:color w:val="auto"/>
                <w:szCs w:val="21"/>
                <w:highlight w:val="none"/>
              </w:rPr>
              <w:t>”</w:t>
            </w:r>
            <w:r>
              <w:rPr>
                <w:rFonts w:hint="default" w:ascii="Times New Roman" w:hAnsi="Times New Roman" w:cs="Times New Roman"/>
                <w:color w:val="auto"/>
                <w:szCs w:val="21"/>
                <w:highlight w:val="none"/>
              </w:rPr>
              <w:t>第1.4.5项规定。</w:t>
            </w:r>
            <w:r>
              <w:rPr>
                <w:rStyle w:val="48"/>
                <w:rFonts w:hint="default" w:ascii="Times New Roman" w:hAnsi="Times New Roman" w:cs="Times New Roman"/>
                <w:color w:val="auto"/>
                <w:highlight w:val="none"/>
              </w:rPr>
              <w:footnoteReference w:id="28"/>
            </w:r>
          </w:p>
          <w:p w14:paraId="35DBC77B">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val="en-US" w:eastAsia="zh-CN"/>
              </w:rPr>
              <w:t>9</w:t>
            </w:r>
            <w:r>
              <w:rPr>
                <w:rFonts w:hint="default" w:ascii="Times New Roman" w:hAnsi="Times New Roman" w:cs="Times New Roman"/>
                <w:color w:val="auto"/>
                <w:szCs w:val="21"/>
                <w:highlight w:val="none"/>
              </w:rPr>
              <w:t>）以联合体形式参与投标的，联合体各方均未再以自己名义单独或参加其他联合体在同一标段中投标；独立参与投标的，投标人未同时参加联合体在同一标段中投标。</w:t>
            </w:r>
          </w:p>
        </w:tc>
      </w:tr>
      <w:tr w14:paraId="1CEFD1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36" w:type="dxa"/>
            <w:gridSpan w:val="3"/>
            <w:tcBorders>
              <w:top w:val="single" w:color="auto" w:sz="4" w:space="0"/>
              <w:bottom w:val="single" w:color="auto" w:sz="4" w:space="0"/>
              <w:right w:val="single" w:color="auto" w:sz="4" w:space="0"/>
            </w:tcBorders>
            <w:noWrap w:val="0"/>
            <w:vAlign w:val="center"/>
          </w:tcPr>
          <w:p w14:paraId="6AA6509F">
            <w:pPr>
              <w:pageBreakBefore w:val="0"/>
              <w:kinsoku/>
              <w:wordWrap w:val="0"/>
              <w:bidi w:val="0"/>
              <w:spacing w:line="360" w:lineRule="atLeast"/>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条款号</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890EF07">
            <w:pPr>
              <w:pageBreakBefore w:val="0"/>
              <w:kinsoku/>
              <w:wordWrap w:val="0"/>
              <w:bidi w:val="0"/>
              <w:spacing w:line="360" w:lineRule="atLeast"/>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条款内容</w:t>
            </w:r>
          </w:p>
        </w:tc>
        <w:tc>
          <w:tcPr>
            <w:tcW w:w="5099" w:type="dxa"/>
            <w:tcBorders>
              <w:top w:val="single" w:color="auto" w:sz="4" w:space="0"/>
              <w:left w:val="single" w:color="auto" w:sz="4" w:space="0"/>
              <w:bottom w:val="single" w:color="auto" w:sz="4" w:space="0"/>
              <w:right w:val="single" w:color="auto" w:sz="4" w:space="0"/>
            </w:tcBorders>
            <w:noWrap w:val="0"/>
            <w:vAlign w:val="center"/>
          </w:tcPr>
          <w:p w14:paraId="7994F90E">
            <w:pPr>
              <w:pageBreakBefore w:val="0"/>
              <w:kinsoku/>
              <w:wordWrap w:val="0"/>
              <w:bidi w:val="0"/>
              <w:spacing w:line="360" w:lineRule="atLeast"/>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编列内容</w:t>
            </w:r>
          </w:p>
        </w:tc>
      </w:tr>
      <w:tr w14:paraId="5BBACD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36" w:type="dxa"/>
            <w:gridSpan w:val="3"/>
            <w:tcBorders>
              <w:bottom w:val="single" w:color="auto" w:sz="4" w:space="0"/>
              <w:right w:val="single" w:color="auto" w:sz="4" w:space="0"/>
            </w:tcBorders>
            <w:noWrap w:val="0"/>
            <w:vAlign w:val="center"/>
          </w:tcPr>
          <w:p w14:paraId="59E3485B">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2.2.1</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CDC070A">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分值构成</w:t>
            </w:r>
          </w:p>
          <w:p w14:paraId="20A36BA6">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（总分100分）</w:t>
            </w:r>
          </w:p>
        </w:tc>
        <w:tc>
          <w:tcPr>
            <w:tcW w:w="5099" w:type="dxa"/>
            <w:tcBorders>
              <w:top w:val="single" w:color="auto" w:sz="4" w:space="0"/>
              <w:left w:val="single" w:color="auto" w:sz="4" w:space="0"/>
              <w:bottom w:val="single" w:color="auto" w:sz="4" w:space="0"/>
              <w:right w:val="single" w:color="auto" w:sz="4" w:space="0"/>
            </w:tcBorders>
            <w:noWrap w:val="0"/>
            <w:vAlign w:val="center"/>
          </w:tcPr>
          <w:p w14:paraId="62B4DF90">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评标价：100分</w:t>
            </w:r>
          </w:p>
        </w:tc>
      </w:tr>
      <w:tr w14:paraId="7618DB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62" w:hRule="atLeast"/>
        </w:trPr>
        <w:tc>
          <w:tcPr>
            <w:tcW w:w="2036" w:type="dxa"/>
            <w:gridSpan w:val="3"/>
            <w:tcBorders>
              <w:top w:val="single" w:color="auto" w:sz="4" w:space="0"/>
              <w:right w:val="single" w:color="auto" w:sz="4" w:space="0"/>
            </w:tcBorders>
            <w:noWrap w:val="0"/>
            <w:vAlign w:val="center"/>
          </w:tcPr>
          <w:p w14:paraId="3242207D">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2.2.2</w:t>
            </w:r>
          </w:p>
        </w:tc>
        <w:tc>
          <w:tcPr>
            <w:tcW w:w="1505" w:type="dxa"/>
            <w:tcBorders>
              <w:top w:val="single" w:color="auto" w:sz="4" w:space="0"/>
              <w:left w:val="single" w:color="auto" w:sz="4" w:space="0"/>
              <w:right w:val="single" w:color="auto" w:sz="4" w:space="0"/>
            </w:tcBorders>
            <w:noWrap w:val="0"/>
            <w:vAlign w:val="center"/>
          </w:tcPr>
          <w:p w14:paraId="334A8C00">
            <w:pPr>
              <w:pageBreakBefore w:val="0"/>
              <w:kinsoku/>
              <w:wordWrap w:val="0"/>
              <w:bidi w:val="0"/>
              <w:spacing w:line="360" w:lineRule="atLeast"/>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评标基准价计算方法</w:t>
            </w:r>
          </w:p>
        </w:tc>
        <w:tc>
          <w:tcPr>
            <w:tcW w:w="5099" w:type="dxa"/>
            <w:tcBorders>
              <w:top w:val="single" w:color="auto" w:sz="4" w:space="0"/>
              <w:left w:val="single" w:color="auto" w:sz="4" w:space="0"/>
              <w:bottom w:val="single" w:color="auto" w:sz="4" w:space="0"/>
              <w:right w:val="single" w:color="auto" w:sz="4" w:space="0"/>
            </w:tcBorders>
            <w:noWrap w:val="0"/>
            <w:vAlign w:val="center"/>
          </w:tcPr>
          <w:p w14:paraId="3193521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Cs w:val="21"/>
                <w:highlight w:val="none"/>
                <w:lang w:bidi="ar"/>
              </w:rPr>
            </w:pPr>
            <w:r>
              <w:rPr>
                <w:rFonts w:hint="eastAsia" w:ascii="宋体" w:hAnsi="宋体" w:eastAsia="宋体" w:cs="宋体"/>
                <w:color w:val="auto"/>
                <w:kern w:val="0"/>
                <w:szCs w:val="21"/>
                <w:highlight w:val="none"/>
                <w:lang w:bidi="ar"/>
              </w:rPr>
              <w:t>在开标现场，招标人将当场计算并宣布各标段评标基准价。在评标过程中，评标委员会将对招标人计算的评标基准价进行复核，存在计算错误的应予以修正并在评标报告中作出说明。除此之外，评标基准价在整</w:t>
            </w:r>
            <w:r>
              <w:rPr>
                <w:rFonts w:hint="default" w:ascii="Times New Roman" w:hAnsi="Times New Roman" w:eastAsia="宋体" w:cs="Times New Roman"/>
                <w:color w:val="auto"/>
                <w:kern w:val="0"/>
                <w:szCs w:val="21"/>
                <w:highlight w:val="none"/>
                <w:lang w:bidi="ar"/>
              </w:rPr>
              <w:t>个评标期间保持不变，不随任何因素发生变化。</w:t>
            </w:r>
          </w:p>
          <w:p w14:paraId="00E3B86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Cs w:val="21"/>
                <w:highlight w:val="none"/>
                <w:lang w:bidi="ar"/>
              </w:rPr>
            </w:pPr>
            <w:r>
              <w:rPr>
                <w:rFonts w:hint="default" w:ascii="Times New Roman" w:hAnsi="Times New Roman" w:eastAsia="宋体" w:cs="Times New Roman"/>
                <w:color w:val="auto"/>
                <w:kern w:val="0"/>
                <w:szCs w:val="21"/>
                <w:highlight w:val="none"/>
                <w:lang w:bidi="ar"/>
              </w:rPr>
              <w:t>计算差错，仅限于以下两种情况：1、纯算术性四则运算差错；2、未按约定的规则，多计或少计参加评标价平均值计算的评标价。</w:t>
            </w:r>
          </w:p>
          <w:p w14:paraId="5AECD11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本次招标设定3种评标价平均值（B）计算方法，在第二个信封（报价文件）开标现场，每个标段随机抽取其中1种作为该标段的评标价平均值计算方法。</w:t>
            </w:r>
          </w:p>
          <w:p w14:paraId="68292452">
            <w:pPr>
              <w:widowControl w:val="0"/>
              <w:spacing w:before="0" w:beforeLines="-2147483648" w:after="0" w:afterLines="-2147483648" w:line="360" w:lineRule="exact"/>
              <w:ind w:firstLine="422" w:firstLineChars="200"/>
              <w:jc w:val="both"/>
              <w:outlineLvl w:val="9"/>
              <w:rPr>
                <w:rFonts w:hint="default" w:ascii="Times New Roman" w:hAnsi="Times New Roman" w:eastAsia="宋体" w:cs="Times New Roman"/>
                <w:b/>
                <w:bCs/>
                <w:color w:val="auto"/>
                <w:kern w:val="2"/>
                <w:sz w:val="21"/>
                <w:szCs w:val="24"/>
                <w:highlight w:val="none"/>
                <w:lang w:val="en-US" w:eastAsia="zh-CN" w:bidi="ar-SA"/>
              </w:rPr>
            </w:pPr>
            <w:r>
              <w:rPr>
                <w:rFonts w:hint="default" w:ascii="Times New Roman" w:hAnsi="Times New Roman" w:eastAsia="宋体" w:cs="Times New Roman"/>
                <w:b/>
                <w:bCs/>
                <w:color w:val="auto"/>
                <w:kern w:val="0"/>
                <w:sz w:val="21"/>
                <w:szCs w:val="21"/>
                <w:highlight w:val="none"/>
                <w:lang w:val="en-US" w:eastAsia="zh-CN" w:bidi="ar"/>
              </w:rPr>
              <w:t>一、评标价（A）</w:t>
            </w:r>
          </w:p>
          <w:p w14:paraId="3416424D">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kern w:val="0"/>
                <w:szCs w:val="21"/>
                <w:highlight w:val="none"/>
                <w:lang w:bidi="ar"/>
              </w:rPr>
              <w:t>评标价=投标函的文字报价</w:t>
            </w:r>
          </w:p>
          <w:p w14:paraId="0C437CE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Cs w:val="21"/>
                <w:highlight w:val="none"/>
                <w:lang w:bidi="ar"/>
              </w:rPr>
            </w:pPr>
            <w:r>
              <w:rPr>
                <w:rFonts w:hint="default" w:ascii="Times New Roman" w:hAnsi="Times New Roman" w:eastAsia="宋体" w:cs="Times New Roman"/>
                <w:color w:val="auto"/>
                <w:kern w:val="0"/>
                <w:szCs w:val="21"/>
                <w:highlight w:val="none"/>
                <w:lang w:bidi="ar"/>
              </w:rPr>
              <w:t>如果投标文件出现以下1～5任一情况，不参加评标价平均值的计算：</w:t>
            </w:r>
          </w:p>
          <w:p w14:paraId="0DF596D8">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Cs w:val="21"/>
                <w:highlight w:val="none"/>
                <w:lang w:bidi="ar"/>
              </w:rPr>
            </w:pPr>
            <w:r>
              <w:rPr>
                <w:rFonts w:hint="default" w:ascii="Times New Roman" w:hAnsi="Times New Roman" w:eastAsia="宋体" w:cs="Times New Roman"/>
                <w:color w:val="auto"/>
                <w:kern w:val="0"/>
                <w:szCs w:val="21"/>
                <w:highlight w:val="none"/>
                <w:lang w:bidi="ar"/>
              </w:rPr>
              <w:t>1、未按要求在投标函上填写投标总价；</w:t>
            </w:r>
          </w:p>
          <w:p w14:paraId="6D144C3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ascii="Times New Roman" w:hAnsi="Times New Roman" w:eastAsia="黑体" w:cs="Times New Roman"/>
                <w:color w:val="auto"/>
                <w:kern w:val="0"/>
                <w:szCs w:val="21"/>
                <w:highlight w:val="none"/>
                <w:lang w:bidi="ar"/>
              </w:rPr>
            </w:pPr>
            <w:r>
              <w:rPr>
                <w:rFonts w:ascii="Times New Roman" w:hAnsi="Times New Roman" w:eastAsia="宋体" w:cs="Times New Roman"/>
                <w:color w:val="auto"/>
                <w:kern w:val="0"/>
                <w:szCs w:val="21"/>
                <w:highlight w:val="none"/>
                <w:lang w:bidi="ar"/>
              </w:rPr>
              <w:t>2</w:t>
            </w:r>
            <w:r>
              <w:rPr>
                <w:rFonts w:hint="eastAsia" w:ascii="Times New Roman" w:hAnsi="Times New Roman" w:eastAsia="宋体" w:cs="Times New Roman"/>
                <w:color w:val="auto"/>
                <w:kern w:val="0"/>
                <w:szCs w:val="21"/>
                <w:highlight w:val="none"/>
                <w:lang w:bidi="ar"/>
              </w:rPr>
              <w:t>、投标报价超出招标人公布的最高投标限价，或低于招标人公布的最高投标限价的</w:t>
            </w:r>
            <w:r>
              <w:rPr>
                <w:rFonts w:hint="eastAsia" w:ascii="Times New Roman" w:hAnsi="Times New Roman" w:eastAsia="宋体" w:cs="Times New Roman"/>
                <w:color w:val="auto"/>
                <w:kern w:val="0"/>
                <w:szCs w:val="21"/>
                <w:highlight w:val="none"/>
                <w:u w:val="single"/>
                <w:lang w:bidi="ar"/>
              </w:rPr>
              <w:t xml:space="preserve"> </w:t>
            </w:r>
            <w:r>
              <w:rPr>
                <w:rFonts w:ascii="Times New Roman" w:hAnsi="Times New Roman" w:eastAsia="宋体" w:cs="Times New Roman"/>
                <w:color w:val="auto"/>
                <w:kern w:val="0"/>
                <w:szCs w:val="21"/>
                <w:highlight w:val="none"/>
                <w:u w:val="single"/>
                <w:lang w:bidi="ar"/>
              </w:rPr>
              <w:t xml:space="preserve"> </w:t>
            </w:r>
            <w:r>
              <w:rPr>
                <w:rFonts w:hint="eastAsia" w:ascii="Times New Roman" w:hAnsi="Times New Roman" w:eastAsia="宋体" w:cs="Times New Roman"/>
                <w:color w:val="auto"/>
                <w:kern w:val="0"/>
                <w:szCs w:val="21"/>
                <w:highlight w:val="none"/>
                <w:u w:val="single"/>
                <w:lang w:bidi="ar"/>
              </w:rPr>
              <w:t>G</w:t>
            </w:r>
            <w:r>
              <w:rPr>
                <w:rFonts w:ascii="Times New Roman" w:hAnsi="Times New Roman" w:eastAsia="宋体" w:cs="Times New Roman"/>
                <w:color w:val="auto"/>
                <w:kern w:val="0"/>
                <w:szCs w:val="21"/>
                <w:highlight w:val="none"/>
                <w:u w:val="single"/>
                <w:lang w:bidi="ar"/>
              </w:rPr>
              <w:t xml:space="preserve">  </w:t>
            </w:r>
            <w:r>
              <w:rPr>
                <w:rFonts w:ascii="Times New Roman" w:hAnsi="Times New Roman" w:eastAsia="宋体" w:cs="Times New Roman"/>
                <w:color w:val="auto"/>
                <w:kern w:val="0"/>
                <w:szCs w:val="21"/>
                <w:highlight w:val="none"/>
                <w:lang w:bidi="ar"/>
              </w:rPr>
              <w:t>%</w:t>
            </w:r>
            <w:r>
              <w:rPr>
                <w:rFonts w:hint="eastAsia" w:ascii="Times New Roman" w:hAnsi="Times New Roman" w:eastAsia="宋体" w:cs="Times New Roman"/>
                <w:color w:val="auto"/>
                <w:kern w:val="0"/>
                <w:szCs w:val="21"/>
                <w:highlight w:val="none"/>
                <w:lang w:bidi="ar"/>
              </w:rPr>
              <w:t>；</w:t>
            </w:r>
            <w:r>
              <w:rPr>
                <w:rFonts w:ascii="Times New Roman" w:hAnsi="Times New Roman" w:eastAsia="黑体" w:cs="Times New Roman"/>
                <w:color w:val="auto"/>
                <w:kern w:val="0"/>
                <w:szCs w:val="21"/>
                <w:highlight w:val="none"/>
                <w:lang w:bidi="ar"/>
              </w:rPr>
              <w:t>（注：由招标人在招标文件中约定低于投标最高限价一定范围值的投标报价不参与评标基准价的计算，G%原则上在85%～90%之间取值。）</w:t>
            </w:r>
          </w:p>
          <w:p w14:paraId="0BA8689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Cs w:val="21"/>
                <w:highlight w:val="none"/>
                <w:lang w:bidi="ar"/>
              </w:rPr>
            </w:pPr>
            <w:r>
              <w:rPr>
                <w:rFonts w:hint="default" w:ascii="Times New Roman" w:hAnsi="Times New Roman" w:eastAsia="宋体" w:cs="Times New Roman"/>
                <w:color w:val="auto"/>
                <w:kern w:val="0"/>
                <w:szCs w:val="21"/>
                <w:highlight w:val="none"/>
                <w:lang w:bidi="ar"/>
              </w:rPr>
              <w:t>3、无法确定投标报价具体数值；</w:t>
            </w:r>
          </w:p>
          <w:p w14:paraId="25684C2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Cs w:val="21"/>
                <w:highlight w:val="none"/>
                <w:lang w:bidi="ar"/>
              </w:rPr>
            </w:pPr>
            <w:r>
              <w:rPr>
                <w:rFonts w:hint="default" w:ascii="Times New Roman" w:hAnsi="Times New Roman" w:eastAsia="宋体" w:cs="Times New Roman"/>
                <w:color w:val="auto"/>
                <w:kern w:val="0"/>
                <w:szCs w:val="21"/>
                <w:highlight w:val="none"/>
                <w:lang w:bidi="ar"/>
              </w:rPr>
              <w:t>4、投标函上填写的标段号与上传的对应项目标段号不一致（如分标段）；</w:t>
            </w:r>
          </w:p>
          <w:p w14:paraId="42CC4ABA">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Cs w:val="21"/>
                <w:highlight w:val="none"/>
                <w:lang w:bidi="ar"/>
              </w:rPr>
            </w:pPr>
            <w:r>
              <w:rPr>
                <w:rFonts w:hint="default" w:ascii="Times New Roman" w:hAnsi="Times New Roman" w:eastAsia="宋体" w:cs="Times New Roman"/>
                <w:color w:val="auto"/>
                <w:kern w:val="0"/>
                <w:szCs w:val="21"/>
                <w:highlight w:val="none"/>
                <w:lang w:bidi="ar"/>
              </w:rPr>
              <w:t>5、投标函中的投标报价大写金额与投标文件工程量清单中的投标报价金额不一致。</w:t>
            </w:r>
          </w:p>
          <w:p w14:paraId="506250FB">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kern w:val="0"/>
                <w:szCs w:val="21"/>
                <w:highlight w:val="none"/>
                <w:lang w:bidi="ar"/>
              </w:rPr>
              <w:t>投标文件存在以上1～5任一情况，但招标人在第二个信封（报价文件）开标现场未发现的，视为计算过程中基础数据取用错误，由评标委员会在评标过程中予以修正。投标文件未出现以上1～5情况的，均参加评标价平均值的计算。</w:t>
            </w:r>
          </w:p>
          <w:p w14:paraId="26E9D6C5">
            <w:pPr>
              <w:widowControl w:val="0"/>
              <w:spacing w:before="0" w:beforeLines="-2147483648" w:after="0" w:afterLines="-2147483648" w:line="360" w:lineRule="exact"/>
              <w:ind w:firstLine="422" w:firstLineChars="200"/>
              <w:jc w:val="both"/>
              <w:outlineLvl w:val="9"/>
              <w:rPr>
                <w:rFonts w:hint="default" w:ascii="Times New Roman" w:hAnsi="Times New Roman" w:eastAsia="宋体" w:cs="Times New Roman"/>
                <w:b/>
                <w:bCs/>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二、评标价平均值（B）计算方法1</w:t>
            </w:r>
          </w:p>
          <w:p w14:paraId="2CE78AA1">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Cs w:val="21"/>
                <w:highlight w:val="none"/>
                <w:lang w:bidi="ar"/>
              </w:rPr>
            </w:pPr>
            <w:r>
              <w:rPr>
                <w:rFonts w:hint="default" w:ascii="Times New Roman" w:hAnsi="Times New Roman" w:eastAsia="宋体" w:cs="Times New Roman"/>
                <w:color w:val="auto"/>
                <w:kern w:val="0"/>
                <w:szCs w:val="21"/>
                <w:highlight w:val="none"/>
                <w:lang w:bidi="ar"/>
              </w:rPr>
              <w:t>C为招标人设定的最高投标限价</w:t>
            </w:r>
            <w:r>
              <w:rPr>
                <w:rFonts w:hint="default" w:ascii="Times New Roman" w:hAnsi="Times New Roman" w:eastAsia="宋体" w:cs="Times New Roman"/>
                <w:color w:val="auto"/>
                <w:kern w:val="0"/>
                <w:szCs w:val="21"/>
                <w:highlight w:val="none"/>
                <w:lang w:eastAsia="zh-CN" w:bidi="ar"/>
              </w:rPr>
              <w:t>，</w:t>
            </w:r>
            <w:r>
              <w:rPr>
                <w:rFonts w:hint="default" w:ascii="Times New Roman" w:hAnsi="Times New Roman" w:eastAsia="宋体" w:cs="Times New Roman"/>
                <w:color w:val="auto"/>
                <w:kern w:val="0"/>
                <w:szCs w:val="21"/>
                <w:highlight w:val="none"/>
                <w:lang w:bidi="ar"/>
              </w:rPr>
              <w:t>如果所有评标价均低于</w:t>
            </w:r>
            <w:r>
              <w:rPr>
                <w:rFonts w:hint="default" w:ascii="Times New Roman" w:hAnsi="Times New Roman" w:eastAsia="宋体" w:cs="Times New Roman"/>
                <w:color w:val="auto"/>
                <w:kern w:val="0"/>
                <w:szCs w:val="21"/>
                <w:highlight w:val="none"/>
                <w:u w:val="single"/>
                <w:lang w:bidi="ar"/>
              </w:rPr>
              <w:t xml:space="preserve">  G  </w:t>
            </w:r>
            <w:r>
              <w:rPr>
                <w:rFonts w:hint="default" w:ascii="Times New Roman" w:hAnsi="Times New Roman" w:eastAsia="宋体" w:cs="Times New Roman"/>
                <w:color w:val="auto"/>
                <w:kern w:val="0"/>
                <w:szCs w:val="21"/>
                <w:highlight w:val="none"/>
                <w:lang w:bidi="ar"/>
              </w:rPr>
              <w:t>%*C值（最高投标限价的</w:t>
            </w:r>
            <w:r>
              <w:rPr>
                <w:rFonts w:hint="default" w:ascii="Times New Roman" w:hAnsi="Times New Roman" w:eastAsia="宋体" w:cs="Times New Roman"/>
                <w:color w:val="auto"/>
                <w:kern w:val="0"/>
                <w:szCs w:val="21"/>
                <w:highlight w:val="none"/>
                <w:u w:val="single"/>
                <w:lang w:bidi="ar"/>
              </w:rPr>
              <w:t xml:space="preserve">  G  </w:t>
            </w:r>
            <w:r>
              <w:rPr>
                <w:rFonts w:hint="default" w:ascii="Times New Roman" w:hAnsi="Times New Roman" w:eastAsia="宋体" w:cs="Times New Roman"/>
                <w:color w:val="auto"/>
                <w:kern w:val="0"/>
                <w:szCs w:val="21"/>
                <w:highlight w:val="none"/>
                <w:lang w:bidi="ar"/>
              </w:rPr>
              <w:t>%），则评标价平均值（B）直接为</w:t>
            </w:r>
            <w:r>
              <w:rPr>
                <w:rFonts w:hint="default" w:ascii="Times New Roman" w:hAnsi="Times New Roman" w:eastAsia="宋体" w:cs="Times New Roman"/>
                <w:color w:val="auto"/>
                <w:kern w:val="0"/>
                <w:szCs w:val="21"/>
                <w:highlight w:val="none"/>
                <w:u w:val="single"/>
                <w:lang w:bidi="ar"/>
              </w:rPr>
              <w:t xml:space="preserve">  G%  </w:t>
            </w:r>
            <w:r>
              <w:rPr>
                <w:rFonts w:hint="default" w:ascii="Times New Roman" w:hAnsi="Times New Roman" w:eastAsia="宋体" w:cs="Times New Roman"/>
                <w:color w:val="auto"/>
                <w:kern w:val="0"/>
                <w:szCs w:val="21"/>
                <w:highlight w:val="none"/>
                <w:lang w:bidi="ar"/>
              </w:rPr>
              <w:t>*C值（最高投标限价的</w:t>
            </w:r>
            <w:r>
              <w:rPr>
                <w:rFonts w:hint="default" w:ascii="Times New Roman" w:hAnsi="Times New Roman" w:eastAsia="宋体" w:cs="Times New Roman"/>
                <w:color w:val="auto"/>
                <w:kern w:val="0"/>
                <w:szCs w:val="21"/>
                <w:highlight w:val="none"/>
                <w:u w:val="single"/>
                <w:lang w:bidi="ar"/>
              </w:rPr>
              <w:t xml:space="preserve">  G%  </w:t>
            </w:r>
            <w:r>
              <w:rPr>
                <w:rFonts w:hint="default" w:ascii="Times New Roman" w:hAnsi="Times New Roman" w:eastAsia="宋体" w:cs="Times New Roman"/>
                <w:color w:val="auto"/>
                <w:kern w:val="0"/>
                <w:szCs w:val="21"/>
                <w:highlight w:val="none"/>
                <w:lang w:bidi="ar"/>
              </w:rPr>
              <w:t>）。否则，按以下方式计算评标价平均值（B）：</w:t>
            </w:r>
          </w:p>
          <w:p w14:paraId="40F4840B">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Cs w:val="21"/>
                <w:highlight w:val="none"/>
                <w:lang w:bidi="ar"/>
              </w:rPr>
            </w:pPr>
            <w:r>
              <w:rPr>
                <w:rFonts w:hint="default" w:ascii="Times New Roman" w:hAnsi="Times New Roman" w:eastAsia="宋体" w:cs="Times New Roman"/>
                <w:color w:val="auto"/>
                <w:kern w:val="0"/>
                <w:szCs w:val="21"/>
                <w:highlight w:val="none"/>
                <w:lang w:bidi="ar"/>
              </w:rPr>
              <w:t>1、评标价初始平均值（B1）</w:t>
            </w:r>
          </w:p>
          <w:p w14:paraId="2DDEA48D">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Cs w:val="21"/>
                <w:highlight w:val="none"/>
                <w:lang w:bidi="ar"/>
              </w:rPr>
            </w:pPr>
            <w:r>
              <w:rPr>
                <w:rFonts w:hint="default" w:ascii="Times New Roman" w:hAnsi="Times New Roman" w:eastAsia="宋体" w:cs="Times New Roman"/>
                <w:color w:val="auto"/>
                <w:kern w:val="0"/>
                <w:szCs w:val="21"/>
                <w:highlight w:val="none"/>
                <w:lang w:bidi="ar"/>
              </w:rPr>
              <w:t>所有参加评标价平均值计算的评标价的算术平均值为评标价初始平均值B1。</w:t>
            </w:r>
          </w:p>
          <w:p w14:paraId="1481AFF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Cs w:val="21"/>
                <w:highlight w:val="none"/>
                <w:lang w:bidi="ar"/>
              </w:rPr>
            </w:pPr>
            <w:r>
              <w:rPr>
                <w:rFonts w:hint="default" w:ascii="Times New Roman" w:hAnsi="Times New Roman" w:eastAsia="宋体" w:cs="Times New Roman"/>
                <w:color w:val="auto"/>
                <w:kern w:val="0"/>
                <w:szCs w:val="21"/>
                <w:highlight w:val="none"/>
                <w:lang w:bidi="ar"/>
              </w:rPr>
              <w:t>评标价初始平均值（B1）保留七位小数，小数点后第八位“四舍五入”。</w:t>
            </w:r>
          </w:p>
          <w:p w14:paraId="29086F4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Cs w:val="21"/>
                <w:highlight w:val="none"/>
                <w:lang w:bidi="ar"/>
              </w:rPr>
            </w:pPr>
            <w:r>
              <w:rPr>
                <w:rFonts w:hint="default" w:ascii="Times New Roman" w:hAnsi="Times New Roman" w:eastAsia="宋体" w:cs="Times New Roman"/>
                <w:color w:val="auto"/>
                <w:kern w:val="0"/>
                <w:szCs w:val="21"/>
                <w:highlight w:val="none"/>
                <w:lang w:bidi="ar"/>
              </w:rPr>
              <w:t>2、评标价区段平均值（B2）</w:t>
            </w:r>
          </w:p>
          <w:p w14:paraId="53F7FC6D">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Cs w:val="21"/>
                <w:highlight w:val="none"/>
                <w:lang w:bidi="ar"/>
              </w:rPr>
            </w:pPr>
            <w:r>
              <w:rPr>
                <w:rFonts w:hint="default" w:ascii="Times New Roman" w:hAnsi="Times New Roman" w:eastAsia="宋体" w:cs="Times New Roman"/>
                <w:color w:val="auto"/>
                <w:kern w:val="0"/>
                <w:szCs w:val="21"/>
                <w:highlight w:val="none"/>
                <w:lang w:bidi="ar"/>
              </w:rPr>
              <w:t>根据下述区段计算评标价区段平均值（</w:t>
            </w:r>
            <w:r>
              <w:rPr>
                <w:rFonts w:hint="default" w:ascii="Times New Roman" w:hAnsi="Times New Roman" w:eastAsia="宋体" w:cs="Times New Roman"/>
                <w:color w:val="auto"/>
                <w:szCs w:val="21"/>
                <w:highlight w:val="none"/>
              </w:rPr>
              <w:t>B2.1、B2.2、……、B2.15、B2.16</w:t>
            </w:r>
            <w:r>
              <w:rPr>
                <w:rFonts w:hint="default" w:ascii="Times New Roman" w:hAnsi="Times New Roman" w:eastAsia="宋体" w:cs="Times New Roman"/>
                <w:color w:val="auto"/>
                <w:kern w:val="0"/>
                <w:szCs w:val="21"/>
                <w:highlight w:val="none"/>
                <w:lang w:bidi="ar"/>
              </w:rPr>
              <w:t>），各区段平均值为该区段内各评标价的算术平均值。如：B2.2为“1.03*B1（不含）～1.035*B1（含）”范围内的所有评标价的算术平均值。评标价区段平均值（B2）保留七位小数，小数点后第八位“四舍五入”。</w:t>
            </w:r>
          </w:p>
          <w:tbl>
            <w:tblPr>
              <w:tblStyle w:val="4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48"/>
              <w:gridCol w:w="1525"/>
            </w:tblGrid>
            <w:tr w14:paraId="6C27B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35" w:type="pct"/>
                  <w:vAlign w:val="center"/>
                </w:tcPr>
                <w:p w14:paraId="51EF1F43">
                  <w:pPr>
                    <w:widowControl w:val="0"/>
                    <w:spacing w:line="360" w:lineRule="exact"/>
                    <w:ind w:firstLine="0" w:firstLineChars="0"/>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区段</w:t>
                  </w:r>
                </w:p>
              </w:tc>
              <w:tc>
                <w:tcPr>
                  <w:tcW w:w="1564" w:type="pct"/>
                  <w:vAlign w:val="center"/>
                </w:tcPr>
                <w:p w14:paraId="313EACB8">
                  <w:pPr>
                    <w:widowControl w:val="0"/>
                    <w:spacing w:line="360" w:lineRule="exact"/>
                    <w:ind w:firstLine="0" w:firstLineChars="0"/>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区段平均值（B2）</w:t>
                  </w:r>
                </w:p>
              </w:tc>
            </w:tr>
            <w:tr w14:paraId="1E9EF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35" w:type="pct"/>
                </w:tcPr>
                <w:p w14:paraId="05D9A48A">
                  <w:pPr>
                    <w:widowControl w:val="0"/>
                    <w:spacing w:line="360" w:lineRule="exact"/>
                    <w:ind w:firstLine="420" w:firstLineChars="20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1.035*B1&lt;评标价</w:t>
                  </w:r>
                </w:p>
              </w:tc>
              <w:tc>
                <w:tcPr>
                  <w:tcW w:w="1564" w:type="pct"/>
                  <w:vAlign w:val="center"/>
                </w:tcPr>
                <w:p w14:paraId="4EABA966">
                  <w:pPr>
                    <w:widowControl/>
                    <w:spacing w:line="360" w:lineRule="exact"/>
                    <w:ind w:firstLine="420" w:firstLineChars="20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B2.1</w:t>
                  </w:r>
                </w:p>
              </w:tc>
            </w:tr>
            <w:tr w14:paraId="6B2C9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35" w:type="pct"/>
                </w:tcPr>
                <w:p w14:paraId="290315A3">
                  <w:pPr>
                    <w:widowControl w:val="0"/>
                    <w:spacing w:line="360" w:lineRule="exact"/>
                    <w:ind w:firstLine="420" w:firstLineChars="200"/>
                    <w:jc w:val="left"/>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1.03*B1&lt;评标价≤1.035*B1</w:t>
                  </w:r>
                </w:p>
              </w:tc>
              <w:tc>
                <w:tcPr>
                  <w:tcW w:w="1564" w:type="pct"/>
                  <w:vAlign w:val="center"/>
                </w:tcPr>
                <w:p w14:paraId="74E45295">
                  <w:pPr>
                    <w:widowControl/>
                    <w:spacing w:line="360" w:lineRule="exact"/>
                    <w:ind w:firstLine="420" w:firstLineChars="20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B2.2</w:t>
                  </w:r>
                </w:p>
              </w:tc>
            </w:tr>
            <w:tr w14:paraId="35CD3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35" w:type="pct"/>
                </w:tcPr>
                <w:p w14:paraId="36F7A883">
                  <w:pPr>
                    <w:widowControl w:val="0"/>
                    <w:spacing w:line="360" w:lineRule="exact"/>
                    <w:ind w:firstLine="420" w:firstLineChars="200"/>
                    <w:jc w:val="left"/>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1.025*B1&lt;评标价≤1.03*B1</w:t>
                  </w:r>
                </w:p>
              </w:tc>
              <w:tc>
                <w:tcPr>
                  <w:tcW w:w="1564" w:type="pct"/>
                  <w:vAlign w:val="center"/>
                </w:tcPr>
                <w:p w14:paraId="11E2504A">
                  <w:pPr>
                    <w:widowControl/>
                    <w:spacing w:line="360" w:lineRule="exact"/>
                    <w:ind w:firstLine="420" w:firstLineChars="20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B2.3</w:t>
                  </w:r>
                </w:p>
              </w:tc>
            </w:tr>
            <w:tr w14:paraId="20DD8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35" w:type="pct"/>
                </w:tcPr>
                <w:p w14:paraId="67D04999">
                  <w:pPr>
                    <w:widowControl w:val="0"/>
                    <w:spacing w:line="360" w:lineRule="exact"/>
                    <w:ind w:firstLine="420" w:firstLineChars="200"/>
                    <w:jc w:val="left"/>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1.02*B1&lt;评标价≤1.025*B1</w:t>
                  </w:r>
                </w:p>
              </w:tc>
              <w:tc>
                <w:tcPr>
                  <w:tcW w:w="1564" w:type="pct"/>
                  <w:vAlign w:val="center"/>
                </w:tcPr>
                <w:p w14:paraId="4F3D7A1E">
                  <w:pPr>
                    <w:widowControl/>
                    <w:spacing w:line="360" w:lineRule="exact"/>
                    <w:ind w:firstLine="420" w:firstLineChars="20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B2.4</w:t>
                  </w:r>
                </w:p>
              </w:tc>
            </w:tr>
            <w:tr w14:paraId="11FA5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35" w:type="pct"/>
                </w:tcPr>
                <w:p w14:paraId="5CDDC951">
                  <w:pPr>
                    <w:widowControl w:val="0"/>
                    <w:spacing w:line="360" w:lineRule="exact"/>
                    <w:ind w:firstLine="420" w:firstLineChars="20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1.015*B1&lt;评标价≤1.02*B1</w:t>
                  </w:r>
                </w:p>
              </w:tc>
              <w:tc>
                <w:tcPr>
                  <w:tcW w:w="1564" w:type="pct"/>
                  <w:vAlign w:val="center"/>
                </w:tcPr>
                <w:p w14:paraId="1A095B67">
                  <w:pPr>
                    <w:widowControl/>
                    <w:spacing w:line="360" w:lineRule="exact"/>
                    <w:ind w:firstLine="420" w:firstLineChars="20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B2.5</w:t>
                  </w:r>
                </w:p>
              </w:tc>
            </w:tr>
            <w:tr w14:paraId="698A9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35" w:type="pct"/>
                </w:tcPr>
                <w:p w14:paraId="4C2945EF">
                  <w:pPr>
                    <w:widowControl w:val="0"/>
                    <w:spacing w:line="360" w:lineRule="exact"/>
                    <w:ind w:firstLine="420" w:firstLineChars="20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1.01*B1&lt;评标价≤1.015*B1</w:t>
                  </w:r>
                </w:p>
              </w:tc>
              <w:tc>
                <w:tcPr>
                  <w:tcW w:w="1564" w:type="pct"/>
                  <w:vAlign w:val="center"/>
                </w:tcPr>
                <w:p w14:paraId="745673F6">
                  <w:pPr>
                    <w:widowControl/>
                    <w:spacing w:line="360" w:lineRule="exact"/>
                    <w:ind w:firstLine="420" w:firstLineChars="20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B2.6</w:t>
                  </w:r>
                </w:p>
              </w:tc>
            </w:tr>
            <w:tr w14:paraId="31167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35" w:type="pct"/>
                </w:tcPr>
                <w:p w14:paraId="275058B4">
                  <w:pPr>
                    <w:widowControl w:val="0"/>
                    <w:spacing w:line="360" w:lineRule="exact"/>
                    <w:ind w:firstLine="420" w:firstLineChars="20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1.005*B1&lt;评标价≤1.01*B1</w:t>
                  </w:r>
                </w:p>
              </w:tc>
              <w:tc>
                <w:tcPr>
                  <w:tcW w:w="1564" w:type="pct"/>
                  <w:vAlign w:val="center"/>
                </w:tcPr>
                <w:p w14:paraId="21B134DB">
                  <w:pPr>
                    <w:widowControl/>
                    <w:spacing w:line="360" w:lineRule="exact"/>
                    <w:ind w:firstLine="420" w:firstLineChars="20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B2.7</w:t>
                  </w:r>
                </w:p>
              </w:tc>
            </w:tr>
            <w:tr w14:paraId="6C4CE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35" w:type="pct"/>
                  <w:vAlign w:val="center"/>
                </w:tcPr>
                <w:p w14:paraId="42B0BC0D">
                  <w:pPr>
                    <w:widowControl w:val="0"/>
                    <w:spacing w:line="360" w:lineRule="exact"/>
                    <w:ind w:firstLine="420" w:firstLineChars="20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1.00*B1&lt;评标价≤1.005*B1</w:t>
                  </w:r>
                </w:p>
              </w:tc>
              <w:tc>
                <w:tcPr>
                  <w:tcW w:w="1564" w:type="pct"/>
                  <w:vAlign w:val="center"/>
                </w:tcPr>
                <w:p w14:paraId="19749E60">
                  <w:pPr>
                    <w:widowControl/>
                    <w:spacing w:line="360" w:lineRule="exact"/>
                    <w:ind w:firstLine="420" w:firstLineChars="20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B2.8</w:t>
                  </w:r>
                </w:p>
              </w:tc>
            </w:tr>
            <w:tr w14:paraId="579AB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35" w:type="pct"/>
                  <w:vAlign w:val="center"/>
                </w:tcPr>
                <w:p w14:paraId="0527F55D">
                  <w:pPr>
                    <w:widowControl w:val="0"/>
                    <w:spacing w:line="360" w:lineRule="exact"/>
                    <w:ind w:firstLine="420" w:firstLineChars="20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0.995*B1&lt;评标价≤1.00*B1</w:t>
                  </w:r>
                </w:p>
              </w:tc>
              <w:tc>
                <w:tcPr>
                  <w:tcW w:w="1564" w:type="pct"/>
                  <w:vAlign w:val="center"/>
                </w:tcPr>
                <w:p w14:paraId="3693E7BF">
                  <w:pPr>
                    <w:widowControl/>
                    <w:spacing w:line="360" w:lineRule="exact"/>
                    <w:ind w:firstLine="420" w:firstLineChars="20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B2.9</w:t>
                  </w:r>
                </w:p>
              </w:tc>
            </w:tr>
            <w:tr w14:paraId="2007B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35" w:type="pct"/>
                  <w:vAlign w:val="center"/>
                </w:tcPr>
                <w:p w14:paraId="68AE7646">
                  <w:pPr>
                    <w:widowControl w:val="0"/>
                    <w:spacing w:line="360" w:lineRule="exact"/>
                    <w:ind w:firstLine="420" w:firstLineChars="20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0.99*B1&lt;评标价≤0.995*B1</w:t>
                  </w:r>
                </w:p>
              </w:tc>
              <w:tc>
                <w:tcPr>
                  <w:tcW w:w="1564" w:type="pct"/>
                  <w:vAlign w:val="center"/>
                </w:tcPr>
                <w:p w14:paraId="425B8678">
                  <w:pPr>
                    <w:widowControl/>
                    <w:spacing w:line="360" w:lineRule="exact"/>
                    <w:ind w:firstLine="420" w:firstLineChars="20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B2.10</w:t>
                  </w:r>
                </w:p>
              </w:tc>
            </w:tr>
            <w:tr w14:paraId="4B097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35" w:type="pct"/>
                </w:tcPr>
                <w:p w14:paraId="73590F07">
                  <w:pPr>
                    <w:widowControl w:val="0"/>
                    <w:spacing w:line="360" w:lineRule="exact"/>
                    <w:ind w:firstLine="420" w:firstLineChars="20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0.985*B1&lt;评标价≤0.99*B1</w:t>
                  </w:r>
                </w:p>
              </w:tc>
              <w:tc>
                <w:tcPr>
                  <w:tcW w:w="1564" w:type="pct"/>
                  <w:vAlign w:val="center"/>
                </w:tcPr>
                <w:p w14:paraId="7D21B10E">
                  <w:pPr>
                    <w:widowControl/>
                    <w:spacing w:line="360" w:lineRule="exact"/>
                    <w:ind w:firstLine="420" w:firstLineChars="20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B2.11</w:t>
                  </w:r>
                </w:p>
              </w:tc>
            </w:tr>
            <w:tr w14:paraId="398B6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35" w:type="pct"/>
                </w:tcPr>
                <w:p w14:paraId="249E0B69">
                  <w:pPr>
                    <w:widowControl w:val="0"/>
                    <w:spacing w:line="360" w:lineRule="exact"/>
                    <w:ind w:firstLine="420" w:firstLineChars="20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0.98*B1&lt;评标价≤0.985*B1</w:t>
                  </w:r>
                </w:p>
              </w:tc>
              <w:tc>
                <w:tcPr>
                  <w:tcW w:w="1564" w:type="pct"/>
                  <w:vAlign w:val="center"/>
                </w:tcPr>
                <w:p w14:paraId="58FF2046">
                  <w:pPr>
                    <w:widowControl/>
                    <w:spacing w:line="360" w:lineRule="exact"/>
                    <w:ind w:firstLine="420" w:firstLineChars="20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B2.12</w:t>
                  </w:r>
                </w:p>
              </w:tc>
            </w:tr>
            <w:tr w14:paraId="62DE2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35" w:type="pct"/>
                </w:tcPr>
                <w:p w14:paraId="49D0BFF0">
                  <w:pPr>
                    <w:widowControl w:val="0"/>
                    <w:spacing w:line="360" w:lineRule="exact"/>
                    <w:ind w:firstLine="420" w:firstLineChars="20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0.975*B1&lt;评标价≤0.98*B1</w:t>
                  </w:r>
                </w:p>
              </w:tc>
              <w:tc>
                <w:tcPr>
                  <w:tcW w:w="1564" w:type="pct"/>
                  <w:vAlign w:val="center"/>
                </w:tcPr>
                <w:p w14:paraId="725BD2E2">
                  <w:pPr>
                    <w:widowControl/>
                    <w:spacing w:line="360" w:lineRule="exact"/>
                    <w:ind w:firstLine="420" w:firstLineChars="20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B2.13</w:t>
                  </w:r>
                </w:p>
              </w:tc>
            </w:tr>
            <w:tr w14:paraId="3297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35" w:type="pct"/>
                </w:tcPr>
                <w:p w14:paraId="15DE5CF6">
                  <w:pPr>
                    <w:widowControl w:val="0"/>
                    <w:spacing w:line="360" w:lineRule="exact"/>
                    <w:ind w:firstLine="420" w:firstLineChars="20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0.97*B1&lt;评标价≤0.975*B1</w:t>
                  </w:r>
                </w:p>
              </w:tc>
              <w:tc>
                <w:tcPr>
                  <w:tcW w:w="1564" w:type="pct"/>
                  <w:vAlign w:val="center"/>
                </w:tcPr>
                <w:p w14:paraId="731A7111">
                  <w:pPr>
                    <w:widowControl/>
                    <w:spacing w:line="360" w:lineRule="exact"/>
                    <w:ind w:firstLine="420" w:firstLineChars="20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B2.14</w:t>
                  </w:r>
                </w:p>
              </w:tc>
            </w:tr>
            <w:tr w14:paraId="6383E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35" w:type="pct"/>
                </w:tcPr>
                <w:p w14:paraId="2E20BEF2">
                  <w:pPr>
                    <w:widowControl w:val="0"/>
                    <w:spacing w:line="360" w:lineRule="exact"/>
                    <w:ind w:firstLine="420" w:firstLineChars="20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0.965*B1≤评标价≤0.97*B1</w:t>
                  </w:r>
                </w:p>
              </w:tc>
              <w:tc>
                <w:tcPr>
                  <w:tcW w:w="1564" w:type="pct"/>
                  <w:vAlign w:val="center"/>
                </w:tcPr>
                <w:p w14:paraId="30DFF2B1">
                  <w:pPr>
                    <w:widowControl/>
                    <w:spacing w:line="360" w:lineRule="exact"/>
                    <w:ind w:firstLine="420" w:firstLineChars="20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B2.15</w:t>
                  </w:r>
                </w:p>
              </w:tc>
            </w:tr>
            <w:tr w14:paraId="7120C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35" w:type="pct"/>
                </w:tcPr>
                <w:p w14:paraId="52DBD8EB">
                  <w:pPr>
                    <w:widowControl w:val="0"/>
                    <w:spacing w:line="360" w:lineRule="exact"/>
                    <w:ind w:firstLine="420" w:firstLineChars="200"/>
                    <w:jc w:val="left"/>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评标价&lt;0.965*B1</w:t>
                  </w:r>
                </w:p>
              </w:tc>
              <w:tc>
                <w:tcPr>
                  <w:tcW w:w="1564" w:type="pct"/>
                  <w:vAlign w:val="center"/>
                </w:tcPr>
                <w:p w14:paraId="3635109F">
                  <w:pPr>
                    <w:widowControl/>
                    <w:spacing w:line="360" w:lineRule="exact"/>
                    <w:ind w:firstLine="420" w:firstLineChars="20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B2.16</w:t>
                  </w:r>
                </w:p>
              </w:tc>
            </w:tr>
          </w:tbl>
          <w:p w14:paraId="67EE17CA">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Cs w:val="21"/>
                <w:highlight w:val="none"/>
                <w:lang w:bidi="ar"/>
              </w:rPr>
            </w:pPr>
            <w:r>
              <w:rPr>
                <w:rFonts w:hint="default" w:ascii="Times New Roman" w:hAnsi="Times New Roman" w:eastAsia="宋体" w:cs="Times New Roman"/>
                <w:color w:val="auto"/>
                <w:kern w:val="0"/>
                <w:szCs w:val="21"/>
                <w:highlight w:val="none"/>
                <w:lang w:bidi="ar"/>
              </w:rPr>
              <w:t>3、评标价平均值（B）</w:t>
            </w:r>
          </w:p>
          <w:p w14:paraId="3EA2A4B3">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Cs w:val="21"/>
                <w:highlight w:val="none"/>
                <w:lang w:bidi="ar"/>
              </w:rPr>
            </w:pPr>
            <w:r>
              <w:rPr>
                <w:rFonts w:hint="default" w:ascii="Times New Roman" w:hAnsi="Times New Roman" w:eastAsia="宋体" w:cs="Times New Roman"/>
                <w:color w:val="auto"/>
                <w:kern w:val="0"/>
                <w:szCs w:val="21"/>
                <w:highlight w:val="none"/>
                <w:lang w:bidi="ar"/>
              </w:rPr>
              <w:t>（1）按下列公式，将计算得出的区段平均值（</w:t>
            </w:r>
            <w:r>
              <w:rPr>
                <w:rFonts w:hint="default" w:ascii="Times New Roman" w:hAnsi="Times New Roman" w:eastAsia="宋体" w:cs="Times New Roman"/>
                <w:color w:val="auto"/>
                <w:szCs w:val="21"/>
                <w:highlight w:val="none"/>
              </w:rPr>
              <w:t>B2.1、B2.2、……、B2.15、B2.16</w:t>
            </w:r>
            <w:r>
              <w:rPr>
                <w:rFonts w:hint="default" w:ascii="Times New Roman" w:hAnsi="Times New Roman" w:eastAsia="宋体" w:cs="Times New Roman"/>
                <w:color w:val="auto"/>
                <w:kern w:val="0"/>
                <w:szCs w:val="21"/>
                <w:highlight w:val="none"/>
                <w:lang w:bidi="ar"/>
              </w:rPr>
              <w:t>）进行加权平均（B2.1和B2.16权重为0.1，B2.2和B2.15权重为0.3，B2.3和B2.14权重为0.5，其余权重为1.0），得出评标价平均值（B）。评标价平均值（B）保留七位小数，小数点后第八位“四舍五入”。</w:t>
            </w:r>
          </w:p>
          <w:p w14:paraId="5BFF9EC8">
            <w:pPr>
              <w:widowControl w:val="0"/>
              <w:wordWrap w:val="0"/>
              <w:spacing w:line="360" w:lineRule="exact"/>
              <w:ind w:firstLine="420" w:firstLineChars="200"/>
              <w:jc w:val="both"/>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B=[0.1*</w:t>
            </w:r>
            <w:r>
              <w:rPr>
                <w:rFonts w:hint="default" w:ascii="Times New Roman" w:hAnsi="Times New Roman" w:eastAsia="宋体" w:cs="Times New Roman"/>
                <w:color w:val="auto"/>
                <w:kern w:val="2"/>
                <w:sz w:val="21"/>
                <w:szCs w:val="21"/>
                <w:highlight w:val="none"/>
                <w:lang w:val="en-US" w:eastAsia="zh-CN" w:bidi="ar-SA"/>
              </w:rPr>
              <w:t>B2.1</w:t>
            </w:r>
            <w:r>
              <w:rPr>
                <w:rFonts w:hint="default" w:ascii="Times New Roman" w:hAnsi="Times New Roman" w:eastAsia="宋体" w:cs="Times New Roman"/>
                <w:color w:val="auto"/>
                <w:kern w:val="0"/>
                <w:sz w:val="21"/>
                <w:szCs w:val="21"/>
                <w:highlight w:val="none"/>
                <w:lang w:val="en-US" w:eastAsia="zh-CN" w:bidi="ar"/>
              </w:rPr>
              <w:t>+0.3*</w:t>
            </w:r>
            <w:r>
              <w:rPr>
                <w:rFonts w:hint="default" w:ascii="Times New Roman" w:hAnsi="Times New Roman" w:eastAsia="宋体" w:cs="Times New Roman"/>
                <w:color w:val="auto"/>
                <w:kern w:val="2"/>
                <w:sz w:val="21"/>
                <w:szCs w:val="21"/>
                <w:highlight w:val="none"/>
                <w:lang w:val="en-US" w:eastAsia="zh-CN" w:bidi="ar-SA"/>
              </w:rPr>
              <w:t>B2.2</w:t>
            </w:r>
            <w:r>
              <w:rPr>
                <w:rFonts w:hint="default" w:ascii="Times New Roman" w:hAnsi="Times New Roman" w:eastAsia="宋体" w:cs="Times New Roman"/>
                <w:color w:val="auto"/>
                <w:kern w:val="0"/>
                <w:sz w:val="21"/>
                <w:szCs w:val="21"/>
                <w:highlight w:val="none"/>
                <w:lang w:val="en-US" w:eastAsia="zh-CN" w:bidi="ar"/>
              </w:rPr>
              <w:t>+0.5*</w:t>
            </w:r>
            <w:r>
              <w:rPr>
                <w:rFonts w:hint="default" w:ascii="Times New Roman" w:hAnsi="Times New Roman" w:eastAsia="宋体" w:cs="Times New Roman"/>
                <w:color w:val="auto"/>
                <w:kern w:val="2"/>
                <w:sz w:val="21"/>
                <w:szCs w:val="21"/>
                <w:highlight w:val="none"/>
                <w:lang w:val="en-US" w:eastAsia="zh-CN" w:bidi="ar-SA"/>
              </w:rPr>
              <w:t>B2.3</w:t>
            </w:r>
            <w:r>
              <w:rPr>
                <w:rFonts w:hint="default" w:ascii="Times New Roman" w:hAnsi="Times New Roman" w:eastAsia="宋体" w:cs="Times New Roman"/>
                <w:color w:val="auto"/>
                <w:kern w:val="0"/>
                <w:sz w:val="21"/>
                <w:szCs w:val="21"/>
                <w:highlight w:val="none"/>
                <w:lang w:val="en-US" w:eastAsia="zh-CN" w:bidi="ar"/>
              </w:rPr>
              <w:t>+1.0*（</w:t>
            </w:r>
            <w:r>
              <w:rPr>
                <w:rFonts w:hint="default" w:ascii="Times New Roman" w:hAnsi="Times New Roman" w:eastAsia="宋体" w:cs="Times New Roman"/>
                <w:color w:val="auto"/>
                <w:kern w:val="2"/>
                <w:sz w:val="21"/>
                <w:szCs w:val="21"/>
                <w:highlight w:val="none"/>
                <w:lang w:val="en-US" w:eastAsia="zh-CN" w:bidi="ar-SA"/>
              </w:rPr>
              <w:t>B2.4+B2.5+……+B2.12+B2.13</w:t>
            </w:r>
            <w:r>
              <w:rPr>
                <w:rFonts w:hint="default" w:ascii="Times New Roman" w:hAnsi="Times New Roman" w:eastAsia="宋体" w:cs="Times New Roman"/>
                <w:color w:val="auto"/>
                <w:kern w:val="0"/>
                <w:sz w:val="21"/>
                <w:szCs w:val="21"/>
                <w:highlight w:val="none"/>
                <w:lang w:val="en-US" w:eastAsia="zh-CN" w:bidi="ar"/>
              </w:rPr>
              <w:t>）+0.5*</w:t>
            </w:r>
            <w:r>
              <w:rPr>
                <w:rFonts w:hint="default" w:ascii="Times New Roman" w:hAnsi="Times New Roman" w:eastAsia="宋体" w:cs="Times New Roman"/>
                <w:color w:val="auto"/>
                <w:kern w:val="2"/>
                <w:sz w:val="21"/>
                <w:szCs w:val="21"/>
                <w:highlight w:val="none"/>
                <w:lang w:val="en-US" w:eastAsia="zh-CN" w:bidi="ar-SA"/>
              </w:rPr>
              <w:t>B2.14+</w:t>
            </w:r>
            <w:r>
              <w:rPr>
                <w:rFonts w:hint="default" w:ascii="Times New Roman" w:hAnsi="Times New Roman" w:eastAsia="宋体" w:cs="Times New Roman"/>
                <w:color w:val="auto"/>
                <w:kern w:val="0"/>
                <w:sz w:val="21"/>
                <w:szCs w:val="21"/>
                <w:highlight w:val="none"/>
                <w:lang w:val="en-US" w:eastAsia="zh-CN" w:bidi="ar"/>
              </w:rPr>
              <w:t>0.3*</w:t>
            </w:r>
            <w:r>
              <w:rPr>
                <w:rFonts w:hint="default" w:ascii="Times New Roman" w:hAnsi="Times New Roman" w:eastAsia="宋体" w:cs="Times New Roman"/>
                <w:color w:val="auto"/>
                <w:kern w:val="2"/>
                <w:sz w:val="21"/>
                <w:szCs w:val="21"/>
                <w:highlight w:val="none"/>
                <w:lang w:val="en-US" w:eastAsia="zh-CN" w:bidi="ar-SA"/>
              </w:rPr>
              <w:t>B2.15+0.1*B2.16</w:t>
            </w:r>
            <w:r>
              <w:rPr>
                <w:rFonts w:hint="default" w:ascii="Times New Roman" w:hAnsi="Times New Roman" w:eastAsia="宋体" w:cs="Times New Roman"/>
                <w:color w:val="auto"/>
                <w:kern w:val="0"/>
                <w:sz w:val="21"/>
                <w:szCs w:val="21"/>
                <w:highlight w:val="none"/>
                <w:lang w:val="en-US" w:eastAsia="zh-CN" w:bidi="ar"/>
              </w:rPr>
              <w:t>]/[0.1+0.3+0.5+1.0+1.0+1.0+1.0+1.0+1.0+1.0+1.0+1.0+1.0+0.5+0.3+0.1]。</w:t>
            </w:r>
          </w:p>
          <w:p w14:paraId="3D9231B1">
            <w:pPr>
              <w:widowControl w:val="0"/>
              <w:wordWrap w:val="0"/>
              <w:spacing w:line="360" w:lineRule="exact"/>
              <w:ind w:firstLine="420" w:firstLineChars="200"/>
              <w:jc w:val="both"/>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（2）如果某区段无区段平均值，则该区段不计区段平均值。如：无B2.1、B2.3、B2.9、B2.15等区段平均值，即B2.1、B2.3、B2.9、B2.15以及其权重均等于0，则评标价平均值B=[0.0*0.0+0.3*</w:t>
            </w:r>
            <w:r>
              <w:rPr>
                <w:rFonts w:hint="default" w:ascii="Times New Roman" w:hAnsi="Times New Roman" w:eastAsia="宋体" w:cs="Times New Roman"/>
                <w:color w:val="auto"/>
                <w:kern w:val="2"/>
                <w:sz w:val="21"/>
                <w:szCs w:val="21"/>
                <w:highlight w:val="none"/>
                <w:lang w:val="en-US" w:eastAsia="zh-CN" w:bidi="ar-SA"/>
              </w:rPr>
              <w:t>B2.2+</w:t>
            </w:r>
            <w:r>
              <w:rPr>
                <w:rFonts w:hint="default" w:ascii="Times New Roman" w:hAnsi="Times New Roman" w:eastAsia="宋体" w:cs="Times New Roman"/>
                <w:color w:val="auto"/>
                <w:kern w:val="0"/>
                <w:sz w:val="21"/>
                <w:szCs w:val="21"/>
                <w:highlight w:val="none"/>
                <w:lang w:val="en-US" w:eastAsia="zh-CN" w:bidi="ar"/>
              </w:rPr>
              <w:t>0.0*0.0+1.0*（</w:t>
            </w:r>
            <w:r>
              <w:rPr>
                <w:rFonts w:hint="default" w:ascii="Times New Roman" w:hAnsi="Times New Roman" w:eastAsia="宋体" w:cs="Times New Roman"/>
                <w:color w:val="auto"/>
                <w:kern w:val="2"/>
                <w:sz w:val="21"/>
                <w:szCs w:val="21"/>
                <w:highlight w:val="none"/>
                <w:lang w:val="en-US" w:eastAsia="zh-CN" w:bidi="ar-SA"/>
              </w:rPr>
              <w:t>B2.4+B2.5+……+B2.8+</w:t>
            </w:r>
            <w:r>
              <w:rPr>
                <w:rFonts w:hint="default" w:ascii="Times New Roman" w:hAnsi="Times New Roman" w:eastAsia="宋体" w:cs="Times New Roman"/>
                <w:color w:val="auto"/>
                <w:kern w:val="0"/>
                <w:sz w:val="21"/>
                <w:szCs w:val="21"/>
                <w:highlight w:val="none"/>
                <w:lang w:val="en-US" w:eastAsia="zh-CN" w:bidi="ar"/>
              </w:rPr>
              <w:t>0.0+</w:t>
            </w:r>
            <w:r>
              <w:rPr>
                <w:rFonts w:hint="default" w:ascii="Times New Roman" w:hAnsi="Times New Roman" w:eastAsia="宋体" w:cs="Times New Roman"/>
                <w:color w:val="auto"/>
                <w:kern w:val="2"/>
                <w:sz w:val="21"/>
                <w:szCs w:val="21"/>
                <w:highlight w:val="none"/>
                <w:lang w:val="en-US" w:eastAsia="zh-CN" w:bidi="ar-SA"/>
              </w:rPr>
              <w:t>B2.10+……B2.12+B2.13</w:t>
            </w:r>
            <w:r>
              <w:rPr>
                <w:rFonts w:hint="default" w:ascii="Times New Roman" w:hAnsi="Times New Roman" w:eastAsia="宋体" w:cs="Times New Roman"/>
                <w:color w:val="auto"/>
                <w:kern w:val="0"/>
                <w:sz w:val="21"/>
                <w:szCs w:val="21"/>
                <w:highlight w:val="none"/>
                <w:lang w:val="en-US" w:eastAsia="zh-CN" w:bidi="ar"/>
              </w:rPr>
              <w:t>）+0.5*</w:t>
            </w:r>
            <w:r>
              <w:rPr>
                <w:rFonts w:hint="default" w:ascii="Times New Roman" w:hAnsi="Times New Roman" w:eastAsia="宋体" w:cs="Times New Roman"/>
                <w:color w:val="auto"/>
                <w:kern w:val="2"/>
                <w:sz w:val="21"/>
                <w:szCs w:val="21"/>
                <w:highlight w:val="none"/>
                <w:lang w:val="en-US" w:eastAsia="zh-CN" w:bidi="ar-SA"/>
              </w:rPr>
              <w:t>B2.14+</w:t>
            </w:r>
            <w:r>
              <w:rPr>
                <w:rFonts w:hint="default" w:ascii="Times New Roman" w:hAnsi="Times New Roman" w:eastAsia="宋体" w:cs="Times New Roman"/>
                <w:color w:val="auto"/>
                <w:kern w:val="0"/>
                <w:sz w:val="21"/>
                <w:szCs w:val="21"/>
                <w:highlight w:val="none"/>
                <w:lang w:val="en-US" w:eastAsia="zh-CN" w:bidi="ar"/>
              </w:rPr>
              <w:t>0.0*0.0+</w:t>
            </w:r>
            <w:r>
              <w:rPr>
                <w:rFonts w:hint="default" w:ascii="Times New Roman" w:hAnsi="Times New Roman" w:eastAsia="宋体" w:cs="Times New Roman"/>
                <w:color w:val="auto"/>
                <w:kern w:val="2"/>
                <w:sz w:val="21"/>
                <w:szCs w:val="21"/>
                <w:highlight w:val="none"/>
                <w:lang w:val="en-US" w:eastAsia="zh-CN" w:bidi="ar-SA"/>
              </w:rPr>
              <w:t>0.1*B2.16</w:t>
            </w:r>
            <w:r>
              <w:rPr>
                <w:rFonts w:hint="default" w:ascii="Times New Roman" w:hAnsi="Times New Roman" w:eastAsia="宋体" w:cs="Times New Roman"/>
                <w:color w:val="auto"/>
                <w:kern w:val="0"/>
                <w:sz w:val="21"/>
                <w:szCs w:val="21"/>
                <w:highlight w:val="none"/>
                <w:lang w:val="en-US" w:eastAsia="zh-CN" w:bidi="ar"/>
              </w:rPr>
              <w:t>]/[0.0+0.3+0.0+1.0+1.0+1.0+1.0+1.0+0.0+1.0+1.0+1.0+1.0+0.5+0.0+0.1]。</w:t>
            </w:r>
          </w:p>
          <w:p w14:paraId="6E208B7B">
            <w:pPr>
              <w:widowControl w:val="0"/>
              <w:spacing w:before="0" w:beforeLines="-2147483648" w:after="0" w:afterLines="-2147483648" w:line="360" w:lineRule="exact"/>
              <w:ind w:firstLine="422" w:firstLineChars="200"/>
              <w:jc w:val="both"/>
              <w:outlineLvl w:val="9"/>
              <w:rPr>
                <w:rFonts w:hint="default" w:ascii="Times New Roman" w:hAnsi="Times New Roman" w:eastAsia="宋体" w:cs="Times New Roman"/>
                <w:b/>
                <w:bCs/>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三、评标价平均值（B）计算方法2</w:t>
            </w:r>
          </w:p>
          <w:p w14:paraId="1777C29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Cs w:val="21"/>
                <w:highlight w:val="none"/>
                <w:lang w:bidi="ar"/>
              </w:rPr>
            </w:pPr>
            <w:r>
              <w:rPr>
                <w:rFonts w:hint="default" w:ascii="Times New Roman" w:hAnsi="Times New Roman" w:eastAsia="宋体" w:cs="Times New Roman"/>
                <w:color w:val="auto"/>
                <w:kern w:val="0"/>
                <w:szCs w:val="21"/>
                <w:highlight w:val="none"/>
                <w:lang w:bidi="ar"/>
              </w:rPr>
              <w:t>根据所有参加评标价平均值计算的评标价（个数用P表示）计算评标价平均值（B）。C为招标人设定的最高投标限价。评标价平均值保留七位小数，小数点后第八位“四舍五入”。</w:t>
            </w:r>
          </w:p>
          <w:p w14:paraId="7E1DDCDA">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Cs w:val="21"/>
                <w:highlight w:val="none"/>
                <w:lang w:bidi="ar"/>
              </w:rPr>
            </w:pPr>
            <w:r>
              <w:rPr>
                <w:rFonts w:hint="default" w:ascii="Times New Roman" w:hAnsi="Times New Roman" w:eastAsia="宋体" w:cs="Times New Roman"/>
                <w:color w:val="auto"/>
                <w:kern w:val="0"/>
                <w:szCs w:val="21"/>
                <w:highlight w:val="none"/>
                <w:lang w:bidi="ar"/>
              </w:rPr>
              <w:t>1、当P=0时，即所有评标价均低于</w:t>
            </w:r>
            <w:r>
              <w:rPr>
                <w:rFonts w:hint="default" w:ascii="Times New Roman" w:hAnsi="Times New Roman" w:eastAsia="宋体" w:cs="Times New Roman"/>
                <w:color w:val="auto"/>
                <w:kern w:val="0"/>
                <w:szCs w:val="21"/>
                <w:highlight w:val="none"/>
                <w:u w:val="single"/>
                <w:lang w:bidi="ar"/>
              </w:rPr>
              <w:t xml:space="preserve">  G  </w:t>
            </w:r>
            <w:r>
              <w:rPr>
                <w:rFonts w:hint="default" w:ascii="Times New Roman" w:hAnsi="Times New Roman" w:eastAsia="宋体" w:cs="Times New Roman"/>
                <w:color w:val="auto"/>
                <w:kern w:val="0"/>
                <w:szCs w:val="21"/>
                <w:highlight w:val="none"/>
                <w:lang w:bidi="ar"/>
              </w:rPr>
              <w:t>%*C值（最高投标限价的</w:t>
            </w:r>
            <w:r>
              <w:rPr>
                <w:rFonts w:hint="default" w:ascii="Times New Roman" w:hAnsi="Times New Roman" w:eastAsia="宋体" w:cs="Times New Roman"/>
                <w:color w:val="auto"/>
                <w:kern w:val="0"/>
                <w:szCs w:val="21"/>
                <w:highlight w:val="none"/>
                <w:u w:val="single"/>
                <w:lang w:bidi="ar"/>
              </w:rPr>
              <w:t xml:space="preserve">  G  </w:t>
            </w:r>
            <w:r>
              <w:rPr>
                <w:rFonts w:hint="default" w:ascii="Times New Roman" w:hAnsi="Times New Roman" w:eastAsia="宋体" w:cs="Times New Roman"/>
                <w:color w:val="auto"/>
                <w:kern w:val="0"/>
                <w:szCs w:val="21"/>
                <w:highlight w:val="none"/>
                <w:lang w:bidi="ar"/>
              </w:rPr>
              <w:t>%），则评标价平均值（B）直接为</w:t>
            </w:r>
            <w:r>
              <w:rPr>
                <w:rFonts w:hint="default" w:ascii="Times New Roman" w:hAnsi="Times New Roman" w:eastAsia="宋体" w:cs="Times New Roman"/>
                <w:color w:val="auto"/>
                <w:kern w:val="0"/>
                <w:szCs w:val="21"/>
                <w:highlight w:val="none"/>
                <w:u w:val="single"/>
                <w:lang w:bidi="ar"/>
              </w:rPr>
              <w:t xml:space="preserve">  G%  </w:t>
            </w:r>
            <w:r>
              <w:rPr>
                <w:rFonts w:hint="default" w:ascii="Times New Roman" w:hAnsi="Times New Roman" w:eastAsia="宋体" w:cs="Times New Roman"/>
                <w:color w:val="auto"/>
                <w:kern w:val="0"/>
                <w:szCs w:val="21"/>
                <w:highlight w:val="none"/>
                <w:lang w:bidi="ar"/>
              </w:rPr>
              <w:t>*C值（最高投标限价的</w:t>
            </w:r>
            <w:r>
              <w:rPr>
                <w:rFonts w:hint="default" w:ascii="Times New Roman" w:hAnsi="Times New Roman" w:eastAsia="宋体" w:cs="Times New Roman"/>
                <w:color w:val="auto"/>
                <w:kern w:val="0"/>
                <w:szCs w:val="21"/>
                <w:highlight w:val="none"/>
                <w:u w:val="single"/>
                <w:lang w:bidi="ar"/>
              </w:rPr>
              <w:t xml:space="preserve">  G%  </w:t>
            </w:r>
            <w:r>
              <w:rPr>
                <w:rFonts w:hint="default" w:ascii="Times New Roman" w:hAnsi="Times New Roman" w:eastAsia="宋体" w:cs="Times New Roman"/>
                <w:color w:val="auto"/>
                <w:kern w:val="0"/>
                <w:szCs w:val="21"/>
                <w:highlight w:val="none"/>
                <w:lang w:bidi="ar"/>
              </w:rPr>
              <w:t>）。</w:t>
            </w:r>
          </w:p>
          <w:p w14:paraId="332A5823">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Cs w:val="21"/>
                <w:highlight w:val="none"/>
                <w:lang w:bidi="ar"/>
              </w:rPr>
            </w:pPr>
            <w:r>
              <w:rPr>
                <w:rFonts w:hint="default" w:ascii="Times New Roman" w:hAnsi="Times New Roman" w:eastAsia="宋体" w:cs="Times New Roman"/>
                <w:color w:val="auto"/>
                <w:kern w:val="0"/>
                <w:szCs w:val="21"/>
                <w:highlight w:val="none"/>
                <w:lang w:bidi="ar"/>
              </w:rPr>
              <w:t>2、当0＜P≤5时，评标价平均值（B）为P个评标价的算术平均值。</w:t>
            </w:r>
          </w:p>
          <w:p w14:paraId="2EA60F0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Cs w:val="21"/>
                <w:highlight w:val="none"/>
                <w:lang w:bidi="ar"/>
              </w:rPr>
            </w:pPr>
            <w:r>
              <w:rPr>
                <w:rFonts w:hint="default" w:ascii="Times New Roman" w:hAnsi="Times New Roman" w:eastAsia="宋体" w:cs="Times New Roman"/>
                <w:color w:val="auto"/>
                <w:kern w:val="0"/>
                <w:szCs w:val="21"/>
                <w:highlight w:val="none"/>
                <w:lang w:bidi="ar"/>
              </w:rPr>
              <w:t>3、当6≤P≤9时，在P个评标价中，去掉1个最高值和1个最低值后的其余评标价的算术平均值为评标价平均值（B）。</w:t>
            </w:r>
          </w:p>
          <w:p w14:paraId="575C411D">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Cs w:val="21"/>
                <w:highlight w:val="none"/>
                <w:lang w:bidi="ar"/>
              </w:rPr>
            </w:pPr>
            <w:r>
              <w:rPr>
                <w:rFonts w:hint="default" w:ascii="Times New Roman" w:hAnsi="Times New Roman" w:eastAsia="宋体" w:cs="Times New Roman"/>
                <w:color w:val="auto"/>
                <w:kern w:val="0"/>
                <w:szCs w:val="21"/>
                <w:highlight w:val="none"/>
                <w:lang w:bidi="ar"/>
              </w:rPr>
              <w:t>4、当P≥10时，在P个评标价中，去掉P1个最高值和P2个最低值后的其余评标价的算术平均值为评标价平均值（B）。</w:t>
            </w:r>
          </w:p>
          <w:p w14:paraId="6ECC49A5">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Cs w:val="21"/>
                <w:highlight w:val="none"/>
                <w:lang w:bidi="ar"/>
              </w:rPr>
            </w:pPr>
            <w:r>
              <w:rPr>
                <w:rFonts w:hint="default" w:ascii="Times New Roman" w:hAnsi="Times New Roman" w:eastAsia="宋体" w:cs="Times New Roman"/>
                <w:color w:val="auto"/>
                <w:kern w:val="0"/>
                <w:szCs w:val="21"/>
                <w:highlight w:val="none"/>
                <w:lang w:bidi="ar"/>
              </w:rPr>
              <w:t>P1=Q1，P2=Q2。Q1、Q2是在取值区间（1～Q）中随机抽取的两个数值，较大的数值为Q1，较小的数值为Q2。Q=INT（P/5），即Q为（P/5）向下取整。</w:t>
            </w:r>
          </w:p>
          <w:p w14:paraId="78139B4B">
            <w:pPr>
              <w:widowControl w:val="0"/>
              <w:spacing w:before="0" w:beforeLines="-2147483648" w:after="0" w:afterLines="-2147483648" w:line="360" w:lineRule="exact"/>
              <w:ind w:firstLine="422" w:firstLineChars="200"/>
              <w:jc w:val="both"/>
              <w:outlineLvl w:val="9"/>
              <w:rPr>
                <w:rFonts w:hint="default" w:ascii="Times New Roman" w:hAnsi="Times New Roman" w:eastAsia="宋体" w:cs="Times New Roman"/>
                <w:b/>
                <w:bCs/>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四、评标价平均值（B）计算方法3</w:t>
            </w:r>
          </w:p>
          <w:p w14:paraId="5B620399">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Cs w:val="21"/>
                <w:highlight w:val="none"/>
                <w:lang w:bidi="ar"/>
              </w:rPr>
            </w:pPr>
            <w:r>
              <w:rPr>
                <w:rFonts w:hint="default" w:ascii="Times New Roman" w:hAnsi="Times New Roman" w:eastAsia="宋体" w:cs="Times New Roman"/>
                <w:color w:val="auto"/>
                <w:kern w:val="0"/>
                <w:szCs w:val="21"/>
                <w:highlight w:val="none"/>
                <w:lang w:bidi="ar"/>
              </w:rPr>
              <w:t>根据所有参加评标价平均值计算的评标价（个数用P表示）计算评标价平均值（B）。C为招标人设定的最高投标限价。评标价平均值保留七位小数，小数点后第八位“四舍五入”。</w:t>
            </w:r>
          </w:p>
          <w:p w14:paraId="51944A4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Cs w:val="21"/>
                <w:highlight w:val="none"/>
                <w:lang w:bidi="ar"/>
              </w:rPr>
            </w:pPr>
            <w:r>
              <w:rPr>
                <w:rFonts w:hint="default" w:ascii="Times New Roman" w:hAnsi="Times New Roman" w:eastAsia="宋体" w:cs="Times New Roman"/>
                <w:color w:val="auto"/>
                <w:kern w:val="0"/>
                <w:szCs w:val="21"/>
                <w:highlight w:val="none"/>
                <w:lang w:bidi="ar"/>
              </w:rPr>
              <w:t>1、当P=0时，即所有评标价均低于</w:t>
            </w:r>
            <w:r>
              <w:rPr>
                <w:rFonts w:hint="default" w:ascii="Times New Roman" w:hAnsi="Times New Roman" w:eastAsia="宋体" w:cs="Times New Roman"/>
                <w:color w:val="auto"/>
                <w:kern w:val="0"/>
                <w:szCs w:val="21"/>
                <w:highlight w:val="none"/>
                <w:u w:val="single"/>
                <w:lang w:bidi="ar"/>
              </w:rPr>
              <w:t xml:space="preserve">  G  </w:t>
            </w:r>
            <w:r>
              <w:rPr>
                <w:rFonts w:hint="default" w:ascii="Times New Roman" w:hAnsi="Times New Roman" w:eastAsia="宋体" w:cs="Times New Roman"/>
                <w:color w:val="auto"/>
                <w:kern w:val="0"/>
                <w:szCs w:val="21"/>
                <w:highlight w:val="none"/>
                <w:lang w:bidi="ar"/>
              </w:rPr>
              <w:t>%*C值（最高投标限价的</w:t>
            </w:r>
            <w:r>
              <w:rPr>
                <w:rFonts w:hint="default" w:ascii="Times New Roman" w:hAnsi="Times New Roman" w:eastAsia="宋体" w:cs="Times New Roman"/>
                <w:color w:val="auto"/>
                <w:kern w:val="0"/>
                <w:szCs w:val="21"/>
                <w:highlight w:val="none"/>
                <w:u w:val="single"/>
                <w:lang w:bidi="ar"/>
              </w:rPr>
              <w:t xml:space="preserve">  G  </w:t>
            </w:r>
            <w:r>
              <w:rPr>
                <w:rFonts w:hint="default" w:ascii="Times New Roman" w:hAnsi="Times New Roman" w:eastAsia="宋体" w:cs="Times New Roman"/>
                <w:color w:val="auto"/>
                <w:kern w:val="0"/>
                <w:szCs w:val="21"/>
                <w:highlight w:val="none"/>
                <w:lang w:bidi="ar"/>
              </w:rPr>
              <w:t>%），则评标价平均值（B）直接为</w:t>
            </w:r>
            <w:r>
              <w:rPr>
                <w:rFonts w:hint="default" w:ascii="Times New Roman" w:hAnsi="Times New Roman" w:eastAsia="宋体" w:cs="Times New Roman"/>
                <w:color w:val="auto"/>
                <w:kern w:val="0"/>
                <w:szCs w:val="21"/>
                <w:highlight w:val="none"/>
                <w:u w:val="single"/>
                <w:lang w:bidi="ar"/>
              </w:rPr>
              <w:t xml:space="preserve">  G%  </w:t>
            </w:r>
            <w:r>
              <w:rPr>
                <w:rFonts w:hint="default" w:ascii="Times New Roman" w:hAnsi="Times New Roman" w:eastAsia="宋体" w:cs="Times New Roman"/>
                <w:color w:val="auto"/>
                <w:kern w:val="0"/>
                <w:szCs w:val="21"/>
                <w:highlight w:val="none"/>
                <w:lang w:bidi="ar"/>
              </w:rPr>
              <w:t>*C值（最高投标限价的</w:t>
            </w:r>
            <w:r>
              <w:rPr>
                <w:rFonts w:hint="default" w:ascii="Times New Roman" w:hAnsi="Times New Roman" w:eastAsia="宋体" w:cs="Times New Roman"/>
                <w:color w:val="auto"/>
                <w:kern w:val="0"/>
                <w:szCs w:val="21"/>
                <w:highlight w:val="none"/>
                <w:u w:val="single"/>
                <w:lang w:bidi="ar"/>
              </w:rPr>
              <w:t xml:space="preserve">  G%  </w:t>
            </w:r>
            <w:r>
              <w:rPr>
                <w:rFonts w:hint="default" w:ascii="Times New Roman" w:hAnsi="Times New Roman" w:eastAsia="宋体" w:cs="Times New Roman"/>
                <w:color w:val="auto"/>
                <w:kern w:val="0"/>
                <w:szCs w:val="21"/>
                <w:highlight w:val="none"/>
                <w:lang w:bidi="ar"/>
              </w:rPr>
              <w:t>）。</w:t>
            </w:r>
          </w:p>
          <w:p w14:paraId="2D46DC9C">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Cs w:val="21"/>
                <w:highlight w:val="none"/>
                <w:lang w:bidi="ar"/>
              </w:rPr>
            </w:pPr>
            <w:r>
              <w:rPr>
                <w:rFonts w:hint="default" w:ascii="Times New Roman" w:hAnsi="Times New Roman" w:eastAsia="宋体" w:cs="Times New Roman"/>
                <w:color w:val="auto"/>
                <w:kern w:val="0"/>
                <w:szCs w:val="21"/>
                <w:highlight w:val="none"/>
                <w:lang w:bidi="ar"/>
              </w:rPr>
              <w:t>2、当0＜P≤5时，评标价平均值（B）为P个评标价的算术平均值。</w:t>
            </w:r>
          </w:p>
          <w:p w14:paraId="5F6FA72A">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Cs w:val="21"/>
                <w:highlight w:val="none"/>
                <w:lang w:bidi="ar"/>
              </w:rPr>
            </w:pPr>
            <w:r>
              <w:rPr>
                <w:rFonts w:hint="default" w:ascii="Times New Roman" w:hAnsi="Times New Roman" w:eastAsia="宋体" w:cs="Times New Roman"/>
                <w:color w:val="auto"/>
                <w:kern w:val="0"/>
                <w:szCs w:val="21"/>
                <w:highlight w:val="none"/>
                <w:lang w:bidi="ar"/>
              </w:rPr>
              <w:t>3、当P=6或7时，在P个评标价中，去掉1个最高值和1个最低值后的其余评标价的算术平均值为评标价平均值（B）。</w:t>
            </w:r>
          </w:p>
          <w:p w14:paraId="39958626">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Cs w:val="21"/>
                <w:highlight w:val="none"/>
                <w:lang w:bidi="ar"/>
              </w:rPr>
            </w:pPr>
            <w:r>
              <w:rPr>
                <w:rFonts w:hint="default" w:ascii="Times New Roman" w:hAnsi="Times New Roman" w:eastAsia="宋体" w:cs="Times New Roman"/>
                <w:color w:val="auto"/>
                <w:kern w:val="0"/>
                <w:szCs w:val="21"/>
                <w:highlight w:val="none"/>
                <w:lang w:bidi="ar"/>
              </w:rPr>
              <w:t>4、当P≥8时</w:t>
            </w:r>
          </w:p>
          <w:p w14:paraId="3E2A9551">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Cs w:val="21"/>
                <w:highlight w:val="none"/>
                <w:lang w:bidi="ar"/>
              </w:rPr>
            </w:pPr>
            <w:r>
              <w:rPr>
                <w:rFonts w:hint="default" w:ascii="Times New Roman" w:hAnsi="Times New Roman" w:eastAsia="宋体" w:cs="Times New Roman"/>
                <w:color w:val="auto"/>
                <w:kern w:val="0"/>
                <w:szCs w:val="21"/>
                <w:highlight w:val="none"/>
                <w:lang w:bidi="ar"/>
              </w:rPr>
              <w:t>（1）首先，在P个评标价中，去掉P1个最高值和P2个最低值。</w:t>
            </w:r>
          </w:p>
          <w:p w14:paraId="23F846B4">
            <w:pPr>
              <w:widowControl/>
              <w:spacing w:line="360" w:lineRule="exact"/>
              <w:ind w:firstLine="420" w:firstLineChars="200"/>
              <w:jc w:val="left"/>
              <w:rPr>
                <w:rFonts w:hint="default" w:ascii="Times New Roman" w:hAnsi="Times New Roman" w:eastAsia="宋体" w:cs="Times New Roman"/>
                <w:color w:val="auto"/>
                <w:kern w:val="0"/>
                <w:szCs w:val="21"/>
                <w:highlight w:val="none"/>
                <w:lang w:bidi="ar"/>
              </w:rPr>
            </w:pPr>
            <w:r>
              <w:rPr>
                <w:rFonts w:hint="default" w:ascii="Times New Roman" w:hAnsi="Times New Roman" w:eastAsia="宋体" w:cs="Times New Roman"/>
                <w:color w:val="auto"/>
                <w:kern w:val="0"/>
                <w:szCs w:val="21"/>
                <w:highlight w:val="none"/>
                <w:lang w:bidi="ar"/>
              </w:rPr>
              <w:t>①当P=8或9时，P1=P2=1；</w:t>
            </w:r>
          </w:p>
          <w:p w14:paraId="7F0E2389">
            <w:pPr>
              <w:widowControl/>
              <w:spacing w:line="360" w:lineRule="exact"/>
              <w:ind w:firstLine="420" w:firstLineChars="200"/>
              <w:jc w:val="left"/>
              <w:rPr>
                <w:rFonts w:hint="default" w:ascii="Times New Roman" w:hAnsi="Times New Roman" w:eastAsia="宋体" w:cs="Times New Roman"/>
                <w:color w:val="auto"/>
                <w:kern w:val="0"/>
                <w:szCs w:val="21"/>
                <w:highlight w:val="none"/>
                <w:lang w:bidi="ar"/>
              </w:rPr>
            </w:pPr>
            <w:r>
              <w:rPr>
                <w:rFonts w:hint="default" w:ascii="Times New Roman" w:hAnsi="Times New Roman" w:eastAsia="宋体" w:cs="Times New Roman"/>
                <w:color w:val="auto"/>
                <w:kern w:val="0"/>
                <w:szCs w:val="21"/>
                <w:highlight w:val="none"/>
                <w:lang w:bidi="ar"/>
              </w:rPr>
              <w:t>②当P=10或11或12或13或14时，P1=2，P2=1；</w:t>
            </w:r>
          </w:p>
          <w:p w14:paraId="5DF441AE">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Cs w:val="21"/>
                <w:highlight w:val="none"/>
                <w:lang w:bidi="ar"/>
              </w:rPr>
            </w:pPr>
            <w:r>
              <w:rPr>
                <w:rFonts w:hint="default" w:ascii="Times New Roman" w:hAnsi="Times New Roman" w:eastAsia="宋体" w:cs="Times New Roman"/>
                <w:color w:val="auto"/>
                <w:kern w:val="0"/>
                <w:szCs w:val="21"/>
                <w:highlight w:val="none"/>
                <w:lang w:bidi="ar"/>
              </w:rPr>
              <w:t>③当P≥15时，P1=Q1，P2=Q2。Q1、Q2是在取值区间（1～Q）中随机抽取的两个数值，较大的数值为Q1，较小的数值为Q2。Q=INT（P/5），即Q为（P/5）向下取整且最小为1。</w:t>
            </w:r>
          </w:p>
          <w:p w14:paraId="387A2B8B">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Cs w:val="21"/>
                <w:highlight w:val="none"/>
                <w:lang w:bidi="ar"/>
              </w:rPr>
            </w:pPr>
            <w:r>
              <w:rPr>
                <w:rFonts w:hint="default" w:ascii="Times New Roman" w:hAnsi="Times New Roman" w:eastAsia="宋体" w:cs="Times New Roman"/>
                <w:color w:val="auto"/>
                <w:kern w:val="0"/>
                <w:szCs w:val="21"/>
                <w:highlight w:val="none"/>
                <w:lang w:bidi="ar"/>
              </w:rPr>
              <w:t>（2）然后，将其余评标价由低到高排列，对排列第（1、1+R、1+2R、……、1+SR）</w:t>
            </w:r>
            <w:r>
              <w:rPr>
                <w:rFonts w:hint="default" w:ascii="Times New Roman" w:hAnsi="Times New Roman" w:eastAsia="宋体" w:cs="Times New Roman"/>
                <w:color w:val="auto"/>
                <w:highlight w:val="none"/>
              </w:rPr>
              <w:t>的评标价进行算术平均，该算术平均值为</w:t>
            </w:r>
            <w:r>
              <w:rPr>
                <w:rFonts w:hint="default" w:ascii="Times New Roman" w:hAnsi="Times New Roman" w:eastAsia="宋体" w:cs="Times New Roman"/>
                <w:color w:val="auto"/>
                <w:kern w:val="0"/>
                <w:szCs w:val="21"/>
                <w:highlight w:val="none"/>
                <w:lang w:bidi="ar"/>
              </w:rPr>
              <w:t>评标价平均值（B）。</w:t>
            </w:r>
          </w:p>
          <w:p w14:paraId="32AEFC0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Cs w:val="21"/>
                <w:highlight w:val="none"/>
                <w:lang w:bidi="ar"/>
              </w:rPr>
            </w:pPr>
            <w:r>
              <w:rPr>
                <w:rFonts w:hint="default" w:ascii="Times New Roman" w:hAnsi="Times New Roman" w:eastAsia="宋体" w:cs="Times New Roman"/>
                <w:color w:val="auto"/>
                <w:kern w:val="0"/>
                <w:szCs w:val="21"/>
                <w:highlight w:val="none"/>
                <w:lang w:bidi="ar"/>
              </w:rPr>
              <w:t>R为随机步距，在开标现场随机抽取，取值范围为3、4、5。</w:t>
            </w:r>
          </w:p>
          <w:p w14:paraId="7965BA18">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Cs w:val="21"/>
                <w:highlight w:val="none"/>
                <w:lang w:bidi="ar"/>
              </w:rPr>
            </w:pPr>
            <w:r>
              <w:rPr>
                <w:rFonts w:hint="default" w:ascii="Times New Roman" w:hAnsi="Times New Roman" w:eastAsia="宋体" w:cs="Times New Roman"/>
                <w:color w:val="auto"/>
                <w:kern w:val="0"/>
                <w:szCs w:val="21"/>
                <w:highlight w:val="none"/>
                <w:lang w:bidi="ar"/>
              </w:rPr>
              <w:t>S为步距个数，S=INT[（P-P1-P2-1）/R]，即S为[（P-P1-P2-1）/R]向下取整。</w:t>
            </w:r>
          </w:p>
          <w:p w14:paraId="7D0D280E">
            <w:pPr>
              <w:widowControl w:val="0"/>
              <w:spacing w:before="0" w:beforeLines="-2147483648" w:after="0" w:afterLines="-2147483648" w:line="360" w:lineRule="exact"/>
              <w:ind w:firstLine="422" w:firstLineChars="200"/>
              <w:jc w:val="both"/>
              <w:outlineLvl w:val="9"/>
              <w:rPr>
                <w:rFonts w:hint="default" w:ascii="Times New Roman" w:hAnsi="Times New Roman" w:eastAsia="宋体" w:cs="Times New Roman"/>
                <w:b/>
                <w:bCs/>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五、评标基准价（D）</w:t>
            </w:r>
          </w:p>
          <w:p w14:paraId="62CC4A5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Cs w:val="21"/>
                <w:highlight w:val="none"/>
                <w:lang w:bidi="ar"/>
              </w:rPr>
            </w:pPr>
            <w:r>
              <w:rPr>
                <w:rFonts w:hint="default" w:ascii="Times New Roman" w:hAnsi="Times New Roman" w:eastAsia="宋体" w:cs="Times New Roman"/>
                <w:color w:val="auto"/>
                <w:kern w:val="0"/>
                <w:szCs w:val="21"/>
                <w:highlight w:val="none"/>
                <w:lang w:bidi="ar"/>
              </w:rPr>
              <w:t>D=D=[C*K+B*（1-K）]*（1-Z），保留七位小数，小数点后第八位“四舍五入”。</w:t>
            </w:r>
          </w:p>
          <w:p w14:paraId="0EE87879">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kern w:val="0"/>
                <w:szCs w:val="21"/>
                <w:highlight w:val="none"/>
                <w:lang w:bidi="ar"/>
              </w:rPr>
              <w:t>式中：</w:t>
            </w:r>
          </w:p>
          <w:p w14:paraId="319B4ED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Cs w:val="21"/>
                <w:highlight w:val="none"/>
                <w:lang w:bidi="ar"/>
              </w:rPr>
            </w:pPr>
            <w:r>
              <w:rPr>
                <w:rFonts w:hint="default" w:ascii="Times New Roman" w:hAnsi="Times New Roman" w:eastAsia="宋体" w:cs="Times New Roman"/>
                <w:color w:val="auto"/>
                <w:kern w:val="0"/>
                <w:szCs w:val="21"/>
                <w:highlight w:val="none"/>
                <w:lang w:bidi="ar"/>
              </w:rPr>
              <w:t>1、C为招标人设定的最高投标限价，B为评标价平均值。</w:t>
            </w:r>
          </w:p>
          <w:p w14:paraId="756A8811">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Cs w:val="21"/>
                <w:highlight w:val="none"/>
                <w:lang w:bidi="ar"/>
              </w:rPr>
            </w:pPr>
            <w:r>
              <w:rPr>
                <w:rFonts w:hint="default" w:ascii="Times New Roman" w:hAnsi="Times New Roman" w:eastAsia="宋体" w:cs="Times New Roman"/>
                <w:color w:val="auto"/>
                <w:kern w:val="0"/>
                <w:szCs w:val="21"/>
                <w:highlight w:val="none"/>
                <w:lang w:bidi="ar"/>
              </w:rPr>
              <w:t>2、K为</w:t>
            </w:r>
            <w:r>
              <w:rPr>
                <w:rFonts w:hint="default" w:ascii="Times New Roman" w:hAnsi="Times New Roman" w:eastAsia="宋体" w:cs="Times New Roman"/>
                <w:color w:val="auto"/>
                <w:highlight w:val="none"/>
              </w:rPr>
              <w:t>权重系数，K=[（K1/10）+K2]/10。各标段的K1在开标现场从0、1、2、3、4、5、6、7、8、9等10个系数中随机抽取。各标段的K2在开标现场从0、0.5、1等3个系数中随机抽取。</w:t>
            </w:r>
          </w:p>
          <w:p w14:paraId="612DABC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cs="Times New Roman"/>
                <w:color w:val="auto"/>
                <w:szCs w:val="21"/>
                <w:highlight w:val="none"/>
              </w:rPr>
            </w:pPr>
            <w:r>
              <w:rPr>
                <w:rFonts w:hint="default" w:ascii="Times New Roman" w:hAnsi="Times New Roman" w:eastAsia="宋体" w:cs="Times New Roman"/>
                <w:color w:val="auto"/>
                <w:kern w:val="0"/>
                <w:sz w:val="21"/>
                <w:szCs w:val="21"/>
                <w:highlight w:val="none"/>
                <w:lang w:val="en-US" w:eastAsia="zh-CN" w:bidi="ar"/>
              </w:rPr>
              <w:t>3、Z为下浮系数，各标段的Z</w:t>
            </w:r>
            <w:r>
              <w:rPr>
                <w:rFonts w:hint="default" w:ascii="Times New Roman" w:hAnsi="Times New Roman" w:eastAsia="宋体" w:cs="Times New Roman"/>
                <w:color w:val="auto"/>
                <w:kern w:val="2"/>
                <w:sz w:val="21"/>
                <w:szCs w:val="21"/>
                <w:highlight w:val="none"/>
                <w:lang w:val="en-US" w:eastAsia="zh-CN" w:bidi="ar-SA"/>
              </w:rPr>
              <w:t>在开标现场</w:t>
            </w:r>
            <w:r>
              <w:rPr>
                <w:rFonts w:hint="default" w:ascii="Times New Roman" w:hAnsi="Times New Roman" w:eastAsia="宋体" w:cs="Times New Roman"/>
                <w:color w:val="auto"/>
                <w:kern w:val="0"/>
                <w:sz w:val="21"/>
                <w:szCs w:val="21"/>
                <w:highlight w:val="none"/>
                <w:lang w:val="en-US" w:eastAsia="zh-CN" w:bidi="ar"/>
              </w:rPr>
              <w:t>均从0%、0.1%、0.2%、0.3%、0.4%、0.5%、0.6%、0.7%、0.8%、0.9%、1.0%、1.1%、1.2%、1.3%、1.4%、1.5%、1.6%、1.7%、1.8%、1.9%、2%等21个系数中随机抽取。</w:t>
            </w:r>
          </w:p>
        </w:tc>
      </w:tr>
      <w:tr w14:paraId="656B25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36" w:type="dxa"/>
            <w:gridSpan w:val="3"/>
            <w:tcBorders>
              <w:top w:val="single" w:color="auto" w:sz="4" w:space="0"/>
              <w:bottom w:val="single" w:color="auto" w:sz="4" w:space="0"/>
              <w:right w:val="single" w:color="auto" w:sz="4" w:space="0"/>
            </w:tcBorders>
            <w:noWrap w:val="0"/>
            <w:vAlign w:val="center"/>
          </w:tcPr>
          <w:p w14:paraId="46015F67">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2.2.3</w:t>
            </w:r>
          </w:p>
        </w:tc>
        <w:tc>
          <w:tcPr>
            <w:tcW w:w="1505" w:type="dxa"/>
            <w:tcBorders>
              <w:top w:val="single" w:color="auto" w:sz="4" w:space="0"/>
              <w:left w:val="single" w:color="auto" w:sz="4" w:space="0"/>
              <w:right w:val="single" w:color="auto" w:sz="4" w:space="0"/>
            </w:tcBorders>
            <w:noWrap w:val="0"/>
            <w:vAlign w:val="center"/>
          </w:tcPr>
          <w:p w14:paraId="021300F9">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评标价的偏差率计算公式</w:t>
            </w:r>
          </w:p>
        </w:tc>
        <w:tc>
          <w:tcPr>
            <w:tcW w:w="5099" w:type="dxa"/>
            <w:tcBorders>
              <w:top w:val="single" w:color="auto" w:sz="4" w:space="0"/>
              <w:left w:val="single" w:color="auto" w:sz="4" w:space="0"/>
              <w:right w:val="single" w:color="auto" w:sz="4" w:space="0"/>
            </w:tcBorders>
            <w:noWrap w:val="0"/>
            <w:vAlign w:val="center"/>
          </w:tcPr>
          <w:p w14:paraId="576F6407">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偏差率=100%×（投标人评标价－评标基准价）/评标基准价</w:t>
            </w:r>
          </w:p>
          <w:p w14:paraId="5906F9DC">
            <w:pPr>
              <w:pageBreakBefore w:val="0"/>
              <w:kinsoku/>
              <w:wordWrap w:val="0"/>
              <w:bidi w:val="0"/>
              <w:spacing w:line="360" w:lineRule="atLeast"/>
              <w:rPr>
                <w:rFonts w:hint="eastAsia"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rPr>
              <w:t>偏差率保留</w:t>
            </w:r>
            <w:r>
              <w:rPr>
                <w:rFonts w:hint="eastAsia" w:cs="Times New Roman"/>
                <w:color w:val="auto"/>
                <w:szCs w:val="21"/>
                <w:highlight w:val="none"/>
                <w:u w:val="single"/>
                <w:lang w:val="en-US" w:eastAsia="zh-CN"/>
              </w:rPr>
              <w:t xml:space="preserve"> 7 </w:t>
            </w:r>
            <w:r>
              <w:rPr>
                <w:rFonts w:hint="default" w:ascii="Times New Roman" w:hAnsi="Times New Roman" w:cs="Times New Roman"/>
                <w:color w:val="auto"/>
                <w:szCs w:val="21"/>
                <w:highlight w:val="none"/>
              </w:rPr>
              <w:t>位小数</w:t>
            </w:r>
            <w:r>
              <w:rPr>
                <w:rFonts w:hint="eastAsia" w:cs="Times New Roman"/>
                <w:color w:val="auto"/>
                <w:szCs w:val="21"/>
                <w:highlight w:val="none"/>
                <w:lang w:val="en-US" w:eastAsia="zh-CN"/>
              </w:rPr>
              <w:t xml:space="preserve"> </w:t>
            </w:r>
            <w:bookmarkStart w:id="1737" w:name="_GoBack"/>
            <w:bookmarkEnd w:id="1737"/>
          </w:p>
        </w:tc>
      </w:tr>
      <w:tr w14:paraId="002E0B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36" w:type="dxa"/>
            <w:gridSpan w:val="3"/>
            <w:tcBorders>
              <w:top w:val="single" w:color="auto" w:sz="4" w:space="0"/>
              <w:bottom w:val="single" w:color="auto" w:sz="4" w:space="0"/>
              <w:right w:val="single" w:color="auto" w:sz="4" w:space="0"/>
            </w:tcBorders>
            <w:noWrap w:val="0"/>
            <w:vAlign w:val="center"/>
          </w:tcPr>
          <w:p w14:paraId="774724A1">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b/>
                <w:color w:val="auto"/>
                <w:szCs w:val="21"/>
                <w:highlight w:val="none"/>
              </w:rPr>
              <w:t>条款号</w:t>
            </w:r>
          </w:p>
        </w:tc>
        <w:tc>
          <w:tcPr>
            <w:tcW w:w="1505" w:type="dxa"/>
            <w:tcBorders>
              <w:top w:val="single" w:color="auto" w:sz="4" w:space="0"/>
              <w:left w:val="single" w:color="auto" w:sz="4" w:space="0"/>
              <w:right w:val="single" w:color="auto" w:sz="4" w:space="0"/>
            </w:tcBorders>
            <w:noWrap w:val="0"/>
            <w:vAlign w:val="center"/>
          </w:tcPr>
          <w:p w14:paraId="1F165B8F">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b/>
                <w:color w:val="auto"/>
                <w:szCs w:val="21"/>
                <w:highlight w:val="none"/>
              </w:rPr>
              <w:t>评分因素</w:t>
            </w:r>
          </w:p>
        </w:tc>
        <w:tc>
          <w:tcPr>
            <w:tcW w:w="5099" w:type="dxa"/>
            <w:tcBorders>
              <w:top w:val="single" w:color="auto" w:sz="4" w:space="0"/>
              <w:left w:val="single" w:color="auto" w:sz="4" w:space="0"/>
              <w:right w:val="single" w:color="auto" w:sz="4" w:space="0"/>
            </w:tcBorders>
            <w:noWrap w:val="0"/>
            <w:vAlign w:val="center"/>
          </w:tcPr>
          <w:p w14:paraId="64513ADE">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b/>
                <w:color w:val="auto"/>
                <w:szCs w:val="21"/>
                <w:highlight w:val="none"/>
              </w:rPr>
              <w:t>评分标准</w:t>
            </w:r>
          </w:p>
        </w:tc>
      </w:tr>
      <w:tr w14:paraId="5EA5D4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36" w:type="dxa"/>
            <w:gridSpan w:val="3"/>
            <w:tcBorders>
              <w:top w:val="single" w:color="auto" w:sz="4" w:space="0"/>
              <w:bottom w:val="single" w:color="auto" w:sz="4" w:space="0"/>
              <w:right w:val="single" w:color="auto" w:sz="4" w:space="0"/>
            </w:tcBorders>
            <w:noWrap w:val="0"/>
            <w:vAlign w:val="center"/>
          </w:tcPr>
          <w:p w14:paraId="49EE110C">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2.2.4</w:t>
            </w:r>
          </w:p>
        </w:tc>
        <w:tc>
          <w:tcPr>
            <w:tcW w:w="1505" w:type="dxa"/>
            <w:tcBorders>
              <w:top w:val="single" w:color="auto" w:sz="4" w:space="0"/>
              <w:left w:val="single" w:color="auto" w:sz="4" w:space="0"/>
              <w:right w:val="single" w:color="auto" w:sz="4" w:space="0"/>
            </w:tcBorders>
            <w:noWrap w:val="0"/>
            <w:vAlign w:val="center"/>
          </w:tcPr>
          <w:p w14:paraId="7CDD5663">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评标价</w:t>
            </w:r>
          </w:p>
        </w:tc>
        <w:tc>
          <w:tcPr>
            <w:tcW w:w="5099" w:type="dxa"/>
            <w:tcBorders>
              <w:top w:val="single" w:color="auto" w:sz="4" w:space="0"/>
              <w:left w:val="single" w:color="auto" w:sz="4" w:space="0"/>
              <w:right w:val="single" w:color="auto" w:sz="4" w:space="0"/>
            </w:tcBorders>
            <w:noWrap w:val="0"/>
            <w:vAlign w:val="top"/>
          </w:tcPr>
          <w:p w14:paraId="5A54D3BC">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100分</w:t>
            </w:r>
          </w:p>
          <w:p w14:paraId="57E8C5D1">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评标价得分计算公式示例：</w:t>
            </w:r>
          </w:p>
          <w:p w14:paraId="7C442442">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（1）如果投标人的评标价&gt;评标基准价，则评标价得分＝100－偏差率×100×</w:t>
            </w:r>
            <w:r>
              <w:rPr>
                <w:rFonts w:hint="eastAsia" w:cs="Times New Roman"/>
                <w:color w:val="auto"/>
                <w:szCs w:val="21"/>
                <w:highlight w:val="none"/>
                <w:lang w:val="en-US" w:eastAsia="zh-CN"/>
              </w:rPr>
              <w:t>2</w:t>
            </w:r>
            <w:r>
              <w:rPr>
                <w:rFonts w:hint="default" w:ascii="Times New Roman" w:hAnsi="Times New Roman" w:cs="Times New Roman"/>
                <w:color w:val="auto"/>
                <w:szCs w:val="21"/>
                <w:highlight w:val="none"/>
              </w:rPr>
              <w:t>；</w:t>
            </w:r>
          </w:p>
          <w:p w14:paraId="3B75A8DB">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（2）如果投标人的评标价≤评标基准价，则评标价得分＝100＋偏差率×100×</w:t>
            </w:r>
            <w:r>
              <w:rPr>
                <w:rFonts w:hint="eastAsia" w:cs="Times New Roman"/>
                <w:color w:val="auto"/>
                <w:szCs w:val="21"/>
                <w:highlight w:val="none"/>
                <w:lang w:val="en-US" w:eastAsia="zh-CN"/>
              </w:rPr>
              <w:t>1</w:t>
            </w:r>
            <w:r>
              <w:rPr>
                <w:rFonts w:hint="default" w:ascii="Times New Roman" w:hAnsi="Times New Roman" w:cs="Times New Roman"/>
                <w:color w:val="auto"/>
                <w:szCs w:val="21"/>
                <w:highlight w:val="none"/>
              </w:rPr>
              <w:t>。</w:t>
            </w:r>
          </w:p>
        </w:tc>
      </w:tr>
      <w:tr w14:paraId="66B4CA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40" w:type="dxa"/>
            <w:gridSpan w:val="5"/>
            <w:tcBorders>
              <w:top w:val="single" w:color="auto" w:sz="4" w:space="0"/>
              <w:bottom w:val="single" w:color="auto" w:sz="4" w:space="0"/>
              <w:right w:val="single" w:color="auto" w:sz="4" w:space="0"/>
            </w:tcBorders>
            <w:noWrap w:val="0"/>
            <w:vAlign w:val="center"/>
          </w:tcPr>
          <w:p w14:paraId="3D679596">
            <w:pPr>
              <w:keepNext w:val="0"/>
              <w:keepLines w:val="0"/>
              <w:pageBreakBefore w:val="0"/>
              <w:kinsoku/>
              <w:wordWrap w:val="0"/>
              <w:overflowPunct/>
              <w:topLinePunct w:val="0"/>
              <w:autoSpaceDE/>
              <w:autoSpaceDN/>
              <w:bidi w:val="0"/>
              <w:adjustRightInd/>
              <w:snapToGrid/>
              <w:spacing w:line="300" w:lineRule="auto"/>
              <w:ind w:firstLine="210" w:firstLineChars="1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需要补充的其他内容：</w:t>
            </w:r>
          </w:p>
          <w:p w14:paraId="60604214">
            <w:pPr>
              <w:pageBreakBefore w:val="0"/>
              <w:kinsoku/>
              <w:wordWrap w:val="0"/>
              <w:bidi w:val="0"/>
              <w:spacing w:line="360" w:lineRule="atLeas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1.评标办法</w:t>
            </w:r>
          </w:p>
          <w:p w14:paraId="1C680C5D">
            <w:pPr>
              <w:pageBreakBefore w:val="0"/>
              <w:kinsoku/>
              <w:wordWrap w:val="0"/>
              <w:bidi w:val="0"/>
              <w:spacing w:line="360" w:lineRule="atLeas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本条细化为：</w:t>
            </w:r>
          </w:p>
          <w:p w14:paraId="671B58E0">
            <w:pPr>
              <w:pageBreakBefore w:val="0"/>
              <w:kinsoku/>
              <w:wordWrap w:val="0"/>
              <w:bidi w:val="0"/>
              <w:spacing w:line="360" w:lineRule="atLeast"/>
              <w:ind w:firstLine="420" w:firstLineChars="20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1.1</w:t>
            </w:r>
            <w:r>
              <w:rPr>
                <w:rFonts w:hint="eastAsia" w:ascii="宋体" w:hAnsi="宋体" w:cs="宋体"/>
                <w:color w:val="auto"/>
                <w:szCs w:val="21"/>
                <w:highlight w:val="none"/>
                <w:lang w:val="en-US" w:eastAsia="zh-CN"/>
              </w:rPr>
              <w:t xml:space="preserve"> G%=90%</w:t>
            </w:r>
          </w:p>
          <w:p w14:paraId="496EA6CF">
            <w:pPr>
              <w:pageBreakBefore w:val="0"/>
              <w:kinsoku/>
              <w:wordWrap w:val="0"/>
              <w:bidi w:val="0"/>
              <w:spacing w:line="360" w:lineRule="atLeas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1.2</w:t>
            </w:r>
            <w:r>
              <w:rPr>
                <w:rFonts w:hint="eastAsia" w:ascii="宋体" w:hAnsi="宋体" w:eastAsia="宋体" w:cs="宋体"/>
                <w:color w:val="auto"/>
                <w:szCs w:val="21"/>
                <w:highlight w:val="none"/>
                <w:lang w:eastAsia="zh-CN"/>
              </w:rPr>
              <w:t>本次评标采用双信封形式合理低价法，评标委员会首先对投标文件第一个信封（商务与技术文件）进行初步评审（形式评审与响应性评审、资格评审），通过第一个信封初步评审后的投标文件方可进入第二个信封（报价文件）的开标。第二个信封的开标在监督人的监督下进行，未通过第一个信封初步评审投标人的第二个信封原封退回，不参与第二个信封的开标。评标委员会对投标文件第二个信封进行形式和响应性评审，并按照本章第2.2款规定的评分标准进行评分，然后按评标价得分由高到低顺序推荐中标候选人，但投标报价低于其成本的除外。</w:t>
            </w:r>
          </w:p>
          <w:p w14:paraId="6C5BEFE7">
            <w:pPr>
              <w:pageBreakBefore w:val="0"/>
              <w:kinsoku/>
              <w:wordWrap w:val="0"/>
              <w:bidi w:val="0"/>
              <w:spacing w:line="360" w:lineRule="atLeas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1.</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lang w:eastAsia="zh-CN"/>
              </w:rPr>
              <w:t>当两家及以上投标人综合评分相等时，评标委员会依次按照以下优先顺序推荐中标候选人或确定中标人：</w:t>
            </w:r>
          </w:p>
          <w:p w14:paraId="1A780C3E">
            <w:pPr>
              <w:pageBreakBefore w:val="0"/>
              <w:kinsoku/>
              <w:wordWrap w:val="0"/>
              <w:bidi w:val="0"/>
              <w:spacing w:line="360" w:lineRule="atLeas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（1）以评标价较低者优先；</w:t>
            </w:r>
          </w:p>
          <w:p w14:paraId="796BB0FB">
            <w:pPr>
              <w:pageBreakBefore w:val="0"/>
              <w:kinsoku/>
              <w:wordWrap w:val="0"/>
              <w:bidi w:val="0"/>
              <w:spacing w:line="360" w:lineRule="atLeas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（2）被招标项目所在地省级交通运输主管部门评为较高信用等级的投标人优先。</w:t>
            </w:r>
          </w:p>
          <w:p w14:paraId="628FD779">
            <w:pPr>
              <w:pageBreakBefore w:val="0"/>
              <w:kinsoku/>
              <w:wordWrap w:val="0"/>
              <w:bidi w:val="0"/>
              <w:spacing w:line="360" w:lineRule="atLeas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 xml:space="preserve">注：当两家及以上投标人在标段中的评标价得分相等且评标价也相等时，若各投标人工程量清单子目单价也相同时，视为串标，其投标均被否决。若各投标人工程量清单子目单价不同时，由评标委员会根据施工组织设计的编制情况投票确定其推荐顺序。 </w:t>
            </w:r>
          </w:p>
          <w:p w14:paraId="79FB2E41">
            <w:pPr>
              <w:pageBreakBefore w:val="0"/>
              <w:kinsoku/>
              <w:wordWrap w:val="0"/>
              <w:bidi w:val="0"/>
              <w:spacing w:line="360" w:lineRule="atLeas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1.</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lang w:eastAsia="zh-CN"/>
              </w:rPr>
              <w:t>通过第一个信封评审且参与第二个信封开标的投标人在3个及以上的，招标人将按规定的程序进行第二个信封开标；在对第二个信封进行评审后，有效投标不足3个使得投标明显缺乏竞争的，评标委员会可以否决这一标段的全部投标。评标委员会未否决全部投标的， 应当在评标报告中阐明理由并推荐这一标段中标候选人。</w:t>
            </w:r>
          </w:p>
          <w:p w14:paraId="3E328384">
            <w:pPr>
              <w:keepNext w:val="0"/>
              <w:keepLines w:val="0"/>
              <w:pageBreakBefore w:val="0"/>
              <w:widowControl/>
              <w:kinsoku/>
              <w:overflowPunct/>
              <w:topLinePunct w:val="0"/>
              <w:autoSpaceDE/>
              <w:autoSpaceDN/>
              <w:bidi w:val="0"/>
              <w:adjustRightInd/>
              <w:snapToGrid/>
              <w:spacing w:line="300" w:lineRule="auto"/>
              <w:ind w:firstLine="420" w:firstLineChars="200"/>
              <w:jc w:val="lef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1.5</w:t>
            </w:r>
            <w:r>
              <w:rPr>
                <w:rFonts w:hint="eastAsia" w:ascii="宋体" w:hAnsi="宋体" w:eastAsia="宋体" w:cs="宋体"/>
                <w:color w:val="auto"/>
                <w:szCs w:val="21"/>
                <w:highlight w:val="none"/>
                <w:lang w:eastAsia="zh-CN"/>
              </w:rPr>
              <w:t>通过第一个信封评审且参与第二个信封开标的投标人少于3个的，评标委员会可以否决这一标段全部投标；未否决这一标段全部投标的，评标委员会应当在评标报告中阐明理由，招标人将按规定的程序进行第二个信封开标，但评标委员会在进行第二个信封评审时仍有权否决这一标段全部投标；评标委员会未在第二个信封评审时否决全部投标的，应当在评标报告中阐明理由并推荐这一标段中标候选人。</w:t>
            </w:r>
          </w:p>
          <w:p w14:paraId="10661A9F">
            <w:pPr>
              <w:keepNext w:val="0"/>
              <w:keepLines w:val="0"/>
              <w:pageBreakBefore w:val="0"/>
              <w:widowControl/>
              <w:kinsoku/>
              <w:overflowPunct/>
              <w:topLinePunct w:val="0"/>
              <w:autoSpaceDE/>
              <w:autoSpaceDN/>
              <w:bidi w:val="0"/>
              <w:adjustRightInd/>
              <w:snapToGrid/>
              <w:spacing w:line="300" w:lineRule="auto"/>
              <w:ind w:firstLine="210" w:firstLineChars="100"/>
              <w:jc w:val="left"/>
              <w:textAlignment w:val="auto"/>
              <w:rPr>
                <w:rFonts w:hint="eastAsia" w:ascii="宋体" w:hAnsi="宋体" w:eastAsia="宋体" w:cs="宋体"/>
                <w:color w:val="auto"/>
                <w:highlight w:val="none"/>
                <w:lang w:eastAsia="zh-CN"/>
              </w:rPr>
            </w:pPr>
            <w:r>
              <w:rPr>
                <w:rFonts w:hint="eastAsia" w:ascii="宋体" w:hAnsi="宋体" w:eastAsia="宋体" w:cs="宋体"/>
                <w:color w:val="auto"/>
                <w:kern w:val="0"/>
                <w:szCs w:val="21"/>
                <w:highlight w:val="none"/>
                <w:lang w:bidi="ar"/>
              </w:rPr>
              <w:t>2.评标结果</w:t>
            </w:r>
          </w:p>
          <w:p w14:paraId="00C66250">
            <w:pPr>
              <w:keepNext w:val="0"/>
              <w:keepLines w:val="0"/>
              <w:pageBreakBefore w:val="0"/>
              <w:widowControl/>
              <w:kinsoku/>
              <w:overflowPunct/>
              <w:topLinePunct w:val="0"/>
              <w:autoSpaceDE/>
              <w:autoSpaceDN/>
              <w:bidi w:val="0"/>
              <w:adjustRightInd/>
              <w:snapToGrid/>
              <w:spacing w:line="300" w:lineRule="auto"/>
              <w:ind w:firstLine="210" w:firstLineChars="100"/>
              <w:jc w:val="left"/>
              <w:textAlignment w:val="auto"/>
              <w:rPr>
                <w:rFonts w:hint="eastAsia" w:ascii="宋体" w:hAnsi="宋体" w:eastAsia="宋体" w:cs="宋体"/>
                <w:color w:val="auto"/>
                <w:highlight w:val="none"/>
                <w:lang w:eastAsia="zh-CN"/>
              </w:rPr>
            </w:pPr>
            <w:r>
              <w:rPr>
                <w:rFonts w:hint="eastAsia" w:ascii="宋体" w:hAnsi="宋体" w:eastAsia="宋体" w:cs="宋体"/>
                <w:color w:val="auto"/>
                <w:kern w:val="0"/>
                <w:szCs w:val="21"/>
                <w:highlight w:val="none"/>
                <w:lang w:bidi="ar"/>
              </w:rPr>
              <w:t>2.1评标委员会按照评标方法的规定推荐中标候选人。</w:t>
            </w:r>
          </w:p>
          <w:p w14:paraId="453CD91D">
            <w:pPr>
              <w:keepNext w:val="0"/>
              <w:keepLines w:val="0"/>
              <w:pageBreakBefore w:val="0"/>
              <w:widowControl/>
              <w:kinsoku/>
              <w:overflowPunct/>
              <w:topLinePunct w:val="0"/>
              <w:autoSpaceDE/>
              <w:autoSpaceDN/>
              <w:bidi w:val="0"/>
              <w:adjustRightInd/>
              <w:snapToGrid/>
              <w:spacing w:line="300" w:lineRule="auto"/>
              <w:ind w:firstLine="210" w:firstLineChars="100"/>
              <w:jc w:val="left"/>
              <w:textAlignment w:val="auto"/>
              <w:rPr>
                <w:rFonts w:hint="eastAsia" w:ascii="宋体" w:hAnsi="宋体" w:eastAsia="宋体" w:cs="宋体"/>
                <w:color w:val="auto"/>
                <w:highlight w:val="none"/>
                <w:lang w:eastAsia="zh-CN"/>
              </w:rPr>
            </w:pPr>
            <w:r>
              <w:rPr>
                <w:rFonts w:hint="eastAsia" w:ascii="宋体" w:hAnsi="宋体" w:eastAsia="宋体" w:cs="宋体"/>
                <w:color w:val="auto"/>
                <w:kern w:val="0"/>
                <w:szCs w:val="21"/>
                <w:highlight w:val="none"/>
                <w:lang w:bidi="ar"/>
              </w:rPr>
              <w:t>2.2评标委员会完成评标后，应当向招标人提交书面评标报告。评标报告由评标委员会全</w:t>
            </w:r>
          </w:p>
          <w:p w14:paraId="10AA32B7">
            <w:pPr>
              <w:keepNext w:val="0"/>
              <w:keepLines w:val="0"/>
              <w:pageBreakBefore w:val="0"/>
              <w:widowControl/>
              <w:kinsoku/>
              <w:overflowPunct/>
              <w:topLinePunct w:val="0"/>
              <w:autoSpaceDE/>
              <w:autoSpaceDN/>
              <w:bidi w:val="0"/>
              <w:adjustRightInd/>
              <w:snapToGrid/>
              <w:spacing w:line="300" w:lineRule="auto"/>
              <w:ind w:firstLine="210" w:firstLineChars="100"/>
              <w:jc w:val="left"/>
              <w:textAlignment w:val="auto"/>
              <w:rPr>
                <w:rFonts w:hint="eastAsia" w:ascii="宋体" w:hAnsi="宋体" w:eastAsia="宋体" w:cs="宋体"/>
                <w:color w:val="auto"/>
                <w:highlight w:val="none"/>
                <w:lang w:eastAsia="zh-CN"/>
              </w:rPr>
            </w:pPr>
            <w:r>
              <w:rPr>
                <w:rFonts w:hint="eastAsia" w:ascii="宋体" w:hAnsi="宋体" w:eastAsia="宋体" w:cs="宋体"/>
                <w:color w:val="auto"/>
                <w:kern w:val="0"/>
                <w:szCs w:val="21"/>
                <w:highlight w:val="none"/>
                <w:lang w:bidi="ar"/>
              </w:rPr>
              <w:t>体成员签字。对评标结论持有异议的评标委员会成员可以书面方式阐述其不同意见和理</w:t>
            </w:r>
          </w:p>
          <w:p w14:paraId="3B2365F1">
            <w:pPr>
              <w:keepNext w:val="0"/>
              <w:keepLines w:val="0"/>
              <w:pageBreakBefore w:val="0"/>
              <w:widowControl/>
              <w:kinsoku/>
              <w:overflowPunct/>
              <w:topLinePunct w:val="0"/>
              <w:autoSpaceDE/>
              <w:autoSpaceDN/>
              <w:bidi w:val="0"/>
              <w:adjustRightInd/>
              <w:snapToGrid/>
              <w:spacing w:line="300" w:lineRule="auto"/>
              <w:ind w:firstLine="210" w:firstLineChars="100"/>
              <w:jc w:val="left"/>
              <w:textAlignment w:val="auto"/>
              <w:rPr>
                <w:rFonts w:hint="eastAsia" w:ascii="宋体" w:hAnsi="宋体" w:eastAsia="宋体" w:cs="宋体"/>
                <w:color w:val="auto"/>
                <w:highlight w:val="none"/>
                <w:lang w:eastAsia="zh-CN"/>
              </w:rPr>
            </w:pPr>
            <w:r>
              <w:rPr>
                <w:rFonts w:hint="eastAsia" w:ascii="宋体" w:hAnsi="宋体" w:eastAsia="宋体" w:cs="宋体"/>
                <w:color w:val="auto"/>
                <w:kern w:val="0"/>
                <w:szCs w:val="21"/>
                <w:highlight w:val="none"/>
                <w:lang w:bidi="ar"/>
              </w:rPr>
              <w:t>由。评标委员会成员拒绝在评标报告上签字且不陈述其不同意见和理由的，视为同意评标</w:t>
            </w:r>
          </w:p>
          <w:p w14:paraId="2AAE3CD3">
            <w:pPr>
              <w:keepNext w:val="0"/>
              <w:keepLines w:val="0"/>
              <w:pageBreakBefore w:val="0"/>
              <w:widowControl/>
              <w:kinsoku/>
              <w:overflowPunct/>
              <w:topLinePunct w:val="0"/>
              <w:autoSpaceDE/>
              <w:autoSpaceDN/>
              <w:bidi w:val="0"/>
              <w:adjustRightInd/>
              <w:snapToGrid/>
              <w:spacing w:line="300" w:lineRule="auto"/>
              <w:ind w:firstLine="210" w:firstLineChars="100"/>
              <w:jc w:val="left"/>
              <w:textAlignment w:val="auto"/>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结论。</w:t>
            </w:r>
          </w:p>
          <w:p w14:paraId="2EC06AEF">
            <w:pPr>
              <w:keepNext w:val="0"/>
              <w:keepLines w:val="0"/>
              <w:pageBreakBefore w:val="0"/>
              <w:widowControl/>
              <w:kinsoku/>
              <w:overflowPunct/>
              <w:topLinePunct w:val="0"/>
              <w:autoSpaceDE/>
              <w:autoSpaceDN/>
              <w:bidi w:val="0"/>
              <w:adjustRightInd/>
              <w:snapToGrid/>
              <w:spacing w:line="300" w:lineRule="auto"/>
              <w:ind w:firstLine="210" w:firstLineChars="100"/>
              <w:jc w:val="left"/>
              <w:textAlignment w:val="auto"/>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3、偏差率保留小数点后两位，小数点后第三位“四舍五入”。</w:t>
            </w:r>
          </w:p>
          <w:p w14:paraId="62B757D2">
            <w:pPr>
              <w:keepNext w:val="0"/>
              <w:keepLines w:val="0"/>
              <w:pageBreakBefore w:val="0"/>
              <w:widowControl/>
              <w:kinsoku/>
              <w:overflowPunct/>
              <w:topLinePunct w:val="0"/>
              <w:autoSpaceDE/>
              <w:autoSpaceDN/>
              <w:bidi w:val="0"/>
              <w:adjustRightInd/>
              <w:snapToGrid/>
              <w:spacing w:line="300" w:lineRule="auto"/>
              <w:ind w:firstLine="210" w:firstLineChars="100"/>
              <w:jc w:val="left"/>
              <w:textAlignment w:val="auto"/>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4、废标条款:</w:t>
            </w:r>
          </w:p>
          <w:p w14:paraId="00D3A25D">
            <w:pPr>
              <w:keepNext w:val="0"/>
              <w:keepLines w:val="0"/>
              <w:pageBreakBefore w:val="0"/>
              <w:widowControl/>
              <w:kinsoku/>
              <w:overflowPunct/>
              <w:topLinePunct w:val="0"/>
              <w:autoSpaceDE/>
              <w:autoSpaceDN/>
              <w:bidi w:val="0"/>
              <w:adjustRightInd/>
              <w:snapToGrid/>
              <w:spacing w:line="300" w:lineRule="auto"/>
              <w:ind w:firstLine="210" w:firstLineChars="100"/>
              <w:jc w:val="left"/>
              <w:textAlignment w:val="auto"/>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(1)在形式评审与响应性评审、资格评审中，评标委员会认定投标人的投标不符合评标办法前附表中规定的任何一项评审标准的</w:t>
            </w:r>
            <w:r>
              <w:rPr>
                <w:rFonts w:hint="eastAsia" w:ascii="宋体" w:hAnsi="宋体" w:cs="宋体"/>
                <w:color w:val="auto"/>
                <w:kern w:val="0"/>
                <w:szCs w:val="21"/>
                <w:highlight w:val="none"/>
                <w:lang w:val="en-US" w:eastAsia="zh-CN" w:bidi="ar"/>
              </w:rPr>
              <w:t>；</w:t>
            </w:r>
          </w:p>
          <w:p w14:paraId="3D9DD2DC">
            <w:pPr>
              <w:keepNext w:val="0"/>
              <w:keepLines w:val="0"/>
              <w:pageBreakBefore w:val="0"/>
              <w:widowControl/>
              <w:kinsoku/>
              <w:overflowPunct/>
              <w:topLinePunct w:val="0"/>
              <w:autoSpaceDE/>
              <w:autoSpaceDN/>
              <w:bidi w:val="0"/>
              <w:adjustRightInd/>
              <w:snapToGrid/>
              <w:spacing w:line="300" w:lineRule="auto"/>
              <w:ind w:firstLine="210" w:firstLineChars="100"/>
              <w:jc w:val="left"/>
              <w:textAlignment w:val="auto"/>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(2)评标委员会认定投标人以低于成本报价竞标的</w:t>
            </w:r>
            <w:r>
              <w:rPr>
                <w:rFonts w:hint="eastAsia" w:ascii="宋体" w:hAnsi="宋体" w:cs="宋体"/>
                <w:color w:val="auto"/>
                <w:kern w:val="0"/>
                <w:szCs w:val="21"/>
                <w:highlight w:val="none"/>
                <w:lang w:val="en-US" w:eastAsia="zh-CN" w:bidi="ar"/>
              </w:rPr>
              <w:t>；</w:t>
            </w:r>
          </w:p>
          <w:p w14:paraId="1D2A06AA">
            <w:pPr>
              <w:keepNext w:val="0"/>
              <w:keepLines w:val="0"/>
              <w:pageBreakBefore w:val="0"/>
              <w:widowControl/>
              <w:kinsoku/>
              <w:overflowPunct/>
              <w:topLinePunct w:val="0"/>
              <w:autoSpaceDE/>
              <w:autoSpaceDN/>
              <w:bidi w:val="0"/>
              <w:adjustRightInd/>
              <w:snapToGrid/>
              <w:spacing w:line="300" w:lineRule="auto"/>
              <w:ind w:firstLine="210" w:firstLineChars="100"/>
              <w:jc w:val="left"/>
              <w:textAlignment w:val="auto"/>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(3)与其他投标人的投标文件分部、分项报价错漏一致，且没有合理解释的</w:t>
            </w:r>
            <w:r>
              <w:rPr>
                <w:rFonts w:hint="eastAsia" w:ascii="宋体" w:hAnsi="宋体" w:cs="宋体"/>
                <w:color w:val="auto"/>
                <w:kern w:val="0"/>
                <w:szCs w:val="21"/>
                <w:highlight w:val="none"/>
                <w:lang w:val="en-US" w:eastAsia="zh-CN" w:bidi="ar"/>
              </w:rPr>
              <w:t>；</w:t>
            </w:r>
          </w:p>
          <w:p w14:paraId="6CE1D604">
            <w:pPr>
              <w:keepNext w:val="0"/>
              <w:keepLines w:val="0"/>
              <w:pageBreakBefore w:val="0"/>
              <w:widowControl/>
              <w:kinsoku/>
              <w:overflowPunct/>
              <w:topLinePunct w:val="0"/>
              <w:autoSpaceDE/>
              <w:autoSpaceDN/>
              <w:bidi w:val="0"/>
              <w:adjustRightInd/>
              <w:snapToGrid/>
              <w:spacing w:line="300" w:lineRule="auto"/>
              <w:ind w:firstLine="210" w:firstLineChars="100"/>
              <w:jc w:val="left"/>
              <w:textAlignment w:val="auto"/>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(4)与其他投标人的投标文件载明的项目管理班子成员出现重复的</w:t>
            </w:r>
            <w:r>
              <w:rPr>
                <w:rFonts w:hint="eastAsia" w:ascii="宋体" w:hAnsi="宋体" w:cs="宋体"/>
                <w:color w:val="auto"/>
                <w:kern w:val="0"/>
                <w:szCs w:val="21"/>
                <w:highlight w:val="none"/>
                <w:lang w:val="en-US" w:eastAsia="zh-CN" w:bidi="ar"/>
              </w:rPr>
              <w:t>；</w:t>
            </w:r>
          </w:p>
          <w:p w14:paraId="28D8C7AB">
            <w:pPr>
              <w:keepNext w:val="0"/>
              <w:keepLines w:val="0"/>
              <w:pageBreakBefore w:val="0"/>
              <w:widowControl/>
              <w:kinsoku/>
              <w:overflowPunct/>
              <w:topLinePunct w:val="0"/>
              <w:autoSpaceDE/>
              <w:autoSpaceDN/>
              <w:bidi w:val="0"/>
              <w:adjustRightInd/>
              <w:snapToGrid/>
              <w:spacing w:line="300" w:lineRule="auto"/>
              <w:ind w:firstLine="210" w:firstLineChars="100"/>
              <w:jc w:val="left"/>
              <w:textAlignment w:val="auto"/>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(5)不同投标人使用同一个人或者同一企业资金交纳投标保证金的</w:t>
            </w:r>
            <w:r>
              <w:rPr>
                <w:rFonts w:hint="eastAsia" w:ascii="宋体" w:hAnsi="宋体" w:cs="宋体"/>
                <w:color w:val="auto"/>
                <w:kern w:val="0"/>
                <w:szCs w:val="21"/>
                <w:highlight w:val="none"/>
                <w:lang w:val="en-US" w:eastAsia="zh-CN" w:bidi="ar"/>
              </w:rPr>
              <w:t>；</w:t>
            </w:r>
          </w:p>
          <w:p w14:paraId="6E15ADF1">
            <w:pPr>
              <w:keepNext w:val="0"/>
              <w:keepLines w:val="0"/>
              <w:pageBreakBefore w:val="0"/>
              <w:widowControl/>
              <w:kinsoku/>
              <w:overflowPunct/>
              <w:topLinePunct w:val="0"/>
              <w:autoSpaceDE/>
              <w:autoSpaceDN/>
              <w:bidi w:val="0"/>
              <w:adjustRightInd/>
              <w:snapToGrid/>
              <w:spacing w:line="300" w:lineRule="auto"/>
              <w:ind w:firstLine="210" w:firstLineChars="100"/>
              <w:jc w:val="left"/>
              <w:textAlignment w:val="auto"/>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(6)不同投标人聘请同一人为其投标提供技术或者经济咨询服务的</w:t>
            </w:r>
            <w:r>
              <w:rPr>
                <w:rFonts w:hint="eastAsia" w:ascii="宋体" w:hAnsi="宋体" w:cs="宋体"/>
                <w:color w:val="auto"/>
                <w:kern w:val="0"/>
                <w:szCs w:val="21"/>
                <w:highlight w:val="none"/>
                <w:lang w:val="en-US" w:eastAsia="zh-CN" w:bidi="ar"/>
              </w:rPr>
              <w:t>；</w:t>
            </w:r>
          </w:p>
          <w:p w14:paraId="45E2AC94">
            <w:pPr>
              <w:keepNext w:val="0"/>
              <w:keepLines w:val="0"/>
              <w:pageBreakBefore w:val="0"/>
              <w:widowControl/>
              <w:kinsoku/>
              <w:overflowPunct/>
              <w:topLinePunct w:val="0"/>
              <w:autoSpaceDE/>
              <w:autoSpaceDN/>
              <w:bidi w:val="0"/>
              <w:adjustRightInd/>
              <w:snapToGrid/>
              <w:spacing w:line="300" w:lineRule="auto"/>
              <w:ind w:firstLine="210" w:firstLineChars="100"/>
              <w:jc w:val="left"/>
              <w:textAlignment w:val="auto"/>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(7)与其他投标人的投标文件存在不应有的雷同</w:t>
            </w:r>
            <w:r>
              <w:rPr>
                <w:rFonts w:hint="eastAsia" w:ascii="宋体" w:hAnsi="宋体" w:cs="宋体"/>
                <w:color w:val="auto"/>
                <w:kern w:val="0"/>
                <w:szCs w:val="21"/>
                <w:highlight w:val="none"/>
                <w:lang w:val="en-US" w:eastAsia="zh-CN" w:bidi="ar"/>
              </w:rPr>
              <w:t>；</w:t>
            </w:r>
          </w:p>
          <w:p w14:paraId="22814F1B">
            <w:pPr>
              <w:keepNext w:val="0"/>
              <w:keepLines w:val="0"/>
              <w:pageBreakBefore w:val="0"/>
              <w:widowControl/>
              <w:kinsoku/>
              <w:overflowPunct/>
              <w:topLinePunct w:val="0"/>
              <w:autoSpaceDE/>
              <w:autoSpaceDN/>
              <w:bidi w:val="0"/>
              <w:adjustRightInd/>
              <w:snapToGrid/>
              <w:spacing w:line="300" w:lineRule="auto"/>
              <w:ind w:firstLine="210" w:firstLineChars="100"/>
              <w:jc w:val="left"/>
              <w:textAlignment w:val="auto"/>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(8)其他情况能够证明有陪标行为的</w:t>
            </w:r>
            <w:r>
              <w:rPr>
                <w:rFonts w:hint="eastAsia" w:ascii="宋体" w:hAnsi="宋体" w:cs="宋体"/>
                <w:color w:val="auto"/>
                <w:kern w:val="0"/>
                <w:szCs w:val="21"/>
                <w:highlight w:val="none"/>
                <w:lang w:val="en-US" w:eastAsia="zh-CN" w:bidi="ar"/>
              </w:rPr>
              <w:t>；</w:t>
            </w:r>
          </w:p>
          <w:p w14:paraId="261D25A4">
            <w:pPr>
              <w:keepNext w:val="0"/>
              <w:keepLines w:val="0"/>
              <w:pageBreakBefore w:val="0"/>
              <w:widowControl/>
              <w:kinsoku/>
              <w:overflowPunct/>
              <w:topLinePunct w:val="0"/>
              <w:autoSpaceDE/>
              <w:autoSpaceDN/>
              <w:bidi w:val="0"/>
              <w:adjustRightInd/>
              <w:snapToGrid/>
              <w:spacing w:line="300" w:lineRule="auto"/>
              <w:ind w:firstLine="210" w:firstLineChars="100"/>
              <w:jc w:val="left"/>
              <w:textAlignment w:val="auto"/>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(9)有串通投标或弄虚作假或有其他违法行为的</w:t>
            </w:r>
            <w:r>
              <w:rPr>
                <w:rFonts w:hint="eastAsia" w:ascii="宋体" w:hAnsi="宋体" w:cs="宋体"/>
                <w:color w:val="auto"/>
                <w:kern w:val="0"/>
                <w:szCs w:val="21"/>
                <w:highlight w:val="none"/>
                <w:lang w:val="en-US" w:eastAsia="zh-CN" w:bidi="ar"/>
              </w:rPr>
              <w:t>；</w:t>
            </w:r>
          </w:p>
          <w:p w14:paraId="3A7FCBD6">
            <w:pPr>
              <w:keepNext w:val="0"/>
              <w:keepLines w:val="0"/>
              <w:pageBreakBefore w:val="0"/>
              <w:widowControl/>
              <w:kinsoku/>
              <w:overflowPunct/>
              <w:topLinePunct w:val="0"/>
              <w:autoSpaceDE/>
              <w:autoSpaceDN/>
              <w:bidi w:val="0"/>
              <w:adjustRightInd/>
              <w:snapToGrid/>
              <w:spacing w:line="300" w:lineRule="auto"/>
              <w:ind w:firstLine="210" w:firstLineChars="100"/>
              <w:jc w:val="left"/>
              <w:textAlignment w:val="auto"/>
              <w:rPr>
                <w:rFonts w:hint="eastAsia" w:ascii="宋体" w:hAnsi="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(10)投标人不按评标委员会要求澄清、说明或补正的</w:t>
            </w:r>
            <w:r>
              <w:rPr>
                <w:rFonts w:hint="eastAsia" w:ascii="宋体" w:hAnsi="宋体" w:cs="宋体"/>
                <w:color w:val="auto"/>
                <w:kern w:val="0"/>
                <w:szCs w:val="21"/>
                <w:highlight w:val="none"/>
                <w:lang w:val="en-US" w:eastAsia="zh-CN" w:bidi="ar"/>
              </w:rPr>
              <w:t>；</w:t>
            </w:r>
          </w:p>
          <w:p w14:paraId="7A530B23">
            <w:pPr>
              <w:keepNext w:val="0"/>
              <w:keepLines w:val="0"/>
              <w:pageBreakBefore w:val="0"/>
              <w:widowControl/>
              <w:kinsoku/>
              <w:overflowPunct/>
              <w:topLinePunct w:val="0"/>
              <w:autoSpaceDE/>
              <w:autoSpaceDN/>
              <w:bidi w:val="0"/>
              <w:adjustRightInd/>
              <w:snapToGrid/>
              <w:spacing w:line="300" w:lineRule="auto"/>
              <w:ind w:firstLine="210" w:firstLineChars="100"/>
              <w:jc w:val="left"/>
              <w:textAlignment w:val="auto"/>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(11)不同投标人的投标报价或者报价组成异常一致或者呈规律性变化的:</w:t>
            </w:r>
          </w:p>
          <w:p w14:paraId="1098CA50">
            <w:pPr>
              <w:keepNext w:val="0"/>
              <w:keepLines w:val="0"/>
              <w:pageBreakBefore w:val="0"/>
              <w:widowControl/>
              <w:kinsoku/>
              <w:overflowPunct/>
              <w:topLinePunct w:val="0"/>
              <w:autoSpaceDE/>
              <w:autoSpaceDN/>
              <w:bidi w:val="0"/>
              <w:adjustRightInd/>
              <w:snapToGrid/>
              <w:spacing w:line="300" w:lineRule="auto"/>
              <w:ind w:firstLine="210" w:firstLineChars="100"/>
              <w:jc w:val="left"/>
              <w:textAlignment w:val="auto"/>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(12)投标文件附有招标人不能接受的条件</w:t>
            </w:r>
            <w:r>
              <w:rPr>
                <w:rFonts w:hint="eastAsia" w:ascii="宋体" w:hAnsi="宋体" w:cs="宋体"/>
                <w:color w:val="auto"/>
                <w:kern w:val="0"/>
                <w:szCs w:val="21"/>
                <w:highlight w:val="none"/>
                <w:lang w:val="en-US" w:eastAsia="zh-CN" w:bidi="ar"/>
              </w:rPr>
              <w:t>；</w:t>
            </w:r>
          </w:p>
          <w:p w14:paraId="5942AFAD">
            <w:pPr>
              <w:keepNext w:val="0"/>
              <w:keepLines w:val="0"/>
              <w:pageBreakBefore w:val="0"/>
              <w:widowControl/>
              <w:kinsoku/>
              <w:overflowPunct/>
              <w:topLinePunct w:val="0"/>
              <w:autoSpaceDE/>
              <w:autoSpaceDN/>
              <w:bidi w:val="0"/>
              <w:adjustRightInd/>
              <w:snapToGrid/>
              <w:spacing w:line="300" w:lineRule="auto"/>
              <w:ind w:firstLine="210" w:firstLineChars="100"/>
              <w:jc w:val="left"/>
              <w:textAlignment w:val="auto"/>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(13)不符合招标文件中规定的其他实质性要求的</w:t>
            </w:r>
            <w:r>
              <w:rPr>
                <w:rFonts w:hint="eastAsia" w:ascii="宋体" w:hAnsi="宋体" w:cs="宋体"/>
                <w:color w:val="auto"/>
                <w:kern w:val="0"/>
                <w:szCs w:val="21"/>
                <w:highlight w:val="none"/>
                <w:lang w:val="en-US" w:eastAsia="zh-CN" w:bidi="ar"/>
              </w:rPr>
              <w:t>；</w:t>
            </w:r>
          </w:p>
          <w:p w14:paraId="466E9EDB">
            <w:pPr>
              <w:keepNext w:val="0"/>
              <w:keepLines w:val="0"/>
              <w:pageBreakBefore w:val="0"/>
              <w:widowControl/>
              <w:kinsoku/>
              <w:overflowPunct/>
              <w:topLinePunct w:val="0"/>
              <w:autoSpaceDE/>
              <w:autoSpaceDN/>
              <w:bidi w:val="0"/>
              <w:adjustRightInd/>
              <w:snapToGrid/>
              <w:spacing w:line="300" w:lineRule="auto"/>
              <w:ind w:firstLine="210" w:firstLineChars="100"/>
              <w:jc w:val="left"/>
              <w:textAlignment w:val="auto"/>
              <w:rPr>
                <w:rFonts w:hint="default" w:ascii="Times New Roman" w:hAnsi="Times New Roman" w:cs="Times New Roman"/>
                <w:color w:val="auto"/>
                <w:szCs w:val="21"/>
                <w:highlight w:val="none"/>
              </w:rPr>
            </w:pPr>
            <w:r>
              <w:rPr>
                <w:rFonts w:hint="eastAsia" w:ascii="宋体" w:hAnsi="宋体" w:eastAsia="宋体" w:cs="宋体"/>
                <w:color w:val="auto"/>
                <w:kern w:val="0"/>
                <w:szCs w:val="21"/>
                <w:highlight w:val="none"/>
                <w:lang w:val="en-US" w:eastAsia="zh-CN" w:bidi="ar"/>
              </w:rPr>
              <w:t>(14)不同投标人的投标文件存在“MAC地址”、“文件创建标识码”、“文件制作机器码”等唯一性标识一致等情形。</w:t>
            </w:r>
          </w:p>
        </w:tc>
      </w:tr>
    </w:tbl>
    <w:p w14:paraId="46A5DAFE">
      <w:pPr>
        <w:pStyle w:val="5"/>
        <w:pageBreakBefore w:val="0"/>
        <w:kinsoku/>
        <w:wordWrap w:val="0"/>
        <w:bidi w:val="0"/>
        <w:spacing w:before="240" w:after="240" w:line="240" w:lineRule="atLeast"/>
        <w:jc w:val="both"/>
        <w:outlineLvl w:val="2"/>
        <w:rPr>
          <w:rFonts w:hint="default" w:ascii="Times New Roman" w:hAnsi="Times New Roman" w:eastAsia="黑体" w:cs="Times New Roman"/>
          <w:b w:val="0"/>
          <w:color w:val="auto"/>
          <w:sz w:val="28"/>
          <w:szCs w:val="28"/>
          <w:highlight w:val="none"/>
        </w:rPr>
      </w:pPr>
      <w:r>
        <w:rPr>
          <w:rFonts w:hint="default" w:ascii="Times New Roman" w:hAnsi="Times New Roman" w:cs="Times New Roman"/>
          <w:color w:val="auto"/>
          <w:sz w:val="20"/>
          <w:szCs w:val="20"/>
          <w:highlight w:val="none"/>
        </w:rPr>
        <w:br w:type="page"/>
      </w:r>
      <w:bookmarkStart w:id="370" w:name="_Toc8715"/>
      <w:bookmarkStart w:id="371" w:name="_Toc5363"/>
      <w:bookmarkStart w:id="372" w:name="_Toc234832933"/>
      <w:bookmarkStart w:id="373" w:name="_Toc12557"/>
      <w:bookmarkStart w:id="374" w:name="_Toc20703"/>
      <w:r>
        <w:rPr>
          <w:rFonts w:hint="default" w:ascii="Times New Roman" w:hAnsi="Times New Roman" w:eastAsia="黑体" w:cs="Times New Roman"/>
          <w:b w:val="0"/>
          <w:color w:val="auto"/>
          <w:sz w:val="28"/>
          <w:szCs w:val="28"/>
          <w:highlight w:val="none"/>
        </w:rPr>
        <w:t>1.评标方法</w:t>
      </w:r>
      <w:bookmarkEnd w:id="370"/>
      <w:bookmarkEnd w:id="371"/>
      <w:bookmarkEnd w:id="372"/>
      <w:bookmarkEnd w:id="373"/>
      <w:bookmarkEnd w:id="374"/>
    </w:p>
    <w:p w14:paraId="14BA9C9B">
      <w:pPr>
        <w:pageBreakBefore w:val="0"/>
        <w:kinsoku/>
        <w:wordWrap w:val="0"/>
        <w:bidi w:val="0"/>
        <w:spacing w:line="400" w:lineRule="atLeast"/>
        <w:ind w:firstLine="480" w:firstLineChars="200"/>
        <w:rPr>
          <w:rFonts w:hint="default" w:ascii="Times New Roman" w:hAnsi="Times New Roman" w:eastAsia="华文隶书" w:cs="Times New Roman"/>
          <w:color w:val="auto"/>
          <w:sz w:val="24"/>
          <w:highlight w:val="none"/>
        </w:rPr>
      </w:pPr>
      <w:r>
        <w:rPr>
          <w:rFonts w:hint="default" w:ascii="Times New Roman" w:hAnsi="Times New Roman" w:eastAsia="宋体" w:cs="Times New Roman"/>
          <w:color w:val="auto"/>
          <w:sz w:val="24"/>
          <w:highlight w:val="none"/>
        </w:rPr>
        <w:t>本次评标采用合理低价法。评标委员会对满足招标文件实质性要求的投标文件，按照本章第2.2款规定的评分标准进行打分，并按得分由高到低顺序推荐中标候选人，或根据招标人授权直接确定中标人，但投标报价低于其成本的除外。综合评分相等时，评标委员会应按照评标办法前附表规定的优先次序推荐中标候选人或确定中标人。</w:t>
      </w:r>
    </w:p>
    <w:p w14:paraId="007FE059">
      <w:pPr>
        <w:pStyle w:val="5"/>
        <w:pageBreakBefore w:val="0"/>
        <w:kinsoku/>
        <w:wordWrap w:val="0"/>
        <w:bidi w:val="0"/>
        <w:spacing w:before="240" w:after="240" w:line="240" w:lineRule="atLeast"/>
        <w:jc w:val="both"/>
        <w:outlineLvl w:val="2"/>
        <w:rPr>
          <w:rFonts w:hint="default" w:ascii="Times New Roman" w:hAnsi="Times New Roman" w:eastAsia="黑体" w:cs="Times New Roman"/>
          <w:b w:val="0"/>
          <w:color w:val="auto"/>
          <w:sz w:val="28"/>
          <w:szCs w:val="28"/>
          <w:highlight w:val="none"/>
        </w:rPr>
      </w:pPr>
      <w:bookmarkStart w:id="375" w:name="_Toc17057"/>
      <w:bookmarkStart w:id="376" w:name="_Toc32306"/>
      <w:bookmarkStart w:id="377" w:name="_Toc31114"/>
      <w:bookmarkStart w:id="378" w:name="_Toc234832934"/>
      <w:bookmarkStart w:id="379" w:name="_Toc8070"/>
      <w:r>
        <w:rPr>
          <w:rFonts w:hint="default" w:ascii="Times New Roman" w:hAnsi="Times New Roman" w:eastAsia="黑体" w:cs="Times New Roman"/>
          <w:b w:val="0"/>
          <w:color w:val="auto"/>
          <w:sz w:val="28"/>
          <w:szCs w:val="28"/>
          <w:highlight w:val="none"/>
        </w:rPr>
        <w:t>2.评审标准</w:t>
      </w:r>
      <w:bookmarkEnd w:id="375"/>
      <w:bookmarkEnd w:id="376"/>
      <w:bookmarkEnd w:id="377"/>
      <w:bookmarkEnd w:id="378"/>
      <w:bookmarkEnd w:id="379"/>
    </w:p>
    <w:p w14:paraId="3891977F">
      <w:pPr>
        <w:pageBreakBefore w:val="0"/>
        <w:kinsoku/>
        <w:wordWrap w:val="0"/>
        <w:bidi w:val="0"/>
        <w:spacing w:before="240" w:after="240" w:line="240" w:lineRule="atLeast"/>
        <w:outlineLvl w:val="9"/>
        <w:rPr>
          <w:rFonts w:hint="default" w:ascii="Times New Roman" w:hAnsi="Times New Roman" w:eastAsia="黑体" w:cs="Times New Roman"/>
          <w:b w:val="0"/>
          <w:color w:val="auto"/>
          <w:sz w:val="24"/>
          <w:szCs w:val="24"/>
          <w:highlight w:val="none"/>
        </w:rPr>
      </w:pPr>
      <w:bookmarkStart w:id="380" w:name="_Toc12147"/>
      <w:bookmarkStart w:id="381" w:name="_Toc234832935"/>
      <w:bookmarkStart w:id="382" w:name="_Toc23903"/>
      <w:r>
        <w:rPr>
          <w:rFonts w:hint="default" w:ascii="Times New Roman" w:hAnsi="Times New Roman" w:eastAsia="黑体" w:cs="Times New Roman"/>
          <w:b w:val="0"/>
          <w:color w:val="auto"/>
          <w:sz w:val="24"/>
          <w:szCs w:val="24"/>
          <w:highlight w:val="none"/>
        </w:rPr>
        <w:t>2.1初步评审标准</w:t>
      </w:r>
      <w:bookmarkEnd w:id="380"/>
      <w:bookmarkEnd w:id="381"/>
      <w:bookmarkEnd w:id="382"/>
    </w:p>
    <w:p w14:paraId="045AE09E">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2.1.1形式评审标准：见评标办法前附表。</w:t>
      </w:r>
    </w:p>
    <w:p w14:paraId="38694EB3">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2.1.2资格评审标准：见评标办法前附表。</w:t>
      </w:r>
    </w:p>
    <w:p w14:paraId="68CB529F">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2.1.3响应性评审标准：见评标办法前附表。</w:t>
      </w:r>
    </w:p>
    <w:p w14:paraId="5BB4B959">
      <w:pPr>
        <w:pageBreakBefore w:val="0"/>
        <w:kinsoku/>
        <w:wordWrap w:val="0"/>
        <w:bidi w:val="0"/>
        <w:spacing w:before="240" w:after="240" w:line="240" w:lineRule="atLeast"/>
        <w:outlineLvl w:val="9"/>
        <w:rPr>
          <w:rFonts w:hint="default" w:ascii="Times New Roman" w:hAnsi="Times New Roman" w:eastAsia="黑体" w:cs="Times New Roman"/>
          <w:b w:val="0"/>
          <w:color w:val="auto"/>
          <w:sz w:val="24"/>
          <w:szCs w:val="24"/>
          <w:highlight w:val="none"/>
        </w:rPr>
      </w:pPr>
      <w:bookmarkStart w:id="383" w:name="_Toc25127"/>
      <w:bookmarkStart w:id="384" w:name="_Toc24185"/>
      <w:bookmarkStart w:id="385" w:name="_Toc234832936"/>
      <w:r>
        <w:rPr>
          <w:rFonts w:hint="default" w:ascii="Times New Roman" w:hAnsi="Times New Roman" w:eastAsia="黑体" w:cs="Times New Roman"/>
          <w:b w:val="0"/>
          <w:color w:val="auto"/>
          <w:sz w:val="24"/>
          <w:szCs w:val="24"/>
          <w:highlight w:val="none"/>
        </w:rPr>
        <w:t>2.2分值构成与评分标准</w:t>
      </w:r>
      <w:bookmarkEnd w:id="383"/>
      <w:bookmarkEnd w:id="384"/>
      <w:bookmarkEnd w:id="385"/>
    </w:p>
    <w:p w14:paraId="3F615613">
      <w:pPr>
        <w:pageBreakBefore w:val="0"/>
        <w:tabs>
          <w:tab w:val="left" w:pos="360"/>
        </w:tabs>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2.2.1分值构成</w:t>
      </w:r>
    </w:p>
    <w:p w14:paraId="60A58E82">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评标价：见评标办法前附表。</w:t>
      </w:r>
    </w:p>
    <w:p w14:paraId="66140E8B">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2.2.2评标基准价计算</w:t>
      </w:r>
    </w:p>
    <w:p w14:paraId="06A8E125">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评标基准价计算方法：见评标办法前附表。</w:t>
      </w:r>
    </w:p>
    <w:p w14:paraId="615293F0">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2.2.3评标价的偏差率计算</w:t>
      </w:r>
    </w:p>
    <w:p w14:paraId="64A1121D">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评标价的偏差率计算公式：见评标办法前附表。</w:t>
      </w:r>
    </w:p>
    <w:p w14:paraId="35AB12F9">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2.2.4评分标准</w:t>
      </w:r>
    </w:p>
    <w:p w14:paraId="1E084CDA">
      <w:pPr>
        <w:pageBreakBefore w:val="0"/>
        <w:kinsoku/>
        <w:wordWrap w:val="0"/>
        <w:bidi w:val="0"/>
        <w:spacing w:line="400" w:lineRule="atLeast"/>
        <w:ind w:firstLine="480" w:firstLineChars="200"/>
        <w:rPr>
          <w:rFonts w:hint="default" w:ascii="Times New Roman" w:hAnsi="Times New Roman" w:eastAsia="隶书" w:cs="Times New Roman"/>
          <w:color w:val="auto"/>
          <w:sz w:val="24"/>
          <w:highlight w:val="none"/>
        </w:rPr>
      </w:pPr>
      <w:r>
        <w:rPr>
          <w:rFonts w:hint="default" w:ascii="Times New Roman" w:hAnsi="Times New Roman" w:eastAsia="宋体" w:cs="Times New Roman"/>
          <w:color w:val="auto"/>
          <w:sz w:val="24"/>
          <w:highlight w:val="none"/>
        </w:rPr>
        <w:t>评标价评分标准：见评标办法前附表。</w:t>
      </w:r>
    </w:p>
    <w:p w14:paraId="7131FEE4">
      <w:pPr>
        <w:pStyle w:val="5"/>
        <w:pageBreakBefore w:val="0"/>
        <w:kinsoku/>
        <w:wordWrap w:val="0"/>
        <w:bidi w:val="0"/>
        <w:spacing w:before="240" w:after="240" w:line="240" w:lineRule="atLeast"/>
        <w:jc w:val="both"/>
        <w:outlineLvl w:val="2"/>
        <w:rPr>
          <w:rFonts w:hint="default" w:ascii="Times New Roman" w:hAnsi="Times New Roman" w:eastAsia="黑体" w:cs="Times New Roman"/>
          <w:b w:val="0"/>
          <w:color w:val="auto"/>
          <w:sz w:val="28"/>
          <w:szCs w:val="28"/>
          <w:highlight w:val="none"/>
        </w:rPr>
      </w:pPr>
      <w:bookmarkStart w:id="386" w:name="_Toc22097"/>
      <w:bookmarkStart w:id="387" w:name="_Toc24625"/>
      <w:bookmarkStart w:id="388" w:name="_Toc26597"/>
      <w:bookmarkStart w:id="389" w:name="_Toc29729"/>
      <w:bookmarkStart w:id="390" w:name="_Toc234832937"/>
      <w:r>
        <w:rPr>
          <w:rFonts w:hint="default" w:ascii="Times New Roman" w:hAnsi="Times New Roman" w:eastAsia="黑体" w:cs="Times New Roman"/>
          <w:b w:val="0"/>
          <w:color w:val="auto"/>
          <w:sz w:val="28"/>
          <w:szCs w:val="28"/>
          <w:highlight w:val="none"/>
        </w:rPr>
        <w:t>3.评标程序</w:t>
      </w:r>
      <w:bookmarkEnd w:id="386"/>
      <w:bookmarkEnd w:id="387"/>
      <w:bookmarkEnd w:id="388"/>
      <w:bookmarkEnd w:id="389"/>
      <w:bookmarkEnd w:id="390"/>
    </w:p>
    <w:p w14:paraId="098FE157">
      <w:pPr>
        <w:pageBreakBefore w:val="0"/>
        <w:kinsoku/>
        <w:wordWrap w:val="0"/>
        <w:bidi w:val="0"/>
        <w:spacing w:before="240" w:after="240" w:line="240" w:lineRule="atLeast"/>
        <w:outlineLvl w:val="9"/>
        <w:rPr>
          <w:rFonts w:hint="default" w:ascii="Times New Roman" w:hAnsi="Times New Roman" w:eastAsia="黑体" w:cs="Times New Roman"/>
          <w:b w:val="0"/>
          <w:color w:val="auto"/>
          <w:sz w:val="24"/>
          <w:szCs w:val="24"/>
          <w:highlight w:val="none"/>
        </w:rPr>
      </w:pPr>
      <w:bookmarkStart w:id="391" w:name="_Toc12133"/>
      <w:bookmarkStart w:id="392" w:name="_Toc10579"/>
      <w:bookmarkStart w:id="393" w:name="_Toc234832938"/>
      <w:r>
        <w:rPr>
          <w:rFonts w:hint="default" w:ascii="Times New Roman" w:hAnsi="Times New Roman" w:eastAsia="黑体" w:cs="Times New Roman"/>
          <w:b w:val="0"/>
          <w:color w:val="auto"/>
          <w:sz w:val="24"/>
          <w:szCs w:val="24"/>
          <w:highlight w:val="none"/>
        </w:rPr>
        <w:t>3.1第一个信封初步评审</w:t>
      </w:r>
      <w:bookmarkEnd w:id="391"/>
      <w:bookmarkEnd w:id="392"/>
      <w:bookmarkEnd w:id="393"/>
    </w:p>
    <w:p w14:paraId="62F41D3C">
      <w:pPr>
        <w:pageBreakBefore w:val="0"/>
        <w:kinsoku/>
        <w:wordWrap w:val="0"/>
        <w:bidi w:val="0"/>
        <w:spacing w:line="400" w:lineRule="atLeast"/>
        <w:ind w:firstLine="480" w:firstLineChars="200"/>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3.1.1评标委员会依据本章第2.1款规定的评审标准对投标文件第一个信封（商务及技术文件）进行初步评审。有一项不符合评审标准的，评标委员会应否决其投标。</w:t>
      </w:r>
    </w:p>
    <w:p w14:paraId="1AB9E62F">
      <w:pPr>
        <w:pageBreakBefore w:val="0"/>
        <w:kinsoku/>
        <w:wordWrap w:val="0"/>
        <w:bidi w:val="0"/>
        <w:spacing w:line="400" w:lineRule="atLeast"/>
        <w:ind w:firstLine="480" w:firstLineChars="200"/>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3.1.2投标文件的标的、质量标准、工期等实质性要求和条件不得出现（存在）不利于招标人的偏差，否则，评标委员会应否决其投标。</w:t>
      </w:r>
    </w:p>
    <w:p w14:paraId="2CB5B4D6">
      <w:pPr>
        <w:pageBreakBefore w:val="0"/>
        <w:kinsoku/>
        <w:wordWrap w:val="0"/>
        <w:bidi w:val="0"/>
        <w:spacing w:line="400" w:lineRule="atLeast"/>
        <w:ind w:firstLine="480" w:firstLineChars="200"/>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3.1.3如果通过第一信封评审的有效投标不足3个，评标委员会应当对有效投标是否仍具有竞争性进行评审。评标委员会一致认为有效投标仍具有竞争性的，应当按规定的程序进行第二信封报价文件的评审，并在报告中予以说明。评标委员会对有效投标是否仍具备竞争性无法达成一致意见的，应当否决全部投标。</w:t>
      </w:r>
    </w:p>
    <w:p w14:paraId="0D15A457">
      <w:pPr>
        <w:pageBreakBefore w:val="0"/>
        <w:kinsoku/>
        <w:wordWrap w:val="0"/>
        <w:bidi w:val="0"/>
        <w:spacing w:line="400" w:lineRule="atLeast"/>
        <w:ind w:firstLine="480" w:firstLineChars="200"/>
        <w:outlineLvl w:val="9"/>
        <w:rPr>
          <w:rFonts w:hint="default" w:ascii="Times New Roman" w:hAnsi="Times New Roman" w:eastAsia="宋体" w:cs="Times New Roman"/>
          <w:color w:val="auto"/>
          <w:sz w:val="24"/>
          <w:highlight w:val="none"/>
        </w:rPr>
      </w:pPr>
    </w:p>
    <w:p w14:paraId="32833197">
      <w:pPr>
        <w:pageBreakBefore w:val="0"/>
        <w:kinsoku/>
        <w:wordWrap w:val="0"/>
        <w:bidi w:val="0"/>
        <w:spacing w:before="240" w:after="240" w:line="240" w:lineRule="atLeast"/>
        <w:outlineLvl w:val="9"/>
        <w:rPr>
          <w:rFonts w:hint="default" w:ascii="Times New Roman" w:hAnsi="Times New Roman" w:eastAsia="黑体" w:cs="Times New Roman"/>
          <w:b w:val="0"/>
          <w:color w:val="auto"/>
          <w:sz w:val="24"/>
          <w:szCs w:val="24"/>
          <w:highlight w:val="none"/>
        </w:rPr>
      </w:pPr>
      <w:bookmarkStart w:id="394" w:name="_Toc20429"/>
      <w:bookmarkStart w:id="395" w:name="_Toc13086"/>
      <w:r>
        <w:rPr>
          <w:rFonts w:hint="default" w:ascii="Times New Roman" w:hAnsi="Times New Roman" w:eastAsia="黑体" w:cs="Times New Roman"/>
          <w:b w:val="0"/>
          <w:color w:val="auto"/>
          <w:sz w:val="24"/>
          <w:szCs w:val="24"/>
          <w:highlight w:val="none"/>
        </w:rPr>
        <w:t>3.2第二个信封开标</w:t>
      </w:r>
      <w:bookmarkEnd w:id="394"/>
      <w:bookmarkEnd w:id="395"/>
    </w:p>
    <w:p w14:paraId="0B114ECE">
      <w:pPr>
        <w:pageBreakBefore w:val="0"/>
        <w:kinsoku/>
        <w:wordWrap w:val="0"/>
        <w:bidi w:val="0"/>
        <w:spacing w:line="400" w:lineRule="atLeast"/>
        <w:ind w:firstLine="480" w:firstLineChars="200"/>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第一个信封（商务及技术文件）评审结束后，招标人将按照第二章</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投标人须知</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第5.1款规定的时间和地点对通过投标文件第一个信封（商务及技术文件）评审的投标文件第二个信封（报价文件）进行开标。</w:t>
      </w:r>
    </w:p>
    <w:p w14:paraId="36B94B34">
      <w:pPr>
        <w:pageBreakBefore w:val="0"/>
        <w:kinsoku/>
        <w:wordWrap w:val="0"/>
        <w:bidi w:val="0"/>
        <w:spacing w:before="240" w:after="240" w:line="240" w:lineRule="atLeast"/>
        <w:outlineLvl w:val="9"/>
        <w:rPr>
          <w:rFonts w:hint="default" w:ascii="Times New Roman" w:hAnsi="Times New Roman" w:eastAsia="黑体" w:cs="Times New Roman"/>
          <w:b w:val="0"/>
          <w:color w:val="auto"/>
          <w:sz w:val="24"/>
          <w:szCs w:val="24"/>
          <w:highlight w:val="none"/>
        </w:rPr>
      </w:pPr>
      <w:bookmarkStart w:id="396" w:name="_Toc6484"/>
      <w:bookmarkStart w:id="397" w:name="_Toc25423"/>
      <w:r>
        <w:rPr>
          <w:rFonts w:hint="default" w:ascii="Times New Roman" w:hAnsi="Times New Roman" w:eastAsia="黑体" w:cs="Times New Roman"/>
          <w:b w:val="0"/>
          <w:color w:val="auto"/>
          <w:sz w:val="24"/>
          <w:szCs w:val="24"/>
          <w:highlight w:val="none"/>
        </w:rPr>
        <w:t>3.3第二个信封初步评审</w:t>
      </w:r>
      <w:bookmarkEnd w:id="396"/>
      <w:bookmarkEnd w:id="397"/>
    </w:p>
    <w:p w14:paraId="7D104BB8">
      <w:pPr>
        <w:pageBreakBefore w:val="0"/>
        <w:kinsoku/>
        <w:wordWrap w:val="0"/>
        <w:bidi w:val="0"/>
        <w:spacing w:line="400" w:lineRule="atLeast"/>
        <w:ind w:firstLine="480" w:firstLineChars="200"/>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3.3.</w:t>
      </w:r>
      <w:r>
        <w:rPr>
          <w:rFonts w:hint="eastAsia" w:cs="Times New Roman"/>
          <w:color w:val="auto"/>
          <w:sz w:val="24"/>
          <w:highlight w:val="none"/>
          <w:lang w:val="en-US" w:eastAsia="zh-CN"/>
        </w:rPr>
        <w:t>1</w:t>
      </w:r>
      <w:r>
        <w:rPr>
          <w:rFonts w:hint="default" w:ascii="Times New Roman" w:hAnsi="Times New Roman" w:eastAsia="宋体" w:cs="Times New Roman"/>
          <w:color w:val="auto"/>
          <w:sz w:val="24"/>
          <w:highlight w:val="none"/>
        </w:rPr>
        <w:t>评标委员会依据本章第2.1.1项、第2.1.3项规定的评审标准对投标文件第二个信封（报价文件）进行初步评审。有一项不符合评审标准的，评标委员会应否决其投标。</w:t>
      </w:r>
    </w:p>
    <w:p w14:paraId="5448887C">
      <w:pPr>
        <w:pageBreakBefore w:val="0"/>
        <w:kinsoku/>
        <w:wordWrap w:val="0"/>
        <w:bidi w:val="0"/>
        <w:spacing w:line="400" w:lineRule="atLeast"/>
        <w:ind w:firstLine="480" w:firstLineChars="200"/>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3.3.2</w:t>
      </w:r>
      <w:r>
        <w:rPr>
          <w:rFonts w:hint="default" w:ascii="Times New Roman" w:hAnsi="Times New Roman" w:eastAsia="宋体" w:cs="Times New Roman"/>
          <w:color w:val="auto"/>
          <w:highlight w:val="none"/>
          <w:vertAlign w:val="superscript"/>
        </w:rPr>
        <w:footnoteReference w:id="29"/>
      </w:r>
      <w:r>
        <w:rPr>
          <w:rFonts w:hint="default" w:ascii="Times New Roman" w:hAnsi="Times New Roman" w:eastAsia="宋体" w:cs="Times New Roman"/>
          <w:color w:val="auto"/>
          <w:sz w:val="24"/>
          <w:highlight w:val="none"/>
        </w:rPr>
        <w:t>投标报价有算术错误的，评标委员会按以下原则对投标报价进行修正，修正的价格经投标人书面确认后具有约束力。投标人不接受修正价格的，评标委员会应否决其投标。</w:t>
      </w:r>
    </w:p>
    <w:p w14:paraId="70AD7C97">
      <w:pPr>
        <w:pageBreakBefore w:val="0"/>
        <w:kinsoku/>
        <w:wordWrap w:val="0"/>
        <w:bidi w:val="0"/>
        <w:spacing w:line="400" w:lineRule="atLeast"/>
        <w:ind w:firstLine="480" w:firstLineChars="200"/>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（1）投标文件中的大写金额与小写金额不一致的，以大写金额为准；</w:t>
      </w:r>
    </w:p>
    <w:p w14:paraId="31C2B0AF">
      <w:pPr>
        <w:pageBreakBefore w:val="0"/>
        <w:kinsoku/>
        <w:wordWrap w:val="0"/>
        <w:bidi w:val="0"/>
        <w:spacing w:line="400" w:lineRule="atLeast"/>
        <w:ind w:firstLine="480" w:firstLineChars="200"/>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（2）总价金额与依据单价计算出的结果不一致的，以单价金额为准修正总价，但单价金额小数点有明显错误的除外；</w:t>
      </w:r>
    </w:p>
    <w:p w14:paraId="3B8F2B71">
      <w:pPr>
        <w:pageBreakBefore w:val="0"/>
        <w:kinsoku/>
        <w:wordWrap w:val="0"/>
        <w:bidi w:val="0"/>
        <w:spacing w:line="400" w:lineRule="atLeast"/>
        <w:ind w:firstLine="480" w:firstLineChars="200"/>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（3）当单价与数量相乘不等于合价时，以单价计算为准，如果单价有明显的小数点位置差错，应以标出的合价为准，同时对单价予以修正；</w:t>
      </w:r>
    </w:p>
    <w:p w14:paraId="3B46CCF3">
      <w:pPr>
        <w:pageBreakBefore w:val="0"/>
        <w:kinsoku/>
        <w:wordWrap w:val="0"/>
        <w:bidi w:val="0"/>
        <w:spacing w:line="400" w:lineRule="atLeast"/>
        <w:ind w:firstLine="480" w:firstLineChars="200"/>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（4）当各子目的合价累计不等于总价时，应以各子目合价累计数为准，修正总价。</w:t>
      </w:r>
    </w:p>
    <w:p w14:paraId="18D1E18C">
      <w:pPr>
        <w:pageBreakBefore w:val="0"/>
        <w:kinsoku/>
        <w:wordWrap w:val="0"/>
        <w:bidi w:val="0"/>
        <w:spacing w:line="400" w:lineRule="atLeast"/>
        <w:ind w:firstLine="480" w:firstLineChars="200"/>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3.3.3工程量清单中的投标报价有其他错误的，评标委员会按以下原则对投标报价进行修正，修正的价格经投标人书面确认后具有约束力。投标人不接受修正价格的，评标委员会应否决其投标。</w:t>
      </w:r>
    </w:p>
    <w:p w14:paraId="5B178F8C">
      <w:pPr>
        <w:pageBreakBefore w:val="0"/>
        <w:kinsoku/>
        <w:wordWrap w:val="0"/>
        <w:bidi w:val="0"/>
        <w:spacing w:line="400" w:lineRule="atLeast"/>
        <w:ind w:firstLine="480" w:firstLineChars="200"/>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在招标人给定的工程量清单中漏报了某个工程子目的单价、合价或总额价，或所报单价、合价或总额价减少了报价范围，则漏报的工程子目单价、合价和总额价或单价、合价和总额价中减少的报价内容视为已含入其他工程子目的单价、合价和总额价之中。</w:t>
      </w:r>
    </w:p>
    <w:p w14:paraId="5AB31395">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在招标人给定的工程量清单中多报了某个工程子目的单价、合价或总额价，或所报单价、合价或总额价增加了报价范围，则从投标报价中扣除多报的工程子目报价或工程子目报价中增加了报价范围的部分报价。</w:t>
      </w:r>
    </w:p>
    <w:p w14:paraId="55EAA003">
      <w:pPr>
        <w:pageBreakBefore w:val="0"/>
        <w:kinsoku/>
        <w:wordWrap w:val="0"/>
        <w:bidi w:val="0"/>
        <w:spacing w:line="400" w:lineRule="atLeast"/>
        <w:ind w:firstLine="480" w:firstLineChars="200"/>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（3）当单价与数量的乘积与合价（金额）虽然一致，但投标人修改了该子目的工程数量，则其合价按招标人给定的工程数量乘以投标人所报单价予以修正。</w:t>
      </w:r>
    </w:p>
    <w:p w14:paraId="769B6AB6">
      <w:pPr>
        <w:pageBreakBefore w:val="0"/>
        <w:kinsoku/>
        <w:wordWrap w:val="0"/>
        <w:bidi w:val="0"/>
        <w:spacing w:line="400" w:lineRule="atLeast"/>
        <w:ind w:firstLine="480" w:firstLineChars="200"/>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3.3.4修正后的最终投标报价若超过最高投标限价（如有），评标委员会应否决其投标。</w:t>
      </w:r>
    </w:p>
    <w:p w14:paraId="4F300F62">
      <w:pPr>
        <w:pageBreakBefore w:val="0"/>
        <w:kinsoku/>
        <w:wordWrap w:val="0"/>
        <w:bidi w:val="0"/>
        <w:spacing w:line="400" w:lineRule="atLeast"/>
        <w:ind w:firstLine="480" w:firstLineChars="200"/>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3.3.5修正后的最终投标报价仅作为签订合同的一个依据，不参与评标价得分的计算。</w:t>
      </w:r>
    </w:p>
    <w:p w14:paraId="72C853CA">
      <w:pPr>
        <w:pageBreakBefore w:val="0"/>
        <w:kinsoku/>
        <w:wordWrap w:val="0"/>
        <w:bidi w:val="0"/>
        <w:spacing w:before="240" w:after="240" w:line="240" w:lineRule="atLeast"/>
        <w:outlineLvl w:val="9"/>
        <w:rPr>
          <w:rFonts w:hint="default" w:ascii="Times New Roman" w:hAnsi="Times New Roman" w:eastAsia="黑体" w:cs="Times New Roman"/>
          <w:b w:val="0"/>
          <w:color w:val="auto"/>
          <w:sz w:val="24"/>
          <w:szCs w:val="24"/>
          <w:highlight w:val="none"/>
        </w:rPr>
      </w:pPr>
      <w:bookmarkStart w:id="398" w:name="_Toc32333"/>
      <w:bookmarkStart w:id="399" w:name="_Toc605"/>
      <w:bookmarkStart w:id="400" w:name="_Toc234832939"/>
      <w:r>
        <w:rPr>
          <w:rFonts w:hint="default" w:ascii="Times New Roman" w:hAnsi="Times New Roman" w:eastAsia="黑体" w:cs="Times New Roman"/>
          <w:b w:val="0"/>
          <w:color w:val="auto"/>
          <w:sz w:val="24"/>
          <w:szCs w:val="24"/>
          <w:highlight w:val="none"/>
        </w:rPr>
        <w:t>3.4第二个信封详细评审</w:t>
      </w:r>
      <w:bookmarkEnd w:id="398"/>
      <w:bookmarkEnd w:id="399"/>
      <w:bookmarkEnd w:id="400"/>
    </w:p>
    <w:p w14:paraId="2CA0CE25">
      <w:pPr>
        <w:pageBreakBefore w:val="0"/>
        <w:kinsoku/>
        <w:wordWrap w:val="0"/>
        <w:bidi w:val="0"/>
        <w:spacing w:line="400" w:lineRule="atLeast"/>
        <w:ind w:firstLine="480" w:firstLineChars="200"/>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3.4.1评标委员会按本章第2.2款规定的量化因素和分值进行打分，并计算出综合评估得分（即评标价得分）。</w:t>
      </w:r>
    </w:p>
    <w:p w14:paraId="1C8AE102">
      <w:pPr>
        <w:pageBreakBefore w:val="0"/>
        <w:kinsoku/>
        <w:wordWrap w:val="0"/>
        <w:bidi w:val="0"/>
        <w:spacing w:line="400" w:lineRule="atLeast"/>
        <w:ind w:firstLine="480" w:firstLineChars="200"/>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3.4.2投标人得分分值计算保留小数点后两位，小数点后第三位</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四舍五入</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w:t>
      </w:r>
    </w:p>
    <w:p w14:paraId="2E865C51">
      <w:pPr>
        <w:pageBreakBefore w:val="0"/>
        <w:kinsoku/>
        <w:wordWrap w:val="0"/>
        <w:bidi w:val="0"/>
        <w:spacing w:line="400" w:lineRule="atLeast"/>
        <w:ind w:firstLine="480" w:firstLineChars="200"/>
        <w:outlineLvl w:val="9"/>
        <w:rPr>
          <w:rFonts w:hint="default" w:ascii="Times New Roman" w:hAnsi="Times New Roman" w:eastAsia="隶书" w:cs="Times New Roman"/>
          <w:color w:val="auto"/>
          <w:sz w:val="24"/>
          <w:highlight w:val="none"/>
        </w:rPr>
      </w:pPr>
      <w:r>
        <w:rPr>
          <w:rFonts w:hint="default" w:ascii="Times New Roman" w:hAnsi="Times New Roman" w:eastAsia="宋体" w:cs="Times New Roman"/>
          <w:color w:val="auto"/>
          <w:sz w:val="24"/>
          <w:highlight w:val="none"/>
        </w:rPr>
        <w:t>3.4.3评标委员会发现投标人的报价明显低于其他投标报价，是有可能影响履约的异常低价，应按本章3.</w:t>
      </w:r>
      <w:r>
        <w:rPr>
          <w:rFonts w:hint="eastAsia" w:cs="Times New Roman"/>
          <w:color w:val="auto"/>
          <w:sz w:val="24"/>
          <w:highlight w:val="none"/>
          <w:lang w:val="en-US" w:eastAsia="zh-CN"/>
        </w:rPr>
        <w:t>6</w:t>
      </w:r>
      <w:r>
        <w:rPr>
          <w:rFonts w:hint="default" w:ascii="Times New Roman" w:hAnsi="Times New Roman" w:eastAsia="宋体" w:cs="Times New Roman"/>
          <w:color w:val="auto"/>
          <w:sz w:val="24"/>
          <w:highlight w:val="none"/>
        </w:rPr>
        <w:t>款的规定向投标人发出澄清，要求该投标人作出书面说明该报价的合理性并提供相应证明材料。当投标人不能合理说明并证明其报价的合理性的，评标委员会应以少数服从多数的原则否决其投标。</w:t>
      </w:r>
    </w:p>
    <w:p w14:paraId="4DC3085B">
      <w:pPr>
        <w:pageBreakBefore w:val="0"/>
        <w:kinsoku/>
        <w:wordWrap w:val="0"/>
        <w:bidi w:val="0"/>
        <w:spacing w:before="240" w:after="240" w:line="240" w:lineRule="atLeast"/>
        <w:outlineLvl w:val="9"/>
        <w:rPr>
          <w:rFonts w:hint="default" w:ascii="Times New Roman" w:hAnsi="Times New Roman" w:eastAsia="黑体" w:cs="Times New Roman"/>
          <w:b w:val="0"/>
          <w:color w:val="auto"/>
          <w:sz w:val="24"/>
          <w:szCs w:val="24"/>
          <w:highlight w:val="none"/>
        </w:rPr>
      </w:pPr>
      <w:bookmarkStart w:id="401" w:name="_Toc16625"/>
      <w:bookmarkStart w:id="402" w:name="_Toc20918"/>
      <w:r>
        <w:rPr>
          <w:rFonts w:hint="default" w:ascii="Times New Roman" w:hAnsi="Times New Roman" w:eastAsia="黑体" w:cs="Times New Roman"/>
          <w:b w:val="0"/>
          <w:color w:val="auto"/>
          <w:sz w:val="24"/>
          <w:szCs w:val="24"/>
          <w:highlight w:val="none"/>
        </w:rPr>
        <w:t>3.5投标文件相关信息的核查</w:t>
      </w:r>
      <w:bookmarkEnd w:id="401"/>
      <w:bookmarkEnd w:id="402"/>
    </w:p>
    <w:p w14:paraId="12214F4B">
      <w:pPr>
        <w:pageBreakBefore w:val="0"/>
        <w:kinsoku/>
        <w:wordWrap w:val="0"/>
        <w:bidi w:val="0"/>
        <w:spacing w:line="400" w:lineRule="atLeast"/>
        <w:ind w:firstLine="480" w:firstLineChars="200"/>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3.5.1在评标过程中，评标委员会应查询交通运输主管部门</w:t>
      </w:r>
      <w:r>
        <w:rPr>
          <w:rFonts w:hint="eastAsia" w:ascii="宋体" w:hAnsi="宋体" w:eastAsia="宋体" w:cs="宋体"/>
          <w:color w:val="auto"/>
          <w:sz w:val="24"/>
          <w:highlight w:val="none"/>
        </w:rPr>
        <w:t>“</w:t>
      </w:r>
      <w:r>
        <w:rPr>
          <w:rFonts w:hint="eastAsia" w:cs="Times New Roman"/>
          <w:color w:val="auto"/>
          <w:sz w:val="24"/>
          <w:highlight w:val="none"/>
          <w:lang w:eastAsia="zh-CN"/>
        </w:rPr>
        <w:t>全国公路建设市场监督管理系统</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，对投标人的资质、业绩、主要人员资历和目前在岗情况、信用等级等信息进行核实。若投标文件载明的信息与交通运输主管部门</w:t>
      </w:r>
      <w:r>
        <w:rPr>
          <w:rFonts w:hint="eastAsia" w:ascii="宋体" w:hAnsi="宋体" w:eastAsia="宋体" w:cs="宋体"/>
          <w:color w:val="auto"/>
          <w:sz w:val="24"/>
          <w:highlight w:val="none"/>
        </w:rPr>
        <w:t>“</w:t>
      </w:r>
      <w:r>
        <w:rPr>
          <w:rFonts w:hint="eastAsia" w:cs="Times New Roman"/>
          <w:color w:val="auto"/>
          <w:sz w:val="24"/>
          <w:highlight w:val="none"/>
          <w:lang w:eastAsia="zh-CN"/>
        </w:rPr>
        <w:t>全国公路建设市场监督管理系统</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发布的信息不符，使得投标人的资格条件不符合招标文件规定的，评标委员会应否决其投标。</w:t>
      </w:r>
    </w:p>
    <w:p w14:paraId="35F837A7">
      <w:pPr>
        <w:pageBreakBefore w:val="0"/>
        <w:kinsoku/>
        <w:wordWrap w:val="0"/>
        <w:bidi w:val="0"/>
        <w:spacing w:line="400" w:lineRule="atLeast"/>
        <w:ind w:firstLine="480" w:firstLineChars="200"/>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3.5.2评标委员会应对在评标过程中发现的投标人与投标人之间、投标人与招标人之间存在的串通投标的情形进行评审和认定。投标人存在串通投标、弄虚作假、行贿等违法行为的，评标委员会应否决其投标。</w:t>
      </w:r>
    </w:p>
    <w:p w14:paraId="4F29E17C">
      <w:pPr>
        <w:pageBreakBefore w:val="0"/>
        <w:kinsoku/>
        <w:wordWrap w:val="0"/>
        <w:bidi w:val="0"/>
        <w:spacing w:line="400" w:lineRule="atLeast"/>
        <w:ind w:firstLine="480" w:firstLineChars="200"/>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（1）有下列情形之一的，属于投标人相互串通投标：</w:t>
      </w:r>
    </w:p>
    <w:p w14:paraId="6F76E2D4">
      <w:pPr>
        <w:pageBreakBefore w:val="0"/>
        <w:kinsoku/>
        <w:wordWrap w:val="0"/>
        <w:bidi w:val="0"/>
        <w:spacing w:line="400" w:lineRule="atLeast"/>
        <w:ind w:firstLine="480" w:firstLineChars="200"/>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a.投标人之间协商投标报价等投标文件的实质性内容；</w:t>
      </w:r>
    </w:p>
    <w:p w14:paraId="2ECCA4F3">
      <w:pPr>
        <w:pageBreakBefore w:val="0"/>
        <w:kinsoku/>
        <w:wordWrap w:val="0"/>
        <w:bidi w:val="0"/>
        <w:spacing w:line="400" w:lineRule="atLeast"/>
        <w:ind w:firstLine="480" w:firstLineChars="200"/>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b.投标人之间约定中标人；</w:t>
      </w:r>
    </w:p>
    <w:p w14:paraId="339F3B77">
      <w:pPr>
        <w:pageBreakBefore w:val="0"/>
        <w:kinsoku/>
        <w:wordWrap w:val="0"/>
        <w:bidi w:val="0"/>
        <w:spacing w:line="400" w:lineRule="atLeast"/>
        <w:ind w:firstLine="480" w:firstLineChars="200"/>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c.投标人之间约定部分投标人放弃投标或中标；</w:t>
      </w:r>
    </w:p>
    <w:p w14:paraId="0C3C3501">
      <w:pPr>
        <w:pageBreakBefore w:val="0"/>
        <w:kinsoku/>
        <w:wordWrap w:val="0"/>
        <w:bidi w:val="0"/>
        <w:spacing w:line="400" w:lineRule="atLeast"/>
        <w:ind w:firstLine="480" w:firstLineChars="200"/>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d.属于同一集团、协会、商会等组织成员的投标人按照该组织要求协同投标；</w:t>
      </w:r>
    </w:p>
    <w:p w14:paraId="7113970C">
      <w:pPr>
        <w:pageBreakBefore w:val="0"/>
        <w:kinsoku/>
        <w:wordWrap w:val="0"/>
        <w:bidi w:val="0"/>
        <w:spacing w:line="400" w:lineRule="atLeast"/>
        <w:ind w:firstLine="480" w:firstLineChars="200"/>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e.投标人之间为谋取中标或排斥特定投标人而采取的其他联合行动。</w:t>
      </w:r>
    </w:p>
    <w:p w14:paraId="4BD710F8">
      <w:pPr>
        <w:pageBreakBefore w:val="0"/>
        <w:kinsoku/>
        <w:wordWrap w:val="0"/>
        <w:bidi w:val="0"/>
        <w:spacing w:line="400" w:lineRule="atLeast"/>
        <w:ind w:firstLine="480" w:firstLineChars="200"/>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（2）有下列情形之一的，视为投标人相互串通投标：</w:t>
      </w:r>
    </w:p>
    <w:p w14:paraId="02297B7E">
      <w:pPr>
        <w:pageBreakBefore w:val="0"/>
        <w:kinsoku/>
        <w:wordWrap w:val="0"/>
        <w:bidi w:val="0"/>
        <w:spacing w:line="400" w:lineRule="atLeast"/>
        <w:ind w:firstLine="480" w:firstLineChars="200"/>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a.不同投标人的投标文件由同一单位或个人编制；</w:t>
      </w:r>
    </w:p>
    <w:p w14:paraId="1B66164E">
      <w:pPr>
        <w:pageBreakBefore w:val="0"/>
        <w:kinsoku/>
        <w:wordWrap w:val="0"/>
        <w:bidi w:val="0"/>
        <w:spacing w:line="400" w:lineRule="atLeast"/>
        <w:ind w:firstLine="480" w:firstLineChars="200"/>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b.不同投标人委托同一单位或个人办理投标事宜；</w:t>
      </w:r>
    </w:p>
    <w:p w14:paraId="0C9C4E11">
      <w:pPr>
        <w:pageBreakBefore w:val="0"/>
        <w:kinsoku/>
        <w:wordWrap w:val="0"/>
        <w:bidi w:val="0"/>
        <w:spacing w:line="400" w:lineRule="atLeast"/>
        <w:ind w:firstLine="480" w:firstLineChars="200"/>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c.不同投标人的投标文件载明的项目管理成员为同一人；</w:t>
      </w:r>
    </w:p>
    <w:p w14:paraId="422F3C2F">
      <w:pPr>
        <w:pageBreakBefore w:val="0"/>
        <w:kinsoku/>
        <w:wordWrap w:val="0"/>
        <w:bidi w:val="0"/>
        <w:spacing w:line="400" w:lineRule="atLeast"/>
        <w:ind w:firstLine="480" w:firstLineChars="200"/>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d.不同投标人的投标文件异常一致或投标报价呈规律性差异；</w:t>
      </w:r>
    </w:p>
    <w:p w14:paraId="72DF1DAC">
      <w:pPr>
        <w:pageBreakBefore w:val="0"/>
        <w:kinsoku/>
        <w:wordWrap w:val="0"/>
        <w:bidi w:val="0"/>
        <w:spacing w:line="400" w:lineRule="atLeast"/>
        <w:ind w:firstLine="480" w:firstLineChars="200"/>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e.不同投标人的投标文件相互混装；</w:t>
      </w:r>
    </w:p>
    <w:p w14:paraId="1ACDAE45">
      <w:pPr>
        <w:pageBreakBefore w:val="0"/>
        <w:kinsoku/>
        <w:wordWrap w:val="0"/>
        <w:bidi w:val="0"/>
        <w:spacing w:line="400" w:lineRule="atLeast"/>
        <w:ind w:firstLine="480" w:firstLineChars="200"/>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f.不同投标人的投标保证金从同一单位或个人的账户转出。</w:t>
      </w:r>
    </w:p>
    <w:p w14:paraId="4CB96FA4">
      <w:pPr>
        <w:pageBreakBefore w:val="0"/>
        <w:kinsoku/>
        <w:wordWrap w:val="0"/>
        <w:bidi w:val="0"/>
        <w:spacing w:line="400" w:lineRule="atLeast"/>
        <w:ind w:firstLine="480" w:firstLineChars="200"/>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（3）有下列情形之一的，属于招标人与投标人串通投标：</w:t>
      </w:r>
    </w:p>
    <w:p w14:paraId="06AA49A2">
      <w:pPr>
        <w:pageBreakBefore w:val="0"/>
        <w:kinsoku/>
        <w:wordWrap w:val="0"/>
        <w:bidi w:val="0"/>
        <w:spacing w:line="400" w:lineRule="atLeast"/>
        <w:ind w:firstLine="480" w:firstLineChars="200"/>
        <w:outlineLvl w:val="9"/>
        <w:rPr>
          <w:rFonts w:hint="eastAsia"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rPr>
        <w:t>a.招标人在开标前开启投标文件并将有关信息泄露给其他投标人</w:t>
      </w:r>
      <w:r>
        <w:rPr>
          <w:rFonts w:hint="eastAsia" w:cs="Times New Roman"/>
          <w:color w:val="auto"/>
          <w:sz w:val="24"/>
          <w:highlight w:val="none"/>
          <w:lang w:eastAsia="zh-CN"/>
        </w:rPr>
        <w:t>；</w:t>
      </w:r>
    </w:p>
    <w:p w14:paraId="093D7E59">
      <w:pPr>
        <w:pageBreakBefore w:val="0"/>
        <w:kinsoku/>
        <w:wordWrap w:val="0"/>
        <w:bidi w:val="0"/>
        <w:spacing w:line="400" w:lineRule="atLeast"/>
        <w:ind w:firstLine="480" w:firstLineChars="200"/>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b.招标人直接或间接向投标人泄露标底、评标委员会成员等信息；</w:t>
      </w:r>
    </w:p>
    <w:p w14:paraId="0158E914">
      <w:pPr>
        <w:pageBreakBefore w:val="0"/>
        <w:kinsoku/>
        <w:wordWrap w:val="0"/>
        <w:bidi w:val="0"/>
        <w:spacing w:line="400" w:lineRule="atLeast"/>
        <w:ind w:firstLine="480" w:firstLineChars="200"/>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c.招标人明示或暗示投标人压低或抬高投标报价；</w:t>
      </w:r>
    </w:p>
    <w:p w14:paraId="2773E630">
      <w:pPr>
        <w:pageBreakBefore w:val="0"/>
        <w:kinsoku/>
        <w:wordWrap w:val="0"/>
        <w:bidi w:val="0"/>
        <w:spacing w:line="400" w:lineRule="atLeast"/>
        <w:ind w:firstLine="480" w:firstLineChars="200"/>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d.招标人授意投标人撤换、修改投标文件；</w:t>
      </w:r>
    </w:p>
    <w:p w14:paraId="4A3A7477">
      <w:pPr>
        <w:pageBreakBefore w:val="0"/>
        <w:kinsoku/>
        <w:wordWrap w:val="0"/>
        <w:bidi w:val="0"/>
        <w:spacing w:line="400" w:lineRule="atLeast"/>
        <w:ind w:firstLine="480" w:firstLineChars="200"/>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e.招标人明示或暗示投标人为特定投标人中标提供方便；</w:t>
      </w:r>
    </w:p>
    <w:p w14:paraId="2734786A">
      <w:pPr>
        <w:pageBreakBefore w:val="0"/>
        <w:kinsoku/>
        <w:wordWrap w:val="0"/>
        <w:bidi w:val="0"/>
        <w:spacing w:line="400" w:lineRule="atLeast"/>
        <w:ind w:firstLine="480" w:firstLineChars="200"/>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f.招标人与投标人为谋求特定投标人中标而采取的其他串通行为。</w:t>
      </w:r>
    </w:p>
    <w:p w14:paraId="33226F20">
      <w:pPr>
        <w:pageBreakBefore w:val="0"/>
        <w:kinsoku/>
        <w:wordWrap w:val="0"/>
        <w:bidi w:val="0"/>
        <w:spacing w:line="400" w:lineRule="atLeast"/>
        <w:ind w:firstLine="480" w:firstLineChars="200"/>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（4）投标人有下列情形之一的，属于弄虚作假的行为：</w:t>
      </w:r>
    </w:p>
    <w:p w14:paraId="40A0BC63">
      <w:pPr>
        <w:pageBreakBefore w:val="0"/>
        <w:kinsoku/>
        <w:wordWrap w:val="0"/>
        <w:bidi w:val="0"/>
        <w:spacing w:line="400" w:lineRule="atLeast"/>
        <w:ind w:firstLine="480" w:firstLineChars="200"/>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a.使用通过受让或租借等方式获取的资格、资质证书投标；</w:t>
      </w:r>
    </w:p>
    <w:p w14:paraId="1A0ABD32">
      <w:pPr>
        <w:pageBreakBefore w:val="0"/>
        <w:kinsoku/>
        <w:wordWrap w:val="0"/>
        <w:bidi w:val="0"/>
        <w:spacing w:line="400" w:lineRule="atLeast"/>
        <w:ind w:firstLine="480" w:firstLineChars="200"/>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b.使用伪造、变造的许可证件；</w:t>
      </w:r>
    </w:p>
    <w:p w14:paraId="098A1169">
      <w:pPr>
        <w:pageBreakBefore w:val="0"/>
        <w:kinsoku/>
        <w:wordWrap w:val="0"/>
        <w:bidi w:val="0"/>
        <w:spacing w:line="400" w:lineRule="atLeast"/>
        <w:ind w:firstLine="480" w:firstLineChars="200"/>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c.提供虚假的财务状况或业绩；</w:t>
      </w:r>
    </w:p>
    <w:p w14:paraId="17E38B1C">
      <w:pPr>
        <w:pageBreakBefore w:val="0"/>
        <w:kinsoku/>
        <w:wordWrap w:val="0"/>
        <w:bidi w:val="0"/>
        <w:spacing w:line="400" w:lineRule="atLeast"/>
        <w:ind w:firstLine="480" w:firstLineChars="200"/>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d.提供虚假的项目负责人或主要技术人员简历、劳动关系证明；</w:t>
      </w:r>
    </w:p>
    <w:p w14:paraId="5763A65B">
      <w:pPr>
        <w:pageBreakBefore w:val="0"/>
        <w:kinsoku/>
        <w:wordWrap w:val="0"/>
        <w:bidi w:val="0"/>
        <w:spacing w:line="400" w:lineRule="atLeast"/>
        <w:ind w:firstLine="480" w:firstLineChars="200"/>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e.提供虚假的信用状况；</w:t>
      </w:r>
    </w:p>
    <w:p w14:paraId="1E2B7735">
      <w:pPr>
        <w:pageBreakBefore w:val="0"/>
        <w:kinsoku/>
        <w:wordWrap w:val="0"/>
        <w:bidi w:val="0"/>
        <w:spacing w:line="400" w:lineRule="atLeast"/>
        <w:ind w:firstLine="480" w:firstLineChars="200"/>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f.其他弄虚作假的行为。</w:t>
      </w:r>
    </w:p>
    <w:p w14:paraId="5B589FAE">
      <w:pPr>
        <w:pageBreakBefore w:val="0"/>
        <w:kinsoku/>
        <w:wordWrap w:val="0"/>
        <w:bidi w:val="0"/>
        <w:spacing w:before="240" w:after="240" w:line="400" w:lineRule="atLeast"/>
        <w:outlineLvl w:val="9"/>
        <w:rPr>
          <w:rFonts w:hint="default" w:ascii="Times New Roman" w:hAnsi="Times New Roman" w:eastAsia="黑体" w:cs="Times New Roman"/>
          <w:b w:val="0"/>
          <w:color w:val="auto"/>
          <w:sz w:val="24"/>
          <w:szCs w:val="24"/>
          <w:highlight w:val="none"/>
        </w:rPr>
      </w:pPr>
      <w:bookmarkStart w:id="403" w:name="_Toc29213"/>
      <w:bookmarkStart w:id="404" w:name="_Toc15234"/>
      <w:bookmarkStart w:id="405" w:name="_Toc234832940"/>
      <w:r>
        <w:rPr>
          <w:rFonts w:hint="default" w:ascii="Times New Roman" w:hAnsi="Times New Roman" w:eastAsia="黑体" w:cs="Times New Roman"/>
          <w:b w:val="0"/>
          <w:color w:val="auto"/>
          <w:sz w:val="24"/>
          <w:szCs w:val="24"/>
          <w:highlight w:val="none"/>
        </w:rPr>
        <w:t>3.6投标文件的澄清和说明</w:t>
      </w:r>
      <w:bookmarkEnd w:id="403"/>
      <w:bookmarkEnd w:id="404"/>
    </w:p>
    <w:p w14:paraId="6BF1F527">
      <w:pPr>
        <w:pageBreakBefore w:val="0"/>
        <w:kinsoku/>
        <w:wordWrap w:val="0"/>
        <w:bidi w:val="0"/>
        <w:spacing w:line="400" w:lineRule="atLeast"/>
        <w:ind w:firstLine="480" w:firstLineChars="200"/>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3.6.1在评标过程中，评标委员会可以书面形式要求投标人对投标文件中含义不明确的内容、明显文字或计算错误进行书面澄清或说明。评标委员会不接受投标人主动提出的澄清、说明。投标人不按评标委员会要求澄清或说明的，评标委员会应否决其投标。</w:t>
      </w:r>
    </w:p>
    <w:p w14:paraId="01C62AAF">
      <w:pPr>
        <w:pageBreakBefore w:val="0"/>
        <w:kinsoku/>
        <w:wordWrap w:val="0"/>
        <w:bidi w:val="0"/>
        <w:spacing w:line="400" w:lineRule="atLeast"/>
        <w:ind w:firstLine="480" w:firstLineChars="200"/>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3.6.2澄清和说明不得超出投标文件的范围或改变投标文件的实质性内容（算术性错误的修正除外）。投标人的书面澄清、说明属于投标文件的组成部分。</w:t>
      </w:r>
    </w:p>
    <w:p w14:paraId="106AB99B">
      <w:pPr>
        <w:pageBreakBefore w:val="0"/>
        <w:kinsoku/>
        <w:wordWrap w:val="0"/>
        <w:bidi w:val="0"/>
        <w:spacing w:line="400" w:lineRule="atLeast"/>
        <w:ind w:firstLine="480" w:firstLineChars="200"/>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3.6.3评标委员会不得暗示或诱导投标人作出澄清、说明，对投标人提交的澄清、说明有疑问的，可以要求投标人进一步澄清或说明，直至满足评标委员会的要求。</w:t>
      </w:r>
      <w:bookmarkEnd w:id="405"/>
    </w:p>
    <w:p w14:paraId="399F71F7">
      <w:pPr>
        <w:pageBreakBefore w:val="0"/>
        <w:kinsoku/>
        <w:wordWrap w:val="0"/>
        <w:bidi w:val="0"/>
        <w:spacing w:line="400" w:lineRule="atLeast"/>
        <w:ind w:firstLine="480" w:firstLineChars="200"/>
        <w:outlineLvl w:val="9"/>
        <w:rPr>
          <w:rFonts w:hint="default" w:ascii="Times New Roman" w:hAnsi="Times New Roman" w:eastAsia="隶书" w:cs="Times New Roman"/>
          <w:color w:val="auto"/>
          <w:sz w:val="24"/>
          <w:highlight w:val="none"/>
        </w:rPr>
      </w:pPr>
      <w:r>
        <w:rPr>
          <w:rFonts w:hint="default" w:ascii="Times New Roman" w:hAnsi="Times New Roman" w:eastAsia="宋体" w:cs="Times New Roman"/>
          <w:color w:val="auto"/>
          <w:sz w:val="24"/>
          <w:highlight w:val="none"/>
        </w:rPr>
        <w:t>3.6.4凡超出招标文件规定的或给发包人带来未曾要求的利益的变化、偏差或其他因素在评标时不予考虑。</w:t>
      </w:r>
    </w:p>
    <w:p w14:paraId="4E64FD55">
      <w:pPr>
        <w:pageBreakBefore w:val="0"/>
        <w:kinsoku/>
        <w:wordWrap w:val="0"/>
        <w:bidi w:val="0"/>
        <w:spacing w:before="240" w:after="240" w:line="400" w:lineRule="atLeast"/>
        <w:outlineLvl w:val="9"/>
        <w:rPr>
          <w:rFonts w:hint="default" w:ascii="Times New Roman" w:hAnsi="Times New Roman" w:eastAsia="黑体" w:cs="Times New Roman"/>
          <w:b w:val="0"/>
          <w:color w:val="auto"/>
          <w:sz w:val="24"/>
          <w:szCs w:val="24"/>
          <w:highlight w:val="none"/>
        </w:rPr>
      </w:pPr>
      <w:bookmarkStart w:id="406" w:name="_Toc18964"/>
      <w:bookmarkStart w:id="407" w:name="_Toc7796"/>
      <w:r>
        <w:rPr>
          <w:rFonts w:hint="default" w:ascii="Times New Roman" w:hAnsi="Times New Roman" w:eastAsia="黑体" w:cs="Times New Roman"/>
          <w:b w:val="0"/>
          <w:color w:val="auto"/>
          <w:sz w:val="24"/>
          <w:szCs w:val="24"/>
          <w:highlight w:val="none"/>
        </w:rPr>
        <w:t>3</w:t>
      </w:r>
      <w:r>
        <w:rPr>
          <w:rFonts w:hint="default" w:ascii="Times New Roman" w:hAnsi="Times New Roman" w:eastAsia="黑体" w:cs="Times New Roman"/>
          <w:b w:val="0"/>
          <w:color w:val="auto"/>
          <w:sz w:val="24"/>
          <w:szCs w:val="24"/>
          <w:highlight w:val="none"/>
          <w:lang w:eastAsia="zh-CN"/>
        </w:rPr>
        <w:t>.</w:t>
      </w:r>
      <w:r>
        <w:rPr>
          <w:rFonts w:hint="default" w:ascii="Times New Roman" w:hAnsi="Times New Roman" w:eastAsia="黑体" w:cs="Times New Roman"/>
          <w:b w:val="0"/>
          <w:color w:val="auto"/>
          <w:sz w:val="24"/>
          <w:szCs w:val="24"/>
          <w:highlight w:val="none"/>
        </w:rPr>
        <w:t>7不得否决投标的情形</w:t>
      </w:r>
      <w:bookmarkEnd w:id="406"/>
      <w:bookmarkEnd w:id="407"/>
    </w:p>
    <w:p w14:paraId="7FD1F7B9">
      <w:pPr>
        <w:pageBreakBefore w:val="0"/>
        <w:kinsoku/>
        <w:wordWrap w:val="0"/>
        <w:bidi w:val="0"/>
        <w:spacing w:line="400" w:lineRule="atLeast"/>
        <w:ind w:firstLine="480" w:firstLineChars="200"/>
        <w:outlineLvl w:val="9"/>
        <w:rPr>
          <w:rFonts w:hint="default" w:ascii="Times New Roman" w:hAnsi="Times New Roman" w:eastAsia="隶书" w:cs="Times New Roman"/>
          <w:color w:val="auto"/>
          <w:sz w:val="24"/>
          <w:highlight w:val="none"/>
        </w:rPr>
      </w:pPr>
      <w:r>
        <w:rPr>
          <w:rFonts w:hint="default" w:ascii="Times New Roman" w:hAnsi="Times New Roman" w:eastAsia="宋体" w:cs="Times New Roman"/>
          <w:color w:val="auto"/>
          <w:sz w:val="24"/>
          <w:highlight w:val="none"/>
        </w:rPr>
        <w:t>投标文件存在第二章</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投标人须知</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第1.12.3项所列情形的，均视为细微偏差，评标委员会不得否决投标人的投标，应按照第二章</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投标人须知</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第1.12.4项规定的原则处理。</w:t>
      </w:r>
    </w:p>
    <w:p w14:paraId="3A02E208">
      <w:pPr>
        <w:pageBreakBefore w:val="0"/>
        <w:kinsoku/>
        <w:wordWrap w:val="0"/>
        <w:bidi w:val="0"/>
        <w:spacing w:before="240" w:after="240" w:line="240" w:lineRule="atLeast"/>
        <w:outlineLvl w:val="9"/>
        <w:rPr>
          <w:rFonts w:hint="default" w:ascii="Times New Roman" w:hAnsi="Times New Roman" w:eastAsia="黑体" w:cs="Times New Roman"/>
          <w:b w:val="0"/>
          <w:color w:val="auto"/>
          <w:sz w:val="24"/>
          <w:szCs w:val="24"/>
          <w:highlight w:val="none"/>
        </w:rPr>
      </w:pPr>
      <w:bookmarkStart w:id="408" w:name="_Toc28490"/>
      <w:bookmarkStart w:id="409" w:name="_Toc10539"/>
      <w:bookmarkStart w:id="410" w:name="_Toc234832941"/>
      <w:r>
        <w:rPr>
          <w:rFonts w:hint="default" w:ascii="Times New Roman" w:hAnsi="Times New Roman" w:eastAsia="黑体" w:cs="Times New Roman"/>
          <w:b w:val="0"/>
          <w:color w:val="auto"/>
          <w:sz w:val="24"/>
          <w:szCs w:val="24"/>
          <w:highlight w:val="none"/>
        </w:rPr>
        <w:t>3.</w:t>
      </w:r>
      <w:r>
        <w:rPr>
          <w:rFonts w:hint="default" w:ascii="Times New Roman" w:hAnsi="Times New Roman" w:eastAsia="黑体" w:cs="Times New Roman"/>
          <w:b w:val="0"/>
          <w:color w:val="auto"/>
          <w:sz w:val="24"/>
          <w:szCs w:val="24"/>
          <w:highlight w:val="none"/>
          <w:lang w:eastAsia="zh-CN"/>
        </w:rPr>
        <w:t>8</w:t>
      </w:r>
      <w:r>
        <w:rPr>
          <w:rFonts w:hint="default" w:ascii="Times New Roman" w:hAnsi="Times New Roman" w:eastAsia="黑体" w:cs="Times New Roman"/>
          <w:b w:val="0"/>
          <w:color w:val="auto"/>
          <w:sz w:val="24"/>
          <w:szCs w:val="24"/>
          <w:highlight w:val="none"/>
        </w:rPr>
        <w:t>评标结果</w:t>
      </w:r>
      <w:bookmarkEnd w:id="408"/>
      <w:bookmarkEnd w:id="409"/>
      <w:bookmarkEnd w:id="410"/>
    </w:p>
    <w:p w14:paraId="1C94EB15">
      <w:pPr>
        <w:pageBreakBefore w:val="0"/>
        <w:kinsoku/>
        <w:wordWrap w:val="0"/>
        <w:bidi w:val="0"/>
        <w:spacing w:line="400" w:lineRule="atLeast"/>
        <w:ind w:firstLine="480" w:firstLineChars="200"/>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3.8.1除第二章</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投标人须知</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前附表授权直接确定中标人外，评标委员会按照得分由高到低的顺序推荐中标候选人，并标明排序。</w:t>
      </w:r>
    </w:p>
    <w:p w14:paraId="404E9C2F">
      <w:pPr>
        <w:pageBreakBefore w:val="0"/>
        <w:kinsoku/>
        <w:wordWrap w:val="0"/>
        <w:bidi w:val="0"/>
        <w:spacing w:line="400" w:lineRule="atLeast"/>
        <w:ind w:firstLine="480" w:firstLineChars="200"/>
        <w:outlineLvl w:val="9"/>
        <w:rPr>
          <w:rFonts w:hint="default" w:ascii="Times New Roman" w:hAnsi="Times New Roman" w:eastAsia="宋体" w:cs="Times New Roman"/>
          <w:color w:val="auto"/>
          <w:sz w:val="24"/>
          <w:highlight w:val="yellow"/>
        </w:rPr>
      </w:pPr>
      <w:r>
        <w:rPr>
          <w:rFonts w:hint="default" w:ascii="Times New Roman" w:hAnsi="Times New Roman" w:eastAsia="宋体" w:cs="Times New Roman"/>
          <w:color w:val="auto"/>
          <w:sz w:val="24"/>
          <w:highlight w:val="none"/>
        </w:rPr>
        <w:t>3.8.2评标委员会完成评标后，应向招标人提交评标报告。</w:t>
      </w:r>
    </w:p>
    <w:p w14:paraId="09A203AC">
      <w:pPr>
        <w:pStyle w:val="24"/>
        <w:pageBreakBefore w:val="0"/>
        <w:kinsoku/>
        <w:wordWrap w:val="0"/>
        <w:bidi w:val="0"/>
        <w:spacing w:line="360" w:lineRule="atLeast"/>
        <w:ind w:firstLine="480"/>
        <w:outlineLvl w:val="9"/>
        <w:rPr>
          <w:rFonts w:hint="default" w:ascii="Times New Roman" w:hAnsi="Times New Roman" w:eastAsia="隶书" w:cs="Times New Roman"/>
          <w:color w:val="auto"/>
          <w:sz w:val="24"/>
          <w:szCs w:val="24"/>
          <w:highlight w:val="yellow"/>
        </w:rPr>
        <w:sectPr>
          <w:headerReference r:id="rId27" w:type="default"/>
          <w:footerReference r:id="rId28" w:type="default"/>
          <w:footnotePr>
            <w:numFmt w:val="decimalEnclosedCircleChinese"/>
            <w:numRestart w:val="eachPage"/>
          </w:footnotePr>
          <w:pgSz w:w="11907" w:h="16840"/>
          <w:pgMar w:top="1588" w:right="1588" w:bottom="1474" w:left="1644" w:header="851" w:footer="851" w:gutter="0"/>
          <w:pgNumType w:fmt="decimal"/>
          <w:cols w:space="720" w:num="1"/>
          <w:docGrid w:linePitch="312" w:charSpace="0"/>
        </w:sectPr>
      </w:pPr>
    </w:p>
    <w:p w14:paraId="2054208B">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7E88A7C9">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1A1332A7">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6665EF90">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4704F7D1">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0B80266E">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6A2EA8AE">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11CEA2F2">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7124F8FF">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19674850">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4A6D09D4">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00E0A307">
      <w:pPr>
        <w:pageBreakBefore w:val="0"/>
        <w:kinsoku/>
        <w:wordWrap w:val="0"/>
        <w:topLinePunct/>
        <w:bidi w:val="0"/>
        <w:spacing w:line="240" w:lineRule="atLeast"/>
        <w:ind w:right="31" w:rightChars="15"/>
        <w:jc w:val="center"/>
        <w:outlineLvl w:val="1"/>
        <w:rPr>
          <w:rFonts w:hint="default" w:ascii="Times New Roman" w:hAnsi="Times New Roman" w:eastAsia="黑体" w:cs="Times New Roman"/>
          <w:color w:val="auto"/>
          <w:sz w:val="56"/>
          <w:szCs w:val="56"/>
          <w:highlight w:val="none"/>
        </w:rPr>
      </w:pPr>
      <w:bookmarkStart w:id="411" w:name="_Toc27019"/>
      <w:bookmarkStart w:id="412" w:name="_Toc11119"/>
      <w:bookmarkStart w:id="413" w:name="_Toc234832964"/>
      <w:bookmarkStart w:id="414" w:name="_Toc5239"/>
      <w:bookmarkStart w:id="415" w:name="_Toc22672"/>
      <w:r>
        <w:rPr>
          <w:rFonts w:hint="default" w:ascii="Times New Roman" w:hAnsi="Times New Roman" w:eastAsia="黑体" w:cs="Times New Roman"/>
          <w:color w:val="auto"/>
          <w:sz w:val="56"/>
          <w:szCs w:val="56"/>
          <w:highlight w:val="none"/>
        </w:rPr>
        <w:t>第四章</w:t>
      </w:r>
      <w:r>
        <w:rPr>
          <w:rFonts w:hint="eastAsia" w:ascii="Times New Roman" w:hAnsi="Times New Roman" w:eastAsia="黑体" w:cs="Times New Roman"/>
          <w:color w:val="auto"/>
          <w:sz w:val="56"/>
          <w:szCs w:val="56"/>
          <w:highlight w:val="none"/>
          <w:lang w:val="en-US" w:eastAsia="zh-CN"/>
        </w:rPr>
        <w:t xml:space="preserve"> </w:t>
      </w:r>
      <w:r>
        <w:rPr>
          <w:rFonts w:hint="default" w:ascii="Times New Roman" w:hAnsi="Times New Roman" w:eastAsia="黑体" w:cs="Times New Roman"/>
          <w:color w:val="auto"/>
          <w:sz w:val="56"/>
          <w:szCs w:val="56"/>
          <w:highlight w:val="none"/>
        </w:rPr>
        <w:t>合同条款及格式</w:t>
      </w:r>
      <w:bookmarkEnd w:id="411"/>
      <w:bookmarkEnd w:id="412"/>
      <w:bookmarkEnd w:id="413"/>
      <w:r>
        <w:rPr>
          <w:rFonts w:hint="default" w:ascii="Times New Roman" w:hAnsi="Times New Roman" w:eastAsia="黑体" w:cs="Times New Roman"/>
          <w:color w:val="auto"/>
          <w:sz w:val="56"/>
          <w:szCs w:val="56"/>
          <w:highlight w:val="none"/>
          <w:vertAlign w:val="superscript"/>
        </w:rPr>
        <w:footnoteReference w:id="30"/>
      </w:r>
      <w:bookmarkEnd w:id="414"/>
      <w:bookmarkEnd w:id="415"/>
    </w:p>
    <w:p w14:paraId="4BEDB55E">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69B6B3F5">
      <w:pPr>
        <w:pageBreakBefore w:val="0"/>
        <w:kinsoku/>
        <w:wordWrap w:val="0"/>
        <w:bidi w:val="0"/>
        <w:spacing w:line="440" w:lineRule="exact"/>
        <w:rPr>
          <w:rFonts w:hint="default" w:ascii="Times New Roman" w:hAnsi="Times New Roman" w:eastAsia="黑体" w:cs="Times New Roman"/>
          <w:color w:val="auto"/>
          <w:sz w:val="20"/>
          <w:szCs w:val="20"/>
          <w:highlight w:val="yellow"/>
        </w:rPr>
      </w:pPr>
    </w:p>
    <w:p w14:paraId="2A169AD1">
      <w:pPr>
        <w:pageBreakBefore w:val="0"/>
        <w:kinsoku/>
        <w:wordWrap w:val="0"/>
        <w:bidi w:val="0"/>
        <w:spacing w:line="440" w:lineRule="exact"/>
        <w:rPr>
          <w:rFonts w:hint="default" w:ascii="Times New Roman" w:hAnsi="Times New Roman" w:eastAsia="黑体" w:cs="Times New Roman"/>
          <w:color w:val="auto"/>
          <w:sz w:val="20"/>
          <w:szCs w:val="20"/>
          <w:highlight w:val="yellow"/>
        </w:rPr>
      </w:pPr>
    </w:p>
    <w:p w14:paraId="1A0E94E0">
      <w:pPr>
        <w:pageBreakBefore w:val="0"/>
        <w:kinsoku/>
        <w:wordWrap w:val="0"/>
        <w:bidi w:val="0"/>
        <w:spacing w:line="440" w:lineRule="exact"/>
        <w:jc w:val="center"/>
        <w:rPr>
          <w:rFonts w:hint="default" w:ascii="Times New Roman" w:hAnsi="Times New Roman" w:eastAsia="黑体" w:cs="Times New Roman"/>
          <w:color w:val="auto"/>
          <w:sz w:val="29"/>
          <w:szCs w:val="29"/>
          <w:highlight w:val="yellow"/>
        </w:rPr>
      </w:pPr>
      <w:r>
        <w:rPr>
          <w:rFonts w:hint="default" w:ascii="Times New Roman" w:hAnsi="Times New Roman" w:cs="Times New Roman"/>
          <w:color w:val="auto"/>
          <w:sz w:val="20"/>
          <w:szCs w:val="20"/>
          <w:highlight w:val="yellow"/>
        </w:rPr>
        <w:br w:type="page"/>
      </w:r>
      <w:bookmarkStart w:id="416" w:name="_Toc234832965"/>
    </w:p>
    <w:p w14:paraId="0020234D">
      <w:pPr>
        <w:pageBreakBefore w:val="0"/>
        <w:kinsoku/>
        <w:wordWrap w:val="0"/>
        <w:bidi w:val="0"/>
        <w:spacing w:line="440" w:lineRule="exact"/>
        <w:jc w:val="center"/>
        <w:rPr>
          <w:rFonts w:hint="default" w:ascii="Times New Roman" w:hAnsi="Times New Roman" w:eastAsia="黑体" w:cs="Times New Roman"/>
          <w:color w:val="auto"/>
          <w:sz w:val="29"/>
          <w:szCs w:val="29"/>
          <w:highlight w:val="yellow"/>
        </w:rPr>
      </w:pPr>
    </w:p>
    <w:p w14:paraId="7543AA3A">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2CC537EA">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11F8F524">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166B6363">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653A05BF">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01B56A24">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580FE70F">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3A03352E">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1D6B9464">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3A7600BA">
      <w:pPr>
        <w:pStyle w:val="5"/>
        <w:pageBreakBefore w:val="0"/>
        <w:kinsoku/>
        <w:wordWrap w:val="0"/>
        <w:bidi w:val="0"/>
        <w:spacing w:before="240" w:after="240" w:line="380" w:lineRule="atLeast"/>
        <w:jc w:val="center"/>
        <w:outlineLvl w:val="2"/>
        <w:rPr>
          <w:rFonts w:hint="default" w:ascii="Times New Roman" w:hAnsi="Times New Roman" w:eastAsia="黑体" w:cs="Times New Roman"/>
          <w:b w:val="0"/>
          <w:color w:val="auto"/>
          <w:sz w:val="42"/>
          <w:szCs w:val="42"/>
          <w:highlight w:val="none"/>
        </w:rPr>
      </w:pPr>
      <w:bookmarkStart w:id="417" w:name="_Toc18651"/>
      <w:bookmarkStart w:id="418" w:name="_Toc8047"/>
      <w:bookmarkStart w:id="419" w:name="_Toc3167"/>
      <w:bookmarkStart w:id="420" w:name="_Toc22989"/>
      <w:r>
        <w:rPr>
          <w:rFonts w:hint="default" w:ascii="Times New Roman" w:hAnsi="Times New Roman" w:eastAsia="黑体" w:cs="Times New Roman"/>
          <w:b w:val="0"/>
          <w:color w:val="auto"/>
          <w:sz w:val="42"/>
          <w:szCs w:val="42"/>
          <w:highlight w:val="none"/>
        </w:rPr>
        <w:t>第一节</w:t>
      </w:r>
      <w:r>
        <w:rPr>
          <w:rFonts w:hint="eastAsia" w:eastAsia="黑体" w:cs="Times New Roman"/>
          <w:b w:val="0"/>
          <w:color w:val="auto"/>
          <w:sz w:val="42"/>
          <w:szCs w:val="42"/>
          <w:highlight w:val="none"/>
          <w:lang w:val="en-US" w:eastAsia="zh-CN"/>
        </w:rPr>
        <w:t xml:space="preserve"> </w:t>
      </w:r>
      <w:r>
        <w:rPr>
          <w:rFonts w:hint="default" w:ascii="Times New Roman" w:hAnsi="Times New Roman" w:eastAsia="黑体" w:cs="Times New Roman"/>
          <w:b w:val="0"/>
          <w:color w:val="auto"/>
          <w:sz w:val="42"/>
          <w:szCs w:val="42"/>
          <w:highlight w:val="none"/>
        </w:rPr>
        <w:t>通用合同条款</w:t>
      </w:r>
      <w:bookmarkEnd w:id="416"/>
      <w:r>
        <w:rPr>
          <w:rStyle w:val="48"/>
          <w:rFonts w:hint="default" w:ascii="Times New Roman" w:hAnsi="Times New Roman" w:eastAsia="黑体" w:cs="Times New Roman"/>
          <w:b w:val="0"/>
          <w:color w:val="auto"/>
          <w:sz w:val="32"/>
          <w:szCs w:val="32"/>
          <w:highlight w:val="none"/>
        </w:rPr>
        <w:footnoteReference w:id="31"/>
      </w:r>
      <w:bookmarkEnd w:id="417"/>
      <w:bookmarkEnd w:id="418"/>
      <w:bookmarkEnd w:id="419"/>
      <w:bookmarkEnd w:id="420"/>
    </w:p>
    <w:p w14:paraId="5ADD53AB">
      <w:pPr>
        <w:pageBreakBefore w:val="0"/>
        <w:kinsoku/>
        <w:wordWrap w:val="0"/>
        <w:bidi w:val="0"/>
        <w:spacing w:before="240" w:after="240" w:line="380" w:lineRule="atLeast"/>
        <w:jc w:val="center"/>
        <w:outlineLvl w:val="9"/>
        <w:rPr>
          <w:rFonts w:hint="default" w:ascii="Times New Roman" w:hAnsi="Times New Roman" w:eastAsia="黑体" w:cs="Times New Roman"/>
          <w:b w:val="0"/>
          <w:color w:val="auto"/>
          <w:sz w:val="32"/>
          <w:szCs w:val="32"/>
          <w:highlight w:val="none"/>
        </w:rPr>
      </w:pPr>
      <w:r>
        <w:rPr>
          <w:rFonts w:hint="default" w:ascii="Times New Roman" w:hAnsi="Times New Roman" w:eastAsia="黑体" w:cs="Times New Roman"/>
          <w:b w:val="0"/>
          <w:color w:val="auto"/>
          <w:sz w:val="32"/>
          <w:szCs w:val="32"/>
          <w:highlight w:val="none"/>
        </w:rPr>
        <w:br w:type="page"/>
      </w:r>
      <w:bookmarkStart w:id="421" w:name="_Toc32556"/>
      <w:bookmarkStart w:id="422" w:name="_Toc234832966"/>
      <w:bookmarkStart w:id="423" w:name="_Toc14452"/>
      <w:bookmarkStart w:id="424" w:name="_Toc1065"/>
      <w:r>
        <w:rPr>
          <w:rFonts w:hint="default" w:ascii="Times New Roman" w:hAnsi="Times New Roman" w:eastAsia="黑体" w:cs="Times New Roman"/>
          <w:b w:val="0"/>
          <w:color w:val="auto"/>
          <w:sz w:val="32"/>
          <w:szCs w:val="32"/>
          <w:highlight w:val="none"/>
        </w:rPr>
        <w:t>通用合同条款</w:t>
      </w:r>
      <w:bookmarkEnd w:id="421"/>
      <w:bookmarkEnd w:id="422"/>
      <w:bookmarkEnd w:id="423"/>
      <w:bookmarkEnd w:id="424"/>
    </w:p>
    <w:p w14:paraId="6AA6B8CB">
      <w:pPr>
        <w:pageBreakBefore w:val="0"/>
        <w:kinsoku/>
        <w:wordWrap w:val="0"/>
        <w:bidi w:val="0"/>
        <w:spacing w:before="360" w:after="240" w:line="380" w:lineRule="atLeast"/>
        <w:outlineLvl w:val="9"/>
        <w:rPr>
          <w:rFonts w:hint="default" w:ascii="Times New Roman" w:hAnsi="Times New Roman" w:eastAsia="黑体" w:cs="Times New Roman"/>
          <w:b w:val="0"/>
          <w:color w:val="auto"/>
          <w:sz w:val="28"/>
          <w:szCs w:val="28"/>
          <w:highlight w:val="none"/>
        </w:rPr>
      </w:pPr>
      <w:bookmarkStart w:id="425" w:name="_Toc234832967"/>
      <w:bookmarkStart w:id="426" w:name="_Toc24661"/>
      <w:bookmarkStart w:id="427" w:name="_Toc30881"/>
      <w:bookmarkStart w:id="428" w:name="_Toc28721"/>
      <w:r>
        <w:rPr>
          <w:rFonts w:hint="default" w:ascii="Times New Roman" w:hAnsi="Times New Roman" w:eastAsia="黑体" w:cs="Times New Roman"/>
          <w:b w:val="0"/>
          <w:color w:val="auto"/>
          <w:sz w:val="28"/>
          <w:szCs w:val="28"/>
          <w:highlight w:val="none"/>
        </w:rPr>
        <w:t>1.一般约定</w:t>
      </w:r>
      <w:bookmarkEnd w:id="425"/>
      <w:bookmarkEnd w:id="426"/>
      <w:bookmarkEnd w:id="427"/>
      <w:bookmarkEnd w:id="428"/>
      <w:r>
        <w:rPr>
          <w:rFonts w:hint="default" w:ascii="Times New Roman" w:hAnsi="Times New Roman" w:eastAsia="黑体" w:cs="Times New Roman"/>
          <w:b w:val="0"/>
          <w:color w:val="auto"/>
          <w:sz w:val="28"/>
          <w:szCs w:val="28"/>
          <w:highlight w:val="none"/>
        </w:rPr>
        <w:tab/>
      </w:r>
    </w:p>
    <w:p w14:paraId="1E4F540C">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429" w:name="_Toc10064"/>
      <w:bookmarkStart w:id="430" w:name="_Toc5421"/>
      <w:bookmarkStart w:id="431" w:name="_Toc234832968"/>
      <w:bookmarkStart w:id="432" w:name="_Toc24826"/>
      <w:r>
        <w:rPr>
          <w:rFonts w:hint="default" w:ascii="Times New Roman" w:hAnsi="Times New Roman" w:eastAsia="黑体" w:cs="Times New Roman"/>
          <w:b w:val="0"/>
          <w:color w:val="auto"/>
          <w:sz w:val="24"/>
          <w:szCs w:val="24"/>
          <w:highlight w:val="none"/>
        </w:rPr>
        <w:t>1.1</w:t>
      </w:r>
      <w:r>
        <w:rPr>
          <w:rFonts w:hint="default" w:ascii="Times New Roman" w:hAnsi="Times New Roman" w:eastAsia="黑体" w:cs="Times New Roman"/>
          <w:b w:val="0"/>
          <w:color w:val="auto"/>
          <w:sz w:val="24"/>
          <w:szCs w:val="24"/>
          <w:highlight w:val="none"/>
        </w:rPr>
        <w:tab/>
      </w:r>
      <w:r>
        <w:rPr>
          <w:rFonts w:hint="default" w:ascii="Times New Roman" w:hAnsi="Times New Roman" w:eastAsia="黑体" w:cs="Times New Roman"/>
          <w:b w:val="0"/>
          <w:color w:val="auto"/>
          <w:sz w:val="24"/>
          <w:szCs w:val="24"/>
          <w:highlight w:val="none"/>
        </w:rPr>
        <w:t>词语定义</w:t>
      </w:r>
      <w:bookmarkEnd w:id="429"/>
      <w:bookmarkEnd w:id="430"/>
      <w:bookmarkEnd w:id="431"/>
      <w:bookmarkEnd w:id="432"/>
    </w:p>
    <w:p w14:paraId="4AB4D233">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通用合同条款、专用合同条款中的下列词语应具有本款所赋予的含义。</w:t>
      </w:r>
    </w:p>
    <w:p w14:paraId="4E36DA85">
      <w:pPr>
        <w:pageBreakBefore w:val="0"/>
        <w:kinsoku/>
        <w:wordWrap w:val="0"/>
        <w:bidi w:val="0"/>
        <w:spacing w:line="400" w:lineRule="atLeast"/>
        <w:ind w:firstLine="470" w:firstLineChars="196"/>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1.1.1</w:t>
      </w:r>
      <w:r>
        <w:rPr>
          <w:rFonts w:hint="default" w:ascii="Times New Roman" w:hAnsi="Times New Roman" w:eastAsia="黑体" w:cs="Times New Roman"/>
          <w:color w:val="auto"/>
          <w:sz w:val="24"/>
          <w:highlight w:val="none"/>
        </w:rPr>
        <w:t>合同</w:t>
      </w:r>
    </w:p>
    <w:p w14:paraId="1507979B">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1.1.1.1合同文件（或称合同）：指合同协议书、中标通知书、投标函及投标函附录、专用合同条款、通用合同条款、技术标准和要求、图纸、已标价工程量清单，以及其他合同文件。</w:t>
      </w:r>
    </w:p>
    <w:p w14:paraId="714FCB8F">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1.1.1.2合同协议书：指第1.5款所指的合同协议书。</w:t>
      </w:r>
    </w:p>
    <w:p w14:paraId="74F76FE4">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1.1.1.3中标通知书：指发包人通知承包人中标的函件。</w:t>
      </w:r>
    </w:p>
    <w:p w14:paraId="55A5B6BB">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1.1.1.4投标函：指构成合同文件组成部分的由承包人填写并签署的投标函。</w:t>
      </w:r>
    </w:p>
    <w:p w14:paraId="01606A12">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1.1.1.5投标函附录：指附在投标函后构成合同文件的投标函附录。</w:t>
      </w:r>
    </w:p>
    <w:p w14:paraId="43BC1FD2">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1.1.1.6技术标准和要求：指构成合同文件组成部分的名为技术标准和要求的文件，包括合同双方当事人约定对其所作的修改或补充。</w:t>
      </w:r>
    </w:p>
    <w:p w14:paraId="6364E11B">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1.1.1.7图纸：指包含在合同中的工程图纸，以及由发包人按合同约定提供的任何补充和修改的图纸，包括配套的说明。</w:t>
      </w:r>
    </w:p>
    <w:p w14:paraId="7C013007">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1.1.1.8已标价工程量清单：指构成合同文件组成部分的由承包人按照规定的格式和要求填写并标明价格的工程量清单。</w:t>
      </w:r>
    </w:p>
    <w:p w14:paraId="1EB1B429">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1.1.1.9其他合同文件：指经合同双方当事人确认构成合同文件的其他文件。</w:t>
      </w:r>
    </w:p>
    <w:p w14:paraId="05353B57">
      <w:pPr>
        <w:pageBreakBefore w:val="0"/>
        <w:kinsoku/>
        <w:wordWrap w:val="0"/>
        <w:bidi w:val="0"/>
        <w:spacing w:line="400" w:lineRule="atLeast"/>
        <w:ind w:firstLine="480" w:firstLineChars="200"/>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1.1.2</w:t>
      </w:r>
      <w:r>
        <w:rPr>
          <w:rFonts w:hint="default" w:ascii="Times New Roman" w:hAnsi="Times New Roman" w:eastAsia="黑体" w:cs="Times New Roman"/>
          <w:color w:val="auto"/>
          <w:sz w:val="24"/>
          <w:highlight w:val="none"/>
        </w:rPr>
        <w:t>合同当事人和人员</w:t>
      </w:r>
    </w:p>
    <w:p w14:paraId="541CD46E">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1.1.2.1合同当事人：指发包人和（或）承包人。</w:t>
      </w:r>
    </w:p>
    <w:p w14:paraId="125731FE">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1.1.2.2发包人：指专用合同条款中指明并与承包人在合同协议书中签字的当事人。</w:t>
      </w:r>
    </w:p>
    <w:p w14:paraId="72ADAD76">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1.1.2.3承包人：指与发包人签订合同协议书的当事人。</w:t>
      </w:r>
    </w:p>
    <w:p w14:paraId="6A4F9F99">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1.1.2.4承包人项目经理：指承包人派驻施工场地的全权负责人。</w:t>
      </w:r>
    </w:p>
    <w:p w14:paraId="02F80422">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1.1.2.5分包人：指从承包人处分包合同中某一部分工程，并与其签订分包合同的分包人。</w:t>
      </w:r>
    </w:p>
    <w:p w14:paraId="60BC9C56">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1.1.2.6监理人：指在专用合同条款中指明的，受发包人委托对合同履行实施管理的法人或其他组织。</w:t>
      </w:r>
    </w:p>
    <w:p w14:paraId="7A20878E">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1.1.2.7总监理工程师（总监）：指由监理人委派常驻施工场地对合同履行实施管理的全权负责人。</w:t>
      </w:r>
    </w:p>
    <w:p w14:paraId="6434D3B7">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1.1.3</w:t>
      </w:r>
      <w:r>
        <w:rPr>
          <w:rFonts w:hint="default" w:ascii="Times New Roman" w:hAnsi="Times New Roman" w:eastAsia="黑体" w:cs="Times New Roman"/>
          <w:color w:val="auto"/>
          <w:sz w:val="24"/>
          <w:highlight w:val="none"/>
        </w:rPr>
        <w:t>工程和设备</w:t>
      </w:r>
    </w:p>
    <w:p w14:paraId="552D5B84">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1.1.3.1工程：指永久工程和（或）临时工程。</w:t>
      </w:r>
    </w:p>
    <w:p w14:paraId="4A5BE04B">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1.1.3.2永久工程：指按合同约定建造并移交给发包人的工程，包括工程设备。</w:t>
      </w:r>
    </w:p>
    <w:p w14:paraId="5E0F6455">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1.1.3.3临时工程：指为完成合同约定的永久工程所修建的各类临时性工程，不包括施工设备。</w:t>
      </w:r>
    </w:p>
    <w:p w14:paraId="08058954">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1.1.3.4单位工程：指专用合同条款中指明特定范围的永久工程。</w:t>
      </w:r>
    </w:p>
    <w:p w14:paraId="6DF0D156">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1.1.3.5工程设备：指构成或计划构成永久工程一部分的机电设备、金属结构设备、仪器装置及其他类似的设备和装置。</w:t>
      </w:r>
    </w:p>
    <w:p w14:paraId="05A48750">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1.1.3.6施工设备：指为完成合同约定的各项工作所需的设备、器具和其他物品，不包括临时工程和材料。</w:t>
      </w:r>
    </w:p>
    <w:p w14:paraId="75619B80">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1.1.3.7临时设施：指为完成合同约定的各项工作所服务的临时性生产和生活设施。</w:t>
      </w:r>
    </w:p>
    <w:p w14:paraId="2F80E392">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1.1.3.8承包人设备：指承包人自带的施工设备。</w:t>
      </w:r>
    </w:p>
    <w:p w14:paraId="2C822086">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1.1.3.9施工场地（或称工地、现场）：指用于合同工程施工的场所，以及在合同中指定作为施工场地组成部分的其他场所，包括永久占地和临时占地。</w:t>
      </w:r>
    </w:p>
    <w:p w14:paraId="273CB947">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1.1.3.10永久占地：指专用合同条款中指明为实施合同工程需永久占用的土地。</w:t>
      </w:r>
    </w:p>
    <w:p w14:paraId="30F0B0C7">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1.1.3.11临时占地：指专用合同条款中指明为实施合同工程需临时占用的土地。</w:t>
      </w:r>
    </w:p>
    <w:p w14:paraId="12B27DFC">
      <w:pPr>
        <w:pageBreakBefore w:val="0"/>
        <w:kinsoku/>
        <w:wordWrap w:val="0"/>
        <w:bidi w:val="0"/>
        <w:spacing w:line="400" w:lineRule="atLeast"/>
        <w:ind w:firstLine="480" w:firstLineChars="200"/>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1.1.4</w:t>
      </w:r>
      <w:r>
        <w:rPr>
          <w:rFonts w:hint="default" w:ascii="Times New Roman" w:hAnsi="Times New Roman" w:eastAsia="黑体" w:cs="Times New Roman"/>
          <w:color w:val="auto"/>
          <w:sz w:val="24"/>
          <w:highlight w:val="none"/>
        </w:rPr>
        <w:t>日期</w:t>
      </w:r>
    </w:p>
    <w:p w14:paraId="632FF0C8">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1.1.4.1开工通知：指监理人按第11.1款通知承包人开工的函件。</w:t>
      </w:r>
    </w:p>
    <w:p w14:paraId="6620A418">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1.1.4.2开工日期：指监理人按第11.1款发出的开工通知中写明的开工日期。</w:t>
      </w:r>
    </w:p>
    <w:p w14:paraId="14F45D7F">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1.1.4.3工期：指承包人在投标函中承诺的完成合同工程所需的期限，包括按第11.3款、第11.4款和第11.6款约定所作的变更。</w:t>
      </w:r>
    </w:p>
    <w:p w14:paraId="349C8B66">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1.1.4.4竣工日期：指第1.1.4.3目约定工期届满时的日期。实际竣工日期以工程接收证书中写明的日期为准。</w:t>
      </w:r>
    </w:p>
    <w:p w14:paraId="4D397683">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1.1.4.5缺陷责任期：指履行第19.2款约定的缺陷责任的期限，具体期限由专用合同条款约定，包括根据第19.3款约定所作的延长。</w:t>
      </w:r>
    </w:p>
    <w:p w14:paraId="4A3EC0C1">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1.1.4.6基准日期：指投标截止时间前28天的日期。</w:t>
      </w:r>
    </w:p>
    <w:p w14:paraId="4C97DE96">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1.1.4.7天：除特别指明外，指日历天。合同中按天计算时间的，开始当天不计入，从次日开始计算。期限最后一天的截止时间为当天24:00。</w:t>
      </w:r>
    </w:p>
    <w:p w14:paraId="3912725A">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1.1.5</w:t>
      </w:r>
      <w:r>
        <w:rPr>
          <w:rFonts w:hint="default" w:ascii="Times New Roman" w:hAnsi="Times New Roman" w:eastAsia="黑体" w:cs="Times New Roman"/>
          <w:color w:val="auto"/>
          <w:sz w:val="24"/>
          <w:highlight w:val="none"/>
        </w:rPr>
        <w:t>合同价格和费用</w:t>
      </w:r>
    </w:p>
    <w:p w14:paraId="32321F1A">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1.1.5.1签约合同价：指签订合同时合同协议书中写明的，包括了暂列金额、暂估价的合同总金额。</w:t>
      </w:r>
    </w:p>
    <w:p w14:paraId="6C278165">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1.1.5.2合同价格：指承包人按合同约定完成了包括缺陷责任期内的全部承包工作后，发包人应付给承包人的金额，包括在履行合同过程中按合同约定进行的变更和调整。</w:t>
      </w:r>
    </w:p>
    <w:p w14:paraId="2E925B29">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1.1.5.3费用：指为履行合同所发生的或将要发生的所有合理开支，包括管理费和应分摊的其他费用，但不包括利润。</w:t>
      </w:r>
    </w:p>
    <w:p w14:paraId="19886387">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1.1.5.4暂列金额：指已标价工程量清单中所列的暂列金额，用于在签订协议书时尚未确定或不可预见变更的施工及其所需材料、工程设备、服务等的金额，包括以计日工方式支付的金额。</w:t>
      </w:r>
    </w:p>
    <w:p w14:paraId="6507C334">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1.1.5.5暂估价：指发包人在工程量清单中给定的用于支付必然发生但暂时不能确定价格的材料、工程设备以及专业工程的金额。</w:t>
      </w:r>
    </w:p>
    <w:p w14:paraId="5398EB38">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1.1.5.6计日工：指对零星工作采取的一种计价方式，按合同中的计日工子目及其单价计价付款。</w:t>
      </w:r>
    </w:p>
    <w:p w14:paraId="14330D12">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1.1.5.7质量保证金（或称保留金）：指按第17.4.1项约定用于保证在缺陷责任期内履行缺陷修复义务的金额。</w:t>
      </w:r>
    </w:p>
    <w:p w14:paraId="6EFC036E">
      <w:pPr>
        <w:pageBreakBefore w:val="0"/>
        <w:kinsoku/>
        <w:wordWrap w:val="0"/>
        <w:bidi w:val="0"/>
        <w:spacing w:line="400" w:lineRule="atLeast"/>
        <w:ind w:firstLine="470" w:firstLineChars="196"/>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1.1.6</w:t>
      </w:r>
      <w:r>
        <w:rPr>
          <w:rFonts w:hint="default" w:ascii="Times New Roman" w:hAnsi="Times New Roman" w:eastAsia="黑体" w:cs="Times New Roman"/>
          <w:color w:val="auto"/>
          <w:sz w:val="24"/>
          <w:highlight w:val="none"/>
        </w:rPr>
        <w:t>其他</w:t>
      </w:r>
    </w:p>
    <w:p w14:paraId="30DA39DE">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1.1.6.1书面形式：指合同文件、信函、电报、传真等可以有形地表现所载内容的形式。</w:t>
      </w:r>
    </w:p>
    <w:p w14:paraId="6A2C3099">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433" w:name="_Toc234832969"/>
      <w:bookmarkStart w:id="434" w:name="_Toc27354"/>
      <w:bookmarkStart w:id="435" w:name="_Toc22350"/>
      <w:bookmarkStart w:id="436" w:name="_Toc25135"/>
      <w:r>
        <w:rPr>
          <w:rFonts w:hint="default" w:ascii="Times New Roman" w:hAnsi="Times New Roman" w:eastAsia="黑体" w:cs="Times New Roman"/>
          <w:b w:val="0"/>
          <w:color w:val="auto"/>
          <w:sz w:val="24"/>
          <w:szCs w:val="24"/>
          <w:highlight w:val="none"/>
        </w:rPr>
        <w:t>1.2语言文字</w:t>
      </w:r>
      <w:bookmarkEnd w:id="433"/>
      <w:bookmarkEnd w:id="434"/>
      <w:bookmarkEnd w:id="435"/>
      <w:bookmarkEnd w:id="436"/>
    </w:p>
    <w:p w14:paraId="4BF196F1">
      <w:pPr>
        <w:pageBreakBefore w:val="0"/>
        <w:kinsoku/>
        <w:wordWrap w:val="0"/>
        <w:bidi w:val="0"/>
        <w:spacing w:line="400" w:lineRule="atLeast"/>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除专用术语外，合同使用的语言文字为中文。必要时专用术语应附有中文注释。</w:t>
      </w:r>
    </w:p>
    <w:p w14:paraId="3BEE5248">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437" w:name="_Toc234832970"/>
      <w:bookmarkStart w:id="438" w:name="_Toc13856"/>
      <w:bookmarkStart w:id="439" w:name="_Toc317"/>
      <w:bookmarkStart w:id="440" w:name="_Toc8637"/>
      <w:r>
        <w:rPr>
          <w:rFonts w:hint="default" w:ascii="Times New Roman" w:hAnsi="Times New Roman" w:eastAsia="黑体" w:cs="Times New Roman"/>
          <w:b w:val="0"/>
          <w:color w:val="auto"/>
          <w:sz w:val="24"/>
          <w:szCs w:val="24"/>
          <w:highlight w:val="none"/>
        </w:rPr>
        <w:t>1.3法律</w:t>
      </w:r>
      <w:bookmarkEnd w:id="437"/>
      <w:bookmarkEnd w:id="438"/>
      <w:bookmarkEnd w:id="439"/>
      <w:bookmarkEnd w:id="440"/>
    </w:p>
    <w:p w14:paraId="22852B62">
      <w:pPr>
        <w:pageBreakBefore w:val="0"/>
        <w:tabs>
          <w:tab w:val="left" w:pos="7020"/>
        </w:tabs>
        <w:kinsoku/>
        <w:wordWrap w:val="0"/>
        <w:bidi w:val="0"/>
        <w:spacing w:line="400" w:lineRule="atLeast"/>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适用于合同的法律包括中华人民共和国法律、行政法规、部门规章，以及工程所在地的地方法规、自治条例、单行条例和地方政府规章。</w:t>
      </w:r>
    </w:p>
    <w:p w14:paraId="0527A546">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441" w:name="_Toc23484"/>
      <w:bookmarkStart w:id="442" w:name="_Toc8196"/>
      <w:bookmarkStart w:id="443" w:name="_Toc234832971"/>
      <w:bookmarkStart w:id="444" w:name="_Toc9336"/>
      <w:r>
        <w:rPr>
          <w:rFonts w:hint="default" w:ascii="Times New Roman" w:hAnsi="Times New Roman" w:eastAsia="黑体" w:cs="Times New Roman"/>
          <w:b w:val="0"/>
          <w:color w:val="auto"/>
          <w:sz w:val="24"/>
          <w:szCs w:val="24"/>
          <w:highlight w:val="none"/>
        </w:rPr>
        <w:t>1.4合同文件的优先顺序</w:t>
      </w:r>
      <w:bookmarkEnd w:id="441"/>
      <w:bookmarkEnd w:id="442"/>
      <w:bookmarkEnd w:id="443"/>
      <w:bookmarkEnd w:id="444"/>
    </w:p>
    <w:p w14:paraId="79B12600">
      <w:pPr>
        <w:pageBreakBefore w:val="0"/>
        <w:kinsoku/>
        <w:wordWrap w:val="0"/>
        <w:bidi w:val="0"/>
        <w:spacing w:line="400" w:lineRule="atLeast"/>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组成合同的各项文件应互相解释，互为说明。除专用合同条款另有约定外，解释合同文件的优先顺序如下：</w:t>
      </w:r>
    </w:p>
    <w:p w14:paraId="6686AEB4">
      <w:pPr>
        <w:pageBreakBefore w:val="0"/>
        <w:kinsoku/>
        <w:wordWrap w:val="0"/>
        <w:bidi w:val="0"/>
        <w:spacing w:line="400" w:lineRule="atLeast"/>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（1）合同协议书；</w:t>
      </w:r>
    </w:p>
    <w:p w14:paraId="295A7035">
      <w:pPr>
        <w:pageBreakBefore w:val="0"/>
        <w:kinsoku/>
        <w:wordWrap w:val="0"/>
        <w:bidi w:val="0"/>
        <w:spacing w:line="400" w:lineRule="atLeast"/>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（2）中标通知书；</w:t>
      </w:r>
    </w:p>
    <w:p w14:paraId="63F70AF6">
      <w:pPr>
        <w:pageBreakBefore w:val="0"/>
        <w:kinsoku/>
        <w:wordWrap w:val="0"/>
        <w:bidi w:val="0"/>
        <w:spacing w:line="400" w:lineRule="atLeast"/>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（3）投标函及投标函附录；</w:t>
      </w:r>
    </w:p>
    <w:p w14:paraId="2A97E10F">
      <w:pPr>
        <w:pageBreakBefore w:val="0"/>
        <w:kinsoku/>
        <w:wordWrap w:val="0"/>
        <w:bidi w:val="0"/>
        <w:spacing w:line="400" w:lineRule="atLeast"/>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（4）专用合同条款；</w:t>
      </w:r>
    </w:p>
    <w:p w14:paraId="02B907F0">
      <w:pPr>
        <w:pageBreakBefore w:val="0"/>
        <w:kinsoku/>
        <w:wordWrap w:val="0"/>
        <w:bidi w:val="0"/>
        <w:spacing w:line="400" w:lineRule="atLeast"/>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（5）通用合同条款；</w:t>
      </w:r>
    </w:p>
    <w:p w14:paraId="525C3E0C">
      <w:pPr>
        <w:pageBreakBefore w:val="0"/>
        <w:kinsoku/>
        <w:wordWrap w:val="0"/>
        <w:bidi w:val="0"/>
        <w:spacing w:line="400" w:lineRule="atLeast"/>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（6）技术标准和要求；</w:t>
      </w:r>
    </w:p>
    <w:p w14:paraId="1CF87D22">
      <w:pPr>
        <w:pageBreakBefore w:val="0"/>
        <w:kinsoku/>
        <w:wordWrap w:val="0"/>
        <w:bidi w:val="0"/>
        <w:spacing w:line="400" w:lineRule="atLeast"/>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（7）图纸；</w:t>
      </w:r>
    </w:p>
    <w:p w14:paraId="443D33F6">
      <w:pPr>
        <w:pageBreakBefore w:val="0"/>
        <w:kinsoku/>
        <w:wordWrap w:val="0"/>
        <w:bidi w:val="0"/>
        <w:spacing w:line="400" w:lineRule="atLeast"/>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（8）已标价工程量清单；</w:t>
      </w:r>
    </w:p>
    <w:p w14:paraId="5F51ABAA">
      <w:pPr>
        <w:pageBreakBefore w:val="0"/>
        <w:kinsoku/>
        <w:wordWrap w:val="0"/>
        <w:bidi w:val="0"/>
        <w:spacing w:line="400" w:lineRule="atLeast"/>
        <w:outlineLvl w:val="9"/>
        <w:rPr>
          <w:rFonts w:hint="eastAsia"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　　（9）其他合同文件。</w:t>
      </w:r>
    </w:p>
    <w:p w14:paraId="4921D5C9">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445" w:name="_Toc1591"/>
      <w:bookmarkStart w:id="446" w:name="_Toc7240"/>
      <w:bookmarkStart w:id="447" w:name="_Toc234832972"/>
      <w:bookmarkStart w:id="448" w:name="_Toc29563"/>
      <w:r>
        <w:rPr>
          <w:rFonts w:hint="default" w:ascii="Times New Roman" w:hAnsi="Times New Roman" w:eastAsia="黑体" w:cs="Times New Roman"/>
          <w:b w:val="0"/>
          <w:color w:val="auto"/>
          <w:sz w:val="24"/>
          <w:szCs w:val="24"/>
          <w:highlight w:val="none"/>
        </w:rPr>
        <w:t>1.5合同协议书</w:t>
      </w:r>
      <w:bookmarkEnd w:id="445"/>
      <w:bookmarkEnd w:id="446"/>
      <w:bookmarkEnd w:id="447"/>
      <w:bookmarkEnd w:id="448"/>
    </w:p>
    <w:p w14:paraId="2A40A1B6">
      <w:pPr>
        <w:pageBreakBefore w:val="0"/>
        <w:kinsoku/>
        <w:wordWrap w:val="0"/>
        <w:bidi w:val="0"/>
        <w:spacing w:line="400" w:lineRule="atLeast"/>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承包人按中标通知书规定的时间与发包人签订合同协议书。除法律另有规定或合同另有约定外，发包人和承包人的法定代表人或其委托代理人在合同协议书上签字并盖单位章后，合同生效。</w:t>
      </w:r>
    </w:p>
    <w:p w14:paraId="2A4E9897">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449" w:name="_Toc18684"/>
      <w:bookmarkStart w:id="450" w:name="_Toc24591"/>
      <w:bookmarkStart w:id="451" w:name="_Toc234832973"/>
      <w:bookmarkStart w:id="452" w:name="_Toc30819"/>
      <w:r>
        <w:rPr>
          <w:rFonts w:hint="default" w:ascii="Times New Roman" w:hAnsi="Times New Roman" w:eastAsia="黑体" w:cs="Times New Roman"/>
          <w:b w:val="0"/>
          <w:color w:val="auto"/>
          <w:sz w:val="24"/>
          <w:szCs w:val="24"/>
          <w:highlight w:val="none"/>
        </w:rPr>
        <w:t>1.6图纸和承包人文件</w:t>
      </w:r>
      <w:bookmarkEnd w:id="449"/>
      <w:bookmarkEnd w:id="450"/>
      <w:bookmarkEnd w:id="451"/>
      <w:bookmarkEnd w:id="452"/>
    </w:p>
    <w:p w14:paraId="595E4787">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1.6.1</w:t>
      </w:r>
      <w:r>
        <w:rPr>
          <w:rFonts w:hint="default" w:ascii="Times New Roman" w:hAnsi="Times New Roman" w:eastAsia="黑体" w:cs="Times New Roman"/>
          <w:color w:val="auto"/>
          <w:sz w:val="24"/>
          <w:highlight w:val="none"/>
        </w:rPr>
        <w:t>图纸的提供</w:t>
      </w:r>
    </w:p>
    <w:p w14:paraId="53D8B2A9">
      <w:pPr>
        <w:pageBreakBefore w:val="0"/>
        <w:kinsoku/>
        <w:wordWrap w:val="0"/>
        <w:bidi w:val="0"/>
        <w:spacing w:line="400" w:lineRule="atLeast"/>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除专用合同条款另有约定外，图纸应在合理的期限内按照合同约定的数量提供给承包人。由于发包人未按时提供图纸造成工期延误的，按第11.3款的约定办理。</w:t>
      </w:r>
    </w:p>
    <w:p w14:paraId="15E1C577">
      <w:pPr>
        <w:pageBreakBefore w:val="0"/>
        <w:kinsoku/>
        <w:wordWrap w:val="0"/>
        <w:bidi w:val="0"/>
        <w:spacing w:line="400" w:lineRule="atLeast"/>
        <w:ind w:firstLine="470" w:firstLineChars="196"/>
        <w:outlineLvl w:val="9"/>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1.6.2</w:t>
      </w:r>
      <w:r>
        <w:rPr>
          <w:rFonts w:hint="default" w:ascii="Times New Roman" w:hAnsi="Times New Roman" w:eastAsia="黑体" w:cs="Times New Roman"/>
          <w:color w:val="auto"/>
          <w:sz w:val="24"/>
          <w:highlight w:val="none"/>
        </w:rPr>
        <w:t>承包人提供的文件</w:t>
      </w:r>
    </w:p>
    <w:p w14:paraId="7D67D355">
      <w:pPr>
        <w:pageBreakBefore w:val="0"/>
        <w:kinsoku/>
        <w:wordWrap w:val="0"/>
        <w:bidi w:val="0"/>
        <w:spacing w:line="400" w:lineRule="atLeast"/>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按专用合同条款约定由承包人提供的文件，包括部分工程的大样图、加工图等，承包人应按约定的数量和期限报送监理人。监理人应在专用合同条款约定的期限内批复。</w:t>
      </w:r>
    </w:p>
    <w:p w14:paraId="61BBD78A">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1.6.3</w:t>
      </w:r>
      <w:r>
        <w:rPr>
          <w:rFonts w:hint="default" w:ascii="Times New Roman" w:hAnsi="Times New Roman" w:eastAsia="黑体" w:cs="Times New Roman"/>
          <w:color w:val="auto"/>
          <w:sz w:val="24"/>
          <w:highlight w:val="none"/>
        </w:rPr>
        <w:t>图纸的修改</w:t>
      </w:r>
    </w:p>
    <w:p w14:paraId="06B1EC9B">
      <w:pPr>
        <w:pageBreakBefore w:val="0"/>
        <w:kinsoku/>
        <w:wordWrap w:val="0"/>
        <w:bidi w:val="0"/>
        <w:spacing w:line="400" w:lineRule="atLeast"/>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图纸需要修改和补充的，应由监理人取得发包人同意后，在该工程或工程相应部位施工前的合理期限内签发图纸修改图给承包人，具体签发期限在专用合同条款中约定。承包人应按修改后的图纸施工。</w:t>
      </w:r>
    </w:p>
    <w:p w14:paraId="5F916339">
      <w:pPr>
        <w:pageBreakBefore w:val="0"/>
        <w:kinsoku/>
        <w:wordWrap w:val="0"/>
        <w:bidi w:val="0"/>
        <w:spacing w:line="400" w:lineRule="atLeast"/>
        <w:ind w:firstLine="470" w:firstLineChars="196"/>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1.6.4</w:t>
      </w:r>
      <w:r>
        <w:rPr>
          <w:rFonts w:hint="default" w:ascii="Times New Roman" w:hAnsi="Times New Roman" w:eastAsia="黑体" w:cs="Times New Roman"/>
          <w:color w:val="auto"/>
          <w:sz w:val="24"/>
          <w:highlight w:val="none"/>
        </w:rPr>
        <w:t>图纸的错误</w:t>
      </w:r>
    </w:p>
    <w:p w14:paraId="7DD26160">
      <w:pPr>
        <w:pageBreakBefore w:val="0"/>
        <w:kinsoku/>
        <w:wordWrap w:val="0"/>
        <w:bidi w:val="0"/>
        <w:spacing w:line="400" w:lineRule="atLeast"/>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承包人发现发包人提供的图纸存在明显错误或疏忽，应及时通知监理人。</w:t>
      </w:r>
    </w:p>
    <w:p w14:paraId="4A76F242">
      <w:pPr>
        <w:pageBreakBefore w:val="0"/>
        <w:kinsoku/>
        <w:wordWrap w:val="0"/>
        <w:bidi w:val="0"/>
        <w:spacing w:line="400" w:lineRule="atLeast"/>
        <w:ind w:firstLine="470" w:firstLineChars="196"/>
        <w:outlineLvl w:val="9"/>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1.6.5</w:t>
      </w:r>
      <w:r>
        <w:rPr>
          <w:rFonts w:hint="default" w:ascii="Times New Roman" w:hAnsi="Times New Roman" w:eastAsia="黑体" w:cs="Times New Roman"/>
          <w:color w:val="auto"/>
          <w:sz w:val="24"/>
          <w:highlight w:val="none"/>
        </w:rPr>
        <w:t>图纸和承包人文件的保管</w:t>
      </w:r>
    </w:p>
    <w:p w14:paraId="422F6EE5">
      <w:pPr>
        <w:pageBreakBefore w:val="0"/>
        <w:kinsoku/>
        <w:wordWrap w:val="0"/>
        <w:bidi w:val="0"/>
        <w:spacing w:line="400" w:lineRule="atLeast"/>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监理人和承包人均应在施工场地各保存一套完整的包含第1.6.1项、第1.6.2项、第1.6.3项约定内容的图纸和承包人文件。</w:t>
      </w:r>
    </w:p>
    <w:p w14:paraId="2B0690AA">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453" w:name="_Toc28959"/>
      <w:bookmarkStart w:id="454" w:name="_Toc3784"/>
      <w:bookmarkStart w:id="455" w:name="_Toc234832974"/>
      <w:bookmarkStart w:id="456" w:name="_Toc3785"/>
      <w:r>
        <w:rPr>
          <w:rFonts w:hint="default" w:ascii="Times New Roman" w:hAnsi="Times New Roman" w:eastAsia="黑体" w:cs="Times New Roman"/>
          <w:b w:val="0"/>
          <w:color w:val="auto"/>
          <w:sz w:val="24"/>
          <w:szCs w:val="24"/>
          <w:highlight w:val="none"/>
        </w:rPr>
        <w:t>1.7联络</w:t>
      </w:r>
      <w:bookmarkEnd w:id="453"/>
      <w:bookmarkEnd w:id="454"/>
      <w:bookmarkEnd w:id="455"/>
      <w:bookmarkEnd w:id="456"/>
    </w:p>
    <w:p w14:paraId="52118EC3">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1.7.1与合同有关的通知、批准、证明、证书、指示、要求、请求、同意、意见、确定和决定等，均应采用书面形式。</w:t>
      </w:r>
    </w:p>
    <w:p w14:paraId="43D3E698">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1.7.2第1.7.1项中的通知、批准、证明、证书、指示、要求、请求、同意、意见、确定和决定等来往函件，均应在合同约定的期限内送达指定地点和接收人，并办理签收手续。</w:t>
      </w:r>
    </w:p>
    <w:p w14:paraId="12F40500">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457" w:name="_Toc162"/>
      <w:bookmarkStart w:id="458" w:name="_Toc234832975"/>
      <w:bookmarkStart w:id="459" w:name="_Toc13094"/>
      <w:bookmarkStart w:id="460" w:name="_Toc8917"/>
      <w:r>
        <w:rPr>
          <w:rFonts w:hint="default" w:ascii="Times New Roman" w:hAnsi="Times New Roman" w:eastAsia="黑体" w:cs="Times New Roman"/>
          <w:b w:val="0"/>
          <w:color w:val="auto"/>
          <w:sz w:val="24"/>
          <w:szCs w:val="24"/>
          <w:highlight w:val="none"/>
        </w:rPr>
        <w:t>1.8转让</w:t>
      </w:r>
      <w:bookmarkEnd w:id="457"/>
      <w:bookmarkEnd w:id="458"/>
      <w:bookmarkEnd w:id="459"/>
      <w:bookmarkEnd w:id="460"/>
    </w:p>
    <w:p w14:paraId="5810E1FC">
      <w:pPr>
        <w:pageBreakBefore w:val="0"/>
        <w:kinsoku/>
        <w:wordWrap w:val="0"/>
        <w:bidi w:val="0"/>
        <w:spacing w:line="400" w:lineRule="atLeast"/>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除合同另有约定外，未经对方当事人同意，一方当事人不得将合同权利全部或部分转让给第三人，也不得全部或部分转移合同义务。</w:t>
      </w:r>
    </w:p>
    <w:p w14:paraId="03390F69">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461" w:name="_Toc23791"/>
      <w:bookmarkStart w:id="462" w:name="_Toc6228"/>
      <w:bookmarkStart w:id="463" w:name="_Toc234832976"/>
      <w:bookmarkStart w:id="464" w:name="_Toc24262"/>
      <w:r>
        <w:rPr>
          <w:rFonts w:hint="default" w:ascii="Times New Roman" w:hAnsi="Times New Roman" w:eastAsia="黑体" w:cs="Times New Roman"/>
          <w:b w:val="0"/>
          <w:color w:val="auto"/>
          <w:sz w:val="24"/>
          <w:szCs w:val="24"/>
          <w:highlight w:val="none"/>
        </w:rPr>
        <w:t>1.9严禁贿赂</w:t>
      </w:r>
      <w:bookmarkEnd w:id="461"/>
      <w:bookmarkEnd w:id="462"/>
      <w:bookmarkEnd w:id="463"/>
      <w:bookmarkEnd w:id="464"/>
    </w:p>
    <w:p w14:paraId="50B5E60E">
      <w:pPr>
        <w:pageBreakBefore w:val="0"/>
        <w:kinsoku/>
        <w:wordWrap w:val="0"/>
        <w:bidi w:val="0"/>
        <w:spacing w:line="400" w:lineRule="atLeast"/>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合同双方当事人不得以贿赂或变相贿赂的方式，谋取不当利益或损害对方权益。因贿赂造成对方损失的，行为人应赔偿损失，并承担相应的法律责任。</w:t>
      </w:r>
    </w:p>
    <w:p w14:paraId="1F1A2E34">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465" w:name="_Toc5924"/>
      <w:bookmarkStart w:id="466" w:name="_Toc28929"/>
      <w:bookmarkStart w:id="467" w:name="_Toc1823"/>
      <w:bookmarkStart w:id="468" w:name="_Toc234832977"/>
      <w:r>
        <w:rPr>
          <w:rFonts w:hint="default" w:ascii="Times New Roman" w:hAnsi="Times New Roman" w:eastAsia="黑体" w:cs="Times New Roman"/>
          <w:b w:val="0"/>
          <w:color w:val="auto"/>
          <w:sz w:val="24"/>
          <w:szCs w:val="24"/>
          <w:highlight w:val="none"/>
        </w:rPr>
        <w:t>1.10化石、文物</w:t>
      </w:r>
      <w:bookmarkEnd w:id="465"/>
      <w:bookmarkEnd w:id="466"/>
      <w:bookmarkEnd w:id="467"/>
      <w:bookmarkEnd w:id="468"/>
    </w:p>
    <w:p w14:paraId="1720EFBC">
      <w:pPr>
        <w:pageBreakBefore w:val="0"/>
        <w:kinsoku/>
        <w:wordWrap w:val="0"/>
        <w:bidi w:val="0"/>
        <w:spacing w:line="400" w:lineRule="atLeast"/>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1.10.1在施工场地发掘的所有文物、古迹以及具有地质研究或考古价值的其他遗迹、化石、钱币或物品属于国家所有。一旦发现上述文物，承包人应采取有效合理的保护措施，防止任何人员移动或损坏上述物品，并立即报告当地文物行政部门，同时通知监理人。发包人、监理人和承包人应按文物行政部门要求采取妥善保护措施，由此导致费用增加和（或）工期延误由发包人承担。</w:t>
      </w:r>
    </w:p>
    <w:p w14:paraId="1FC4A6D3">
      <w:pPr>
        <w:pageBreakBefore w:val="0"/>
        <w:kinsoku/>
        <w:wordWrap w:val="0"/>
        <w:bidi w:val="0"/>
        <w:spacing w:line="400" w:lineRule="atLeast"/>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1.10.2承包人发现文物后不及时报告或隐瞒不报，致使文物丢失或损坏的，应赔偿损失，并承担相应的法律责任。</w:t>
      </w:r>
    </w:p>
    <w:p w14:paraId="6856879C">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469" w:name="_Toc27784"/>
      <w:bookmarkStart w:id="470" w:name="_Toc234832978"/>
      <w:bookmarkStart w:id="471" w:name="_Toc24599"/>
      <w:bookmarkStart w:id="472" w:name="_Toc7504"/>
      <w:r>
        <w:rPr>
          <w:rFonts w:hint="default" w:ascii="Times New Roman" w:hAnsi="Times New Roman" w:eastAsia="黑体" w:cs="Times New Roman"/>
          <w:b w:val="0"/>
          <w:color w:val="auto"/>
          <w:sz w:val="24"/>
          <w:szCs w:val="24"/>
          <w:highlight w:val="none"/>
        </w:rPr>
        <w:t>1.11专利技术</w:t>
      </w:r>
      <w:bookmarkEnd w:id="469"/>
      <w:bookmarkEnd w:id="470"/>
      <w:bookmarkEnd w:id="471"/>
      <w:bookmarkEnd w:id="472"/>
    </w:p>
    <w:p w14:paraId="3A86707C">
      <w:pPr>
        <w:pageBreakBefore w:val="0"/>
        <w:kinsoku/>
        <w:wordWrap w:val="0"/>
        <w:bidi w:val="0"/>
        <w:spacing w:line="400" w:lineRule="atLeast"/>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1.11.1承包人在使用任何材料、承包人设备、工程设备或采用施工工艺时，因侵犯专利权或其他知识产权所引起的责任，由承包人承担，但由于遵照发包人提供的设计或技术标准和要求引起的除外。</w:t>
      </w:r>
    </w:p>
    <w:p w14:paraId="38ACE0EC">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1.11.2承包人在投标文件中采用专利技术的，专利技术的使用费包含在投标报价内。</w:t>
      </w:r>
    </w:p>
    <w:p w14:paraId="2168DBDA">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1.11.3承包人的技术秘密和声明需要保密的资料和信息，发包人和监理人不得为合同以外的目的泄露给他人。</w:t>
      </w:r>
    </w:p>
    <w:p w14:paraId="78ACD53F">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473" w:name="_Toc2063"/>
      <w:bookmarkStart w:id="474" w:name="_Toc234832979"/>
      <w:bookmarkStart w:id="475" w:name="_Toc963"/>
      <w:bookmarkStart w:id="476" w:name="_Toc29843"/>
      <w:r>
        <w:rPr>
          <w:rFonts w:hint="default" w:ascii="Times New Roman" w:hAnsi="Times New Roman" w:eastAsia="黑体" w:cs="Times New Roman"/>
          <w:b w:val="0"/>
          <w:color w:val="auto"/>
          <w:sz w:val="24"/>
          <w:szCs w:val="24"/>
          <w:highlight w:val="none"/>
        </w:rPr>
        <w:t>1.12图纸和文件的保密</w:t>
      </w:r>
      <w:bookmarkEnd w:id="473"/>
      <w:bookmarkEnd w:id="474"/>
      <w:bookmarkEnd w:id="475"/>
      <w:bookmarkEnd w:id="476"/>
    </w:p>
    <w:p w14:paraId="6DECE5B0">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1.12.1发包人提供的图纸和文件，未经发包人同意，承包人不得为合同以外的目的泄露给他人或公开发表与引用。</w:t>
      </w:r>
    </w:p>
    <w:p w14:paraId="2E2B1A79">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1.12.2承包人提供的文件，未经承包人同意，发包人和监理人不得为合同以外的目的泄露给他人或公开发表与引用。</w:t>
      </w:r>
    </w:p>
    <w:p w14:paraId="76268242">
      <w:pPr>
        <w:pageBreakBefore w:val="0"/>
        <w:kinsoku/>
        <w:wordWrap w:val="0"/>
        <w:bidi w:val="0"/>
        <w:spacing w:before="480" w:after="240" w:line="380" w:lineRule="atLeast"/>
        <w:outlineLvl w:val="9"/>
        <w:rPr>
          <w:rFonts w:hint="default" w:ascii="Times New Roman" w:hAnsi="Times New Roman" w:eastAsia="黑体" w:cs="Times New Roman"/>
          <w:b w:val="0"/>
          <w:color w:val="auto"/>
          <w:sz w:val="28"/>
          <w:szCs w:val="28"/>
          <w:highlight w:val="none"/>
        </w:rPr>
      </w:pPr>
      <w:bookmarkStart w:id="477" w:name="_Toc11044"/>
      <w:bookmarkStart w:id="478" w:name="_Toc28964"/>
      <w:bookmarkStart w:id="479" w:name="_Toc234832980"/>
      <w:bookmarkStart w:id="480" w:name="_Toc2725"/>
      <w:r>
        <w:rPr>
          <w:rFonts w:hint="default" w:ascii="Times New Roman" w:hAnsi="Times New Roman" w:eastAsia="黑体" w:cs="Times New Roman"/>
          <w:b w:val="0"/>
          <w:color w:val="auto"/>
          <w:sz w:val="28"/>
          <w:szCs w:val="28"/>
          <w:highlight w:val="none"/>
        </w:rPr>
        <w:t>2.发包人义务</w:t>
      </w:r>
      <w:bookmarkEnd w:id="477"/>
      <w:bookmarkEnd w:id="478"/>
      <w:bookmarkEnd w:id="479"/>
      <w:bookmarkEnd w:id="480"/>
    </w:p>
    <w:p w14:paraId="3BFEE291">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481" w:name="_Toc5651"/>
      <w:bookmarkStart w:id="482" w:name="_Toc234832981"/>
      <w:bookmarkStart w:id="483" w:name="_Toc25606"/>
      <w:bookmarkStart w:id="484" w:name="_Toc9101"/>
      <w:r>
        <w:rPr>
          <w:rFonts w:hint="default" w:ascii="Times New Roman" w:hAnsi="Times New Roman" w:eastAsia="黑体" w:cs="Times New Roman"/>
          <w:b w:val="0"/>
          <w:color w:val="auto"/>
          <w:sz w:val="24"/>
          <w:szCs w:val="24"/>
          <w:highlight w:val="none"/>
        </w:rPr>
        <w:t>2.1遵守法律</w:t>
      </w:r>
      <w:bookmarkEnd w:id="481"/>
      <w:bookmarkEnd w:id="482"/>
      <w:bookmarkEnd w:id="483"/>
      <w:bookmarkEnd w:id="484"/>
    </w:p>
    <w:p w14:paraId="0466AB78">
      <w:pPr>
        <w:pageBreakBefore w:val="0"/>
        <w:kinsoku/>
        <w:wordWrap w:val="0"/>
        <w:bidi w:val="0"/>
        <w:spacing w:line="400" w:lineRule="atLeast"/>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发包人在履行合同过程中应遵守法律，并保证承包人免于承担因发包人违反法律而引起的任何责任。</w:t>
      </w:r>
    </w:p>
    <w:p w14:paraId="3305A625">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485" w:name="_Toc19902"/>
      <w:bookmarkStart w:id="486" w:name="_Toc31599"/>
      <w:bookmarkStart w:id="487" w:name="_Toc31024"/>
      <w:bookmarkStart w:id="488" w:name="_Toc234832982"/>
      <w:r>
        <w:rPr>
          <w:rFonts w:hint="default" w:ascii="Times New Roman" w:hAnsi="Times New Roman" w:eastAsia="黑体" w:cs="Times New Roman"/>
          <w:b w:val="0"/>
          <w:color w:val="auto"/>
          <w:sz w:val="24"/>
          <w:szCs w:val="24"/>
          <w:highlight w:val="none"/>
        </w:rPr>
        <w:t>2.2发出开工通知</w:t>
      </w:r>
      <w:bookmarkEnd w:id="485"/>
      <w:bookmarkEnd w:id="486"/>
      <w:bookmarkEnd w:id="487"/>
      <w:bookmarkEnd w:id="488"/>
    </w:p>
    <w:p w14:paraId="6D516D71">
      <w:pPr>
        <w:pageBreakBefore w:val="0"/>
        <w:kinsoku/>
        <w:wordWrap w:val="0"/>
        <w:bidi w:val="0"/>
        <w:spacing w:line="400" w:lineRule="atLeast"/>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发包人应委托监理人按第11.1款的约定向承包人发出开工通知。</w:t>
      </w:r>
    </w:p>
    <w:p w14:paraId="1093D385">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489" w:name="_Toc234832983"/>
      <w:bookmarkStart w:id="490" w:name="_Toc12076"/>
      <w:bookmarkStart w:id="491" w:name="_Toc17104"/>
      <w:bookmarkStart w:id="492" w:name="_Toc12327"/>
      <w:r>
        <w:rPr>
          <w:rFonts w:hint="default" w:ascii="Times New Roman" w:hAnsi="Times New Roman" w:eastAsia="黑体" w:cs="Times New Roman"/>
          <w:b w:val="0"/>
          <w:color w:val="auto"/>
          <w:sz w:val="24"/>
          <w:szCs w:val="24"/>
          <w:highlight w:val="none"/>
        </w:rPr>
        <w:t>2.3提供施工场地</w:t>
      </w:r>
      <w:bookmarkEnd w:id="489"/>
      <w:bookmarkEnd w:id="490"/>
      <w:bookmarkEnd w:id="491"/>
      <w:bookmarkEnd w:id="492"/>
    </w:p>
    <w:p w14:paraId="04300EF3">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发包人应按专用合同条款约定向承包人提供施工场地，以及施工场地内地下管线和地下设施等有关资料，并保证资料的真实、准确、完整。</w:t>
      </w:r>
    </w:p>
    <w:p w14:paraId="24262F40">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493" w:name="_Toc12536"/>
      <w:bookmarkStart w:id="494" w:name="_Toc234832984"/>
      <w:bookmarkStart w:id="495" w:name="_Toc15886"/>
      <w:bookmarkStart w:id="496" w:name="_Toc12372"/>
      <w:r>
        <w:rPr>
          <w:rFonts w:hint="default" w:ascii="Times New Roman" w:hAnsi="Times New Roman" w:eastAsia="黑体" w:cs="Times New Roman"/>
          <w:b w:val="0"/>
          <w:color w:val="auto"/>
          <w:sz w:val="24"/>
          <w:szCs w:val="24"/>
          <w:highlight w:val="none"/>
        </w:rPr>
        <w:t>2.4协助承包人办理证件和批件</w:t>
      </w:r>
      <w:bookmarkEnd w:id="493"/>
      <w:bookmarkEnd w:id="494"/>
      <w:bookmarkEnd w:id="495"/>
      <w:bookmarkEnd w:id="496"/>
    </w:p>
    <w:p w14:paraId="2CF61F47">
      <w:pPr>
        <w:pageBreakBefore w:val="0"/>
        <w:kinsoku/>
        <w:wordWrap w:val="0"/>
        <w:bidi w:val="0"/>
        <w:spacing w:line="400" w:lineRule="atLeast"/>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发包人应协助承包人办理法律规定的有关施工证件和批件。</w:t>
      </w:r>
    </w:p>
    <w:p w14:paraId="0DAD9F61">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497" w:name="_Toc22937"/>
      <w:bookmarkStart w:id="498" w:name="_Toc234832985"/>
      <w:bookmarkStart w:id="499" w:name="_Toc2840"/>
      <w:bookmarkStart w:id="500" w:name="_Toc6781"/>
      <w:r>
        <w:rPr>
          <w:rFonts w:hint="default" w:ascii="Times New Roman" w:hAnsi="Times New Roman" w:eastAsia="黑体" w:cs="Times New Roman"/>
          <w:b w:val="0"/>
          <w:color w:val="auto"/>
          <w:sz w:val="24"/>
          <w:szCs w:val="24"/>
          <w:highlight w:val="none"/>
        </w:rPr>
        <w:t>2.5组织设计交底</w:t>
      </w:r>
      <w:bookmarkEnd w:id="497"/>
      <w:bookmarkEnd w:id="498"/>
      <w:bookmarkEnd w:id="499"/>
      <w:bookmarkEnd w:id="500"/>
    </w:p>
    <w:p w14:paraId="12642418">
      <w:pPr>
        <w:pageBreakBefore w:val="0"/>
        <w:kinsoku/>
        <w:wordWrap w:val="0"/>
        <w:bidi w:val="0"/>
        <w:spacing w:line="400" w:lineRule="atLeast"/>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发包人应根据合同进度计划，组织设计单位向承包人进行设计交底。</w:t>
      </w:r>
    </w:p>
    <w:p w14:paraId="70C45C35">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501" w:name="_Toc234832986"/>
      <w:bookmarkStart w:id="502" w:name="_Toc15709"/>
      <w:bookmarkStart w:id="503" w:name="_Toc2788"/>
      <w:bookmarkStart w:id="504" w:name="_Toc18904"/>
      <w:r>
        <w:rPr>
          <w:rFonts w:hint="default" w:ascii="Times New Roman" w:hAnsi="Times New Roman" w:eastAsia="黑体" w:cs="Times New Roman"/>
          <w:b w:val="0"/>
          <w:color w:val="auto"/>
          <w:sz w:val="24"/>
          <w:szCs w:val="24"/>
          <w:highlight w:val="none"/>
        </w:rPr>
        <w:t>2.6支付合同价款</w:t>
      </w:r>
      <w:bookmarkEnd w:id="501"/>
      <w:bookmarkEnd w:id="502"/>
      <w:bookmarkEnd w:id="503"/>
      <w:bookmarkEnd w:id="504"/>
    </w:p>
    <w:p w14:paraId="5AE08D1E">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发包人应按合同约定向承包人及时支付合同价款。</w:t>
      </w:r>
    </w:p>
    <w:p w14:paraId="03EB274D">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505" w:name="_Toc8246"/>
      <w:bookmarkStart w:id="506" w:name="_Toc1813"/>
      <w:bookmarkStart w:id="507" w:name="_Toc234832987"/>
      <w:bookmarkStart w:id="508" w:name="_Toc12390"/>
      <w:r>
        <w:rPr>
          <w:rFonts w:hint="default" w:ascii="Times New Roman" w:hAnsi="Times New Roman" w:eastAsia="黑体" w:cs="Times New Roman"/>
          <w:b w:val="0"/>
          <w:color w:val="auto"/>
          <w:sz w:val="24"/>
          <w:szCs w:val="24"/>
          <w:highlight w:val="none"/>
        </w:rPr>
        <w:t>2.7组织竣工验收</w:t>
      </w:r>
      <w:bookmarkEnd w:id="505"/>
      <w:bookmarkEnd w:id="506"/>
      <w:bookmarkEnd w:id="507"/>
      <w:bookmarkEnd w:id="508"/>
    </w:p>
    <w:p w14:paraId="69B32CE1">
      <w:pPr>
        <w:pageBreakBefore w:val="0"/>
        <w:kinsoku/>
        <w:wordWrap w:val="0"/>
        <w:bidi w:val="0"/>
        <w:spacing w:line="400" w:lineRule="atLeast"/>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发包人应按合同约定及时组织竣工验收。</w:t>
      </w:r>
    </w:p>
    <w:p w14:paraId="3DC95099">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509" w:name="_Toc234832988"/>
      <w:bookmarkStart w:id="510" w:name="_Toc13771"/>
      <w:bookmarkStart w:id="511" w:name="_Toc16971"/>
      <w:bookmarkStart w:id="512" w:name="_Toc4891"/>
      <w:r>
        <w:rPr>
          <w:rFonts w:hint="default" w:ascii="Times New Roman" w:hAnsi="Times New Roman" w:eastAsia="黑体" w:cs="Times New Roman"/>
          <w:b w:val="0"/>
          <w:color w:val="auto"/>
          <w:sz w:val="24"/>
          <w:szCs w:val="24"/>
          <w:highlight w:val="none"/>
        </w:rPr>
        <w:t>2.8其他义务</w:t>
      </w:r>
      <w:bookmarkEnd w:id="509"/>
      <w:bookmarkEnd w:id="510"/>
      <w:bookmarkEnd w:id="511"/>
      <w:bookmarkEnd w:id="512"/>
    </w:p>
    <w:p w14:paraId="112CE1BB">
      <w:pPr>
        <w:pageBreakBefore w:val="0"/>
        <w:kinsoku/>
        <w:wordWrap w:val="0"/>
        <w:bidi w:val="0"/>
        <w:spacing w:line="400" w:lineRule="atLeast"/>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发包人应履行合同约定的其他义务。</w:t>
      </w:r>
    </w:p>
    <w:p w14:paraId="6306B281">
      <w:pPr>
        <w:pageBreakBefore w:val="0"/>
        <w:kinsoku/>
        <w:wordWrap w:val="0"/>
        <w:bidi w:val="0"/>
        <w:spacing w:before="480" w:after="240" w:line="380" w:lineRule="atLeast"/>
        <w:outlineLvl w:val="9"/>
        <w:rPr>
          <w:rFonts w:hint="default" w:ascii="Times New Roman" w:hAnsi="Times New Roman" w:eastAsia="黑体" w:cs="Times New Roman"/>
          <w:b w:val="0"/>
          <w:color w:val="auto"/>
          <w:sz w:val="28"/>
          <w:szCs w:val="28"/>
          <w:highlight w:val="none"/>
        </w:rPr>
      </w:pPr>
      <w:bookmarkStart w:id="513" w:name="_Toc22971"/>
      <w:bookmarkStart w:id="514" w:name="_Toc11915"/>
      <w:bookmarkStart w:id="515" w:name="_Toc7583"/>
      <w:bookmarkStart w:id="516" w:name="_Toc234832989"/>
      <w:r>
        <w:rPr>
          <w:rFonts w:hint="default" w:ascii="Times New Roman" w:hAnsi="Times New Roman" w:eastAsia="黑体" w:cs="Times New Roman"/>
          <w:b w:val="0"/>
          <w:color w:val="auto"/>
          <w:sz w:val="28"/>
          <w:szCs w:val="28"/>
          <w:highlight w:val="none"/>
        </w:rPr>
        <w:t>3.监理人</w:t>
      </w:r>
      <w:bookmarkEnd w:id="513"/>
      <w:bookmarkEnd w:id="514"/>
      <w:bookmarkEnd w:id="515"/>
      <w:bookmarkEnd w:id="516"/>
    </w:p>
    <w:p w14:paraId="23342743">
      <w:pPr>
        <w:pageBreakBefore w:val="0"/>
        <w:kinsoku/>
        <w:wordWrap w:val="0"/>
        <w:bidi w:val="0"/>
        <w:spacing w:before="240" w:after="240" w:line="380" w:lineRule="atLeast"/>
        <w:outlineLvl w:val="9"/>
        <w:rPr>
          <w:rFonts w:hint="eastAsia" w:ascii="Times New Roman" w:hAnsi="Times New Roman" w:eastAsia="黑体" w:cs="Times New Roman"/>
          <w:b w:val="0"/>
          <w:color w:val="auto"/>
          <w:sz w:val="24"/>
          <w:szCs w:val="24"/>
          <w:highlight w:val="none"/>
          <w:lang w:eastAsia="zh-CN"/>
        </w:rPr>
      </w:pPr>
      <w:bookmarkStart w:id="517" w:name="_Toc21643"/>
      <w:bookmarkStart w:id="518" w:name="_Toc16801"/>
      <w:bookmarkStart w:id="519" w:name="_Toc234832990"/>
      <w:bookmarkStart w:id="520" w:name="_Toc6610"/>
      <w:r>
        <w:rPr>
          <w:rFonts w:hint="default" w:ascii="Times New Roman" w:hAnsi="Times New Roman" w:eastAsia="黑体" w:cs="Times New Roman"/>
          <w:b w:val="0"/>
          <w:color w:val="auto"/>
          <w:sz w:val="24"/>
          <w:szCs w:val="24"/>
          <w:highlight w:val="none"/>
        </w:rPr>
        <w:t>3.1监理人的职责和权力</w:t>
      </w:r>
      <w:bookmarkEnd w:id="517"/>
      <w:bookmarkEnd w:id="518"/>
      <w:bookmarkEnd w:id="519"/>
      <w:bookmarkEnd w:id="520"/>
    </w:p>
    <w:p w14:paraId="3BB5A36E">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3.1.1监理人受发包人委托，享有合同约定的权力。监理人在行使某项权力前需要经发包人事先批准而通用合同条款没有指明的，应在专用合同条款中指明。</w:t>
      </w:r>
    </w:p>
    <w:p w14:paraId="7F6373B1">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3.1.2监理人发出的任何指示应视为已得到发包人的批准，但监理人无权免除或变更合同约定的发包人和承包人的权利、义务和责任。</w:t>
      </w:r>
    </w:p>
    <w:p w14:paraId="117C6CAC">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3.1.3合同约定应由承包人承担的义务和责任，不因监理人对承包人提交文件的审查或批准，对工程、材料和设备的检查和检验，以及为实施监理作出的指示等职务行为而减轻或解除。</w:t>
      </w:r>
    </w:p>
    <w:p w14:paraId="5ABC9F6F">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521" w:name="_Toc234832991"/>
      <w:bookmarkStart w:id="522" w:name="_Toc8512"/>
      <w:bookmarkStart w:id="523" w:name="_Toc4457"/>
      <w:bookmarkStart w:id="524" w:name="_Toc8960"/>
      <w:r>
        <w:rPr>
          <w:rFonts w:hint="default" w:ascii="Times New Roman" w:hAnsi="Times New Roman" w:eastAsia="黑体" w:cs="Times New Roman"/>
          <w:b w:val="0"/>
          <w:color w:val="auto"/>
          <w:sz w:val="24"/>
          <w:szCs w:val="24"/>
          <w:highlight w:val="none"/>
        </w:rPr>
        <w:t>3.2总监理工程师</w:t>
      </w:r>
      <w:bookmarkEnd w:id="521"/>
      <w:bookmarkEnd w:id="522"/>
      <w:bookmarkEnd w:id="523"/>
      <w:bookmarkEnd w:id="524"/>
    </w:p>
    <w:p w14:paraId="0AF1B382">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发包人应在发出开工通知前将总监理工程师的任命通知承包人。总监理工程师更换时，应在调离14天前通知承包人。总监理工程师短期离开施工场地的，应委派代表代行其职责，并通知承包人。</w:t>
      </w:r>
    </w:p>
    <w:p w14:paraId="32820103">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525" w:name="_Toc234832992"/>
      <w:bookmarkStart w:id="526" w:name="_Toc2208"/>
      <w:bookmarkStart w:id="527" w:name="_Toc28836"/>
      <w:bookmarkStart w:id="528" w:name="_Toc26577"/>
      <w:r>
        <w:rPr>
          <w:rFonts w:hint="default" w:ascii="Times New Roman" w:hAnsi="Times New Roman" w:eastAsia="黑体" w:cs="Times New Roman"/>
          <w:b w:val="0"/>
          <w:color w:val="auto"/>
          <w:sz w:val="24"/>
          <w:szCs w:val="24"/>
          <w:highlight w:val="none"/>
        </w:rPr>
        <w:t>3.3监理人员</w:t>
      </w:r>
      <w:bookmarkEnd w:id="525"/>
      <w:bookmarkEnd w:id="526"/>
      <w:bookmarkEnd w:id="527"/>
      <w:bookmarkEnd w:id="528"/>
    </w:p>
    <w:p w14:paraId="03F316EC">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3.3.1总监理工程师可以授权其他监理人员负责执行其指派的一项或多项监理工作。总监理工程师应将被授权监理人员的姓名及其授权范围通知承包人。被授权的监理人员在授权范围内发出的指示视为已得到总监理工程师的同意，与总监理工程师发出的指示具有同等效力。总监理工程师撤销某项授权时，应将撤销授权的决定及时通知承包人。</w:t>
      </w:r>
    </w:p>
    <w:p w14:paraId="5902281E">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3.3.2监理人员对承包人的任何工作、工程或其采用的材料和工程设备未在约定的或合理的期限内提出否定意见的，视为已获批准，但不影响监理人在以后拒绝该项工作、工程、材料或工程设备的权利。</w:t>
      </w:r>
    </w:p>
    <w:p w14:paraId="6E9C3EC6">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3.3.3承包人对总监理工程师授权的监理人员发出的指示有疑问的，可向总监理工程师提出书面异议，总监理工程师应在48小时内对该指示予以确认、更改或撤销。</w:t>
      </w:r>
    </w:p>
    <w:p w14:paraId="1A3F7B96">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3.3.4除专用合同条款另有约定外，总监理工程师不应将第3.5款约定应由总监理工程师作出确定的权力授权或委托给其他监理人员。</w:t>
      </w:r>
    </w:p>
    <w:p w14:paraId="4881757C">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529" w:name="_Toc1056"/>
      <w:bookmarkStart w:id="530" w:name="_Toc234832993"/>
      <w:bookmarkStart w:id="531" w:name="_Toc31668"/>
      <w:bookmarkStart w:id="532" w:name="_Toc12482"/>
      <w:r>
        <w:rPr>
          <w:rFonts w:hint="default" w:ascii="Times New Roman" w:hAnsi="Times New Roman" w:eastAsia="黑体" w:cs="Times New Roman"/>
          <w:b w:val="0"/>
          <w:color w:val="auto"/>
          <w:sz w:val="24"/>
          <w:szCs w:val="24"/>
          <w:highlight w:val="none"/>
        </w:rPr>
        <w:t>3.4监理人的指示</w:t>
      </w:r>
      <w:bookmarkEnd w:id="529"/>
      <w:bookmarkEnd w:id="530"/>
      <w:bookmarkEnd w:id="531"/>
      <w:bookmarkEnd w:id="532"/>
    </w:p>
    <w:p w14:paraId="79DA2DC7">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3.4.1监理人应按第3.1款的约定向承包人发出指示，监理人的指示应盖有监理人授权的施工场地机构章，并由总监理工程师或总监理工程师按第3.3.1项约定授权的监理人员签字。</w:t>
      </w:r>
    </w:p>
    <w:p w14:paraId="6FECE68A">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3.4.2承包人收到监理人按第3.4.1项作出的指示后应遵照执行。指示构成变更的，应按第15条处理。</w:t>
      </w:r>
    </w:p>
    <w:p w14:paraId="51A02C86">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3.4.3在紧急情况下，总监理工程师或被授权的监理人员可以当场签发临时书面指示，承包人应遵照执行。承包人应在收到上述临时书面指示后24小时内，向监理人发出书面确认函。监理人在收到书面确认函后24小时内未予答复的，该书面确认函应被视为监理人的正式指示。</w:t>
      </w:r>
    </w:p>
    <w:p w14:paraId="56F9061C">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3.4.4除合同另有约定外，承包人只从总监理工程师或按第3.3.1项被授权的监理人员处取得指示。</w:t>
      </w:r>
    </w:p>
    <w:p w14:paraId="73CE1220">
      <w:pPr>
        <w:pageBreakBefore w:val="0"/>
        <w:kinsoku/>
        <w:wordWrap w:val="0"/>
        <w:bidi w:val="0"/>
        <w:spacing w:line="400" w:lineRule="atLeast"/>
        <w:ind w:firstLine="480" w:firstLineChars="200"/>
        <w:outlineLvl w:val="9"/>
        <w:rPr>
          <w:rFonts w:hint="eastAsia"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3.4.5由于监理人未能按合同约定发出指示、指示延误或指示错误而导致承包人费用增加和（或）工期延误的，由发包人承担赔偿责任。</w:t>
      </w:r>
    </w:p>
    <w:p w14:paraId="6761E724">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533" w:name="_Toc9828"/>
      <w:bookmarkStart w:id="534" w:name="_Toc7716"/>
      <w:bookmarkStart w:id="535" w:name="_Toc13069"/>
      <w:bookmarkStart w:id="536" w:name="_Toc234832994"/>
      <w:r>
        <w:rPr>
          <w:rFonts w:hint="default" w:ascii="Times New Roman" w:hAnsi="Times New Roman" w:eastAsia="黑体" w:cs="Times New Roman"/>
          <w:b w:val="0"/>
          <w:color w:val="auto"/>
          <w:sz w:val="24"/>
          <w:szCs w:val="24"/>
          <w:highlight w:val="none"/>
        </w:rPr>
        <w:t>3.5商定或确定</w:t>
      </w:r>
      <w:bookmarkEnd w:id="533"/>
      <w:bookmarkEnd w:id="534"/>
      <w:bookmarkEnd w:id="535"/>
      <w:bookmarkEnd w:id="536"/>
    </w:p>
    <w:p w14:paraId="74192CFE">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3.5.1合同约定总监理工程师应按照本款对任何事项进行商定或确定时，总监理工程师应与合同当事人协商，尽量达成一致。不能达成一致的，总监理工程师应认真研究后审慎确定。</w:t>
      </w:r>
    </w:p>
    <w:p w14:paraId="0FD722C2">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3.5.2总监理工程师应将商定或确定的事项通知合同当事人，并附详细依据。对总监理工程师的确定有异议的，</w:t>
      </w:r>
      <w:r>
        <w:rPr>
          <w:rFonts w:hint="default" w:ascii="Times New Roman" w:hAnsi="Times New Roman" w:cs="Times New Roman"/>
          <w:iCs/>
          <w:color w:val="auto"/>
          <w:sz w:val="24"/>
          <w:highlight w:val="none"/>
        </w:rPr>
        <w:t>构成争议，</w:t>
      </w:r>
      <w:r>
        <w:rPr>
          <w:rFonts w:hint="default" w:ascii="Times New Roman" w:hAnsi="Times New Roman" w:cs="Times New Roman"/>
          <w:color w:val="auto"/>
          <w:sz w:val="24"/>
          <w:highlight w:val="none"/>
        </w:rPr>
        <w:t>按照第24条的约定处理。在争议解决前，双方应暂按总监理工程师的确定执行，按照第24条的约定对总监理工程师的确定作出修改的，按修改后的结果执行。</w:t>
      </w:r>
    </w:p>
    <w:p w14:paraId="5855688B">
      <w:pPr>
        <w:pageBreakBefore w:val="0"/>
        <w:kinsoku/>
        <w:wordWrap w:val="0"/>
        <w:bidi w:val="0"/>
        <w:spacing w:before="480" w:after="240" w:line="380" w:lineRule="atLeast"/>
        <w:outlineLvl w:val="9"/>
        <w:rPr>
          <w:rFonts w:hint="default" w:ascii="Times New Roman" w:hAnsi="Times New Roman" w:eastAsia="黑体" w:cs="Times New Roman"/>
          <w:b w:val="0"/>
          <w:color w:val="auto"/>
          <w:sz w:val="28"/>
          <w:szCs w:val="28"/>
          <w:highlight w:val="none"/>
        </w:rPr>
      </w:pPr>
      <w:bookmarkStart w:id="537" w:name="_Toc30028"/>
      <w:bookmarkStart w:id="538" w:name="_Toc234832995"/>
      <w:bookmarkStart w:id="539" w:name="_Toc9721"/>
      <w:bookmarkStart w:id="540" w:name="_Toc1630"/>
      <w:r>
        <w:rPr>
          <w:rFonts w:hint="default" w:ascii="Times New Roman" w:hAnsi="Times New Roman" w:eastAsia="黑体" w:cs="Times New Roman"/>
          <w:b w:val="0"/>
          <w:color w:val="auto"/>
          <w:sz w:val="28"/>
          <w:szCs w:val="28"/>
          <w:highlight w:val="none"/>
        </w:rPr>
        <w:t>4.承包人</w:t>
      </w:r>
      <w:bookmarkEnd w:id="537"/>
      <w:bookmarkEnd w:id="538"/>
      <w:bookmarkEnd w:id="539"/>
      <w:bookmarkEnd w:id="540"/>
    </w:p>
    <w:p w14:paraId="279110A0">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541" w:name="_Toc20434"/>
      <w:bookmarkStart w:id="542" w:name="_Toc21919"/>
      <w:bookmarkStart w:id="543" w:name="_Toc25150"/>
      <w:bookmarkStart w:id="544" w:name="_Toc234832996"/>
      <w:r>
        <w:rPr>
          <w:rFonts w:hint="default" w:ascii="Times New Roman" w:hAnsi="Times New Roman" w:eastAsia="黑体" w:cs="Times New Roman"/>
          <w:b w:val="0"/>
          <w:color w:val="auto"/>
          <w:sz w:val="24"/>
          <w:szCs w:val="24"/>
          <w:highlight w:val="none"/>
        </w:rPr>
        <w:t>4.1承包人的一般义务</w:t>
      </w:r>
      <w:bookmarkEnd w:id="541"/>
      <w:bookmarkEnd w:id="542"/>
      <w:bookmarkEnd w:id="543"/>
      <w:bookmarkEnd w:id="544"/>
    </w:p>
    <w:p w14:paraId="6F5EEE64">
      <w:pPr>
        <w:pageBreakBefore w:val="0"/>
        <w:kinsoku/>
        <w:wordWrap w:val="0"/>
        <w:bidi w:val="0"/>
        <w:spacing w:line="400" w:lineRule="atLeast"/>
        <w:ind w:firstLine="468" w:firstLineChars="195"/>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4.1.1</w:t>
      </w:r>
      <w:r>
        <w:rPr>
          <w:rFonts w:hint="default" w:ascii="Times New Roman" w:hAnsi="Times New Roman" w:eastAsia="黑体" w:cs="Times New Roman"/>
          <w:color w:val="auto"/>
          <w:sz w:val="24"/>
          <w:highlight w:val="none"/>
        </w:rPr>
        <w:t>遵守法律</w:t>
      </w:r>
    </w:p>
    <w:p w14:paraId="58206EE1">
      <w:pPr>
        <w:pageBreakBefore w:val="0"/>
        <w:kinsoku/>
        <w:wordWrap w:val="0"/>
        <w:bidi w:val="0"/>
        <w:spacing w:line="400" w:lineRule="atLeast"/>
        <w:ind w:firstLine="468" w:firstLineChars="195"/>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承包人在履行合同过程中应遵守法律，并保证发包人免于承担因承包人违反法律而引起的任何责任。</w:t>
      </w:r>
    </w:p>
    <w:p w14:paraId="0391DD50">
      <w:pPr>
        <w:pageBreakBefore w:val="0"/>
        <w:kinsoku/>
        <w:wordWrap w:val="0"/>
        <w:bidi w:val="0"/>
        <w:spacing w:line="400" w:lineRule="atLeast"/>
        <w:ind w:firstLine="468" w:firstLineChars="195"/>
        <w:outlineLvl w:val="9"/>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4.1.2</w:t>
      </w:r>
      <w:r>
        <w:rPr>
          <w:rFonts w:hint="default" w:ascii="Times New Roman" w:hAnsi="Times New Roman" w:eastAsia="黑体" w:cs="Times New Roman"/>
          <w:color w:val="auto"/>
          <w:sz w:val="24"/>
          <w:highlight w:val="none"/>
        </w:rPr>
        <w:t>依法纳税</w:t>
      </w:r>
    </w:p>
    <w:p w14:paraId="326E2FE9">
      <w:pPr>
        <w:pageBreakBefore w:val="0"/>
        <w:kinsoku/>
        <w:wordWrap w:val="0"/>
        <w:bidi w:val="0"/>
        <w:spacing w:line="400" w:lineRule="atLeast"/>
        <w:ind w:firstLine="468" w:firstLineChars="195"/>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承包人应按有关法律规定纳税，应缴纳的税金包括在合同价格内。</w:t>
      </w:r>
    </w:p>
    <w:p w14:paraId="0A1762EB">
      <w:pPr>
        <w:pageBreakBefore w:val="0"/>
        <w:kinsoku/>
        <w:wordWrap w:val="0"/>
        <w:bidi w:val="0"/>
        <w:spacing w:line="400" w:lineRule="atLeast"/>
        <w:ind w:firstLine="468" w:firstLineChars="195"/>
        <w:outlineLvl w:val="9"/>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4.1.3</w:t>
      </w:r>
      <w:r>
        <w:rPr>
          <w:rFonts w:hint="default" w:ascii="Times New Roman" w:hAnsi="Times New Roman" w:eastAsia="黑体" w:cs="Times New Roman"/>
          <w:color w:val="auto"/>
          <w:sz w:val="24"/>
          <w:highlight w:val="none"/>
        </w:rPr>
        <w:t>完成各项承包工作</w:t>
      </w:r>
    </w:p>
    <w:p w14:paraId="6B5DBDC1">
      <w:pPr>
        <w:pageBreakBefore w:val="0"/>
        <w:kinsoku/>
        <w:wordWrap w:val="0"/>
        <w:bidi w:val="0"/>
        <w:spacing w:line="400" w:lineRule="atLeast"/>
        <w:ind w:firstLine="468" w:firstLineChars="195"/>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按合同约定以及监理人根据第3.4款作出的指示，实施、完成全部工程，并修补工程中的任何缺陷。除专用合同条款另有约定外，承包人应提供为完成合同工作所需的劳务、材料、施工设备、工程设备和其他物品，并按合同约定负责临时设施的设计、建造、运行、维护、管理和拆除。</w:t>
      </w:r>
    </w:p>
    <w:p w14:paraId="5C5BAA9A">
      <w:pPr>
        <w:pageBreakBefore w:val="0"/>
        <w:kinsoku/>
        <w:wordWrap w:val="0"/>
        <w:bidi w:val="0"/>
        <w:spacing w:line="400" w:lineRule="atLeast"/>
        <w:ind w:firstLine="468" w:firstLineChars="195"/>
        <w:outlineLvl w:val="9"/>
        <w:rPr>
          <w:rFonts w:hint="default" w:ascii="Times New Roman" w:hAnsi="Times New Roman" w:cs="Times New Roman"/>
          <w:color w:val="auto"/>
          <w:sz w:val="24"/>
          <w:highlight w:val="none"/>
        </w:rPr>
      </w:pPr>
      <w:r>
        <w:rPr>
          <w:rFonts w:hint="default" w:ascii="Times New Roman" w:hAnsi="Times New Roman" w:eastAsia="黑体" w:cs="Times New Roman"/>
          <w:color w:val="auto"/>
          <w:sz w:val="24"/>
          <w:highlight w:val="none"/>
        </w:rPr>
        <w:t>4.1.4对施工作业和施工方法的完备性负责</w:t>
      </w:r>
    </w:p>
    <w:p w14:paraId="6C536C38">
      <w:pPr>
        <w:pageBreakBefore w:val="0"/>
        <w:kinsoku/>
        <w:wordWrap w:val="0"/>
        <w:bidi w:val="0"/>
        <w:spacing w:line="400" w:lineRule="atLeast"/>
        <w:ind w:firstLine="468" w:firstLineChars="195"/>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承包人应按合同约定的工作内容和施工进度要求，编制施工组织设计和施工措施计划，并对所有施工作业和施工方法的完备性和安全可靠性负责。</w:t>
      </w:r>
    </w:p>
    <w:p w14:paraId="27A6BFF8">
      <w:pPr>
        <w:pageBreakBefore w:val="0"/>
        <w:kinsoku/>
        <w:wordWrap w:val="0"/>
        <w:bidi w:val="0"/>
        <w:spacing w:line="400" w:lineRule="atLeast"/>
        <w:ind w:firstLine="468" w:firstLineChars="195"/>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4.1.5</w:t>
      </w:r>
      <w:r>
        <w:rPr>
          <w:rFonts w:hint="default" w:ascii="Times New Roman" w:hAnsi="Times New Roman" w:eastAsia="黑体" w:cs="Times New Roman"/>
          <w:color w:val="auto"/>
          <w:sz w:val="24"/>
          <w:highlight w:val="none"/>
        </w:rPr>
        <w:t>保证工程施工和人员的安全</w:t>
      </w:r>
    </w:p>
    <w:p w14:paraId="0F8BF416">
      <w:pPr>
        <w:pageBreakBefore w:val="0"/>
        <w:kinsoku/>
        <w:wordWrap w:val="0"/>
        <w:bidi w:val="0"/>
        <w:spacing w:line="400" w:lineRule="atLeast"/>
        <w:ind w:firstLine="468" w:firstLineChars="195"/>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承包人应按第9.2款约定采取施工安全措施，确保工程及其人员、材料、设备和设施的安全，防止因工程施工造成的人身伤害和财产损失。</w:t>
      </w:r>
    </w:p>
    <w:p w14:paraId="6FF083E3">
      <w:pPr>
        <w:pageBreakBefore w:val="0"/>
        <w:kinsoku/>
        <w:wordWrap w:val="0"/>
        <w:bidi w:val="0"/>
        <w:spacing w:line="400" w:lineRule="atLeast"/>
        <w:ind w:firstLine="468" w:firstLineChars="195"/>
        <w:outlineLvl w:val="9"/>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4.1.6</w:t>
      </w:r>
      <w:r>
        <w:rPr>
          <w:rFonts w:hint="default" w:ascii="Times New Roman" w:hAnsi="Times New Roman" w:eastAsia="黑体" w:cs="Times New Roman"/>
          <w:color w:val="auto"/>
          <w:sz w:val="24"/>
          <w:highlight w:val="none"/>
        </w:rPr>
        <w:t>负责施工场地及其周边环境与生态的保护工作</w:t>
      </w:r>
    </w:p>
    <w:p w14:paraId="2EDFCA3F">
      <w:pPr>
        <w:pageBreakBefore w:val="0"/>
        <w:kinsoku/>
        <w:wordWrap w:val="0"/>
        <w:bidi w:val="0"/>
        <w:spacing w:line="400" w:lineRule="atLeast"/>
        <w:ind w:firstLine="468" w:firstLineChars="195"/>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承包人应按照第9.4款约定负责施工场地及其周边环境与生态的保护工作。</w:t>
      </w:r>
    </w:p>
    <w:p w14:paraId="1027A143">
      <w:pPr>
        <w:pageBreakBefore w:val="0"/>
        <w:kinsoku/>
        <w:wordWrap w:val="0"/>
        <w:bidi w:val="0"/>
        <w:spacing w:line="400" w:lineRule="atLeast"/>
        <w:ind w:firstLine="468" w:firstLineChars="195"/>
        <w:outlineLvl w:val="9"/>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4.1.7</w:t>
      </w:r>
      <w:r>
        <w:rPr>
          <w:rFonts w:hint="default" w:ascii="Times New Roman" w:hAnsi="Times New Roman" w:eastAsia="黑体" w:cs="Times New Roman"/>
          <w:color w:val="auto"/>
          <w:sz w:val="24"/>
          <w:highlight w:val="none"/>
        </w:rPr>
        <w:t>避免施工对公众与他人的利益造成损害</w:t>
      </w:r>
    </w:p>
    <w:p w14:paraId="0806FF0A">
      <w:pPr>
        <w:pageBreakBefore w:val="0"/>
        <w:kinsoku/>
        <w:wordWrap w:val="0"/>
        <w:bidi w:val="0"/>
        <w:spacing w:line="400" w:lineRule="atLeast"/>
        <w:ind w:firstLine="468" w:firstLineChars="195"/>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4C87382F">
      <w:pPr>
        <w:pageBreakBefore w:val="0"/>
        <w:kinsoku/>
        <w:wordWrap w:val="0"/>
        <w:bidi w:val="0"/>
        <w:spacing w:line="400" w:lineRule="atLeast"/>
        <w:ind w:firstLine="468" w:firstLineChars="195"/>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4.1.8</w:t>
      </w:r>
      <w:r>
        <w:rPr>
          <w:rFonts w:hint="default" w:ascii="Times New Roman" w:hAnsi="Times New Roman" w:eastAsia="黑体" w:cs="Times New Roman"/>
          <w:color w:val="auto"/>
          <w:sz w:val="24"/>
          <w:highlight w:val="none"/>
        </w:rPr>
        <w:t>为他人提供方便</w:t>
      </w:r>
    </w:p>
    <w:p w14:paraId="03F8280F">
      <w:pPr>
        <w:pageBreakBefore w:val="0"/>
        <w:kinsoku/>
        <w:wordWrap w:val="0"/>
        <w:bidi w:val="0"/>
        <w:spacing w:line="400" w:lineRule="atLeast"/>
        <w:ind w:firstLine="468" w:firstLineChars="195"/>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承包人应按监理人的指示为他人在施工场地或附近实施与工程有关的其他各项工作提供可能的条件。除合同另有约定外，提供有关条件的内容和可能发生的费用，由监理人按第3.5款商定或确定。</w:t>
      </w:r>
    </w:p>
    <w:p w14:paraId="0DC2C911">
      <w:pPr>
        <w:pageBreakBefore w:val="0"/>
        <w:kinsoku/>
        <w:wordWrap w:val="0"/>
        <w:bidi w:val="0"/>
        <w:spacing w:line="400" w:lineRule="atLeast"/>
        <w:ind w:firstLine="468" w:firstLineChars="195"/>
        <w:outlineLvl w:val="9"/>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4.1.9</w:t>
      </w:r>
      <w:r>
        <w:rPr>
          <w:rFonts w:hint="default" w:ascii="Times New Roman" w:hAnsi="Times New Roman" w:eastAsia="黑体" w:cs="Times New Roman"/>
          <w:color w:val="auto"/>
          <w:sz w:val="24"/>
          <w:highlight w:val="none"/>
        </w:rPr>
        <w:t>工程的维护和照管</w:t>
      </w:r>
    </w:p>
    <w:p w14:paraId="3FC8AE85">
      <w:pPr>
        <w:pageBreakBefore w:val="0"/>
        <w:kinsoku/>
        <w:wordWrap w:val="0"/>
        <w:bidi w:val="0"/>
        <w:spacing w:line="400" w:lineRule="atLeast"/>
        <w:ind w:firstLine="468" w:firstLineChars="195"/>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工程接收证书颁发前，承包人应负责照管和维护工程。工程接收证书颁发时尚有部分未竣工工程的，承包人还应负责该未竣工工程的照管和维护工作，直至竣工后移交给发包人为止。</w:t>
      </w:r>
    </w:p>
    <w:p w14:paraId="726177C9">
      <w:pPr>
        <w:pageBreakBefore w:val="0"/>
        <w:kinsoku/>
        <w:wordWrap w:val="0"/>
        <w:bidi w:val="0"/>
        <w:spacing w:line="400" w:lineRule="atLeast"/>
        <w:ind w:firstLine="468" w:firstLineChars="195"/>
        <w:outlineLvl w:val="9"/>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4.1.10</w:t>
      </w:r>
      <w:r>
        <w:rPr>
          <w:rFonts w:hint="default" w:ascii="Times New Roman" w:hAnsi="Times New Roman" w:eastAsia="黑体" w:cs="Times New Roman"/>
          <w:color w:val="auto"/>
          <w:sz w:val="24"/>
          <w:highlight w:val="none"/>
        </w:rPr>
        <w:t>其他义务</w:t>
      </w:r>
    </w:p>
    <w:p w14:paraId="352C1447">
      <w:pPr>
        <w:pageBreakBefore w:val="0"/>
        <w:kinsoku/>
        <w:wordWrap w:val="0"/>
        <w:bidi w:val="0"/>
        <w:spacing w:line="400" w:lineRule="atLeast"/>
        <w:ind w:firstLine="468" w:firstLineChars="195"/>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承包人应履行合同约定的其他义务。</w:t>
      </w:r>
    </w:p>
    <w:p w14:paraId="361EC299">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545" w:name="_Toc15934"/>
      <w:bookmarkStart w:id="546" w:name="_Toc234832997"/>
      <w:bookmarkStart w:id="547" w:name="_Toc3711"/>
      <w:bookmarkStart w:id="548" w:name="_Toc30774"/>
      <w:r>
        <w:rPr>
          <w:rFonts w:hint="default" w:ascii="Times New Roman" w:hAnsi="Times New Roman" w:eastAsia="黑体" w:cs="Times New Roman"/>
          <w:b w:val="0"/>
          <w:color w:val="auto"/>
          <w:sz w:val="24"/>
          <w:szCs w:val="24"/>
          <w:highlight w:val="none"/>
        </w:rPr>
        <w:t>4.2履约担保</w:t>
      </w:r>
      <w:bookmarkEnd w:id="545"/>
      <w:bookmarkEnd w:id="546"/>
      <w:bookmarkEnd w:id="547"/>
      <w:bookmarkEnd w:id="548"/>
    </w:p>
    <w:p w14:paraId="34C613B1">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承包人应保证其履约担保在发包人颁发工程接收证书前一直有效。发包人应在工程接收证书颁发后28天内把履约担保退还给承包人。</w:t>
      </w:r>
    </w:p>
    <w:p w14:paraId="68F231EF">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549" w:name="_Toc1459"/>
      <w:bookmarkStart w:id="550" w:name="_Toc234832998"/>
      <w:bookmarkStart w:id="551" w:name="_Toc17914"/>
      <w:bookmarkStart w:id="552" w:name="_Toc24336"/>
      <w:r>
        <w:rPr>
          <w:rFonts w:hint="default" w:ascii="Times New Roman" w:hAnsi="Times New Roman" w:eastAsia="黑体" w:cs="Times New Roman"/>
          <w:b w:val="0"/>
          <w:color w:val="auto"/>
          <w:sz w:val="24"/>
          <w:szCs w:val="24"/>
          <w:highlight w:val="none"/>
        </w:rPr>
        <w:t>4.3分包</w:t>
      </w:r>
      <w:bookmarkEnd w:id="549"/>
      <w:bookmarkEnd w:id="550"/>
      <w:bookmarkEnd w:id="551"/>
      <w:bookmarkEnd w:id="552"/>
    </w:p>
    <w:p w14:paraId="14B33BB1">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4.3.1承包人不得将其承包的全部工程转包给第三人，或将其承包的全部工程肢解后以分包的名义转包给第三人。</w:t>
      </w:r>
    </w:p>
    <w:p w14:paraId="27071CF6">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4.3.2承包人不得将工程主体、关键性工作分包给第三人。除专用合同条款另有约定外，未经发包人同意，承包人不得将工程的其他部分或工作分包给第三人。</w:t>
      </w:r>
    </w:p>
    <w:p w14:paraId="0740145B">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4.3.3分包人的资格能力应与其分包工程的标准和规模相适应。</w:t>
      </w:r>
    </w:p>
    <w:p w14:paraId="13FA64D4">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4.3.4按投标函附录约定分包工程的，承包人应向发包人和监理人提交分包合同副本。</w:t>
      </w:r>
    </w:p>
    <w:p w14:paraId="4160CD4B">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4.3.5承包人应与分包人就分包工程向发包人承担连带责任。</w:t>
      </w:r>
    </w:p>
    <w:p w14:paraId="10C7191A">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553" w:name="_Toc32164"/>
      <w:bookmarkStart w:id="554" w:name="_Toc3204"/>
      <w:bookmarkStart w:id="555" w:name="_Toc234832999"/>
      <w:bookmarkStart w:id="556" w:name="_Toc4870"/>
      <w:r>
        <w:rPr>
          <w:rFonts w:hint="default" w:ascii="Times New Roman" w:hAnsi="Times New Roman" w:eastAsia="黑体" w:cs="Times New Roman"/>
          <w:b w:val="0"/>
          <w:color w:val="auto"/>
          <w:sz w:val="24"/>
          <w:szCs w:val="24"/>
          <w:highlight w:val="none"/>
        </w:rPr>
        <w:t>4.4联合体</w:t>
      </w:r>
      <w:bookmarkEnd w:id="553"/>
      <w:bookmarkEnd w:id="554"/>
      <w:bookmarkEnd w:id="555"/>
      <w:bookmarkEnd w:id="556"/>
    </w:p>
    <w:p w14:paraId="0BA3B45F">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4.4.1联合体各方应共同与发包人签订合同协议书。联合体各方应为履行合同承担连带责任。</w:t>
      </w:r>
    </w:p>
    <w:p w14:paraId="63AD91DE">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4.4.2</w:t>
      </w:r>
      <w:r>
        <w:rPr>
          <w:rFonts w:hint="default" w:ascii="Times New Roman" w:hAnsi="Times New Roman" w:cs="Times New Roman"/>
          <w:iCs/>
          <w:color w:val="auto"/>
          <w:sz w:val="24"/>
          <w:highlight w:val="none"/>
        </w:rPr>
        <w:t>联合体协议经发包人确认后作为合同附件。</w:t>
      </w:r>
      <w:r>
        <w:rPr>
          <w:rFonts w:hint="default" w:ascii="Times New Roman" w:hAnsi="Times New Roman" w:cs="Times New Roman"/>
          <w:color w:val="auto"/>
          <w:sz w:val="24"/>
          <w:highlight w:val="none"/>
        </w:rPr>
        <w:t>在履行合同过程中，未经发包人同意，不得修改联合体协议。</w:t>
      </w:r>
    </w:p>
    <w:p w14:paraId="4709DAD1">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4.4.3联合体牵头人负责与发包人和监理人联系，并接受指示，负责组织联合体各成员全面履行合同。</w:t>
      </w:r>
    </w:p>
    <w:p w14:paraId="1555858E">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557" w:name="_Toc25555"/>
      <w:bookmarkStart w:id="558" w:name="_Toc29702"/>
      <w:bookmarkStart w:id="559" w:name="_Toc19688"/>
      <w:bookmarkStart w:id="560" w:name="_Toc234833000"/>
      <w:r>
        <w:rPr>
          <w:rFonts w:hint="default" w:ascii="Times New Roman" w:hAnsi="Times New Roman" w:eastAsia="黑体" w:cs="Times New Roman"/>
          <w:b w:val="0"/>
          <w:color w:val="auto"/>
          <w:sz w:val="24"/>
          <w:szCs w:val="24"/>
          <w:highlight w:val="none"/>
        </w:rPr>
        <w:t>4.5承包人项目经理</w:t>
      </w:r>
      <w:bookmarkEnd w:id="557"/>
      <w:bookmarkEnd w:id="558"/>
      <w:bookmarkEnd w:id="559"/>
      <w:bookmarkEnd w:id="560"/>
    </w:p>
    <w:p w14:paraId="2A878DF2">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4.5.1承包人应按合同约定指派项目经理，并在约定的期限内到职。承包人更换项目经理应事先征得发包人同意，并应在更换14天前通知发包人和监理人。承包人项目经理短期离开施工场地，应事先征得监理人同意，并委派代表代行其职责。</w:t>
      </w:r>
    </w:p>
    <w:p w14:paraId="45FED711">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4.5.2承包人项目经理应按合同约定以及监理人按第3.4款作出的指示，负责组织合同工程的实施。在情况紧急且无法与监理人取得联系时，可采取保证工程和人员生命财产安全的紧急措施，并在采取措施后24小时内向监理人提交书面报告。</w:t>
      </w:r>
    </w:p>
    <w:p w14:paraId="30D55D0D">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4.5.3承包人为履行合同发出的一切函件均应盖有承包人授权的施工场地管理机构章，并由承包人项目经理或其授权代表签字。</w:t>
      </w:r>
    </w:p>
    <w:p w14:paraId="1F1E5866">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4.5.4承包人项目经理可以授权其下属人员履行其某项职责，但事先应将这些人员的姓名和授权范围通知监理人。</w:t>
      </w:r>
    </w:p>
    <w:p w14:paraId="68168DEF">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561" w:name="_Toc234833001"/>
      <w:bookmarkStart w:id="562" w:name="_Toc30705"/>
      <w:bookmarkStart w:id="563" w:name="_Toc23442"/>
      <w:bookmarkStart w:id="564" w:name="_Toc32486"/>
      <w:r>
        <w:rPr>
          <w:rFonts w:hint="default" w:ascii="Times New Roman" w:hAnsi="Times New Roman" w:eastAsia="黑体" w:cs="Times New Roman"/>
          <w:b w:val="0"/>
          <w:color w:val="auto"/>
          <w:sz w:val="24"/>
          <w:szCs w:val="24"/>
          <w:highlight w:val="none"/>
        </w:rPr>
        <w:t>4.6承包人人员的管理</w:t>
      </w:r>
      <w:bookmarkEnd w:id="561"/>
      <w:bookmarkEnd w:id="562"/>
      <w:bookmarkEnd w:id="563"/>
      <w:bookmarkEnd w:id="564"/>
    </w:p>
    <w:p w14:paraId="525D8649">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4.6.1承包人应在接到开工通知后28天内，向监理人提交承包人在施工场地的管理机构以及人员安排的报告，其内容应包括管理机构的设置、各主要岗位的技术和管理人员名单及其资格，以及各工种技术工人的安排状况。承包人应向监理人提交施工场地人员变动情况的报告。</w:t>
      </w:r>
    </w:p>
    <w:p w14:paraId="1E729827">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4.6.2为完成合同约定的各项工作，承包人应向施工场地派遣或雇佣足够数量的下列人员：</w:t>
      </w:r>
    </w:p>
    <w:p w14:paraId="2BFE1019">
      <w:pPr>
        <w:pageBreakBefore w:val="0"/>
        <w:kinsoku/>
        <w:wordWrap w:val="0"/>
        <w:bidi w:val="0"/>
        <w:spacing w:line="400" w:lineRule="atLeast"/>
        <w:ind w:firstLine="720" w:firstLineChars="3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（1）具有相应资格的专业技工和合格的普工；</w:t>
      </w:r>
    </w:p>
    <w:p w14:paraId="21D19428">
      <w:pPr>
        <w:pageBreakBefore w:val="0"/>
        <w:kinsoku/>
        <w:wordWrap w:val="0"/>
        <w:bidi w:val="0"/>
        <w:spacing w:line="400" w:lineRule="atLeast"/>
        <w:ind w:firstLine="720" w:firstLineChars="3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（2）具有相应施工经验的技术人员；</w:t>
      </w:r>
    </w:p>
    <w:p w14:paraId="1F13151F">
      <w:pPr>
        <w:pageBreakBefore w:val="0"/>
        <w:kinsoku/>
        <w:wordWrap w:val="0"/>
        <w:bidi w:val="0"/>
        <w:spacing w:line="400" w:lineRule="atLeast"/>
        <w:ind w:firstLine="720" w:firstLineChars="3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（3）具有相应岗位资格的各级管理人员。</w:t>
      </w:r>
    </w:p>
    <w:p w14:paraId="0E4BB68D">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4.6.3承包人安排在施工场地的主要管理人员和技术骨干应相对稳定。承包人更换主要管理人员和技术骨干时，应取得监理人的同意。</w:t>
      </w:r>
    </w:p>
    <w:p w14:paraId="1819CA76">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4.6.4特殊岗位的工作人员均应持有相应的资格证明，监理人有权随时检查。监理人认为有必要时，可进行现场考核。</w:t>
      </w:r>
    </w:p>
    <w:p w14:paraId="7FFA3B5B">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565" w:name="_Toc16860"/>
      <w:bookmarkStart w:id="566" w:name="_Toc29162"/>
      <w:bookmarkStart w:id="567" w:name="_Toc25941"/>
      <w:bookmarkStart w:id="568" w:name="_Toc234833002"/>
      <w:r>
        <w:rPr>
          <w:rFonts w:hint="default" w:ascii="Times New Roman" w:hAnsi="Times New Roman" w:eastAsia="黑体" w:cs="Times New Roman"/>
          <w:b w:val="0"/>
          <w:color w:val="auto"/>
          <w:sz w:val="24"/>
          <w:szCs w:val="24"/>
          <w:highlight w:val="none"/>
        </w:rPr>
        <w:t>4.7撤换承包人项目经理和其他人员</w:t>
      </w:r>
      <w:bookmarkEnd w:id="565"/>
      <w:bookmarkEnd w:id="566"/>
      <w:bookmarkEnd w:id="567"/>
      <w:bookmarkEnd w:id="568"/>
    </w:p>
    <w:p w14:paraId="6892B5B7">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承包人应对其项目经理和其他人员进行有效管理。监理人要求撤换不能胜任本职工作、行为不端或玩忽职守的承包人项目经理和其他人员的，承包人应予以撤换。</w:t>
      </w:r>
    </w:p>
    <w:p w14:paraId="539D5C72">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569" w:name="_Toc514"/>
      <w:bookmarkStart w:id="570" w:name="_Toc5844"/>
      <w:bookmarkStart w:id="571" w:name="_Toc9913"/>
      <w:bookmarkStart w:id="572" w:name="_Toc234833003"/>
      <w:r>
        <w:rPr>
          <w:rFonts w:hint="default" w:ascii="Times New Roman" w:hAnsi="Times New Roman" w:eastAsia="黑体" w:cs="Times New Roman"/>
          <w:b w:val="0"/>
          <w:color w:val="auto"/>
          <w:sz w:val="24"/>
          <w:szCs w:val="24"/>
          <w:highlight w:val="none"/>
        </w:rPr>
        <w:t>4.8保障承包人人员的合法权益</w:t>
      </w:r>
      <w:bookmarkEnd w:id="569"/>
      <w:bookmarkEnd w:id="570"/>
      <w:bookmarkEnd w:id="571"/>
      <w:bookmarkEnd w:id="572"/>
    </w:p>
    <w:p w14:paraId="2B67AB91">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4.8.1承包人应与其雇佣的人员签订劳动合同，并按时发放工资。</w:t>
      </w:r>
    </w:p>
    <w:p w14:paraId="1C9F9D50">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4.8.2承包人应按劳动法的规定安排工作时间，保证其雇佣人员享有休息和休假的权利。因工程施工的特殊需要占用休假日或延长工作时间的，应不超过法律规定的限度，并按法律规定给予补休或付酬。</w:t>
      </w:r>
    </w:p>
    <w:p w14:paraId="40F2F7F6">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4.8.3承包人应为其雇佣人员提供必要的食宿条件，以及符合环境保护和卫生要求的生活环境，在远离城镇的施工场地，还应配备必要的伤病防治和急救的医务人员与医疗设施。</w:t>
      </w:r>
    </w:p>
    <w:p w14:paraId="65101AFC">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4.8.4承包人应按国家有关劳动保护的规定，采取有效的防止粉尘、降低噪声、控制有害气体和保障高温、高寒、高空作业安全等劳动保护措施。其雇佣人员在施工中受到伤害的，承包人应立即采取有效措施进行抢救和治疗。</w:t>
      </w:r>
    </w:p>
    <w:p w14:paraId="69E1FA12">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4.8.5承包人应按有关法律规定和合同约定，为其雇佣人员办理保险。</w:t>
      </w:r>
    </w:p>
    <w:p w14:paraId="36AC4FB5">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4.8.6承包人应负责处理其雇佣人员因工伤亡事故的善后事宜。</w:t>
      </w:r>
    </w:p>
    <w:p w14:paraId="2F89EB54">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573" w:name="_Toc27171"/>
      <w:bookmarkStart w:id="574" w:name="_Toc1107"/>
      <w:bookmarkStart w:id="575" w:name="_Toc234833004"/>
      <w:bookmarkStart w:id="576" w:name="_Toc29044"/>
      <w:r>
        <w:rPr>
          <w:rFonts w:hint="default" w:ascii="Times New Roman" w:hAnsi="Times New Roman" w:eastAsia="黑体" w:cs="Times New Roman"/>
          <w:b w:val="0"/>
          <w:color w:val="auto"/>
          <w:sz w:val="24"/>
          <w:szCs w:val="24"/>
          <w:highlight w:val="none"/>
        </w:rPr>
        <w:t>4.9工程价款应专款专用</w:t>
      </w:r>
      <w:bookmarkEnd w:id="573"/>
      <w:bookmarkEnd w:id="574"/>
      <w:bookmarkEnd w:id="575"/>
      <w:bookmarkEnd w:id="576"/>
    </w:p>
    <w:p w14:paraId="4AA30435">
      <w:pPr>
        <w:pageBreakBefore w:val="0"/>
        <w:kinsoku/>
        <w:wordWrap w:val="0"/>
        <w:bidi w:val="0"/>
        <w:spacing w:line="400" w:lineRule="atLeast"/>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发包人按合同约定支付给承包人的各项价款应专用于合同工程。</w:t>
      </w:r>
    </w:p>
    <w:p w14:paraId="78591753">
      <w:pPr>
        <w:pageBreakBefore w:val="0"/>
        <w:kinsoku/>
        <w:wordWrap w:val="0"/>
        <w:bidi w:val="0"/>
        <w:spacing w:before="240" w:after="240" w:line="380" w:lineRule="atLeast"/>
        <w:outlineLvl w:val="9"/>
        <w:rPr>
          <w:rFonts w:hint="eastAsia" w:ascii="Times New Roman" w:hAnsi="Times New Roman" w:eastAsia="黑体" w:cs="Times New Roman"/>
          <w:b w:val="0"/>
          <w:color w:val="auto"/>
          <w:sz w:val="24"/>
          <w:szCs w:val="24"/>
          <w:highlight w:val="none"/>
          <w:lang w:eastAsia="zh-CN"/>
        </w:rPr>
      </w:pPr>
      <w:bookmarkStart w:id="577" w:name="_Toc28976"/>
      <w:bookmarkStart w:id="578" w:name="_Toc25811"/>
      <w:bookmarkStart w:id="579" w:name="_Toc234833005"/>
      <w:bookmarkStart w:id="580" w:name="_Toc9152"/>
      <w:r>
        <w:rPr>
          <w:rFonts w:hint="default" w:ascii="Times New Roman" w:hAnsi="Times New Roman" w:eastAsia="黑体" w:cs="Times New Roman"/>
          <w:b w:val="0"/>
          <w:color w:val="auto"/>
          <w:sz w:val="24"/>
          <w:szCs w:val="24"/>
          <w:highlight w:val="none"/>
        </w:rPr>
        <w:t>4.10承包人现场查勘</w:t>
      </w:r>
      <w:bookmarkEnd w:id="577"/>
      <w:bookmarkEnd w:id="578"/>
      <w:bookmarkEnd w:id="579"/>
      <w:bookmarkEnd w:id="580"/>
    </w:p>
    <w:p w14:paraId="0AA26E3F">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4.10.1发包人应将其持有的现场地质勘探资料、水文气象资料提供给承包人，并对其准确性负责。但承包人应对其阅读上述有关资料后所作出的解释和推断负责。</w:t>
      </w:r>
    </w:p>
    <w:p w14:paraId="568C85FE">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4.10.2承包人应对施工场地和周围环境进行查勘，并收集有关地质、水文、气象条件、交通条件、风俗习惯以及其他为完成合同工作有关的当地资料。在全部合同工作中，应视为承包人已充分估计了应承担的责任和风险。</w:t>
      </w:r>
    </w:p>
    <w:p w14:paraId="739F966D">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581" w:name="_Toc22483"/>
      <w:bookmarkStart w:id="582" w:name="_Toc9021"/>
      <w:bookmarkStart w:id="583" w:name="_Toc17320"/>
      <w:bookmarkStart w:id="584" w:name="_Toc234833006"/>
      <w:r>
        <w:rPr>
          <w:rFonts w:hint="default" w:ascii="Times New Roman" w:hAnsi="Times New Roman" w:eastAsia="黑体" w:cs="Times New Roman"/>
          <w:b w:val="0"/>
          <w:color w:val="auto"/>
          <w:sz w:val="24"/>
          <w:szCs w:val="24"/>
          <w:highlight w:val="none"/>
        </w:rPr>
        <w:t>4.11不利物质条件</w:t>
      </w:r>
      <w:bookmarkEnd w:id="581"/>
      <w:bookmarkEnd w:id="582"/>
      <w:bookmarkEnd w:id="583"/>
      <w:bookmarkEnd w:id="584"/>
    </w:p>
    <w:p w14:paraId="555EC2EA">
      <w:pPr>
        <w:pageBreakBefore w:val="0"/>
        <w:kinsoku/>
        <w:wordWrap w:val="0"/>
        <w:bidi w:val="0"/>
        <w:spacing w:line="400" w:lineRule="atLeast"/>
        <w:ind w:firstLine="42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4.11.1不利物质条件，除专用合同条款另有约定外，是指承包人在施工场地遇到的不可预见的自然物质条件、非自然的物质障碍和污染物，包括地下和水文条件，但不包括气候条件。</w:t>
      </w:r>
    </w:p>
    <w:p w14:paraId="5D1EAFA9">
      <w:pPr>
        <w:pageBreakBefore w:val="0"/>
        <w:kinsoku/>
        <w:wordWrap w:val="0"/>
        <w:bidi w:val="0"/>
        <w:spacing w:line="400" w:lineRule="atLeast"/>
        <w:ind w:firstLine="420"/>
        <w:outlineLvl w:val="9"/>
        <w:rPr>
          <w:rFonts w:hint="default" w:ascii="Times New Roman" w:hAnsi="Times New Roman" w:cs="Times New Roman"/>
          <w:iCs/>
          <w:color w:val="auto"/>
          <w:sz w:val="24"/>
          <w:highlight w:val="none"/>
        </w:rPr>
      </w:pPr>
      <w:r>
        <w:rPr>
          <w:rFonts w:hint="default" w:ascii="Times New Roman" w:hAnsi="Times New Roman" w:cs="Times New Roman"/>
          <w:iCs/>
          <w:color w:val="auto"/>
          <w:sz w:val="24"/>
          <w:highlight w:val="none"/>
        </w:rPr>
        <w:t>4.11.2承包人遇到不利物质条件时，应采取适应不利物质条件的合理措施继续施工，并及时通知监理人。监理人应当及时发出指示，指示构成变更的，按第15条约定办理。监理人没有发出指示的，承包人因采取合理措施而增加的费用和（或）工期延误，由发包人承担。</w:t>
      </w:r>
    </w:p>
    <w:p w14:paraId="5427EF01">
      <w:pPr>
        <w:pageBreakBefore w:val="0"/>
        <w:kinsoku/>
        <w:wordWrap w:val="0"/>
        <w:bidi w:val="0"/>
        <w:spacing w:before="480" w:after="240" w:line="380" w:lineRule="atLeast"/>
        <w:outlineLvl w:val="9"/>
        <w:rPr>
          <w:rFonts w:hint="default" w:ascii="Times New Roman" w:hAnsi="Times New Roman" w:eastAsia="黑体" w:cs="Times New Roman"/>
          <w:b w:val="0"/>
          <w:color w:val="auto"/>
          <w:sz w:val="28"/>
          <w:szCs w:val="28"/>
          <w:highlight w:val="none"/>
        </w:rPr>
      </w:pPr>
      <w:bookmarkStart w:id="585" w:name="_Toc234833007"/>
      <w:bookmarkStart w:id="586" w:name="_Toc25496"/>
      <w:bookmarkStart w:id="587" w:name="_Toc4965"/>
      <w:bookmarkStart w:id="588" w:name="_Toc17106"/>
      <w:r>
        <w:rPr>
          <w:rFonts w:hint="default" w:ascii="Times New Roman" w:hAnsi="Times New Roman" w:eastAsia="黑体" w:cs="Times New Roman"/>
          <w:b w:val="0"/>
          <w:color w:val="auto"/>
          <w:sz w:val="28"/>
          <w:szCs w:val="28"/>
          <w:highlight w:val="none"/>
        </w:rPr>
        <w:t>5.材料和工程设备</w:t>
      </w:r>
      <w:bookmarkEnd w:id="585"/>
      <w:bookmarkEnd w:id="586"/>
      <w:bookmarkEnd w:id="587"/>
      <w:bookmarkEnd w:id="588"/>
    </w:p>
    <w:p w14:paraId="26949707">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589" w:name="_Toc20835"/>
      <w:bookmarkStart w:id="590" w:name="_Toc28474"/>
      <w:bookmarkStart w:id="591" w:name="_Toc234833008"/>
      <w:bookmarkStart w:id="592" w:name="_Toc4914"/>
      <w:r>
        <w:rPr>
          <w:rFonts w:hint="default" w:ascii="Times New Roman" w:hAnsi="Times New Roman" w:eastAsia="黑体" w:cs="Times New Roman"/>
          <w:b w:val="0"/>
          <w:color w:val="auto"/>
          <w:sz w:val="24"/>
          <w:szCs w:val="24"/>
          <w:highlight w:val="none"/>
        </w:rPr>
        <w:t>5.1承包人提供的材料和工程设备</w:t>
      </w:r>
      <w:bookmarkEnd w:id="589"/>
      <w:bookmarkEnd w:id="590"/>
      <w:bookmarkEnd w:id="591"/>
      <w:bookmarkEnd w:id="592"/>
    </w:p>
    <w:p w14:paraId="120313B5">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5.1.1除专用合同条款另有约定外，承包人提供的材料和工程设备均由承包人负责采购、运输和保管。承包人应对其采购的材料和工程设备负责。</w:t>
      </w:r>
    </w:p>
    <w:p w14:paraId="141BC93E">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5.1.2承包人应按专用合同条款的约定，将各项材料和工程设备的供货人及品种、规格、数量和供货时间等报送监理人审批。承包人应向监理</w:t>
      </w:r>
      <w:r>
        <w:rPr>
          <w:rFonts w:hint="default" w:ascii="Times New Roman" w:hAnsi="Times New Roman" w:cs="Times New Roman"/>
          <w:iCs/>
          <w:color w:val="auto"/>
          <w:sz w:val="24"/>
          <w:highlight w:val="none"/>
        </w:rPr>
        <w:t>人</w:t>
      </w:r>
      <w:r>
        <w:rPr>
          <w:rFonts w:hint="default" w:ascii="Times New Roman" w:hAnsi="Times New Roman" w:cs="Times New Roman"/>
          <w:color w:val="auto"/>
          <w:sz w:val="24"/>
          <w:highlight w:val="none"/>
        </w:rPr>
        <w:t>提交其负责提供的材料和工程设备的质量证明文件，并满足合同约定的质量标准。</w:t>
      </w:r>
    </w:p>
    <w:p w14:paraId="3E3EFBD4">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5.1.3对承包人提供的材料和工程设备，承包人应会同监理人进行检验和交货验收，查验材料合格证明和产品合格证书，并按合同约定和监理人指示，进行材料的抽样检验和工程设备的检验测试，检验和测试结果应提交监理人，所需费用由承包人承担。</w:t>
      </w:r>
    </w:p>
    <w:p w14:paraId="0C607185">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593" w:name="_Toc11854"/>
      <w:bookmarkStart w:id="594" w:name="_Toc234833009"/>
      <w:bookmarkStart w:id="595" w:name="_Toc1587"/>
      <w:bookmarkStart w:id="596" w:name="_Toc5584"/>
      <w:r>
        <w:rPr>
          <w:rFonts w:hint="default" w:ascii="Times New Roman" w:hAnsi="Times New Roman" w:eastAsia="黑体" w:cs="Times New Roman"/>
          <w:b w:val="0"/>
          <w:color w:val="auto"/>
          <w:sz w:val="24"/>
          <w:szCs w:val="24"/>
          <w:highlight w:val="none"/>
        </w:rPr>
        <w:t>5.2发包人提供的材料和工程设备</w:t>
      </w:r>
      <w:bookmarkEnd w:id="593"/>
      <w:bookmarkEnd w:id="594"/>
      <w:bookmarkEnd w:id="595"/>
      <w:bookmarkEnd w:id="596"/>
    </w:p>
    <w:p w14:paraId="13B79FE8">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5.2.1发包人提供的材料和工程设备，应在专用合同条款中写明材料和工程设备的名称、规格、数量、价格、交货方式、交货地点和计划交货日期等。</w:t>
      </w:r>
    </w:p>
    <w:p w14:paraId="486429EF">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5.2.2承包人应根据合同进度计划的安排，向监理人报送要求发包人交货的日期计划。发包人应按照监理人与合同双方当事人</w:t>
      </w:r>
      <w:r>
        <w:rPr>
          <w:rFonts w:hint="default" w:ascii="Times New Roman" w:hAnsi="Times New Roman" w:cs="Times New Roman"/>
          <w:iCs/>
          <w:color w:val="auto"/>
          <w:sz w:val="24"/>
          <w:highlight w:val="none"/>
        </w:rPr>
        <w:t>商定</w:t>
      </w:r>
      <w:r>
        <w:rPr>
          <w:rFonts w:hint="default" w:ascii="Times New Roman" w:hAnsi="Times New Roman" w:cs="Times New Roman"/>
          <w:color w:val="auto"/>
          <w:sz w:val="24"/>
          <w:highlight w:val="none"/>
        </w:rPr>
        <w:t>的交货日期，向承包人提交材料和工程设备。</w:t>
      </w:r>
    </w:p>
    <w:p w14:paraId="340670ED">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5.2.3发包人应在材料和工程设备到货7天前通知承包人，承包人应会同监理人在约定的时间内，赴交货地点共同进行验收。除专用合同条款另有约定外，发包人提供的材料和工程设备验收后，由承包人负责接收、运输和保管。</w:t>
      </w:r>
    </w:p>
    <w:p w14:paraId="29F363D6">
      <w:pPr>
        <w:pageBreakBefore w:val="0"/>
        <w:kinsoku/>
        <w:wordWrap w:val="0"/>
        <w:bidi w:val="0"/>
        <w:spacing w:line="400" w:lineRule="atLeast"/>
        <w:ind w:firstLine="480" w:firstLineChars="200"/>
        <w:outlineLvl w:val="9"/>
        <w:rPr>
          <w:rFonts w:hint="eastAsia"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5.2.4发包人要求向承包人提前交货的，承包人不得拒绝，但发包人应承担承包人由此增加的费用。</w:t>
      </w:r>
    </w:p>
    <w:p w14:paraId="02DA2348">
      <w:pPr>
        <w:pageBreakBefore w:val="0"/>
        <w:kinsoku/>
        <w:wordWrap w:val="0"/>
        <w:bidi w:val="0"/>
        <w:spacing w:line="400" w:lineRule="atLeast"/>
        <w:ind w:firstLine="480" w:firstLineChars="200"/>
        <w:outlineLvl w:val="9"/>
        <w:rPr>
          <w:rFonts w:hint="eastAsia"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5.2.5承包人要求更改交货日期或地点的，应事先报请监理人批准。由于承包人要求更改交货时间或地点所增加的费用和（或）工期延误由承包人承担。</w:t>
      </w:r>
    </w:p>
    <w:p w14:paraId="66D968BD">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5.2.6发包人提供的材料和工程设备的规格、数量或质量不符合合同要求，或由于发包人原因发生交货日期延误及交货地点变更等情况的，发包人应承担由此增加的费用和（或）工期延误，并向承包人支付合理利润。</w:t>
      </w:r>
    </w:p>
    <w:p w14:paraId="037959B2">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597" w:name="_Toc16074"/>
      <w:bookmarkStart w:id="598" w:name="_Toc23205"/>
      <w:bookmarkStart w:id="599" w:name="_Toc234833010"/>
      <w:bookmarkStart w:id="600" w:name="_Toc3308"/>
      <w:r>
        <w:rPr>
          <w:rFonts w:hint="default" w:ascii="Times New Roman" w:hAnsi="Times New Roman" w:eastAsia="黑体" w:cs="Times New Roman"/>
          <w:b w:val="0"/>
          <w:color w:val="auto"/>
          <w:sz w:val="24"/>
          <w:szCs w:val="24"/>
          <w:highlight w:val="none"/>
        </w:rPr>
        <w:t>5.3材料和工程设备专用于合同工程</w:t>
      </w:r>
      <w:bookmarkEnd w:id="597"/>
      <w:bookmarkEnd w:id="598"/>
      <w:bookmarkEnd w:id="599"/>
      <w:bookmarkEnd w:id="600"/>
    </w:p>
    <w:p w14:paraId="3323F973">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5.3.1运入施工场地的材料、工程设备，包括备品备件、安装专用工器具与随机资料，必须专用于合同工程，未经监理人同意，承包人不得运出施工场地或挪作他用。</w:t>
      </w:r>
    </w:p>
    <w:p w14:paraId="5D93379D">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5.3.2随同工程设备运入施工场地的备品备件、专用工器具与随机资料，应由承包人会同监理人按供货人的装箱单清点后共同封存，未经监理人同意不得启用。承包人因合同工作需要使用上述物品时，应向监理人提出申请。</w:t>
      </w:r>
    </w:p>
    <w:p w14:paraId="13B9A919">
      <w:pPr>
        <w:pageBreakBefore w:val="0"/>
        <w:kinsoku/>
        <w:wordWrap w:val="0"/>
        <w:bidi w:val="0"/>
        <w:spacing w:before="240" w:after="240" w:line="380" w:lineRule="atLeast"/>
        <w:outlineLvl w:val="9"/>
        <w:rPr>
          <w:rFonts w:hint="eastAsia" w:ascii="Times New Roman" w:hAnsi="Times New Roman" w:eastAsia="黑体" w:cs="Times New Roman"/>
          <w:b w:val="0"/>
          <w:color w:val="auto"/>
          <w:sz w:val="24"/>
          <w:szCs w:val="24"/>
          <w:highlight w:val="none"/>
          <w:lang w:eastAsia="zh-CN"/>
        </w:rPr>
      </w:pPr>
      <w:bookmarkStart w:id="601" w:name="_Toc25420"/>
      <w:bookmarkStart w:id="602" w:name="_Toc30003"/>
      <w:bookmarkStart w:id="603" w:name="_Toc5084"/>
      <w:bookmarkStart w:id="604" w:name="_Toc234833011"/>
      <w:r>
        <w:rPr>
          <w:rFonts w:hint="default" w:ascii="Times New Roman" w:hAnsi="Times New Roman" w:eastAsia="黑体" w:cs="Times New Roman"/>
          <w:b w:val="0"/>
          <w:color w:val="auto"/>
          <w:sz w:val="24"/>
          <w:szCs w:val="24"/>
          <w:highlight w:val="none"/>
        </w:rPr>
        <w:t>5.4禁止使用不合格的材料和工程设备</w:t>
      </w:r>
      <w:bookmarkEnd w:id="601"/>
      <w:bookmarkEnd w:id="602"/>
      <w:bookmarkEnd w:id="603"/>
      <w:bookmarkEnd w:id="604"/>
    </w:p>
    <w:p w14:paraId="2C100C49">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5.4.1监理人有权拒绝承包人提供的不合格材料或工程设备，并要求承包人立即进行更换。监理人应在更换后再次进行检查和检验，由此增加的费用和（或）工期延误由承包人承担。</w:t>
      </w:r>
    </w:p>
    <w:p w14:paraId="6A7BBD62">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5.4.2监理人发现承包人使用了不合格的材料和工程设备，应即时发出指示要求承包人立即改正，并禁止在工程中继续使用不合格的材料和工程设备。</w:t>
      </w:r>
    </w:p>
    <w:p w14:paraId="1CD9C718">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5.4.3发包人提供的材料或工程设备不符合合同要求的，承包人有权拒绝，并可要求发包人更换，由此增加的费用和（或）工期延误由发包人承担。</w:t>
      </w:r>
    </w:p>
    <w:p w14:paraId="05B890CF">
      <w:pPr>
        <w:pageBreakBefore w:val="0"/>
        <w:kinsoku/>
        <w:wordWrap w:val="0"/>
        <w:bidi w:val="0"/>
        <w:spacing w:before="480" w:after="240" w:line="380" w:lineRule="atLeast"/>
        <w:outlineLvl w:val="9"/>
        <w:rPr>
          <w:rFonts w:hint="eastAsia" w:ascii="Times New Roman" w:hAnsi="Times New Roman" w:eastAsia="黑体" w:cs="Times New Roman"/>
          <w:b w:val="0"/>
          <w:color w:val="auto"/>
          <w:sz w:val="28"/>
          <w:szCs w:val="28"/>
          <w:highlight w:val="none"/>
          <w:lang w:eastAsia="zh-CN"/>
        </w:rPr>
      </w:pPr>
      <w:bookmarkStart w:id="605" w:name="_Toc234833012"/>
      <w:bookmarkStart w:id="606" w:name="_Toc29185"/>
      <w:bookmarkStart w:id="607" w:name="_Toc17211"/>
      <w:bookmarkStart w:id="608" w:name="_Toc19538"/>
      <w:r>
        <w:rPr>
          <w:rFonts w:hint="default" w:ascii="Times New Roman" w:hAnsi="Times New Roman" w:eastAsia="黑体" w:cs="Times New Roman"/>
          <w:b w:val="0"/>
          <w:color w:val="auto"/>
          <w:sz w:val="28"/>
          <w:szCs w:val="28"/>
          <w:highlight w:val="none"/>
        </w:rPr>
        <w:t>6.施工设备和临时设施</w:t>
      </w:r>
      <w:bookmarkEnd w:id="605"/>
      <w:bookmarkEnd w:id="606"/>
      <w:bookmarkEnd w:id="607"/>
      <w:bookmarkEnd w:id="608"/>
    </w:p>
    <w:p w14:paraId="76D78467">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609" w:name="_Toc4093"/>
      <w:bookmarkStart w:id="610" w:name="_Toc234833013"/>
      <w:bookmarkStart w:id="611" w:name="_Toc12035"/>
      <w:bookmarkStart w:id="612" w:name="_Toc11446"/>
      <w:r>
        <w:rPr>
          <w:rFonts w:hint="default" w:ascii="Times New Roman" w:hAnsi="Times New Roman" w:eastAsia="黑体" w:cs="Times New Roman"/>
          <w:b w:val="0"/>
          <w:color w:val="auto"/>
          <w:sz w:val="24"/>
          <w:szCs w:val="24"/>
          <w:highlight w:val="none"/>
        </w:rPr>
        <w:t>6.1承包人提供的施工设备和临时设施</w:t>
      </w:r>
      <w:bookmarkEnd w:id="609"/>
      <w:bookmarkEnd w:id="610"/>
      <w:bookmarkEnd w:id="611"/>
      <w:bookmarkEnd w:id="612"/>
    </w:p>
    <w:p w14:paraId="4B600E6E">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6.1.1承包人应按合同进度计划的要求，及时配置施工设备和修建临时设施。进入施工场地的承包人设备需经监理人核查后才能投入使用。承包人更换合同约定的承包人设备的，应报监理人批准。</w:t>
      </w:r>
    </w:p>
    <w:p w14:paraId="18012A19">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6.1.2除专用合同条款另有约定外，承包人应自行承担修建临时设施的费用，需要临时占地的，应由发包人办理申请手续并承担相应费用。</w:t>
      </w:r>
    </w:p>
    <w:p w14:paraId="5A1A860B">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613" w:name="_Toc25302"/>
      <w:bookmarkStart w:id="614" w:name="_Toc31129"/>
      <w:bookmarkStart w:id="615" w:name="_Toc30109"/>
      <w:bookmarkStart w:id="616" w:name="_Toc234833014"/>
      <w:r>
        <w:rPr>
          <w:rFonts w:hint="default" w:ascii="Times New Roman" w:hAnsi="Times New Roman" w:eastAsia="黑体" w:cs="Times New Roman"/>
          <w:b w:val="0"/>
          <w:color w:val="auto"/>
          <w:sz w:val="24"/>
          <w:szCs w:val="24"/>
          <w:highlight w:val="none"/>
        </w:rPr>
        <w:t>6.2发包人提供的施工设备和临时设施</w:t>
      </w:r>
      <w:bookmarkEnd w:id="613"/>
      <w:bookmarkEnd w:id="614"/>
      <w:bookmarkEnd w:id="615"/>
      <w:bookmarkEnd w:id="616"/>
    </w:p>
    <w:p w14:paraId="245D03B7">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发包人提供的施工设备或临时设施在专用合同条款中约定。</w:t>
      </w:r>
    </w:p>
    <w:p w14:paraId="7A0F7DFA">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617" w:name="_Toc234833015"/>
      <w:bookmarkStart w:id="618" w:name="_Toc7691"/>
      <w:bookmarkStart w:id="619" w:name="_Toc1669"/>
      <w:bookmarkStart w:id="620" w:name="_Toc26083"/>
      <w:r>
        <w:rPr>
          <w:rFonts w:hint="default" w:ascii="Times New Roman" w:hAnsi="Times New Roman" w:eastAsia="黑体" w:cs="Times New Roman"/>
          <w:b w:val="0"/>
          <w:color w:val="auto"/>
          <w:sz w:val="24"/>
          <w:szCs w:val="24"/>
          <w:highlight w:val="none"/>
        </w:rPr>
        <w:t>6.3要求承包人增加或更换施工设备</w:t>
      </w:r>
      <w:bookmarkEnd w:id="617"/>
      <w:bookmarkEnd w:id="618"/>
      <w:bookmarkEnd w:id="619"/>
      <w:bookmarkEnd w:id="620"/>
    </w:p>
    <w:p w14:paraId="3174FC0C">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承包人使用的施工设备不能满足合同进度计划和（或）质量要求时，监理人有权要求承包人增加或更换施工设备，承包人应及时增加或更换，由此增加的费用和（或）工期延误由承包人承担。</w:t>
      </w:r>
    </w:p>
    <w:p w14:paraId="57A89B03">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621" w:name="_Toc20359"/>
      <w:bookmarkStart w:id="622" w:name="_Toc13599"/>
      <w:bookmarkStart w:id="623" w:name="_Toc234833016"/>
      <w:bookmarkStart w:id="624" w:name="_Toc19683"/>
      <w:r>
        <w:rPr>
          <w:rFonts w:hint="default" w:ascii="Times New Roman" w:hAnsi="Times New Roman" w:eastAsia="黑体" w:cs="Times New Roman"/>
          <w:b w:val="0"/>
          <w:color w:val="auto"/>
          <w:sz w:val="24"/>
          <w:szCs w:val="24"/>
          <w:highlight w:val="none"/>
        </w:rPr>
        <w:t>6.4施工设备和临时设施专用于合同工程</w:t>
      </w:r>
      <w:bookmarkEnd w:id="621"/>
      <w:bookmarkEnd w:id="622"/>
      <w:bookmarkEnd w:id="623"/>
      <w:bookmarkEnd w:id="624"/>
    </w:p>
    <w:p w14:paraId="4AF4938F">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6.4.1除合同另有约定外，运入施工场地的所有施工设备以及在施工场地建设的临时设施应专用于合同工程。未经监理人同意，不得将上述施工设备和临时设施中的任何部分运出施工场地或挪作他用。</w:t>
      </w:r>
    </w:p>
    <w:p w14:paraId="396BFB6A">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6.4.2经监理人同意，承包人可根据合同进度计划撤走闲置的施工设备。</w:t>
      </w:r>
    </w:p>
    <w:p w14:paraId="3460F8E1">
      <w:pPr>
        <w:pageBreakBefore w:val="0"/>
        <w:kinsoku/>
        <w:wordWrap w:val="0"/>
        <w:bidi w:val="0"/>
        <w:spacing w:before="480" w:after="240" w:line="380" w:lineRule="atLeast"/>
        <w:outlineLvl w:val="9"/>
        <w:rPr>
          <w:rFonts w:hint="eastAsia" w:ascii="Times New Roman" w:hAnsi="Times New Roman" w:eastAsia="黑体" w:cs="Times New Roman"/>
          <w:b w:val="0"/>
          <w:color w:val="auto"/>
          <w:sz w:val="28"/>
          <w:szCs w:val="28"/>
          <w:highlight w:val="none"/>
          <w:lang w:eastAsia="zh-CN"/>
        </w:rPr>
      </w:pPr>
      <w:bookmarkStart w:id="625" w:name="_Toc7342"/>
      <w:bookmarkStart w:id="626" w:name="_Toc7239"/>
      <w:bookmarkStart w:id="627" w:name="_Toc234833017"/>
      <w:bookmarkStart w:id="628" w:name="_Toc16465"/>
      <w:r>
        <w:rPr>
          <w:rFonts w:hint="default" w:ascii="Times New Roman" w:hAnsi="Times New Roman" w:eastAsia="黑体" w:cs="Times New Roman"/>
          <w:b w:val="0"/>
          <w:color w:val="auto"/>
          <w:sz w:val="28"/>
          <w:szCs w:val="28"/>
          <w:highlight w:val="none"/>
        </w:rPr>
        <w:t>7.交通运输</w:t>
      </w:r>
      <w:bookmarkEnd w:id="625"/>
      <w:bookmarkEnd w:id="626"/>
      <w:bookmarkEnd w:id="627"/>
      <w:bookmarkEnd w:id="628"/>
    </w:p>
    <w:p w14:paraId="6F5C8E56">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629" w:name="_Toc26715"/>
      <w:bookmarkStart w:id="630" w:name="_Toc2798"/>
      <w:bookmarkStart w:id="631" w:name="_Toc234833018"/>
      <w:bookmarkStart w:id="632" w:name="_Toc6489"/>
      <w:r>
        <w:rPr>
          <w:rFonts w:hint="default" w:ascii="Times New Roman" w:hAnsi="Times New Roman" w:eastAsia="黑体" w:cs="Times New Roman"/>
          <w:b w:val="0"/>
          <w:color w:val="auto"/>
          <w:sz w:val="24"/>
          <w:szCs w:val="24"/>
          <w:highlight w:val="none"/>
        </w:rPr>
        <w:t>7.1道路通行权和场外设施</w:t>
      </w:r>
      <w:bookmarkEnd w:id="629"/>
      <w:bookmarkEnd w:id="630"/>
      <w:bookmarkEnd w:id="631"/>
      <w:bookmarkEnd w:id="632"/>
    </w:p>
    <w:p w14:paraId="42C8A552">
      <w:pPr>
        <w:pageBreakBefore w:val="0"/>
        <w:kinsoku/>
        <w:wordWrap w:val="0"/>
        <w:bidi w:val="0"/>
        <w:spacing w:line="400" w:lineRule="atLeast"/>
        <w:ind w:firstLine="420"/>
        <w:outlineLvl w:val="9"/>
        <w:rPr>
          <w:rFonts w:hint="default" w:ascii="Times New Roman" w:hAnsi="Times New Roman" w:cs="Times New Roman"/>
          <w:i/>
          <w:color w:val="auto"/>
          <w:sz w:val="24"/>
          <w:highlight w:val="none"/>
        </w:rPr>
      </w:pPr>
      <w:r>
        <w:rPr>
          <w:rFonts w:hint="default" w:ascii="Times New Roman" w:hAnsi="Times New Roman" w:cs="Times New Roman"/>
          <w:color w:val="auto"/>
          <w:sz w:val="24"/>
          <w:highlight w:val="none"/>
        </w:rPr>
        <w:t>除专用合同条款另有约定外，发包人应根据合同工程的施工需要，负责办理取得出入施工场地的专用和临时道路的通行权，以及取得为工程建设所需修建场外设施的权利，并承担有关费用。承包人应协助发包人办理上述手续。</w:t>
      </w:r>
    </w:p>
    <w:p w14:paraId="58E8B098">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633" w:name="_Toc234833019"/>
      <w:bookmarkStart w:id="634" w:name="_Toc18679"/>
      <w:bookmarkStart w:id="635" w:name="_Toc9056"/>
      <w:bookmarkStart w:id="636" w:name="_Toc9049"/>
      <w:r>
        <w:rPr>
          <w:rFonts w:hint="default" w:ascii="Times New Roman" w:hAnsi="Times New Roman" w:eastAsia="黑体" w:cs="Times New Roman"/>
          <w:b w:val="0"/>
          <w:color w:val="auto"/>
          <w:sz w:val="24"/>
          <w:szCs w:val="24"/>
          <w:highlight w:val="none"/>
        </w:rPr>
        <w:t>7.2场内施工道路</w:t>
      </w:r>
      <w:bookmarkEnd w:id="633"/>
      <w:bookmarkEnd w:id="634"/>
      <w:bookmarkEnd w:id="635"/>
      <w:bookmarkEnd w:id="636"/>
    </w:p>
    <w:p w14:paraId="51C43E19">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7.2.1除专用合同条款另有约定外，承包人应负责修建、维修、养护和管理施工所需的临时道路和交通设施，包括维修、养护和管理发包人提供的道路和交通设施，并承担相应费用。</w:t>
      </w:r>
    </w:p>
    <w:p w14:paraId="460C43CC">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7.2.2除专用合同条款另有约定外，承包人修建的临时道路和交通设施应免费提供发包人和监理人使用。</w:t>
      </w:r>
    </w:p>
    <w:p w14:paraId="5AB8FD34">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637" w:name="_Toc234833020"/>
      <w:bookmarkStart w:id="638" w:name="_Toc16389"/>
      <w:bookmarkStart w:id="639" w:name="_Toc19305"/>
      <w:bookmarkStart w:id="640" w:name="_Toc31425"/>
      <w:r>
        <w:rPr>
          <w:rFonts w:hint="default" w:ascii="Times New Roman" w:hAnsi="Times New Roman" w:eastAsia="黑体" w:cs="Times New Roman"/>
          <w:b w:val="0"/>
          <w:color w:val="auto"/>
          <w:sz w:val="24"/>
          <w:szCs w:val="24"/>
          <w:highlight w:val="none"/>
        </w:rPr>
        <w:t>7.3场外交通</w:t>
      </w:r>
      <w:bookmarkEnd w:id="637"/>
      <w:bookmarkEnd w:id="638"/>
      <w:bookmarkEnd w:id="639"/>
      <w:bookmarkEnd w:id="640"/>
    </w:p>
    <w:p w14:paraId="15559C1D">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7.3.1承包人车辆外出行驶所需的场外公共道路的通行费、养路费和税款等由承包人承担。</w:t>
      </w:r>
    </w:p>
    <w:p w14:paraId="4E021004">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7.3.2承包人应遵守有关交通法规，严格按照道路和桥梁的限制荷重安全行驶，并服从交通管理部门的检查和监督。</w:t>
      </w:r>
    </w:p>
    <w:p w14:paraId="259277B8">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641" w:name="_Toc29695"/>
      <w:bookmarkStart w:id="642" w:name="_Toc3057"/>
      <w:bookmarkStart w:id="643" w:name="_Toc16025"/>
      <w:bookmarkStart w:id="644" w:name="_Toc234833021"/>
      <w:r>
        <w:rPr>
          <w:rFonts w:hint="default" w:ascii="Times New Roman" w:hAnsi="Times New Roman" w:eastAsia="黑体" w:cs="Times New Roman"/>
          <w:b w:val="0"/>
          <w:color w:val="auto"/>
          <w:sz w:val="24"/>
          <w:szCs w:val="24"/>
          <w:highlight w:val="none"/>
        </w:rPr>
        <w:t>7.4超大件和超重件的运输</w:t>
      </w:r>
      <w:bookmarkEnd w:id="641"/>
      <w:bookmarkEnd w:id="642"/>
      <w:bookmarkEnd w:id="643"/>
      <w:bookmarkEnd w:id="644"/>
    </w:p>
    <w:p w14:paraId="0A709C8A">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2FAA6870">
      <w:pPr>
        <w:pageBreakBefore w:val="0"/>
        <w:kinsoku/>
        <w:wordWrap w:val="0"/>
        <w:bidi w:val="0"/>
        <w:spacing w:line="400" w:lineRule="atLeast"/>
        <w:outlineLvl w:val="9"/>
        <w:rPr>
          <w:rFonts w:hint="default" w:ascii="Times New Roman" w:hAnsi="Times New Roman" w:cs="Times New Roman"/>
          <w:color w:val="auto"/>
          <w:sz w:val="24"/>
          <w:highlight w:val="none"/>
        </w:rPr>
      </w:pPr>
    </w:p>
    <w:p w14:paraId="32245CF9">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645" w:name="_Toc234833022"/>
      <w:bookmarkStart w:id="646" w:name="_Toc9627"/>
      <w:bookmarkStart w:id="647" w:name="_Toc5290"/>
      <w:bookmarkStart w:id="648" w:name="_Toc30531"/>
      <w:r>
        <w:rPr>
          <w:rFonts w:hint="default" w:ascii="Times New Roman" w:hAnsi="Times New Roman" w:eastAsia="黑体" w:cs="Times New Roman"/>
          <w:b w:val="0"/>
          <w:color w:val="auto"/>
          <w:sz w:val="24"/>
          <w:szCs w:val="24"/>
          <w:highlight w:val="none"/>
        </w:rPr>
        <w:t>7.5道路和桥梁的损坏责任</w:t>
      </w:r>
      <w:bookmarkEnd w:id="645"/>
      <w:bookmarkEnd w:id="646"/>
      <w:bookmarkEnd w:id="647"/>
      <w:bookmarkEnd w:id="648"/>
    </w:p>
    <w:p w14:paraId="3978CDF8">
      <w:pPr>
        <w:pageBreakBefore w:val="0"/>
        <w:kinsoku/>
        <w:wordWrap w:val="0"/>
        <w:bidi w:val="0"/>
        <w:spacing w:line="400" w:lineRule="atLeast"/>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因承包人运输造成施工场地内外公共道路和桥梁损坏的，由承包人承担修复损坏的全部费用和可能引起的赔偿。</w:t>
      </w:r>
    </w:p>
    <w:p w14:paraId="35F2D16D">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649" w:name="_Toc30141"/>
      <w:bookmarkStart w:id="650" w:name="_Toc234833023"/>
      <w:bookmarkStart w:id="651" w:name="_Toc23109"/>
      <w:bookmarkStart w:id="652" w:name="_Toc9650"/>
      <w:r>
        <w:rPr>
          <w:rFonts w:hint="default" w:ascii="Times New Roman" w:hAnsi="Times New Roman" w:eastAsia="黑体" w:cs="Times New Roman"/>
          <w:b w:val="0"/>
          <w:color w:val="auto"/>
          <w:sz w:val="24"/>
          <w:szCs w:val="24"/>
          <w:highlight w:val="none"/>
        </w:rPr>
        <w:t>7.6水路和航空运输</w:t>
      </w:r>
      <w:bookmarkEnd w:id="649"/>
      <w:bookmarkEnd w:id="650"/>
      <w:bookmarkEnd w:id="651"/>
      <w:bookmarkEnd w:id="652"/>
    </w:p>
    <w:p w14:paraId="39E4E0D6">
      <w:pPr>
        <w:pageBreakBefore w:val="0"/>
        <w:kinsoku/>
        <w:wordWrap w:val="0"/>
        <w:bidi w:val="0"/>
        <w:spacing w:line="400" w:lineRule="atLeast"/>
        <w:outlineLvl w:val="9"/>
        <w:rPr>
          <w:rFonts w:hint="eastAsia"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　　本条上述各款的内容适用于水路运输和航空运输，其中</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道路</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一词的涵义包括河道、航线、船闸、机场、码头、堤防以及水路或航空运输中其他相似结构物；</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车辆</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一词的涵义包括船舶和飞机等。</w:t>
      </w:r>
    </w:p>
    <w:p w14:paraId="1047FB54">
      <w:pPr>
        <w:pageBreakBefore w:val="0"/>
        <w:kinsoku/>
        <w:wordWrap w:val="0"/>
        <w:bidi w:val="0"/>
        <w:spacing w:before="480" w:after="240" w:line="380" w:lineRule="atLeast"/>
        <w:outlineLvl w:val="9"/>
        <w:rPr>
          <w:rFonts w:hint="default" w:ascii="Times New Roman" w:hAnsi="Times New Roman" w:eastAsia="黑体" w:cs="Times New Roman"/>
          <w:b w:val="0"/>
          <w:color w:val="auto"/>
          <w:sz w:val="28"/>
          <w:szCs w:val="28"/>
          <w:highlight w:val="none"/>
        </w:rPr>
      </w:pPr>
      <w:bookmarkStart w:id="653" w:name="_Toc234833024"/>
      <w:bookmarkStart w:id="654" w:name="_Toc4669"/>
      <w:bookmarkStart w:id="655" w:name="_Toc19372"/>
      <w:bookmarkStart w:id="656" w:name="_Toc24534"/>
      <w:r>
        <w:rPr>
          <w:rFonts w:hint="default" w:ascii="Times New Roman" w:hAnsi="Times New Roman" w:eastAsia="黑体" w:cs="Times New Roman"/>
          <w:b w:val="0"/>
          <w:color w:val="auto"/>
          <w:sz w:val="28"/>
          <w:szCs w:val="28"/>
          <w:highlight w:val="none"/>
        </w:rPr>
        <w:t>8.测量放线</w:t>
      </w:r>
      <w:bookmarkEnd w:id="653"/>
      <w:bookmarkEnd w:id="654"/>
      <w:bookmarkEnd w:id="655"/>
      <w:bookmarkEnd w:id="656"/>
    </w:p>
    <w:p w14:paraId="4A8BF67F">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657" w:name="_Toc22172"/>
      <w:bookmarkStart w:id="658" w:name="_Toc234833025"/>
      <w:bookmarkStart w:id="659" w:name="_Toc9189"/>
      <w:bookmarkStart w:id="660" w:name="_Toc10567"/>
      <w:r>
        <w:rPr>
          <w:rFonts w:hint="default" w:ascii="Times New Roman" w:hAnsi="Times New Roman" w:eastAsia="黑体" w:cs="Times New Roman"/>
          <w:b w:val="0"/>
          <w:color w:val="auto"/>
          <w:sz w:val="24"/>
          <w:szCs w:val="24"/>
          <w:highlight w:val="none"/>
        </w:rPr>
        <w:t>8.1施工控制网</w:t>
      </w:r>
      <w:bookmarkEnd w:id="657"/>
      <w:bookmarkEnd w:id="658"/>
      <w:bookmarkEnd w:id="659"/>
      <w:bookmarkEnd w:id="660"/>
    </w:p>
    <w:p w14:paraId="1BE5AE94">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8.1.1发包人应在专用合同条款约定的期限内，通过监理人向承包人提供测量基准点、基准线和水准点及其书面资料。除专用合同条款另有约定外，承包人应根据国家测绘基准、测绘系统和工程测量技术规范，按上述基准点（线）以及合同工程精度要求，测设施工控制网，并在专用合同条款约定的期限内，将施工控制网资料报送监理人审批。</w:t>
      </w:r>
    </w:p>
    <w:p w14:paraId="65BD8E42">
      <w:pPr>
        <w:pageBreakBefore w:val="0"/>
        <w:kinsoku/>
        <w:wordWrap w:val="0"/>
        <w:bidi w:val="0"/>
        <w:spacing w:line="400" w:lineRule="atLeast"/>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8.1.2承包人应负责管理施工控制网点。施工控制网点丢失或损坏的，承包人应及时修复。承包人应承担施工控制网点的管理与修复费用，并在工程竣工后将施工控制网点移交发包人。</w:t>
      </w:r>
    </w:p>
    <w:p w14:paraId="336BB648">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661" w:name="_Toc25309"/>
      <w:bookmarkStart w:id="662" w:name="_Toc17769"/>
      <w:bookmarkStart w:id="663" w:name="_Toc234833026"/>
      <w:bookmarkStart w:id="664" w:name="_Toc23418"/>
      <w:r>
        <w:rPr>
          <w:rFonts w:hint="default" w:ascii="Times New Roman" w:hAnsi="Times New Roman" w:eastAsia="黑体" w:cs="Times New Roman"/>
          <w:b w:val="0"/>
          <w:color w:val="auto"/>
          <w:sz w:val="24"/>
          <w:szCs w:val="24"/>
          <w:highlight w:val="none"/>
        </w:rPr>
        <w:t>8.2施工测量</w:t>
      </w:r>
      <w:bookmarkEnd w:id="661"/>
      <w:bookmarkEnd w:id="662"/>
      <w:bookmarkEnd w:id="663"/>
      <w:bookmarkEnd w:id="664"/>
    </w:p>
    <w:p w14:paraId="2ECB0245">
      <w:pPr>
        <w:pageBreakBefore w:val="0"/>
        <w:kinsoku/>
        <w:wordWrap w:val="0"/>
        <w:bidi w:val="0"/>
        <w:spacing w:line="400" w:lineRule="atLeast"/>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8.2.1承包人应负责施工过程中的全部施工测量放线工作，并配置合格的人员、仪器、设备和其他物品。</w:t>
      </w:r>
    </w:p>
    <w:p w14:paraId="53542158">
      <w:pPr>
        <w:pageBreakBefore w:val="0"/>
        <w:kinsoku/>
        <w:wordWrap w:val="0"/>
        <w:bidi w:val="0"/>
        <w:spacing w:line="400" w:lineRule="atLeast"/>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8.2.2监理人可以指示承包人进行抽样复测，当复测中发现错误或出现超过合同约定的误差时，承包人应按监理人指示进行修正或补测，并承担相应的复测费用。</w:t>
      </w:r>
    </w:p>
    <w:p w14:paraId="0F5CD1F8">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665" w:name="_Toc10297"/>
      <w:bookmarkStart w:id="666" w:name="_Toc30617"/>
      <w:bookmarkStart w:id="667" w:name="_Toc234833027"/>
      <w:bookmarkStart w:id="668" w:name="_Toc26654"/>
      <w:r>
        <w:rPr>
          <w:rFonts w:hint="default" w:ascii="Times New Roman" w:hAnsi="Times New Roman" w:eastAsia="黑体" w:cs="Times New Roman"/>
          <w:b w:val="0"/>
          <w:color w:val="auto"/>
          <w:sz w:val="24"/>
          <w:szCs w:val="24"/>
          <w:highlight w:val="none"/>
        </w:rPr>
        <w:t>8.3基准资料错误的责任</w:t>
      </w:r>
      <w:bookmarkEnd w:id="665"/>
      <w:bookmarkEnd w:id="666"/>
      <w:bookmarkEnd w:id="667"/>
      <w:bookmarkEnd w:id="668"/>
    </w:p>
    <w:p w14:paraId="69543897">
      <w:pPr>
        <w:pageBreakBefore w:val="0"/>
        <w:kinsoku/>
        <w:wordWrap w:val="0"/>
        <w:bidi w:val="0"/>
        <w:spacing w:line="400" w:lineRule="atLeast"/>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发包人应对其提供的测量基准点、基准线和水准点及其书面资料的真实性、准确性和完整性负责。发包人提供上述基准资料错误导致承包人测量放线工作的返工或造成工程损失的，发包人应当承担由此增加的费用和（或）工期延误，并向承包人支付合理利润。承包人发现发包人提供的上述基准资料存在明显错误或疏忽的，应及时通知监理人。</w:t>
      </w:r>
    </w:p>
    <w:p w14:paraId="094E1F97">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669" w:name="_Toc15727"/>
      <w:bookmarkStart w:id="670" w:name="_Toc1487"/>
      <w:bookmarkStart w:id="671" w:name="_Toc234833028"/>
      <w:bookmarkStart w:id="672" w:name="_Toc31976"/>
      <w:r>
        <w:rPr>
          <w:rFonts w:hint="default" w:ascii="Times New Roman" w:hAnsi="Times New Roman" w:eastAsia="黑体" w:cs="Times New Roman"/>
          <w:b w:val="0"/>
          <w:color w:val="auto"/>
          <w:sz w:val="24"/>
          <w:szCs w:val="24"/>
          <w:highlight w:val="none"/>
        </w:rPr>
        <w:t>8.4监理人使用施工控制网</w:t>
      </w:r>
      <w:bookmarkEnd w:id="669"/>
      <w:bookmarkEnd w:id="670"/>
      <w:bookmarkEnd w:id="671"/>
      <w:bookmarkEnd w:id="672"/>
    </w:p>
    <w:p w14:paraId="182405F2">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监理人需要使用施工控制网的，承包人应提供必要的协助，发包人不再为此支付费用。</w:t>
      </w:r>
    </w:p>
    <w:p w14:paraId="2748BE83">
      <w:pPr>
        <w:pageBreakBefore w:val="0"/>
        <w:kinsoku/>
        <w:wordWrap w:val="0"/>
        <w:bidi w:val="0"/>
        <w:spacing w:before="480" w:after="240" w:line="380" w:lineRule="atLeast"/>
        <w:outlineLvl w:val="9"/>
        <w:rPr>
          <w:rFonts w:hint="default" w:ascii="Times New Roman" w:hAnsi="Times New Roman" w:eastAsia="黑体" w:cs="Times New Roman"/>
          <w:b w:val="0"/>
          <w:color w:val="auto"/>
          <w:sz w:val="28"/>
          <w:szCs w:val="28"/>
          <w:highlight w:val="none"/>
        </w:rPr>
      </w:pPr>
      <w:bookmarkStart w:id="673" w:name="_Toc24858"/>
      <w:bookmarkStart w:id="674" w:name="_Toc1730"/>
      <w:bookmarkStart w:id="675" w:name="_Toc3624"/>
      <w:bookmarkStart w:id="676" w:name="_Toc234833029"/>
      <w:r>
        <w:rPr>
          <w:rFonts w:hint="default" w:ascii="Times New Roman" w:hAnsi="Times New Roman" w:eastAsia="黑体" w:cs="Times New Roman"/>
          <w:b w:val="0"/>
          <w:color w:val="auto"/>
          <w:sz w:val="28"/>
          <w:szCs w:val="28"/>
          <w:highlight w:val="none"/>
        </w:rPr>
        <w:t>9.施工安全、治安保卫和环境保护</w:t>
      </w:r>
      <w:bookmarkEnd w:id="673"/>
      <w:bookmarkEnd w:id="674"/>
      <w:bookmarkEnd w:id="675"/>
      <w:bookmarkEnd w:id="676"/>
    </w:p>
    <w:p w14:paraId="417DB60C">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677" w:name="_Toc20223"/>
      <w:bookmarkStart w:id="678" w:name="_Toc5314"/>
      <w:bookmarkStart w:id="679" w:name="_Toc3769"/>
      <w:bookmarkStart w:id="680" w:name="_Toc234833030"/>
      <w:r>
        <w:rPr>
          <w:rFonts w:hint="default" w:ascii="Times New Roman" w:hAnsi="Times New Roman" w:eastAsia="黑体" w:cs="Times New Roman"/>
          <w:b w:val="0"/>
          <w:color w:val="auto"/>
          <w:sz w:val="24"/>
          <w:szCs w:val="24"/>
          <w:highlight w:val="none"/>
        </w:rPr>
        <w:t>9.1发包人的施工安全责任</w:t>
      </w:r>
      <w:bookmarkEnd w:id="677"/>
      <w:bookmarkEnd w:id="678"/>
      <w:bookmarkEnd w:id="679"/>
      <w:bookmarkEnd w:id="680"/>
    </w:p>
    <w:p w14:paraId="00DD29E9">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9.1.1发包人应按合同约定履行安全职责，授权监理人按合同约定的安全工作内容监督、检查承包人安全工作的实施，组织承包人和有关单位进行安全检查。</w:t>
      </w:r>
    </w:p>
    <w:p w14:paraId="42D9B4B7">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9.1.2发包人应对其现场机构雇佣的全部人员的工伤事故承担责任，但由于承包人原因造成发包人人员工伤的，应由承包人承担责任。</w:t>
      </w:r>
    </w:p>
    <w:p w14:paraId="1C5D6EBF">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9.1.3发包人应负责赔偿以下各种情况造成的第三者人身伤亡和财产损失：</w:t>
      </w:r>
    </w:p>
    <w:p w14:paraId="5DBFCB44">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（1）工程或工程的任何部分对土地的占用所造成的第三者财产损失；</w:t>
      </w:r>
    </w:p>
    <w:p w14:paraId="60EDF158">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（2）由于发包人原因在施工场地及其毗邻地带造成的第三者人身伤亡和财产损失。</w:t>
      </w:r>
    </w:p>
    <w:p w14:paraId="263CEF1D">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681" w:name="_Toc234833031"/>
      <w:bookmarkStart w:id="682" w:name="_Toc26218"/>
      <w:bookmarkStart w:id="683" w:name="_Toc16709"/>
      <w:bookmarkStart w:id="684" w:name="_Toc3730"/>
      <w:r>
        <w:rPr>
          <w:rFonts w:hint="default" w:ascii="Times New Roman" w:hAnsi="Times New Roman" w:eastAsia="黑体" w:cs="Times New Roman"/>
          <w:b w:val="0"/>
          <w:color w:val="auto"/>
          <w:sz w:val="24"/>
          <w:szCs w:val="24"/>
          <w:highlight w:val="none"/>
        </w:rPr>
        <w:t>9.2承包人的施工安全责任</w:t>
      </w:r>
      <w:bookmarkEnd w:id="681"/>
      <w:bookmarkEnd w:id="682"/>
      <w:bookmarkEnd w:id="683"/>
      <w:bookmarkEnd w:id="684"/>
    </w:p>
    <w:p w14:paraId="229DA929">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9.2.1承包人应按合同约定履行安全职责,执行监理人有关安全工作的指示,并在专用合同条款约定的期限内，按合同约定的安全工作内容，编制施工安全措施计划报送监理人审批。</w:t>
      </w:r>
    </w:p>
    <w:p w14:paraId="606DE27F">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9.2.2承包人应加强施工作业安全管理，特别应加强易燃、易爆材料、火工器材、有毒与腐蚀性材料和其他危险品的管理，以及对爆破作业和地下工程施工等危险作业的管理。</w:t>
      </w:r>
    </w:p>
    <w:p w14:paraId="6C101611">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9.2.3承包人应严格按照国家安全标准制定施工安全操作规程，配备必要的安全生产和劳动保护设施，加强对承包人人员的安全教育，并发放安全工作手册和劳动保护用具。</w:t>
      </w:r>
    </w:p>
    <w:p w14:paraId="3C27EF77">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9.2.4承包人应按监理人的指示制定应对灾害的紧急预案，报送监理人审批。承包人还应按预案做好安全检查，配置必要的救助物资和器材，切实保护好有关人员的人身和财产安全。</w:t>
      </w:r>
    </w:p>
    <w:p w14:paraId="1F5A1E0F">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9.2.5合同约定的安全作业环境及安全施工措施所需费用应遵守有关规定，并包括在相关工作的合同价格中。因采取合同未约定的安全作业环境及安全施工措施增加的费用，由监理人按第3.5款商定或确定。</w:t>
      </w:r>
    </w:p>
    <w:p w14:paraId="3E35AA64">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9.2.6承包人应对其履行合同所雇佣的全部人员，包括分包人人员的工伤事故承担责任，但由于发包人原因造成承包人人员工伤事故的，应由发包人承担责任。</w:t>
      </w:r>
    </w:p>
    <w:p w14:paraId="64549F42">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9.2.7由于承包人原因在施工场地内及其毗邻地带造成的第三者人员伤亡和财产损失，由承包人负责赔偿。</w:t>
      </w:r>
    </w:p>
    <w:p w14:paraId="235F075A">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685" w:name="_Toc31111"/>
      <w:bookmarkStart w:id="686" w:name="_Toc234833032"/>
      <w:bookmarkStart w:id="687" w:name="_Toc24377"/>
      <w:bookmarkStart w:id="688" w:name="_Toc27835"/>
      <w:r>
        <w:rPr>
          <w:rFonts w:hint="default" w:ascii="Times New Roman" w:hAnsi="Times New Roman" w:eastAsia="黑体" w:cs="Times New Roman"/>
          <w:b w:val="0"/>
          <w:color w:val="auto"/>
          <w:sz w:val="24"/>
          <w:szCs w:val="24"/>
          <w:highlight w:val="none"/>
        </w:rPr>
        <w:t>9.3治安保卫</w:t>
      </w:r>
      <w:bookmarkEnd w:id="685"/>
      <w:bookmarkEnd w:id="686"/>
      <w:bookmarkEnd w:id="687"/>
      <w:bookmarkEnd w:id="688"/>
    </w:p>
    <w:p w14:paraId="619A7075">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9.3.1除合同另有约定外，发包人应与当地公安部门协商，在现场建立治安管理机构或联防组织，统一管理施工场地的治安保卫事项，履行合同工程的治安保卫职责。</w:t>
      </w:r>
    </w:p>
    <w:p w14:paraId="4C93F64B">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9.3.2发包人和承包人除应协助现场治安管理机构或联防组织维护施工场地的社会治安外，还应做好包括生活区在内的各自管辖区的治安保卫工作。</w:t>
      </w:r>
    </w:p>
    <w:p w14:paraId="18415383">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9.3.3除合同另有约定外，发包人和承包人应在工程开工后，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减少财产损失和避免人员伤亡。</w:t>
      </w:r>
    </w:p>
    <w:p w14:paraId="1C1CE462">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689" w:name="_Toc269"/>
      <w:bookmarkStart w:id="690" w:name="_Toc234833033"/>
      <w:bookmarkStart w:id="691" w:name="_Toc30300"/>
      <w:bookmarkStart w:id="692" w:name="_Toc16001"/>
      <w:r>
        <w:rPr>
          <w:rFonts w:hint="default" w:ascii="Times New Roman" w:hAnsi="Times New Roman" w:eastAsia="黑体" w:cs="Times New Roman"/>
          <w:b w:val="0"/>
          <w:color w:val="auto"/>
          <w:sz w:val="24"/>
          <w:szCs w:val="24"/>
          <w:highlight w:val="none"/>
        </w:rPr>
        <w:t>9.4环境保护</w:t>
      </w:r>
      <w:bookmarkEnd w:id="689"/>
      <w:bookmarkEnd w:id="690"/>
      <w:bookmarkEnd w:id="691"/>
      <w:bookmarkEnd w:id="692"/>
    </w:p>
    <w:p w14:paraId="545C8787">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9.4.1承包人在施工过程中，应遵守有关环境保护的法律，履行合同约定的环境保护义务，并对违反法律和合同约定义务所造成的环境破坏、人身伤害和财产损失负责。</w:t>
      </w:r>
    </w:p>
    <w:p w14:paraId="146FCF01">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9.4.2承包人应按合同约定的环保工作内容，编制施工环保措施计划，报送监理人审批。</w:t>
      </w:r>
    </w:p>
    <w:p w14:paraId="76377A95">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9.4.3承包人应按照批准的施工环保措施计划有序地堆放和处理施工废弃物，避免对环境造成破坏。因承包人任意堆放或弃置施工废弃物造成妨碍公共交通、影响城镇居民生活、降低河流行洪能力、危及居民安全、破坏周边环境，或者影响其他承包人施工等后果的，承包人应承担责任。</w:t>
      </w:r>
    </w:p>
    <w:p w14:paraId="3E9BE2F0">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9.4.4承包人应按合同约定采取有效措施，对施工开挖的边坡及时进行支护,维护排水设施，并进行水土保护，避免因施工造成的地质灾害。</w:t>
      </w:r>
    </w:p>
    <w:p w14:paraId="062E26CC">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9.4.5承包人应按国家饮用水管理标准定期对饮用水源进行监测，防止施工活动污染饮用水源。</w:t>
      </w:r>
    </w:p>
    <w:p w14:paraId="29271A32">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9.4.6承包人应按合同约定，加强对噪声、粉尘、废气、废水和废油的控制，努力降低噪声，控制粉尘和废气浓度，做好废水和废油的治理和排放。</w:t>
      </w:r>
    </w:p>
    <w:p w14:paraId="7BBF9C3D">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693" w:name="_Toc5457"/>
      <w:bookmarkStart w:id="694" w:name="_Toc234833034"/>
      <w:bookmarkStart w:id="695" w:name="_Toc26780"/>
      <w:bookmarkStart w:id="696" w:name="_Toc17129"/>
      <w:r>
        <w:rPr>
          <w:rFonts w:hint="default" w:ascii="Times New Roman" w:hAnsi="Times New Roman" w:eastAsia="黑体" w:cs="Times New Roman"/>
          <w:b w:val="0"/>
          <w:color w:val="auto"/>
          <w:sz w:val="24"/>
          <w:szCs w:val="24"/>
          <w:highlight w:val="none"/>
        </w:rPr>
        <w:t>9.5事故处理</w:t>
      </w:r>
      <w:bookmarkEnd w:id="693"/>
      <w:bookmarkEnd w:id="694"/>
      <w:bookmarkEnd w:id="695"/>
      <w:bookmarkEnd w:id="696"/>
    </w:p>
    <w:p w14:paraId="1FF503F0">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28B50426">
      <w:pPr>
        <w:pageBreakBefore w:val="0"/>
        <w:kinsoku/>
        <w:wordWrap w:val="0"/>
        <w:bidi w:val="0"/>
        <w:spacing w:before="480" w:after="240" w:line="380" w:lineRule="atLeast"/>
        <w:outlineLvl w:val="9"/>
        <w:rPr>
          <w:rFonts w:hint="default" w:ascii="Times New Roman" w:hAnsi="Times New Roman" w:eastAsia="黑体" w:cs="Times New Roman"/>
          <w:b w:val="0"/>
          <w:color w:val="auto"/>
          <w:sz w:val="28"/>
          <w:szCs w:val="28"/>
          <w:highlight w:val="none"/>
        </w:rPr>
      </w:pPr>
      <w:bookmarkStart w:id="697" w:name="_Toc12821"/>
      <w:bookmarkStart w:id="698" w:name="_Toc32151"/>
      <w:bookmarkStart w:id="699" w:name="_Toc30729"/>
      <w:bookmarkStart w:id="700" w:name="_Toc234833035"/>
      <w:r>
        <w:rPr>
          <w:rFonts w:hint="default" w:ascii="Times New Roman" w:hAnsi="Times New Roman" w:eastAsia="黑体" w:cs="Times New Roman"/>
          <w:b w:val="0"/>
          <w:color w:val="auto"/>
          <w:sz w:val="28"/>
          <w:szCs w:val="28"/>
          <w:highlight w:val="none"/>
        </w:rPr>
        <w:t>10.进度计划</w:t>
      </w:r>
      <w:bookmarkEnd w:id="697"/>
      <w:bookmarkEnd w:id="698"/>
      <w:bookmarkEnd w:id="699"/>
      <w:bookmarkEnd w:id="700"/>
    </w:p>
    <w:p w14:paraId="6EDB38AB">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701" w:name="_Toc9432"/>
      <w:bookmarkStart w:id="702" w:name="_Toc234833036"/>
      <w:bookmarkStart w:id="703" w:name="_Toc24434"/>
      <w:bookmarkStart w:id="704" w:name="_Toc17150"/>
      <w:r>
        <w:rPr>
          <w:rFonts w:hint="default" w:ascii="Times New Roman" w:hAnsi="Times New Roman" w:eastAsia="黑体" w:cs="Times New Roman"/>
          <w:b w:val="0"/>
          <w:color w:val="auto"/>
          <w:sz w:val="24"/>
          <w:szCs w:val="24"/>
          <w:highlight w:val="none"/>
        </w:rPr>
        <w:t>10.1合同进度计划</w:t>
      </w:r>
      <w:bookmarkEnd w:id="701"/>
      <w:bookmarkEnd w:id="702"/>
      <w:bookmarkEnd w:id="703"/>
      <w:bookmarkEnd w:id="704"/>
    </w:p>
    <w:p w14:paraId="70FF881D">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按专用合同条款约定的内容和期限，编制详细的施工进度计划和施工方案说明报送监理人。监理人应在专用合同条款约定的期限内批复或提出修改意见，否则该进度计划视为已得到批准。经监理人批准的施工进度计划称合同进度计划，是控制合同工程进度的依据。承包人还应根据合同进度计划，编制更为详细的分阶段或分项进度计划，报监理人审批。</w:t>
      </w:r>
    </w:p>
    <w:p w14:paraId="42426386">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705" w:name="_Toc23622"/>
      <w:bookmarkStart w:id="706" w:name="_Toc21458"/>
      <w:bookmarkStart w:id="707" w:name="_Toc234833037"/>
      <w:bookmarkStart w:id="708" w:name="_Toc15025"/>
      <w:r>
        <w:rPr>
          <w:rFonts w:hint="default" w:ascii="Times New Roman" w:hAnsi="Times New Roman" w:eastAsia="黑体" w:cs="Times New Roman"/>
          <w:b w:val="0"/>
          <w:color w:val="auto"/>
          <w:sz w:val="24"/>
          <w:szCs w:val="24"/>
          <w:highlight w:val="none"/>
        </w:rPr>
        <w:t>10.2合同进度计划的修订</w:t>
      </w:r>
      <w:bookmarkEnd w:id="705"/>
      <w:bookmarkEnd w:id="706"/>
      <w:bookmarkEnd w:id="707"/>
      <w:bookmarkEnd w:id="708"/>
    </w:p>
    <w:p w14:paraId="717C7D5A">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不论何种原因造成工程的实际进度与第10.1款的合同进度计划不符时，承包人可以在专用合同条款约定的期限内向监理人提交修订合同进度计划的申请报告，并附有关措施和相关资料，报监理人审批；监理人也可以直接向承包人作出修订合同进度计划的指示，承包人应按该指示修订合同进度计划，报监理人审批。监理人应在专用合同条款约定的期限内批复。监理人在批复前应获得发包人同意。</w:t>
      </w:r>
    </w:p>
    <w:p w14:paraId="233704BF">
      <w:pPr>
        <w:pageBreakBefore w:val="0"/>
        <w:kinsoku/>
        <w:wordWrap w:val="0"/>
        <w:bidi w:val="0"/>
        <w:spacing w:before="480" w:after="240" w:line="380" w:lineRule="atLeast"/>
        <w:outlineLvl w:val="9"/>
        <w:rPr>
          <w:rFonts w:hint="default" w:ascii="Times New Roman" w:hAnsi="Times New Roman" w:eastAsia="黑体" w:cs="Times New Roman"/>
          <w:b w:val="0"/>
          <w:color w:val="auto"/>
          <w:sz w:val="28"/>
          <w:szCs w:val="28"/>
          <w:highlight w:val="none"/>
        </w:rPr>
      </w:pPr>
      <w:bookmarkStart w:id="709" w:name="_Toc15582"/>
      <w:bookmarkStart w:id="710" w:name="_Toc1558"/>
      <w:bookmarkStart w:id="711" w:name="_Toc234833038"/>
      <w:bookmarkStart w:id="712" w:name="_Toc31278"/>
      <w:r>
        <w:rPr>
          <w:rFonts w:hint="default" w:ascii="Times New Roman" w:hAnsi="Times New Roman" w:eastAsia="黑体" w:cs="Times New Roman"/>
          <w:b w:val="0"/>
          <w:color w:val="auto"/>
          <w:sz w:val="28"/>
          <w:szCs w:val="28"/>
          <w:highlight w:val="none"/>
        </w:rPr>
        <w:t>11.开工和竣工</w:t>
      </w:r>
      <w:bookmarkEnd w:id="709"/>
      <w:bookmarkEnd w:id="710"/>
      <w:bookmarkEnd w:id="711"/>
      <w:bookmarkEnd w:id="712"/>
    </w:p>
    <w:p w14:paraId="4AC0B3A8">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713" w:name="_Toc12994"/>
      <w:bookmarkStart w:id="714" w:name="_Toc234833039"/>
      <w:bookmarkStart w:id="715" w:name="_Toc20810"/>
      <w:bookmarkStart w:id="716" w:name="_Toc196"/>
      <w:r>
        <w:rPr>
          <w:rFonts w:hint="default" w:ascii="Times New Roman" w:hAnsi="Times New Roman" w:eastAsia="黑体" w:cs="Times New Roman"/>
          <w:b w:val="0"/>
          <w:color w:val="auto"/>
          <w:sz w:val="24"/>
          <w:szCs w:val="24"/>
          <w:highlight w:val="none"/>
        </w:rPr>
        <w:t>11.1开工</w:t>
      </w:r>
      <w:bookmarkEnd w:id="713"/>
      <w:bookmarkEnd w:id="714"/>
      <w:bookmarkEnd w:id="715"/>
      <w:bookmarkEnd w:id="716"/>
    </w:p>
    <w:p w14:paraId="2D335B5E">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11.1.1监理人应在开工日期7天前向承包人发出开工通知。监理人在发出开工通知前应获得发包人同意。工期自监理人发出的开工通知中载明的开工日期起计算。承包人应在开工日期后尽快施工。</w:t>
      </w:r>
    </w:p>
    <w:p w14:paraId="2D8947CF">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11.1.2承包人应按第10.1款约定的合同进度计划，向监理人提交工程开工报审表，经监理人审批后执行。开工报审表应详细说明按合同进度计划正常施工所需的施工道路、临时设施、材料设备、施工人员等施工组织措施的落实情况以及工程的进度安排。</w:t>
      </w:r>
    </w:p>
    <w:p w14:paraId="6E5A9BE5">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717" w:name="_Toc9084"/>
      <w:bookmarkStart w:id="718" w:name="_Toc830"/>
      <w:bookmarkStart w:id="719" w:name="_Toc10996"/>
      <w:bookmarkStart w:id="720" w:name="_Toc234833040"/>
      <w:r>
        <w:rPr>
          <w:rFonts w:hint="default" w:ascii="Times New Roman" w:hAnsi="Times New Roman" w:eastAsia="黑体" w:cs="Times New Roman"/>
          <w:b w:val="0"/>
          <w:color w:val="auto"/>
          <w:sz w:val="24"/>
          <w:szCs w:val="24"/>
          <w:highlight w:val="none"/>
        </w:rPr>
        <w:t>11.2竣工</w:t>
      </w:r>
      <w:bookmarkEnd w:id="717"/>
      <w:bookmarkEnd w:id="718"/>
      <w:bookmarkEnd w:id="719"/>
      <w:bookmarkEnd w:id="720"/>
    </w:p>
    <w:p w14:paraId="6699331E">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承包人应在第1.1.4.3目约定的期限内完成合同工程。实际竣工日期在接收证书中写明。</w:t>
      </w:r>
    </w:p>
    <w:p w14:paraId="55C9B253">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721" w:name="_Toc27799"/>
      <w:bookmarkStart w:id="722" w:name="_Toc234833041"/>
      <w:bookmarkStart w:id="723" w:name="_Toc27035"/>
      <w:bookmarkStart w:id="724" w:name="_Toc18689"/>
      <w:r>
        <w:rPr>
          <w:rFonts w:hint="default" w:ascii="Times New Roman" w:hAnsi="Times New Roman" w:eastAsia="黑体" w:cs="Times New Roman"/>
          <w:b w:val="0"/>
          <w:color w:val="auto"/>
          <w:sz w:val="24"/>
          <w:szCs w:val="24"/>
          <w:highlight w:val="none"/>
        </w:rPr>
        <w:t>11.3发包人的工期延误</w:t>
      </w:r>
      <w:bookmarkEnd w:id="721"/>
      <w:bookmarkEnd w:id="722"/>
      <w:bookmarkEnd w:id="723"/>
      <w:bookmarkEnd w:id="724"/>
    </w:p>
    <w:p w14:paraId="1B238DA1">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在履行合同过程中，由于发包人的下列原因造成工期延误的，承包人有权要求发包人延长工期和（或）增加费用，并支付合理利润。需要修订合同进度计划的，按照第10.2款的约定办理。</w:t>
      </w:r>
    </w:p>
    <w:p w14:paraId="5D19ED51">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（1）增加合同工作内容;</w:t>
      </w:r>
    </w:p>
    <w:p w14:paraId="1C67A1C5">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（2）改变合同中任何一项工作的质量要求或其他特性；</w:t>
      </w:r>
    </w:p>
    <w:p w14:paraId="7A060847">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（3）发包人迟延提供材料、工程设备或变更交货地点的；</w:t>
      </w:r>
    </w:p>
    <w:p w14:paraId="7E63DD8D">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（4）因发包人原因导致的暂停施工；</w:t>
      </w:r>
    </w:p>
    <w:p w14:paraId="252938A4">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（5）提供图纸延误；</w:t>
      </w:r>
    </w:p>
    <w:p w14:paraId="455992D7">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（6）未按合同约定及时支付预付款、进度款；</w:t>
      </w:r>
    </w:p>
    <w:p w14:paraId="184EF823">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（7）发包人造成工期延误的其他原因。</w:t>
      </w:r>
    </w:p>
    <w:p w14:paraId="18FE62D1">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725" w:name="_Toc31357"/>
      <w:bookmarkStart w:id="726" w:name="_Toc10516"/>
      <w:bookmarkStart w:id="727" w:name="_Toc22343"/>
      <w:bookmarkStart w:id="728" w:name="_Toc234833042"/>
      <w:r>
        <w:rPr>
          <w:rFonts w:hint="default" w:ascii="Times New Roman" w:hAnsi="Times New Roman" w:eastAsia="黑体" w:cs="Times New Roman"/>
          <w:b w:val="0"/>
          <w:color w:val="auto"/>
          <w:sz w:val="24"/>
          <w:szCs w:val="24"/>
          <w:highlight w:val="none"/>
        </w:rPr>
        <w:t>11.4异常恶劣的气候条件</w:t>
      </w:r>
      <w:bookmarkEnd w:id="725"/>
      <w:bookmarkEnd w:id="726"/>
      <w:bookmarkEnd w:id="727"/>
      <w:bookmarkEnd w:id="728"/>
    </w:p>
    <w:p w14:paraId="3CC87411">
      <w:pPr>
        <w:pageBreakBefore w:val="0"/>
        <w:kinsoku/>
        <w:wordWrap w:val="0"/>
        <w:bidi w:val="0"/>
        <w:spacing w:line="400" w:lineRule="atLeast"/>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由于出现专用合同条款约定的异常恶劣气候的条件导致工期延误的，承包人有权要求发包人延长工期。</w:t>
      </w:r>
    </w:p>
    <w:p w14:paraId="6ADF96DA">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729" w:name="_Toc29531"/>
      <w:bookmarkStart w:id="730" w:name="_Toc27127"/>
      <w:bookmarkStart w:id="731" w:name="_Toc234833043"/>
      <w:bookmarkStart w:id="732" w:name="_Toc23628"/>
      <w:r>
        <w:rPr>
          <w:rFonts w:hint="default" w:ascii="Times New Roman" w:hAnsi="Times New Roman" w:eastAsia="黑体" w:cs="Times New Roman"/>
          <w:b w:val="0"/>
          <w:color w:val="auto"/>
          <w:sz w:val="24"/>
          <w:szCs w:val="24"/>
          <w:highlight w:val="none"/>
        </w:rPr>
        <w:t>11.5承包人的工期延误</w:t>
      </w:r>
      <w:bookmarkEnd w:id="729"/>
      <w:bookmarkEnd w:id="730"/>
      <w:bookmarkEnd w:id="731"/>
      <w:bookmarkEnd w:id="732"/>
    </w:p>
    <w:p w14:paraId="2D723232">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由于承包人原因，未能按合同进度计划完成工作，或监理人认为承包人施工进度不能满足合同工期要求的，承包人应采取措施加快进度，并承担加快进度所增加的费用。由于承包人原因造成工期延误，承包人应支付逾期竣工违约金。逾期竣工违约金的计算方法在专用合同条款中约定。承包人支付逾期竣工违约金，不免除承包人完成工程及修补缺陷的义务。</w:t>
      </w:r>
    </w:p>
    <w:p w14:paraId="4569829A">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733" w:name="_Toc18576"/>
      <w:bookmarkStart w:id="734" w:name="_Toc16451"/>
      <w:bookmarkStart w:id="735" w:name="_Toc25703"/>
      <w:bookmarkStart w:id="736" w:name="_Toc234833044"/>
      <w:r>
        <w:rPr>
          <w:rFonts w:hint="default" w:ascii="Times New Roman" w:hAnsi="Times New Roman" w:eastAsia="黑体" w:cs="Times New Roman"/>
          <w:b w:val="0"/>
          <w:color w:val="auto"/>
          <w:sz w:val="24"/>
          <w:szCs w:val="24"/>
          <w:highlight w:val="none"/>
        </w:rPr>
        <w:t>11.6工期提前</w:t>
      </w:r>
      <w:bookmarkEnd w:id="733"/>
      <w:bookmarkEnd w:id="734"/>
      <w:bookmarkEnd w:id="735"/>
      <w:bookmarkEnd w:id="736"/>
    </w:p>
    <w:p w14:paraId="7865CBD1">
      <w:pPr>
        <w:pageBreakBefore w:val="0"/>
        <w:kinsoku/>
        <w:wordWrap w:val="0"/>
        <w:bidi w:val="0"/>
        <w:spacing w:line="400" w:lineRule="atLeast"/>
        <w:ind w:firstLine="480" w:firstLineChars="200"/>
        <w:outlineLvl w:val="9"/>
        <w:rPr>
          <w:rFonts w:hint="eastAsia"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发包人要求承包人提前竣工，或承包人提出提前竣工的建议能够给发包人带来效益的，应由监理人与承包人共同协商采取加快工程进度的措施和修订合同进度计划。发包人应承担承包人由此增加的费用，并向承包人支付专用合同条款约定的相应奖金。</w:t>
      </w:r>
    </w:p>
    <w:p w14:paraId="0775BA81">
      <w:pPr>
        <w:pageBreakBefore w:val="0"/>
        <w:kinsoku/>
        <w:wordWrap w:val="0"/>
        <w:bidi w:val="0"/>
        <w:spacing w:before="480" w:after="240" w:line="380" w:lineRule="atLeast"/>
        <w:outlineLvl w:val="9"/>
        <w:rPr>
          <w:rFonts w:hint="default" w:ascii="Times New Roman" w:hAnsi="Times New Roman" w:eastAsia="黑体" w:cs="Times New Roman"/>
          <w:b w:val="0"/>
          <w:color w:val="auto"/>
          <w:sz w:val="28"/>
          <w:szCs w:val="28"/>
          <w:highlight w:val="none"/>
        </w:rPr>
      </w:pPr>
      <w:bookmarkStart w:id="737" w:name="_Toc234833045"/>
      <w:bookmarkStart w:id="738" w:name="_Toc23679"/>
      <w:bookmarkStart w:id="739" w:name="_Toc17617"/>
      <w:bookmarkStart w:id="740" w:name="_Toc29212"/>
      <w:r>
        <w:rPr>
          <w:rFonts w:hint="default" w:ascii="Times New Roman" w:hAnsi="Times New Roman" w:eastAsia="黑体" w:cs="Times New Roman"/>
          <w:b w:val="0"/>
          <w:color w:val="auto"/>
          <w:sz w:val="28"/>
          <w:szCs w:val="28"/>
          <w:highlight w:val="none"/>
        </w:rPr>
        <w:t>12.暂停施工</w:t>
      </w:r>
      <w:bookmarkEnd w:id="737"/>
      <w:bookmarkEnd w:id="738"/>
      <w:bookmarkEnd w:id="739"/>
      <w:bookmarkEnd w:id="740"/>
    </w:p>
    <w:p w14:paraId="3B254CC9">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741" w:name="_Toc18760"/>
      <w:bookmarkStart w:id="742" w:name="_Toc27"/>
      <w:bookmarkStart w:id="743" w:name="_Toc8685"/>
      <w:bookmarkStart w:id="744" w:name="_Toc234833046"/>
      <w:r>
        <w:rPr>
          <w:rFonts w:hint="default" w:ascii="Times New Roman" w:hAnsi="Times New Roman" w:eastAsia="黑体" w:cs="Times New Roman"/>
          <w:b w:val="0"/>
          <w:color w:val="auto"/>
          <w:sz w:val="24"/>
          <w:szCs w:val="24"/>
          <w:highlight w:val="none"/>
        </w:rPr>
        <w:t>12.1承包人暂停施工的责任</w:t>
      </w:r>
      <w:bookmarkEnd w:id="741"/>
      <w:bookmarkEnd w:id="742"/>
      <w:bookmarkEnd w:id="743"/>
      <w:bookmarkEnd w:id="744"/>
    </w:p>
    <w:p w14:paraId="6D9E7C80">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因下列暂停施工增加的费用和（或）工期延误由承包人承担：</w:t>
      </w:r>
    </w:p>
    <w:p w14:paraId="37796B32">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（1）承包人违约引起的暂停施工；</w:t>
      </w:r>
    </w:p>
    <w:p w14:paraId="251865CF">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（2）由于承包人原因为工程合理施工和安全保障所必需的暂停施工；</w:t>
      </w:r>
    </w:p>
    <w:p w14:paraId="39AB7780">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（3）承包人擅自暂停施工；</w:t>
      </w:r>
    </w:p>
    <w:p w14:paraId="1AD3CE06">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（4）承包人其他原因引起的暂停施工；</w:t>
      </w:r>
    </w:p>
    <w:p w14:paraId="3C6A85C9">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（5）专用合同条款约定由承包人承担的其他暂停施工。</w:t>
      </w:r>
    </w:p>
    <w:p w14:paraId="4FA1AAD1">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745" w:name="_Toc29989"/>
      <w:bookmarkStart w:id="746" w:name="_Toc23726"/>
      <w:bookmarkStart w:id="747" w:name="_Toc18857"/>
      <w:bookmarkStart w:id="748" w:name="_Toc234833047"/>
      <w:r>
        <w:rPr>
          <w:rFonts w:hint="default" w:ascii="Times New Roman" w:hAnsi="Times New Roman" w:eastAsia="黑体" w:cs="Times New Roman"/>
          <w:b w:val="0"/>
          <w:color w:val="auto"/>
          <w:sz w:val="24"/>
          <w:szCs w:val="24"/>
          <w:highlight w:val="none"/>
        </w:rPr>
        <w:t>12.2发包人暂停施工的责任</w:t>
      </w:r>
      <w:bookmarkEnd w:id="745"/>
      <w:bookmarkEnd w:id="746"/>
      <w:bookmarkEnd w:id="747"/>
      <w:bookmarkEnd w:id="748"/>
    </w:p>
    <w:p w14:paraId="5E7D2748">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由于发包人原因引起的暂停施工造成工期延误的，承包人有权要求发包人延长工期和（或）增加费用，并支付合理利润。</w:t>
      </w:r>
    </w:p>
    <w:p w14:paraId="5489B2B4">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749" w:name="_Toc3772"/>
      <w:bookmarkStart w:id="750" w:name="_Toc15395"/>
      <w:bookmarkStart w:id="751" w:name="_Toc4773"/>
      <w:bookmarkStart w:id="752" w:name="_Toc234833048"/>
      <w:r>
        <w:rPr>
          <w:rFonts w:hint="default" w:ascii="Times New Roman" w:hAnsi="Times New Roman" w:eastAsia="黑体" w:cs="Times New Roman"/>
          <w:b w:val="0"/>
          <w:color w:val="auto"/>
          <w:sz w:val="24"/>
          <w:szCs w:val="24"/>
          <w:highlight w:val="none"/>
        </w:rPr>
        <w:t>12.3监理人暂停施工指示</w:t>
      </w:r>
      <w:bookmarkEnd w:id="749"/>
      <w:bookmarkEnd w:id="750"/>
      <w:bookmarkEnd w:id="751"/>
      <w:bookmarkEnd w:id="752"/>
    </w:p>
    <w:p w14:paraId="2997088C">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12.3.1监理人认为有必要时，可向承包人作出暂停施工的指示，承包人应按监理人指示暂停施工。不论由于何种原因引起的暂停施工，暂停施工期间承包人应负责妥善保护工程并提供安全保障。</w:t>
      </w:r>
    </w:p>
    <w:p w14:paraId="27087C36">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12.3.2由于发包人的原因发生暂停施工的紧急情况，且监理人未及时下达暂停施工指示的，承包人可先暂停施工，并及时向监理人提出暂停施工的书面请求。监理人应在接到书面请求后的24小时内予以答复，逾期未答复的，视为同意承包人的暂停施工请求。</w:t>
      </w:r>
    </w:p>
    <w:p w14:paraId="2F818E58">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753" w:name="_Toc234833049"/>
      <w:bookmarkStart w:id="754" w:name="_Toc1869"/>
      <w:bookmarkStart w:id="755" w:name="_Toc16137"/>
      <w:bookmarkStart w:id="756" w:name="_Toc11081"/>
      <w:r>
        <w:rPr>
          <w:rFonts w:hint="default" w:ascii="Times New Roman" w:hAnsi="Times New Roman" w:eastAsia="黑体" w:cs="Times New Roman"/>
          <w:b w:val="0"/>
          <w:color w:val="auto"/>
          <w:sz w:val="24"/>
          <w:szCs w:val="24"/>
          <w:highlight w:val="none"/>
        </w:rPr>
        <w:t>12.4暂停施工后的复工</w:t>
      </w:r>
      <w:bookmarkEnd w:id="753"/>
      <w:bookmarkEnd w:id="754"/>
      <w:bookmarkEnd w:id="755"/>
      <w:bookmarkEnd w:id="756"/>
    </w:p>
    <w:p w14:paraId="7650E21F">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12.4.1暂停施工后，监理人应与发包人和承包人协商，采取有效措施积极消除暂停施工的影响。当工程具备复工条件时，监理人应立即向承包人发出复工通知。承包人收到复工通知后，应在监理人指定的期限内复工。</w:t>
      </w:r>
    </w:p>
    <w:p w14:paraId="78E8EF63">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12.4.2承包人无故拖延和拒绝复工的，由此增加的费用和工期延误由承包人承担；因发包人原因无法按时复工的，承包人有权要求发包人延长工期和（或）增加费用，并支付合理利润。</w:t>
      </w:r>
    </w:p>
    <w:p w14:paraId="4E83983F">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757" w:name="_Toc11816"/>
      <w:bookmarkStart w:id="758" w:name="_Toc12999"/>
      <w:bookmarkStart w:id="759" w:name="_Toc4186"/>
      <w:bookmarkStart w:id="760" w:name="_Toc234833050"/>
      <w:r>
        <w:rPr>
          <w:rFonts w:hint="default" w:ascii="Times New Roman" w:hAnsi="Times New Roman" w:eastAsia="黑体" w:cs="Times New Roman"/>
          <w:b w:val="0"/>
          <w:color w:val="auto"/>
          <w:sz w:val="24"/>
          <w:szCs w:val="24"/>
          <w:highlight w:val="none"/>
        </w:rPr>
        <w:t>12.5暂停施工持续56天以上</w:t>
      </w:r>
      <w:bookmarkEnd w:id="757"/>
      <w:bookmarkEnd w:id="758"/>
      <w:bookmarkEnd w:id="759"/>
      <w:bookmarkEnd w:id="760"/>
    </w:p>
    <w:p w14:paraId="6265A8A0">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12.5.1监理人发出暂停施工指示后56天内未向承包人发出复工通知，除了该项停工属于第12.1款的情况外，承包人可向监理人提交书面通知，要求监理人在收到书面通知后28天内准许已暂停施工的工程或其中一部分工程继续施工。如监理人逾期不予批准，则承包人可以通知监理人，将工程受影响的部分视为按第15.1（1）项的可取消工作。如暂停施工影响到整个工程，可视为发包人违约，应按第22.2款的约定办理。</w:t>
      </w:r>
    </w:p>
    <w:p w14:paraId="52A54E2C">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12.5.2由于承包人责任引起的暂停施工，如承包人在收到监理人暂停施工指示后56天内不认真采取有效的复工措施，造成工期延误，可视为承包人违约，应按第22.1款的约定办理。</w:t>
      </w:r>
    </w:p>
    <w:p w14:paraId="67DC23DB">
      <w:pPr>
        <w:pageBreakBefore w:val="0"/>
        <w:kinsoku/>
        <w:wordWrap w:val="0"/>
        <w:bidi w:val="0"/>
        <w:spacing w:before="480" w:after="240" w:line="380" w:lineRule="atLeast"/>
        <w:outlineLvl w:val="9"/>
        <w:rPr>
          <w:rFonts w:hint="default" w:ascii="Times New Roman" w:hAnsi="Times New Roman" w:eastAsia="黑体" w:cs="Times New Roman"/>
          <w:b w:val="0"/>
          <w:color w:val="auto"/>
          <w:sz w:val="28"/>
          <w:szCs w:val="28"/>
          <w:highlight w:val="none"/>
        </w:rPr>
      </w:pPr>
      <w:bookmarkStart w:id="761" w:name="_Toc234833051"/>
      <w:bookmarkStart w:id="762" w:name="_Toc32763"/>
      <w:bookmarkStart w:id="763" w:name="_Toc7813"/>
      <w:bookmarkStart w:id="764" w:name="_Toc38"/>
      <w:r>
        <w:rPr>
          <w:rFonts w:hint="default" w:ascii="Times New Roman" w:hAnsi="Times New Roman" w:eastAsia="黑体" w:cs="Times New Roman"/>
          <w:b w:val="0"/>
          <w:color w:val="auto"/>
          <w:sz w:val="28"/>
          <w:szCs w:val="28"/>
          <w:highlight w:val="none"/>
        </w:rPr>
        <w:t>13.工程质量</w:t>
      </w:r>
      <w:bookmarkEnd w:id="761"/>
      <w:bookmarkEnd w:id="762"/>
      <w:bookmarkEnd w:id="763"/>
      <w:bookmarkEnd w:id="764"/>
    </w:p>
    <w:p w14:paraId="046958F7">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765" w:name="_Toc9818"/>
      <w:bookmarkStart w:id="766" w:name="_Toc25776"/>
      <w:bookmarkStart w:id="767" w:name="_Toc234833052"/>
      <w:bookmarkStart w:id="768" w:name="_Toc9602"/>
      <w:r>
        <w:rPr>
          <w:rFonts w:hint="default" w:ascii="Times New Roman" w:hAnsi="Times New Roman" w:eastAsia="黑体" w:cs="Times New Roman"/>
          <w:b w:val="0"/>
          <w:color w:val="auto"/>
          <w:sz w:val="24"/>
          <w:szCs w:val="24"/>
          <w:highlight w:val="none"/>
        </w:rPr>
        <w:t>13.1工程质量要求</w:t>
      </w:r>
      <w:bookmarkEnd w:id="765"/>
      <w:bookmarkEnd w:id="766"/>
      <w:bookmarkEnd w:id="767"/>
      <w:bookmarkEnd w:id="768"/>
    </w:p>
    <w:p w14:paraId="50DC2183">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13.1.1工程质量验收按合同约定验收标准执行。</w:t>
      </w:r>
    </w:p>
    <w:p w14:paraId="32096169">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13.1.2因承包人原因造成工程质量达不到合同约定验收标准的，监理人有权要求承包人返工直至符合合同要求为止，由此造成的费用增加和（或）工期延误由承包人承担。</w:t>
      </w:r>
    </w:p>
    <w:p w14:paraId="3091E75B">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13.1.3因发包人原因造成工程质量达不到合同约定验收标准的，发包人应承担由于承包人返工造成的费用增加和（或）工期延误，并支付承包人合理利润。</w:t>
      </w:r>
    </w:p>
    <w:p w14:paraId="4C5E20F6">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769" w:name="_Toc1504"/>
      <w:bookmarkStart w:id="770" w:name="_Toc20391"/>
      <w:bookmarkStart w:id="771" w:name="_Toc234833053"/>
      <w:bookmarkStart w:id="772" w:name="_Toc14900"/>
      <w:r>
        <w:rPr>
          <w:rFonts w:hint="default" w:ascii="Times New Roman" w:hAnsi="Times New Roman" w:eastAsia="黑体" w:cs="Times New Roman"/>
          <w:b w:val="0"/>
          <w:color w:val="auto"/>
          <w:sz w:val="24"/>
          <w:szCs w:val="24"/>
          <w:highlight w:val="none"/>
        </w:rPr>
        <w:t>13.2承包人的质量管理</w:t>
      </w:r>
      <w:bookmarkEnd w:id="769"/>
      <w:bookmarkEnd w:id="770"/>
      <w:bookmarkEnd w:id="771"/>
      <w:bookmarkEnd w:id="772"/>
    </w:p>
    <w:p w14:paraId="0E9203B7">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13.2.1承包人应在施工场地设置专门的质量检查机构，配备专职质量检查人员，建立完善的质量检查制度。承包人应在合同约定的期限内，提交工程质量保证措施文件，包括质量检查机构的组织和岗位责任、质检人员的组成、质量检查程序和实施细则等，报送监理人审批。</w:t>
      </w:r>
    </w:p>
    <w:p w14:paraId="369D6C90">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13.2.2承包人应加强对施工人员的质量教育和技术培训，定期考核施工人员的劳动技能，严格执行规范和操作规程。</w:t>
      </w:r>
    </w:p>
    <w:p w14:paraId="1BD7D857">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773" w:name="_Toc234833054"/>
      <w:bookmarkStart w:id="774" w:name="_Toc23276"/>
      <w:bookmarkStart w:id="775" w:name="_Toc9790"/>
      <w:bookmarkStart w:id="776" w:name="_Toc18930"/>
      <w:r>
        <w:rPr>
          <w:rFonts w:hint="default" w:ascii="Times New Roman" w:hAnsi="Times New Roman" w:eastAsia="黑体" w:cs="Times New Roman"/>
          <w:b w:val="0"/>
          <w:color w:val="auto"/>
          <w:sz w:val="24"/>
          <w:szCs w:val="24"/>
          <w:highlight w:val="none"/>
        </w:rPr>
        <w:t>13.3承包人的质量检查</w:t>
      </w:r>
      <w:bookmarkEnd w:id="773"/>
      <w:bookmarkEnd w:id="774"/>
      <w:bookmarkEnd w:id="775"/>
      <w:bookmarkEnd w:id="776"/>
    </w:p>
    <w:p w14:paraId="368DADD6">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承包人应按合同约定对材料、工程设备以及工程的所有部位及其施工工艺进行全过程的质量检查和检验，并作详细记录，编制工程质量报表，报送监理人审查。</w:t>
      </w:r>
    </w:p>
    <w:p w14:paraId="23041F15">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777" w:name="_Toc14050"/>
      <w:bookmarkStart w:id="778" w:name="_Toc23210"/>
      <w:bookmarkStart w:id="779" w:name="_Toc234833055"/>
      <w:bookmarkStart w:id="780" w:name="_Toc30195"/>
      <w:r>
        <w:rPr>
          <w:rFonts w:hint="default" w:ascii="Times New Roman" w:hAnsi="Times New Roman" w:eastAsia="黑体" w:cs="Times New Roman"/>
          <w:b w:val="0"/>
          <w:color w:val="auto"/>
          <w:sz w:val="24"/>
          <w:szCs w:val="24"/>
          <w:highlight w:val="none"/>
        </w:rPr>
        <w:t>13.4监理人的质量检查</w:t>
      </w:r>
      <w:bookmarkEnd w:id="777"/>
      <w:bookmarkEnd w:id="778"/>
      <w:bookmarkEnd w:id="779"/>
      <w:bookmarkEnd w:id="780"/>
    </w:p>
    <w:p w14:paraId="2C7A8544">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监理人有权对工程的所有部位及其施工工艺、材料和工程设备进行检查和检验。承包人应为监理人的检查和检验提供方便，包括监理人到施工场地，或制造、加工地点，或合同约定的其他地方进行察看和查阅施工原始记录。承包人还应按监理人指示，进行施工场地取样试验、工程复核测量和设备性能检测，提供试验样品、提交试验报告和测量成果以及监理人要求进行的其他工作。监理人的检查和检验，不免除承包人按合同约定应负的责任。</w:t>
      </w:r>
    </w:p>
    <w:p w14:paraId="224002E7">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781" w:name="_Toc21706"/>
      <w:bookmarkStart w:id="782" w:name="_Toc17194"/>
      <w:bookmarkStart w:id="783" w:name="_Toc234833056"/>
      <w:bookmarkStart w:id="784" w:name="_Toc17119"/>
      <w:r>
        <w:rPr>
          <w:rFonts w:hint="default" w:ascii="Times New Roman" w:hAnsi="Times New Roman" w:eastAsia="黑体" w:cs="Times New Roman"/>
          <w:b w:val="0"/>
          <w:color w:val="auto"/>
          <w:sz w:val="24"/>
          <w:szCs w:val="24"/>
          <w:highlight w:val="none"/>
        </w:rPr>
        <w:t>13.5工程隐蔽部位覆盖前的检查</w:t>
      </w:r>
      <w:bookmarkEnd w:id="781"/>
      <w:bookmarkEnd w:id="782"/>
      <w:bookmarkEnd w:id="783"/>
      <w:bookmarkEnd w:id="784"/>
    </w:p>
    <w:p w14:paraId="2987CF3D">
      <w:pPr>
        <w:pageBreakBefore w:val="0"/>
        <w:kinsoku/>
        <w:wordWrap w:val="0"/>
        <w:bidi w:val="0"/>
        <w:spacing w:line="400" w:lineRule="atLeast"/>
        <w:ind w:firstLine="470" w:firstLineChars="196"/>
        <w:outlineLvl w:val="9"/>
        <w:rPr>
          <w:rFonts w:hint="eastAsia" w:ascii="Times New Roman" w:hAnsi="Times New Roman" w:eastAsia="黑体" w:cs="Times New Roman"/>
          <w:color w:val="auto"/>
          <w:sz w:val="24"/>
          <w:highlight w:val="none"/>
          <w:lang w:eastAsia="zh-CN"/>
        </w:rPr>
      </w:pPr>
      <w:r>
        <w:rPr>
          <w:rFonts w:hint="default" w:ascii="Times New Roman" w:hAnsi="Times New Roman" w:cs="Times New Roman"/>
          <w:color w:val="auto"/>
          <w:sz w:val="24"/>
          <w:highlight w:val="none"/>
        </w:rPr>
        <w:t>13.5.1</w:t>
      </w:r>
      <w:r>
        <w:rPr>
          <w:rFonts w:hint="default" w:ascii="Times New Roman" w:hAnsi="Times New Roman" w:eastAsia="黑体" w:cs="Times New Roman"/>
          <w:color w:val="auto"/>
          <w:sz w:val="24"/>
          <w:highlight w:val="none"/>
        </w:rPr>
        <w:t>通知监理人检查</w:t>
      </w:r>
    </w:p>
    <w:p w14:paraId="6FBCBC61">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经承包人自检确认的工程隐蔽部位具备覆盖条件后，承包人应通知监理人在约定的期限内检查。承包人的通知应附有自检记录和必要的检查资料。监理人应按时到场检查。经监理人检查确认质量符合隐蔽要求，并在检查记录上签字后，承包人才能进行覆盖。监理人检查确认质量不合格的，承包人应在监理人指示的时间内修整返工后，由监理人重新检查。</w:t>
      </w:r>
    </w:p>
    <w:p w14:paraId="729771F3">
      <w:pPr>
        <w:pageBreakBefore w:val="0"/>
        <w:kinsoku/>
        <w:wordWrap w:val="0"/>
        <w:bidi w:val="0"/>
        <w:spacing w:line="400" w:lineRule="atLeast"/>
        <w:ind w:firstLine="470" w:firstLineChars="196"/>
        <w:outlineLvl w:val="9"/>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13.5.2</w:t>
      </w:r>
      <w:r>
        <w:rPr>
          <w:rFonts w:hint="default" w:ascii="Times New Roman" w:hAnsi="Times New Roman" w:eastAsia="黑体" w:cs="Times New Roman"/>
          <w:color w:val="auto"/>
          <w:sz w:val="24"/>
          <w:highlight w:val="none"/>
        </w:rPr>
        <w:t>监理人未到场检查</w:t>
      </w:r>
    </w:p>
    <w:p w14:paraId="4C7F07E1">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监理人未按第13.5.1项约定的时间进行检查的，除监理人另有指示外，承包人可自行完成覆盖工作，并作相应记录报送监理人，监理人应签字确认。监理人事后对检查记录有疑问的，可按第13.5.3项的约定重新检查。</w:t>
      </w:r>
    </w:p>
    <w:p w14:paraId="675D978B">
      <w:pPr>
        <w:pageBreakBefore w:val="0"/>
        <w:kinsoku/>
        <w:wordWrap w:val="0"/>
        <w:bidi w:val="0"/>
        <w:spacing w:line="400" w:lineRule="atLeast"/>
        <w:ind w:firstLine="470" w:firstLineChars="196"/>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13.5.3</w:t>
      </w:r>
      <w:r>
        <w:rPr>
          <w:rFonts w:hint="default" w:ascii="Times New Roman" w:hAnsi="Times New Roman" w:eastAsia="黑体" w:cs="Times New Roman"/>
          <w:color w:val="auto"/>
          <w:sz w:val="24"/>
          <w:highlight w:val="none"/>
        </w:rPr>
        <w:t>监理人重新检查</w:t>
      </w:r>
    </w:p>
    <w:p w14:paraId="3C760289">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按第13.5.1项或13.5.2项覆盖工程隐蔽部位后，监理人对质量有疑问的，可要求承包人对已覆盖的部位进行钻孔探测或揭开重新检验，承包人应遵照执行，并在检验后重新覆盖恢复原状。经检验证明工程质量符合合同要求的，由发包人承担由此增加的费用和（或）工期延误，并支付承包人合理利润；经检验证明工程质量不符合合同要求的，由此增加的费用和（或）工期延误由承包人承担。</w:t>
      </w:r>
    </w:p>
    <w:p w14:paraId="588B2462">
      <w:pPr>
        <w:pageBreakBefore w:val="0"/>
        <w:kinsoku/>
        <w:wordWrap w:val="0"/>
        <w:bidi w:val="0"/>
        <w:spacing w:line="400" w:lineRule="atLeast"/>
        <w:ind w:firstLine="470" w:firstLineChars="196"/>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13.5.4</w:t>
      </w:r>
      <w:r>
        <w:rPr>
          <w:rFonts w:hint="default" w:ascii="Times New Roman" w:hAnsi="Times New Roman" w:eastAsia="黑体" w:cs="Times New Roman"/>
          <w:color w:val="auto"/>
          <w:sz w:val="24"/>
          <w:highlight w:val="none"/>
        </w:rPr>
        <w:t>承包人私自覆盖</w:t>
      </w:r>
    </w:p>
    <w:p w14:paraId="0FAEC382">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承包人未通知监理人到场检查，私自将工程隐蔽部位覆盖的，监理人有权指示承包人钻孔探测或揭开检查，由此增加的费用和（或）工期延误由承包人承担。</w:t>
      </w:r>
    </w:p>
    <w:p w14:paraId="7E1154D4">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785" w:name="_Toc29205"/>
      <w:bookmarkStart w:id="786" w:name="_Toc27575"/>
      <w:bookmarkStart w:id="787" w:name="_Toc234833057"/>
      <w:bookmarkStart w:id="788" w:name="_Toc11615"/>
      <w:r>
        <w:rPr>
          <w:rFonts w:hint="default" w:ascii="Times New Roman" w:hAnsi="Times New Roman" w:eastAsia="黑体" w:cs="Times New Roman"/>
          <w:b w:val="0"/>
          <w:color w:val="auto"/>
          <w:sz w:val="24"/>
          <w:szCs w:val="24"/>
          <w:highlight w:val="none"/>
        </w:rPr>
        <w:t>13.6清除不合格工程</w:t>
      </w:r>
      <w:bookmarkEnd w:id="785"/>
      <w:bookmarkEnd w:id="786"/>
      <w:bookmarkEnd w:id="787"/>
      <w:bookmarkEnd w:id="788"/>
    </w:p>
    <w:p w14:paraId="78DC7E30">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13.6.1承包人使用不合格材料、工程设备，或采用不适当的施工工艺，或施工不当，造成工程不合格的，监理人可以随时发出指示，要求承包人立即采取措施进行补救，直至达到合同要求的质量标准，由此增加的费用和（或）工期延误由承包人承担。</w:t>
      </w:r>
    </w:p>
    <w:p w14:paraId="49D4898C">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13.6.2由于发包人提供的材料或工程设备不合格造成的工程不合格，需要承包人采取措施补救的，发包人应承担由此增加的费用和（或）工期延误，并支付承包人合理利润。</w:t>
      </w:r>
    </w:p>
    <w:p w14:paraId="30D743D2">
      <w:pPr>
        <w:pageBreakBefore w:val="0"/>
        <w:kinsoku/>
        <w:wordWrap w:val="0"/>
        <w:bidi w:val="0"/>
        <w:spacing w:before="480" w:after="240" w:line="380" w:lineRule="atLeast"/>
        <w:outlineLvl w:val="9"/>
        <w:rPr>
          <w:rFonts w:hint="default" w:ascii="Times New Roman" w:hAnsi="Times New Roman" w:eastAsia="黑体" w:cs="Times New Roman"/>
          <w:b w:val="0"/>
          <w:color w:val="auto"/>
          <w:sz w:val="28"/>
          <w:szCs w:val="28"/>
          <w:highlight w:val="none"/>
        </w:rPr>
      </w:pPr>
      <w:bookmarkStart w:id="789" w:name="_Toc16816"/>
      <w:bookmarkStart w:id="790" w:name="_Toc17780"/>
      <w:bookmarkStart w:id="791" w:name="_Toc234833058"/>
      <w:bookmarkStart w:id="792" w:name="_Toc26772"/>
      <w:r>
        <w:rPr>
          <w:rFonts w:hint="default" w:ascii="Times New Roman" w:hAnsi="Times New Roman" w:eastAsia="黑体" w:cs="Times New Roman"/>
          <w:b w:val="0"/>
          <w:color w:val="auto"/>
          <w:sz w:val="28"/>
          <w:szCs w:val="28"/>
          <w:highlight w:val="none"/>
        </w:rPr>
        <w:t>14.试验和检验</w:t>
      </w:r>
      <w:bookmarkEnd w:id="789"/>
      <w:bookmarkEnd w:id="790"/>
      <w:bookmarkEnd w:id="791"/>
      <w:bookmarkEnd w:id="792"/>
    </w:p>
    <w:p w14:paraId="079BEB2A">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793" w:name="_Toc7572"/>
      <w:bookmarkStart w:id="794" w:name="_Toc23212"/>
      <w:bookmarkStart w:id="795" w:name="_Toc234833059"/>
      <w:bookmarkStart w:id="796" w:name="_Toc19299"/>
      <w:r>
        <w:rPr>
          <w:rFonts w:hint="default" w:ascii="Times New Roman" w:hAnsi="Times New Roman" w:eastAsia="黑体" w:cs="Times New Roman"/>
          <w:b w:val="0"/>
          <w:color w:val="auto"/>
          <w:sz w:val="24"/>
          <w:szCs w:val="24"/>
          <w:highlight w:val="none"/>
        </w:rPr>
        <w:t>14.1材料、工程设备和工程的试验和检验</w:t>
      </w:r>
      <w:bookmarkEnd w:id="793"/>
      <w:bookmarkEnd w:id="794"/>
      <w:bookmarkEnd w:id="795"/>
      <w:bookmarkEnd w:id="796"/>
    </w:p>
    <w:p w14:paraId="64173746">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14.1.1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28135231">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14.1.2监理人未按合同约定派员参加试验和检验的，除监理人另有指示外，承包人可自行试验和检验，并应立即将试验和检验结果报送监理人，监理人应签字确认。</w:t>
      </w:r>
    </w:p>
    <w:p w14:paraId="30834072">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14.1.3监理人对承包人的试验和检验结果有疑问的，或为查清承包人试验和检验成果的可靠性要求承包人重新试验和检验的，可按合同约定由监理人与承包人共同进行。重新试验和检验的结果证明该项材料、工程设备或工程的质量不符合合同要求的，由此增加的费用和（或）工期延误由承包人承担；重新试验和检验结果证明该项材料、工程设备和工程符合合同要求，由发包人承担由此增加的费用和（或）工期延误，并支付承包人合理利润。</w:t>
      </w:r>
    </w:p>
    <w:p w14:paraId="2F040AD8">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797" w:name="_Toc9789"/>
      <w:bookmarkStart w:id="798" w:name="_Toc4179"/>
      <w:bookmarkStart w:id="799" w:name="_Toc9643"/>
      <w:bookmarkStart w:id="800" w:name="_Toc234833060"/>
      <w:r>
        <w:rPr>
          <w:rFonts w:hint="default" w:ascii="Times New Roman" w:hAnsi="Times New Roman" w:eastAsia="黑体" w:cs="Times New Roman"/>
          <w:b w:val="0"/>
          <w:color w:val="auto"/>
          <w:sz w:val="24"/>
          <w:szCs w:val="24"/>
          <w:highlight w:val="none"/>
        </w:rPr>
        <w:t>14.2现场材料试验</w:t>
      </w:r>
      <w:bookmarkEnd w:id="797"/>
      <w:bookmarkEnd w:id="798"/>
      <w:bookmarkEnd w:id="799"/>
      <w:bookmarkEnd w:id="800"/>
    </w:p>
    <w:p w14:paraId="5457342B">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14.2.1承包人根据合同约定或监理人指示进行的现场材料试验，应由承包人提供试验场所、试验人员、试验设备器材以及其他必要的试验条件。</w:t>
      </w:r>
    </w:p>
    <w:p w14:paraId="0741100A">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14.2.2监理人在必要时可以使用承包人的试验场所、试验设备器材以及其他试验条件，进行以工程质量检查为目的的复核性材料试验，承包人应予以协助。</w:t>
      </w:r>
    </w:p>
    <w:p w14:paraId="54F513DD">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801" w:name="_Toc19643"/>
      <w:bookmarkStart w:id="802" w:name="_Toc31625"/>
      <w:bookmarkStart w:id="803" w:name="_Toc234833061"/>
      <w:bookmarkStart w:id="804" w:name="_Toc505"/>
      <w:r>
        <w:rPr>
          <w:rFonts w:hint="default" w:ascii="Times New Roman" w:hAnsi="Times New Roman" w:eastAsia="黑体" w:cs="Times New Roman"/>
          <w:b w:val="0"/>
          <w:color w:val="auto"/>
          <w:sz w:val="24"/>
          <w:szCs w:val="24"/>
          <w:highlight w:val="none"/>
        </w:rPr>
        <w:t>14.3现场工艺试验</w:t>
      </w:r>
      <w:bookmarkEnd w:id="801"/>
      <w:bookmarkEnd w:id="802"/>
      <w:bookmarkEnd w:id="803"/>
      <w:bookmarkEnd w:id="804"/>
    </w:p>
    <w:p w14:paraId="01C6BD8E">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承包人应按合同约定或监理人指示进行现场工艺试验。对大型的现场工艺试验，监理人认为必要时，应由承包人根据监理人提出的工艺试验要求，编制工艺试验措施计划，报送监理人审批。</w:t>
      </w:r>
    </w:p>
    <w:p w14:paraId="0D0FB83F">
      <w:pPr>
        <w:pageBreakBefore w:val="0"/>
        <w:kinsoku/>
        <w:wordWrap w:val="0"/>
        <w:bidi w:val="0"/>
        <w:spacing w:before="480" w:after="240" w:line="380" w:lineRule="atLeast"/>
        <w:outlineLvl w:val="9"/>
        <w:rPr>
          <w:rFonts w:hint="default" w:ascii="Times New Roman" w:hAnsi="Times New Roman" w:eastAsia="黑体" w:cs="Times New Roman"/>
          <w:b w:val="0"/>
          <w:color w:val="auto"/>
          <w:sz w:val="28"/>
          <w:szCs w:val="28"/>
          <w:highlight w:val="none"/>
        </w:rPr>
      </w:pPr>
      <w:bookmarkStart w:id="805" w:name="_Toc1929"/>
      <w:bookmarkStart w:id="806" w:name="_Toc234833062"/>
      <w:bookmarkStart w:id="807" w:name="_Toc17742"/>
      <w:bookmarkStart w:id="808" w:name="_Toc28048"/>
      <w:r>
        <w:rPr>
          <w:rFonts w:hint="default" w:ascii="Times New Roman" w:hAnsi="Times New Roman" w:eastAsia="黑体" w:cs="Times New Roman"/>
          <w:b w:val="0"/>
          <w:color w:val="auto"/>
          <w:sz w:val="28"/>
          <w:szCs w:val="28"/>
          <w:highlight w:val="none"/>
        </w:rPr>
        <w:t>15.变更</w:t>
      </w:r>
      <w:bookmarkEnd w:id="805"/>
      <w:bookmarkEnd w:id="806"/>
      <w:bookmarkEnd w:id="807"/>
      <w:bookmarkEnd w:id="808"/>
    </w:p>
    <w:p w14:paraId="4EB93374">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809" w:name="_Toc234833063"/>
      <w:bookmarkStart w:id="810" w:name="_Toc20123"/>
      <w:bookmarkStart w:id="811" w:name="_Toc4605"/>
      <w:bookmarkStart w:id="812" w:name="_Toc30228"/>
      <w:r>
        <w:rPr>
          <w:rFonts w:hint="default" w:ascii="Times New Roman" w:hAnsi="Times New Roman" w:eastAsia="黑体" w:cs="Times New Roman"/>
          <w:b w:val="0"/>
          <w:color w:val="auto"/>
          <w:sz w:val="24"/>
          <w:szCs w:val="24"/>
          <w:highlight w:val="none"/>
        </w:rPr>
        <w:t>15.1变更的范围和内容</w:t>
      </w:r>
      <w:bookmarkEnd w:id="809"/>
      <w:bookmarkEnd w:id="810"/>
      <w:bookmarkEnd w:id="811"/>
      <w:bookmarkEnd w:id="812"/>
    </w:p>
    <w:p w14:paraId="72CBB651">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除专用合同条款另有约定外，在履行合同中发生以下情形之一，应按照本条规定进行变更。</w:t>
      </w:r>
    </w:p>
    <w:p w14:paraId="41C0FDB2">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（1）取消合同中任何一项工作，但被取消的工作不能转由发包人或其他人实施；</w:t>
      </w:r>
    </w:p>
    <w:p w14:paraId="6333C6A4">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（2）改变合同中任何一项工作的质量或其他特性；</w:t>
      </w:r>
    </w:p>
    <w:p w14:paraId="780E2F4C">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（3）改变合同工程的基线、标高、位置或尺寸；</w:t>
      </w:r>
    </w:p>
    <w:p w14:paraId="0C071793">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（4）改变合同中任何一项工作的施工时间或改变已批准的施工工艺或顺序；</w:t>
      </w:r>
    </w:p>
    <w:p w14:paraId="590431A3">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（5）为完成工程需要追加的额外工作。</w:t>
      </w:r>
    </w:p>
    <w:p w14:paraId="65F27BAB">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813" w:name="_Toc24888"/>
      <w:bookmarkStart w:id="814" w:name="_Toc234833064"/>
      <w:bookmarkStart w:id="815" w:name="_Toc8053"/>
      <w:bookmarkStart w:id="816" w:name="_Toc10482"/>
      <w:r>
        <w:rPr>
          <w:rFonts w:hint="default" w:ascii="Times New Roman" w:hAnsi="Times New Roman" w:eastAsia="黑体" w:cs="Times New Roman"/>
          <w:b w:val="0"/>
          <w:color w:val="auto"/>
          <w:sz w:val="24"/>
          <w:szCs w:val="24"/>
          <w:highlight w:val="none"/>
        </w:rPr>
        <w:t>15.2变更权</w:t>
      </w:r>
      <w:bookmarkEnd w:id="813"/>
      <w:bookmarkEnd w:id="814"/>
      <w:bookmarkEnd w:id="815"/>
      <w:bookmarkEnd w:id="816"/>
    </w:p>
    <w:p w14:paraId="12E04B7E">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在履行合同过程中，经发包人同意，监理人可按第15.3款约定的变更程序向承包人作出变更指示，承包人应遵照执行。没有监理人的变更指示，承包人不得擅自变更。</w:t>
      </w:r>
    </w:p>
    <w:p w14:paraId="3ABA7E98">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817" w:name="_Toc12919"/>
      <w:bookmarkStart w:id="818" w:name="_Toc29346"/>
      <w:bookmarkStart w:id="819" w:name="_Toc234833065"/>
      <w:bookmarkStart w:id="820" w:name="_Toc2613"/>
      <w:r>
        <w:rPr>
          <w:rFonts w:hint="default" w:ascii="Times New Roman" w:hAnsi="Times New Roman" w:eastAsia="黑体" w:cs="Times New Roman"/>
          <w:b w:val="0"/>
          <w:color w:val="auto"/>
          <w:sz w:val="24"/>
          <w:szCs w:val="24"/>
          <w:highlight w:val="none"/>
        </w:rPr>
        <w:t>15.3变更程序</w:t>
      </w:r>
      <w:bookmarkEnd w:id="817"/>
      <w:bookmarkEnd w:id="818"/>
      <w:bookmarkEnd w:id="819"/>
      <w:bookmarkEnd w:id="820"/>
    </w:p>
    <w:p w14:paraId="63AF3751">
      <w:pPr>
        <w:pageBreakBefore w:val="0"/>
        <w:kinsoku/>
        <w:wordWrap w:val="0"/>
        <w:bidi w:val="0"/>
        <w:spacing w:line="400" w:lineRule="atLeast"/>
        <w:ind w:firstLine="470" w:firstLineChars="196"/>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15.3.1</w:t>
      </w:r>
      <w:r>
        <w:rPr>
          <w:rFonts w:hint="default" w:ascii="Times New Roman" w:hAnsi="Times New Roman" w:eastAsia="黑体" w:cs="Times New Roman"/>
          <w:color w:val="auto"/>
          <w:sz w:val="24"/>
          <w:highlight w:val="none"/>
        </w:rPr>
        <w:t>变更的提出</w:t>
      </w:r>
    </w:p>
    <w:p w14:paraId="74F720CB">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在合同履行过程中，可能发生第15.1款约定情形的，监理人可向承包人发出变更意向书。变更意向书应说明变更的具体内容和发包人对变更的时间要求，并附必要的图纸和相关资料。变更意向书应要求承包人提交包括拟实施变更工作的计划、措施和竣工时间等内容的实施方案。发包人同意承包人根据变更意向书要求提交的变更实施方案的，由监理人按第15.3.3项约定发出变更指示。</w:t>
      </w:r>
    </w:p>
    <w:p w14:paraId="2DEEC372">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（2）在合同履行过程中，发生第15.1款约定情形的，监理人应按照第15.3.3项约定向承包人发出变更指示。</w:t>
      </w:r>
    </w:p>
    <w:p w14:paraId="3656BAA3">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承包人收到监理人按合同约定发出的图纸和文件，经检查认为其中存在第15.1款约定情形的，可向监理人提出书面变更建议。变更建议应阐明要求变更的依据，并附必要的图纸和说明。监理人收到承包人书面建议后，应与发包人共同研究，确认存在变更的，应在收到承包人书面建议后的14天内作出变更指示。经研究后不同意作为变更的，应由监理人书面答复承包人。</w:t>
      </w:r>
    </w:p>
    <w:p w14:paraId="62195999">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（4）若承包人收到监理人的变更意向书后认为难以实施此项变更，应立即通知监理人，说明原因并附详细依据。监理人与承包人和发包人协商后确定撤销、改变或不改变原变更意向书。</w:t>
      </w:r>
    </w:p>
    <w:p w14:paraId="0587EAE3">
      <w:pPr>
        <w:pageBreakBefore w:val="0"/>
        <w:kinsoku/>
        <w:wordWrap w:val="0"/>
        <w:bidi w:val="0"/>
        <w:spacing w:line="400" w:lineRule="atLeast"/>
        <w:ind w:firstLine="470" w:firstLineChars="196"/>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15.3.2</w:t>
      </w:r>
      <w:r>
        <w:rPr>
          <w:rFonts w:hint="default" w:ascii="Times New Roman" w:hAnsi="Times New Roman" w:eastAsia="黑体" w:cs="Times New Roman"/>
          <w:color w:val="auto"/>
          <w:sz w:val="24"/>
          <w:highlight w:val="none"/>
        </w:rPr>
        <w:t>变更估价</w:t>
      </w:r>
    </w:p>
    <w:p w14:paraId="7AED4535">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除专用合同条款对期限另有约定外，承包人应在收到变更指示或变更意向书后的14天内，向监理人提交变更报价书，报价内容应根据第15.4款约定的估价原则，详细开列变更工作的价格组成及其依据，并附必要的施工方法说明和有关图纸。</w:t>
      </w:r>
    </w:p>
    <w:p w14:paraId="5D3B3A22">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（2）变更工作影响工期的，承包人应提出调整工期的具体细节。监理人认为有必要时，可要求承包人提交要求提前或延长工期的施工进度计划及相应施工措施等详细资料。</w:t>
      </w:r>
    </w:p>
    <w:p w14:paraId="1EBA5FBB">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（3）除专用合同条款对期限另有约定外，监理人收到承包人变更报价书后的14天内，根据第15.4款约定的估价原则，按照第3.5款商定或确定变更价格。</w:t>
      </w:r>
    </w:p>
    <w:p w14:paraId="2E47263A">
      <w:pPr>
        <w:pageBreakBefore w:val="0"/>
        <w:kinsoku/>
        <w:wordWrap w:val="0"/>
        <w:bidi w:val="0"/>
        <w:spacing w:line="400" w:lineRule="atLeast"/>
        <w:ind w:firstLine="470" w:firstLineChars="196"/>
        <w:outlineLvl w:val="9"/>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15.3.3</w:t>
      </w:r>
      <w:r>
        <w:rPr>
          <w:rFonts w:hint="default" w:ascii="Times New Roman" w:hAnsi="Times New Roman" w:eastAsia="黑体" w:cs="Times New Roman"/>
          <w:color w:val="auto"/>
          <w:sz w:val="24"/>
          <w:highlight w:val="none"/>
        </w:rPr>
        <w:t>变更指示</w:t>
      </w:r>
    </w:p>
    <w:p w14:paraId="201B110E">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（1）变更指示只能由监理人发出。</w:t>
      </w:r>
    </w:p>
    <w:p w14:paraId="2D695F6D">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（2）变更指示应说明变更的目的、范围、变更内容以及变更的工程量及其进度和技术要求，并附有关图纸和文件。承包人收到变更指示后，应按变更指示进行变更工作。</w:t>
      </w:r>
    </w:p>
    <w:p w14:paraId="4F5CD9DD">
      <w:pPr>
        <w:pageBreakBefore w:val="0"/>
        <w:kinsoku/>
        <w:wordWrap w:val="0"/>
        <w:bidi w:val="0"/>
        <w:spacing w:before="240" w:after="240" w:line="380" w:lineRule="atLeast"/>
        <w:outlineLvl w:val="9"/>
        <w:rPr>
          <w:rFonts w:hint="eastAsia" w:ascii="Times New Roman" w:hAnsi="Times New Roman" w:eastAsia="黑体" w:cs="Times New Roman"/>
          <w:b w:val="0"/>
          <w:color w:val="auto"/>
          <w:sz w:val="24"/>
          <w:szCs w:val="24"/>
          <w:highlight w:val="none"/>
          <w:lang w:eastAsia="zh-CN"/>
        </w:rPr>
      </w:pPr>
      <w:bookmarkStart w:id="821" w:name="_Toc21464"/>
      <w:bookmarkStart w:id="822" w:name="_Toc734"/>
      <w:bookmarkStart w:id="823" w:name="_Toc25571"/>
      <w:bookmarkStart w:id="824" w:name="_Toc234833066"/>
      <w:r>
        <w:rPr>
          <w:rFonts w:hint="default" w:ascii="Times New Roman" w:hAnsi="Times New Roman" w:eastAsia="黑体" w:cs="Times New Roman"/>
          <w:b w:val="0"/>
          <w:color w:val="auto"/>
          <w:sz w:val="24"/>
          <w:szCs w:val="24"/>
          <w:highlight w:val="none"/>
        </w:rPr>
        <w:t>15.4变更的估价原则</w:t>
      </w:r>
      <w:bookmarkEnd w:id="821"/>
      <w:bookmarkEnd w:id="822"/>
      <w:bookmarkEnd w:id="823"/>
      <w:bookmarkEnd w:id="824"/>
    </w:p>
    <w:p w14:paraId="5B96D3AA">
      <w:pPr>
        <w:pageBreakBefore w:val="0"/>
        <w:kinsoku/>
        <w:wordWrap w:val="0"/>
        <w:bidi w:val="0"/>
        <w:spacing w:line="400" w:lineRule="atLeast"/>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除专用合同条款另有约定外，因变更引起的价格调整按照本款约定处理。</w:t>
      </w:r>
    </w:p>
    <w:p w14:paraId="75D073EE">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15.4.1已标价工程量清单中有适用于变更工作的子目的，采用该子目的单价。</w:t>
      </w:r>
    </w:p>
    <w:p w14:paraId="7CE41619">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15.4.2已标价工程量清单中无适用于变更工作的子目，但有类似子目的，可在合理范围内参照类似子目的单价，由监理人按第3.5款商定或确定变更工作的单价。</w:t>
      </w:r>
    </w:p>
    <w:p w14:paraId="72FBB145">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15.4.3已标价工程量清单中无适用或类似子目的单价，可按照成本加利润的原则，由监理人按第3.5款商定或确定变更工作的单价。</w:t>
      </w:r>
    </w:p>
    <w:p w14:paraId="71DD059F">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825" w:name="_Toc20188"/>
      <w:bookmarkStart w:id="826" w:name="_Toc5615"/>
      <w:bookmarkStart w:id="827" w:name="_Toc234833067"/>
      <w:bookmarkStart w:id="828" w:name="_Toc25619"/>
      <w:r>
        <w:rPr>
          <w:rFonts w:hint="default" w:ascii="Times New Roman" w:hAnsi="Times New Roman" w:eastAsia="黑体" w:cs="Times New Roman"/>
          <w:b w:val="0"/>
          <w:color w:val="auto"/>
          <w:sz w:val="24"/>
          <w:szCs w:val="24"/>
          <w:highlight w:val="none"/>
        </w:rPr>
        <w:t>15.5承包人的合理化建议</w:t>
      </w:r>
      <w:bookmarkEnd w:id="825"/>
      <w:bookmarkEnd w:id="826"/>
      <w:bookmarkEnd w:id="827"/>
      <w:bookmarkEnd w:id="828"/>
    </w:p>
    <w:p w14:paraId="7CA9AC07">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15.5.1在履行合同过程中，承包人对发包人提供的图纸、技术要求以及其他方面提出的合理化建议，均应以书面形式提交监理人。合理化建议书的内容应包括建议工作的详细说明、进度计划和效益以及与其他工作的协调等，并附必要的设计文件。监理人应与发包人协商是否采纳建议。建议被采纳并构成变更的，应按第15.3.3项约定向承包人发出变更指示。</w:t>
      </w:r>
    </w:p>
    <w:p w14:paraId="3C156493">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15.5.2承包人提出的合理化建议降低了合同价格、缩短了工期或者提高了工程经济效益的，发包人可按国家有关规定在专用合同条款中约定给予奖励。</w:t>
      </w:r>
    </w:p>
    <w:p w14:paraId="7FE7C825">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829" w:name="_Toc15655"/>
      <w:bookmarkStart w:id="830" w:name="_Toc32232"/>
      <w:bookmarkStart w:id="831" w:name="_Toc1051"/>
      <w:bookmarkStart w:id="832" w:name="_Toc234833068"/>
      <w:r>
        <w:rPr>
          <w:rFonts w:hint="default" w:ascii="Times New Roman" w:hAnsi="Times New Roman" w:eastAsia="黑体" w:cs="Times New Roman"/>
          <w:b w:val="0"/>
          <w:color w:val="auto"/>
          <w:sz w:val="24"/>
          <w:szCs w:val="24"/>
          <w:highlight w:val="none"/>
        </w:rPr>
        <w:t>15.6暂列金额</w:t>
      </w:r>
      <w:bookmarkEnd w:id="829"/>
      <w:bookmarkEnd w:id="830"/>
      <w:bookmarkEnd w:id="831"/>
      <w:bookmarkEnd w:id="832"/>
    </w:p>
    <w:p w14:paraId="47AE6EFD">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暂列金额只能按照监理人的指示使用，并对合同价格进行相应调整。</w:t>
      </w:r>
    </w:p>
    <w:p w14:paraId="1CED6E2A">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833" w:name="_Toc10060"/>
      <w:bookmarkStart w:id="834" w:name="_Toc234833069"/>
      <w:bookmarkStart w:id="835" w:name="_Toc4406"/>
      <w:bookmarkStart w:id="836" w:name="_Toc25732"/>
      <w:r>
        <w:rPr>
          <w:rFonts w:hint="default" w:ascii="Times New Roman" w:hAnsi="Times New Roman" w:eastAsia="黑体" w:cs="Times New Roman"/>
          <w:b w:val="0"/>
          <w:color w:val="auto"/>
          <w:sz w:val="24"/>
          <w:szCs w:val="24"/>
          <w:highlight w:val="none"/>
        </w:rPr>
        <w:t>15.7计日工</w:t>
      </w:r>
      <w:bookmarkEnd w:id="833"/>
      <w:bookmarkEnd w:id="834"/>
      <w:bookmarkEnd w:id="835"/>
      <w:bookmarkEnd w:id="836"/>
    </w:p>
    <w:p w14:paraId="57E98D7F">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15.7.1发包人认为有必要时，由监理人通知承包人以计日工方式实施变更的零星工作。其价款按列入已标价工程量清单中的计日工计价子目及其单价进行计算。</w:t>
      </w:r>
    </w:p>
    <w:p w14:paraId="68B56A1B">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15.7.2采用计日工计价的任何一项变更工作，应从暂列金额中支付，承包人应在该项变更的实施过程中，每天提交以下报表和有关凭证报送监理人审批：</w:t>
      </w:r>
    </w:p>
    <w:p w14:paraId="5BE73C76">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（1）工作名称、内容和数量；</w:t>
      </w:r>
    </w:p>
    <w:p w14:paraId="6DEC9835">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（2）投入该工作所有人员的姓名、工种、级别和耗用工时；</w:t>
      </w:r>
    </w:p>
    <w:p w14:paraId="318F9FA9">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（3）投入该工作的材料类别和数量；</w:t>
      </w:r>
    </w:p>
    <w:p w14:paraId="55D58AB0">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（4）投入该工作的施工设备型号、台数和耗用台时；</w:t>
      </w:r>
    </w:p>
    <w:p w14:paraId="117DC941">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（5）监理人要求提交的其他资料和凭证。</w:t>
      </w:r>
    </w:p>
    <w:p w14:paraId="4CFD27A6">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15.7.3计日工由承包人汇总后，按第17.3.2项的约定列入进度付款申请单，由监理人复核并经发包人同意后列入进度付款。</w:t>
      </w:r>
    </w:p>
    <w:p w14:paraId="33015127">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837" w:name="_Toc17561"/>
      <w:bookmarkStart w:id="838" w:name="_Toc7315"/>
      <w:bookmarkStart w:id="839" w:name="_Toc13261"/>
      <w:bookmarkStart w:id="840" w:name="_Toc234833070"/>
      <w:r>
        <w:rPr>
          <w:rFonts w:hint="default" w:ascii="Times New Roman" w:hAnsi="Times New Roman" w:eastAsia="黑体" w:cs="Times New Roman"/>
          <w:b w:val="0"/>
          <w:color w:val="auto"/>
          <w:sz w:val="24"/>
          <w:szCs w:val="24"/>
          <w:highlight w:val="none"/>
        </w:rPr>
        <w:t>15.8暂估价</w:t>
      </w:r>
      <w:bookmarkEnd w:id="837"/>
      <w:bookmarkEnd w:id="838"/>
      <w:bookmarkEnd w:id="839"/>
      <w:bookmarkEnd w:id="840"/>
    </w:p>
    <w:p w14:paraId="45607CE2">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15.8.1发包人在工程量清单中给定暂估价的材料、工程设备和专业工程属于依法必须招标的范围并达到规定的规模标准的，由发包人和承包人以招标的方式选择供应商或分包人。发包人和承包人的权利义务关系在专用合同条款中约定。中标金额与工程量清单中所列的暂估价的金额差以及相应的税金等其他费用列入合同价格。</w:t>
      </w:r>
    </w:p>
    <w:p w14:paraId="67A1D341">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15.8.2发包人在工程量清单中给定暂估价的材料和工程设备不属于依法必须招标的范围或未达到规定的规模标准的，应由承包人按第5.1款的约定提供。经监理人确认的材料、工程设备的价格与工程量清单中所列的暂估价的金额差以及相应的税金等其他费用列入合同价格。</w:t>
      </w:r>
    </w:p>
    <w:p w14:paraId="1F46813A">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15.8.3发包人在工程量清单中给定暂估价的专业工程不属于依法必须招标的范围或未达到规定的规模标准的，由监理人按照第15.4款进行估价，但专用合同条款另有约定的除外。经估价的专业工程与工程量清单中所列的暂估价的金额差以及相应的税金等其他费用列入合同价格。</w:t>
      </w:r>
    </w:p>
    <w:p w14:paraId="684FA4E4">
      <w:pPr>
        <w:pageBreakBefore w:val="0"/>
        <w:kinsoku/>
        <w:wordWrap w:val="0"/>
        <w:bidi w:val="0"/>
        <w:spacing w:before="480" w:after="240" w:line="380" w:lineRule="atLeast"/>
        <w:outlineLvl w:val="9"/>
        <w:rPr>
          <w:rFonts w:hint="default" w:ascii="Times New Roman" w:hAnsi="Times New Roman" w:eastAsia="黑体" w:cs="Times New Roman"/>
          <w:b w:val="0"/>
          <w:color w:val="auto"/>
          <w:sz w:val="28"/>
          <w:szCs w:val="28"/>
          <w:highlight w:val="none"/>
        </w:rPr>
      </w:pPr>
      <w:bookmarkStart w:id="841" w:name="_Toc15345"/>
      <w:bookmarkStart w:id="842" w:name="_Toc22564"/>
      <w:bookmarkStart w:id="843" w:name="_Toc234833071"/>
      <w:bookmarkStart w:id="844" w:name="_Toc10500"/>
      <w:r>
        <w:rPr>
          <w:rFonts w:hint="default" w:ascii="Times New Roman" w:hAnsi="Times New Roman" w:eastAsia="黑体" w:cs="Times New Roman"/>
          <w:b w:val="0"/>
          <w:color w:val="auto"/>
          <w:sz w:val="28"/>
          <w:szCs w:val="28"/>
          <w:highlight w:val="none"/>
        </w:rPr>
        <w:t>16.价格调整</w:t>
      </w:r>
      <w:bookmarkEnd w:id="841"/>
      <w:bookmarkEnd w:id="842"/>
      <w:bookmarkEnd w:id="843"/>
      <w:bookmarkEnd w:id="844"/>
    </w:p>
    <w:p w14:paraId="45D267BE">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845" w:name="_Toc29053"/>
      <w:bookmarkStart w:id="846" w:name="_Toc892"/>
      <w:bookmarkStart w:id="847" w:name="_Toc234833072"/>
      <w:bookmarkStart w:id="848" w:name="_Toc28582"/>
      <w:bookmarkStart w:id="849" w:name="_Toc5119"/>
      <w:bookmarkStart w:id="850" w:name="_Toc6207"/>
      <w:bookmarkStart w:id="851" w:name="_Toc234833074"/>
      <w:bookmarkStart w:id="852" w:name="_Toc2237"/>
      <w:bookmarkStart w:id="853" w:name="_Toc32220"/>
      <w:r>
        <w:rPr>
          <w:rFonts w:hint="default" w:ascii="Times New Roman" w:hAnsi="Times New Roman" w:eastAsia="黑体" w:cs="Times New Roman"/>
          <w:b w:val="0"/>
          <w:color w:val="auto"/>
          <w:sz w:val="24"/>
          <w:szCs w:val="24"/>
          <w:highlight w:val="none"/>
        </w:rPr>
        <w:t>16.1 物价波动引起的价格调整</w:t>
      </w:r>
      <w:bookmarkEnd w:id="845"/>
      <w:bookmarkEnd w:id="846"/>
      <w:bookmarkEnd w:id="847"/>
      <w:bookmarkEnd w:id="848"/>
      <w:bookmarkEnd w:id="849"/>
    </w:p>
    <w:p w14:paraId="49B3AA9B">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除专用合同条款另有约定外，因物价波动引起的价格调整按照本款约定处理。</w:t>
      </w:r>
    </w:p>
    <w:p w14:paraId="2B8FE5F0">
      <w:pPr>
        <w:pageBreakBefore w:val="0"/>
        <w:kinsoku/>
        <w:wordWrap w:val="0"/>
        <w:bidi w:val="0"/>
        <w:spacing w:line="400" w:lineRule="atLeast"/>
        <w:ind w:firstLine="470" w:firstLineChars="196"/>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 xml:space="preserve">16.1.1 </w:t>
      </w:r>
      <w:r>
        <w:rPr>
          <w:rFonts w:hint="default" w:ascii="Times New Roman" w:hAnsi="Times New Roman" w:eastAsia="黑体" w:cs="Times New Roman"/>
          <w:color w:val="auto"/>
          <w:sz w:val="24"/>
          <w:highlight w:val="none"/>
        </w:rPr>
        <w:t>采用价格指数调整价格差额</w:t>
      </w:r>
    </w:p>
    <w:p w14:paraId="5FBB0D31">
      <w:pPr>
        <w:pageBreakBefore w:val="0"/>
        <w:kinsoku/>
        <w:wordWrap w:val="0"/>
        <w:bidi w:val="0"/>
        <w:spacing w:line="400" w:lineRule="atLeast"/>
        <w:ind w:firstLine="470" w:firstLineChars="196"/>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16.1.1.1 价格调整公式</w:t>
      </w:r>
    </w:p>
    <w:p w14:paraId="62209ACE">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因人工、材料和设备等价格波动影响合同价格时，根据投标函附录中的价格指数和权重表约定的数据，按以下公式计算差额并调整合同价格：</w:t>
      </w:r>
    </w:p>
    <w:p w14:paraId="44C5B6C5">
      <w:pPr>
        <w:pageBreakBefore w:val="0"/>
        <w:kinsoku/>
        <w:wordWrap w:val="0"/>
        <w:autoSpaceDE w:val="0"/>
        <w:autoSpaceDN w:val="0"/>
        <w:bidi w:val="0"/>
        <w:adjustRightInd w:val="0"/>
        <w:spacing w:line="400" w:lineRule="atLeast"/>
        <w:ind w:right="249"/>
        <w:jc w:val="center"/>
        <w:rPr>
          <w:rFonts w:hint="default" w:ascii="Times New Roman" w:hAnsi="Times New Roman" w:cs="Times New Roman"/>
          <w:b/>
          <w:color w:val="auto"/>
          <w:sz w:val="24"/>
          <w:highlight w:val="none"/>
        </w:rPr>
      </w:pPr>
      <w:r>
        <w:rPr>
          <w:rFonts w:hint="default" w:ascii="Times New Roman" w:hAnsi="Times New Roman" w:cs="Times New Roman"/>
          <w:b/>
          <w:bCs/>
          <w:color w:val="auto"/>
          <w:kern w:val="0"/>
          <w:position w:val="-34"/>
          <w:sz w:val="24"/>
          <w:highlight w:val="none"/>
          <w:lang w:val="zh-CN"/>
        </w:rPr>
        <w:object>
          <v:shape id="_x0000_i1025" o:spt="75" type="#_x0000_t75" style="height:50.35pt;width:363.95pt;" o:ole="t" filled="f" o:preferrelative="t" stroked="f" coordsize="21600,21600">
            <v:path/>
            <v:fill on="f" alignshape="1" focussize="0,0"/>
            <v:stroke on="f"/>
            <v:imagedata r:id="rId44" o:title=""/>
            <o:lock v:ext="edit" aspectratio="t"/>
            <w10:wrap type="none"/>
            <w10:anchorlock/>
          </v:shape>
          <o:OLEObject Type="Embed" ProgID="Equation.3" ShapeID="_x0000_i1025" DrawAspect="Content" ObjectID="_1468075725" r:id="rId43">
            <o:LockedField>false</o:LockedField>
          </o:OLEObject>
        </w:object>
      </w:r>
    </w:p>
    <w:p w14:paraId="7A3BF244">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式中： </w:t>
      </w:r>
      <w:r>
        <w:rPr>
          <w:rFonts w:hint="default" w:ascii="Times New Roman" w:hAnsi="Times New Roman" w:cs="Times New Roman"/>
          <w:b/>
          <w:color w:val="auto"/>
          <w:sz w:val="24"/>
          <w:highlight w:val="none"/>
        </w:rPr>
        <w:t>△P</w:t>
      </w:r>
      <w:r>
        <w:rPr>
          <w:rFonts w:hint="default" w:ascii="Times New Roman" w:hAnsi="Times New Roman" w:cs="Times New Roman"/>
          <w:color w:val="auto"/>
          <w:sz w:val="24"/>
          <w:highlight w:val="none"/>
        </w:rPr>
        <w:t>-- 需调整的价格差额；</w:t>
      </w:r>
    </w:p>
    <w:p w14:paraId="40532D54">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w:t>
      </w:r>
      <w:r>
        <w:rPr>
          <w:rFonts w:hint="default" w:ascii="Times New Roman" w:hAnsi="Times New Roman" w:cs="Times New Roman"/>
          <w:b/>
          <w:bCs/>
          <w:color w:val="auto"/>
          <w:sz w:val="24"/>
          <w:highlight w:val="none"/>
          <w:lang w:val="zh-CN"/>
        </w:rPr>
        <w:t xml:space="preserve"> P</w:t>
      </w:r>
      <w:r>
        <w:rPr>
          <w:rFonts w:hint="default" w:ascii="Times New Roman" w:hAnsi="Times New Roman" w:cs="Times New Roman"/>
          <w:b/>
          <w:bCs/>
          <w:color w:val="auto"/>
          <w:sz w:val="24"/>
          <w:highlight w:val="none"/>
          <w:vertAlign w:val="subscript"/>
          <w:lang w:val="zh-CN"/>
        </w:rPr>
        <w:t xml:space="preserve">0 </w:t>
      </w:r>
      <w:r>
        <w:rPr>
          <w:rFonts w:hint="default" w:ascii="Times New Roman" w:hAnsi="Times New Roman" w:cs="Times New Roman"/>
          <w:color w:val="auto"/>
          <w:sz w:val="24"/>
          <w:highlight w:val="none"/>
        </w:rPr>
        <w:t xml:space="preserve"> -- 第17.3.3项、第17.5.2项和第17.6.2项约定的付款证书中承包人应得到的已完成工程量的金额。此项金额应不包括价格调整、不计质量保证金的扣留和支付、预付款的支付和扣回。第15条约定的变更及其他金额已按现行价格计价的，也不计在内；</w:t>
      </w:r>
    </w:p>
    <w:p w14:paraId="37569C5F">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w:t>
      </w:r>
      <w:r>
        <w:rPr>
          <w:rFonts w:hint="default" w:ascii="Times New Roman" w:hAnsi="Times New Roman" w:cs="Times New Roman"/>
          <w:b/>
          <w:bCs/>
          <w:color w:val="auto"/>
          <w:sz w:val="24"/>
          <w:highlight w:val="none"/>
          <w:lang w:val="zh-CN"/>
        </w:rPr>
        <w:t xml:space="preserve"> A</w:t>
      </w:r>
      <w:r>
        <w:rPr>
          <w:rFonts w:hint="default" w:ascii="Times New Roman" w:hAnsi="Times New Roman" w:cs="Times New Roman"/>
          <w:color w:val="auto"/>
          <w:sz w:val="24"/>
          <w:highlight w:val="none"/>
        </w:rPr>
        <w:t xml:space="preserve"> -- 定值权重（即不调部分的权重）；</w:t>
      </w:r>
    </w:p>
    <w:p w14:paraId="05DB340C">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w:t>
      </w:r>
      <w:r>
        <w:rPr>
          <w:rFonts w:hint="default" w:ascii="Times New Roman" w:hAnsi="Times New Roman" w:cs="Times New Roman"/>
          <w:b/>
          <w:bCs/>
          <w:color w:val="auto"/>
          <w:sz w:val="24"/>
          <w:highlight w:val="none"/>
        </w:rPr>
        <w:t xml:space="preserve"> B</w:t>
      </w:r>
      <w:r>
        <w:rPr>
          <w:rFonts w:hint="default" w:ascii="Times New Roman" w:hAnsi="Times New Roman" w:cs="Times New Roman"/>
          <w:b/>
          <w:bCs/>
          <w:color w:val="auto"/>
          <w:sz w:val="24"/>
          <w:highlight w:val="none"/>
          <w:vertAlign w:val="subscript"/>
        </w:rPr>
        <w:t>1</w:t>
      </w:r>
      <w:r>
        <w:rPr>
          <w:rFonts w:hint="default" w:ascii="Times New Roman" w:hAnsi="Times New Roman" w:cs="Times New Roman"/>
          <w:b/>
          <w:bCs/>
          <w:color w:val="auto"/>
          <w:sz w:val="24"/>
          <w:highlight w:val="none"/>
          <w:vertAlign w:val="subscript"/>
          <w:lang w:val="zh-CN"/>
        </w:rPr>
        <w:t xml:space="preserve">; </w:t>
      </w:r>
      <w:r>
        <w:rPr>
          <w:rFonts w:hint="default" w:ascii="Times New Roman" w:hAnsi="Times New Roman" w:cs="Times New Roman"/>
          <w:b/>
          <w:bCs/>
          <w:color w:val="auto"/>
          <w:sz w:val="24"/>
          <w:highlight w:val="none"/>
        </w:rPr>
        <w:t>B</w:t>
      </w:r>
      <w:r>
        <w:rPr>
          <w:rFonts w:hint="default" w:ascii="Times New Roman" w:hAnsi="Times New Roman" w:cs="Times New Roman"/>
          <w:b/>
          <w:bCs/>
          <w:color w:val="auto"/>
          <w:sz w:val="24"/>
          <w:highlight w:val="none"/>
          <w:vertAlign w:val="subscript"/>
        </w:rPr>
        <w:t>2</w:t>
      </w:r>
      <w:r>
        <w:rPr>
          <w:rFonts w:hint="default" w:ascii="Times New Roman" w:hAnsi="Times New Roman" w:cs="Times New Roman"/>
          <w:b/>
          <w:bCs/>
          <w:color w:val="auto"/>
          <w:sz w:val="24"/>
          <w:highlight w:val="none"/>
          <w:vertAlign w:val="subscript"/>
          <w:lang w:val="zh-CN"/>
        </w:rPr>
        <w:t xml:space="preserve">; </w:t>
      </w:r>
      <w:r>
        <w:rPr>
          <w:rFonts w:hint="default" w:ascii="Times New Roman" w:hAnsi="Times New Roman" w:cs="Times New Roman"/>
          <w:b/>
          <w:bCs/>
          <w:color w:val="auto"/>
          <w:sz w:val="24"/>
          <w:highlight w:val="none"/>
        </w:rPr>
        <w:t>B</w:t>
      </w:r>
      <w:r>
        <w:rPr>
          <w:rFonts w:hint="default" w:ascii="Times New Roman" w:hAnsi="Times New Roman" w:cs="Times New Roman"/>
          <w:b/>
          <w:bCs/>
          <w:color w:val="auto"/>
          <w:sz w:val="24"/>
          <w:highlight w:val="none"/>
          <w:vertAlign w:val="subscript"/>
        </w:rPr>
        <w:t>3……</w:t>
      </w:r>
      <w:r>
        <w:rPr>
          <w:rFonts w:hint="default" w:ascii="Times New Roman" w:hAnsi="Times New Roman" w:cs="Times New Roman"/>
          <w:b/>
          <w:bCs/>
          <w:color w:val="auto"/>
          <w:sz w:val="24"/>
          <w:highlight w:val="none"/>
          <w:lang w:val="zh-CN"/>
        </w:rPr>
        <w:t>B</w:t>
      </w:r>
      <w:r>
        <w:rPr>
          <w:rFonts w:hint="default" w:ascii="Times New Roman" w:hAnsi="Times New Roman" w:cs="Times New Roman"/>
          <w:b/>
          <w:bCs/>
          <w:color w:val="auto"/>
          <w:sz w:val="24"/>
          <w:highlight w:val="none"/>
          <w:vertAlign w:val="subscript"/>
          <w:lang w:val="zh-CN"/>
        </w:rPr>
        <w:t>n</w:t>
      </w:r>
      <w:r>
        <w:rPr>
          <w:rFonts w:hint="default" w:ascii="Times New Roman" w:hAnsi="Times New Roman" w:cs="Times New Roman"/>
          <w:color w:val="auto"/>
          <w:sz w:val="24"/>
          <w:highlight w:val="none"/>
          <w:vertAlign w:val="subscript"/>
        </w:rPr>
        <w:t xml:space="preserve"> </w:t>
      </w:r>
      <w:r>
        <w:rPr>
          <w:rFonts w:hint="default" w:ascii="Times New Roman" w:hAnsi="Times New Roman" w:cs="Times New Roman"/>
          <w:color w:val="auto"/>
          <w:sz w:val="24"/>
          <w:highlight w:val="none"/>
        </w:rPr>
        <w:t xml:space="preserve"> -- 各可调因子的变值权重（即可调部分的权重）为各可调因子在投标函投标总报价中所占的比例；</w:t>
      </w:r>
    </w:p>
    <w:p w14:paraId="762EC8DE">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w:t>
      </w:r>
      <w:r>
        <w:rPr>
          <w:rFonts w:hint="default" w:ascii="Times New Roman" w:hAnsi="Times New Roman" w:cs="Times New Roman"/>
          <w:b/>
          <w:bCs/>
          <w:color w:val="auto"/>
          <w:sz w:val="24"/>
          <w:highlight w:val="none"/>
          <w:lang w:val="zh-CN"/>
        </w:rPr>
        <w:t xml:space="preserve"> F</w:t>
      </w:r>
      <w:r>
        <w:rPr>
          <w:rFonts w:hint="default" w:ascii="Times New Roman" w:hAnsi="Times New Roman" w:cs="Times New Roman"/>
          <w:b/>
          <w:bCs/>
          <w:color w:val="auto"/>
          <w:sz w:val="24"/>
          <w:highlight w:val="none"/>
          <w:vertAlign w:val="subscript"/>
          <w:lang w:val="zh-CN"/>
        </w:rPr>
        <w:t>t1;</w:t>
      </w:r>
      <w:r>
        <w:rPr>
          <w:rFonts w:hint="default" w:ascii="Times New Roman" w:hAnsi="Times New Roman" w:cs="Times New Roman"/>
          <w:b/>
          <w:bCs/>
          <w:color w:val="auto"/>
          <w:sz w:val="24"/>
          <w:highlight w:val="none"/>
          <w:lang w:val="zh-CN"/>
        </w:rPr>
        <w:t xml:space="preserve"> F</w:t>
      </w:r>
      <w:r>
        <w:rPr>
          <w:rFonts w:hint="default" w:ascii="Times New Roman" w:hAnsi="Times New Roman" w:cs="Times New Roman"/>
          <w:b/>
          <w:bCs/>
          <w:color w:val="auto"/>
          <w:sz w:val="24"/>
          <w:highlight w:val="none"/>
          <w:vertAlign w:val="subscript"/>
          <w:lang w:val="zh-CN"/>
        </w:rPr>
        <w:t>t2;</w:t>
      </w:r>
      <w:r>
        <w:rPr>
          <w:rFonts w:hint="default" w:ascii="Times New Roman" w:hAnsi="Times New Roman" w:cs="Times New Roman"/>
          <w:b/>
          <w:bCs/>
          <w:color w:val="auto"/>
          <w:sz w:val="24"/>
          <w:highlight w:val="none"/>
          <w:lang w:val="zh-CN"/>
        </w:rPr>
        <w:t xml:space="preserve"> F</w:t>
      </w:r>
      <w:r>
        <w:rPr>
          <w:rFonts w:hint="default" w:ascii="Times New Roman" w:hAnsi="Times New Roman" w:cs="Times New Roman"/>
          <w:b/>
          <w:bCs/>
          <w:color w:val="auto"/>
          <w:sz w:val="24"/>
          <w:highlight w:val="none"/>
          <w:vertAlign w:val="subscript"/>
          <w:lang w:val="zh-CN"/>
        </w:rPr>
        <w:t>t3</w:t>
      </w:r>
      <w:r>
        <w:rPr>
          <w:rFonts w:hint="default" w:ascii="Times New Roman" w:hAnsi="Times New Roman" w:cs="Times New Roman"/>
          <w:b/>
          <w:bCs/>
          <w:color w:val="auto"/>
          <w:sz w:val="24"/>
          <w:highlight w:val="none"/>
          <w:lang w:val="zh-CN"/>
        </w:rPr>
        <w:t>……F</w:t>
      </w:r>
      <w:r>
        <w:rPr>
          <w:rFonts w:hint="default" w:ascii="Times New Roman" w:hAnsi="Times New Roman" w:cs="Times New Roman"/>
          <w:b/>
          <w:bCs/>
          <w:color w:val="auto"/>
          <w:sz w:val="24"/>
          <w:highlight w:val="none"/>
          <w:vertAlign w:val="subscript"/>
          <w:lang w:val="zh-CN"/>
        </w:rPr>
        <w:t>tn</w:t>
      </w:r>
      <w:r>
        <w:rPr>
          <w:rFonts w:hint="default" w:ascii="Times New Roman" w:hAnsi="Times New Roman" w:cs="Times New Roman"/>
          <w:color w:val="auto"/>
          <w:sz w:val="24"/>
          <w:highlight w:val="none"/>
        </w:rPr>
        <w:t xml:space="preserve"> -- 各可调因子的现行价格指数，指第17.3.3项、第17.5.2项和第17.6.2项约定的付款证书相关周期最后一天的前42天的各可调因子的价格指数；</w:t>
      </w:r>
    </w:p>
    <w:p w14:paraId="7D22A579">
      <w:pPr>
        <w:pageBreakBefore w:val="0"/>
        <w:kinsoku/>
        <w:wordWrap w:val="0"/>
        <w:bidi w:val="0"/>
        <w:spacing w:line="400" w:lineRule="atLeast"/>
        <w:ind w:firstLine="716" w:firstLineChars="297"/>
        <w:rPr>
          <w:rFonts w:hint="default" w:ascii="Times New Roman" w:hAnsi="Times New Roman" w:cs="Times New Roman"/>
          <w:color w:val="auto"/>
          <w:sz w:val="24"/>
          <w:highlight w:val="none"/>
        </w:rPr>
      </w:pPr>
      <w:r>
        <w:rPr>
          <w:rFonts w:hint="default" w:ascii="Times New Roman" w:hAnsi="Times New Roman" w:cs="Times New Roman"/>
          <w:b/>
          <w:bCs/>
          <w:color w:val="auto"/>
          <w:sz w:val="24"/>
          <w:highlight w:val="none"/>
        </w:rPr>
        <w:t>F</w:t>
      </w:r>
      <w:r>
        <w:rPr>
          <w:rFonts w:hint="default" w:ascii="Times New Roman" w:hAnsi="Times New Roman" w:cs="Times New Roman"/>
          <w:b/>
          <w:bCs/>
          <w:color w:val="auto"/>
          <w:sz w:val="24"/>
          <w:highlight w:val="none"/>
          <w:vertAlign w:val="subscript"/>
        </w:rPr>
        <w:t>o1;</w:t>
      </w:r>
      <w:r>
        <w:rPr>
          <w:rFonts w:hint="default" w:ascii="Times New Roman" w:hAnsi="Times New Roman" w:cs="Times New Roman"/>
          <w:b/>
          <w:bCs/>
          <w:color w:val="auto"/>
          <w:sz w:val="24"/>
          <w:highlight w:val="none"/>
        </w:rPr>
        <w:t xml:space="preserve"> F</w:t>
      </w:r>
      <w:r>
        <w:rPr>
          <w:rFonts w:hint="default" w:ascii="Times New Roman" w:hAnsi="Times New Roman" w:cs="Times New Roman"/>
          <w:b/>
          <w:bCs/>
          <w:color w:val="auto"/>
          <w:sz w:val="24"/>
          <w:highlight w:val="none"/>
          <w:vertAlign w:val="subscript"/>
        </w:rPr>
        <w:t>o2;</w:t>
      </w:r>
      <w:r>
        <w:rPr>
          <w:rFonts w:hint="default" w:ascii="Times New Roman" w:hAnsi="Times New Roman" w:cs="Times New Roman"/>
          <w:b/>
          <w:bCs/>
          <w:color w:val="auto"/>
          <w:sz w:val="24"/>
          <w:highlight w:val="none"/>
        </w:rPr>
        <w:t xml:space="preserve"> F</w:t>
      </w:r>
      <w:r>
        <w:rPr>
          <w:rFonts w:hint="default" w:ascii="Times New Roman" w:hAnsi="Times New Roman" w:cs="Times New Roman"/>
          <w:b/>
          <w:bCs/>
          <w:color w:val="auto"/>
          <w:sz w:val="24"/>
          <w:highlight w:val="none"/>
          <w:vertAlign w:val="subscript"/>
        </w:rPr>
        <w:t>o3</w:t>
      </w:r>
      <w:r>
        <w:rPr>
          <w:rFonts w:hint="default" w:ascii="Times New Roman" w:hAnsi="Times New Roman" w:cs="Times New Roman"/>
          <w:b/>
          <w:bCs/>
          <w:color w:val="auto"/>
          <w:sz w:val="24"/>
          <w:highlight w:val="none"/>
        </w:rPr>
        <w:t>……F</w:t>
      </w:r>
      <w:r>
        <w:rPr>
          <w:rFonts w:hint="default" w:ascii="Times New Roman" w:hAnsi="Times New Roman" w:cs="Times New Roman"/>
          <w:b/>
          <w:bCs/>
          <w:color w:val="auto"/>
          <w:sz w:val="24"/>
          <w:highlight w:val="none"/>
          <w:vertAlign w:val="subscript"/>
        </w:rPr>
        <w:t>on</w:t>
      </w:r>
      <w:r>
        <w:rPr>
          <w:rFonts w:hint="default" w:ascii="Times New Roman" w:hAnsi="Times New Roman" w:cs="Times New Roman"/>
          <w:color w:val="auto"/>
          <w:sz w:val="24"/>
          <w:highlight w:val="none"/>
        </w:rPr>
        <w:t xml:space="preserve"> --各可调因子的基本价格指数，指基准日期的各可调因子的价格指数。</w:t>
      </w:r>
    </w:p>
    <w:p w14:paraId="25C80E8C">
      <w:pPr>
        <w:pageBreakBefore w:val="0"/>
        <w:kinsoku/>
        <w:wordWrap w:val="0"/>
        <w:bidi w:val="0"/>
        <w:spacing w:line="400" w:lineRule="atLeast"/>
        <w:ind w:firstLine="477" w:firstLineChars="19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以上价格调整公式中的各可调因子、定值和变值权重，以及基本价格指数及其来源在投标函附录价格指数和权重表中约定。价格指数应首先采用有关部门提供的价格指数，缺乏上述价格指数时，可采用有关部门提供的价格代替。</w:t>
      </w:r>
    </w:p>
    <w:p w14:paraId="6D5039D8">
      <w:pPr>
        <w:pageBreakBefore w:val="0"/>
        <w:kinsoku/>
        <w:wordWrap w:val="0"/>
        <w:bidi w:val="0"/>
        <w:spacing w:line="400" w:lineRule="atLeast"/>
        <w:ind w:firstLine="470" w:firstLineChars="196"/>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16.1.1.2 暂时确定调整差额</w:t>
      </w:r>
    </w:p>
    <w:p w14:paraId="52A43597">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在计算调整差额时得不到现行价格指数的，可暂用上一次价格指数计算，并在以后的付款中再按实际价格指数进行调整。</w:t>
      </w:r>
    </w:p>
    <w:p w14:paraId="33B90BBE">
      <w:pPr>
        <w:pageBreakBefore w:val="0"/>
        <w:kinsoku/>
        <w:wordWrap w:val="0"/>
        <w:bidi w:val="0"/>
        <w:spacing w:line="400" w:lineRule="atLeast"/>
        <w:ind w:firstLine="470" w:firstLineChars="196"/>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16.1.1.3 权重的调整</w:t>
      </w:r>
    </w:p>
    <w:p w14:paraId="6278DA56">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按第15.1款约定的变更导致原定合同中的权重不合理时，由监理人与承包人和发包人协商后进行调整。</w:t>
      </w:r>
    </w:p>
    <w:p w14:paraId="713C2733">
      <w:pPr>
        <w:pageBreakBefore w:val="0"/>
        <w:kinsoku/>
        <w:wordWrap w:val="0"/>
        <w:bidi w:val="0"/>
        <w:spacing w:line="400" w:lineRule="atLeast"/>
        <w:ind w:firstLine="470" w:firstLineChars="196"/>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16.1.1.4 承包人工期延误后的价格调整</w:t>
      </w:r>
    </w:p>
    <w:p w14:paraId="0E781254">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由于承包人原因未在约定的工期内竣工的，则对原约定竣工日期后继续施工的工程，在使用第16.1.1.1目价格调整公式时，应采用原约定竣工日期与实际竣工日期的两个价格指数中较低的一个作为现行价格指数。</w:t>
      </w:r>
    </w:p>
    <w:p w14:paraId="3005E5A6">
      <w:pPr>
        <w:pageBreakBefore w:val="0"/>
        <w:kinsoku/>
        <w:wordWrap w:val="0"/>
        <w:bidi w:val="0"/>
        <w:spacing w:line="400" w:lineRule="atLeast"/>
        <w:ind w:firstLine="470" w:firstLineChars="196"/>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 xml:space="preserve">16.1.2 </w:t>
      </w:r>
      <w:r>
        <w:rPr>
          <w:rFonts w:hint="default" w:ascii="Times New Roman" w:hAnsi="Times New Roman" w:eastAsia="黑体" w:cs="Times New Roman"/>
          <w:color w:val="auto"/>
          <w:sz w:val="24"/>
          <w:highlight w:val="none"/>
        </w:rPr>
        <w:t>采用造价信息调整价格差额</w:t>
      </w:r>
    </w:p>
    <w:p w14:paraId="1C1C08A3">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施工期内，因人工、材料、设备和机械台班价格波动影响合同价格时，人工、机械使用费按照国家或省、自治区、直辖市建设行政管理部门、行业建设管理部门或其授权的工程造价管理机构发布的人工成本信息、机械台班单价或机械使用费系数进行调整；需要进行价格调整的材料，其单价和采购数应由监理人复核，监理人确认需调整的材料单价及数量，作为调整工程合同价格差额的依据。</w:t>
      </w:r>
    </w:p>
    <w:p w14:paraId="799E4BAD">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854" w:name="_Toc25291"/>
      <w:bookmarkStart w:id="855" w:name="_Toc15845"/>
      <w:bookmarkStart w:id="856" w:name="_Toc10804"/>
      <w:bookmarkStart w:id="857" w:name="_Toc234833073"/>
      <w:bookmarkStart w:id="858" w:name="_Toc5910"/>
      <w:r>
        <w:rPr>
          <w:rFonts w:hint="default" w:ascii="Times New Roman" w:hAnsi="Times New Roman" w:eastAsia="黑体" w:cs="Times New Roman"/>
          <w:b w:val="0"/>
          <w:color w:val="auto"/>
          <w:sz w:val="24"/>
          <w:szCs w:val="24"/>
          <w:highlight w:val="none"/>
        </w:rPr>
        <w:t>16.2 法律变化引起的价格调整</w:t>
      </w:r>
      <w:bookmarkEnd w:id="854"/>
      <w:bookmarkEnd w:id="855"/>
      <w:bookmarkEnd w:id="856"/>
      <w:bookmarkEnd w:id="857"/>
      <w:bookmarkEnd w:id="858"/>
    </w:p>
    <w:p w14:paraId="72F4F51A">
      <w:pPr>
        <w:pageBreakBefore w:val="0"/>
        <w:kinsoku/>
        <w:wordWrap w:val="0"/>
        <w:bidi w:val="0"/>
        <w:spacing w:line="400" w:lineRule="atLeast"/>
        <w:ind w:firstLine="435"/>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在基准日后，因法律变化导致承包人在合同履行中所需要的工程费用发生除第16.1款约定以外的增减时，监理人应根据法律、国家或省、自治区、直辖市有关部门的规定，按第3.5款商定或确定需调整的合同价款。</w:t>
      </w:r>
    </w:p>
    <w:p w14:paraId="5543A74E">
      <w:pPr>
        <w:pageBreakBefore w:val="0"/>
        <w:kinsoku/>
        <w:wordWrap w:val="0"/>
        <w:bidi w:val="0"/>
        <w:spacing w:before="480" w:after="240" w:line="380" w:lineRule="atLeast"/>
        <w:outlineLvl w:val="9"/>
        <w:rPr>
          <w:rFonts w:hint="default" w:ascii="Times New Roman" w:hAnsi="Times New Roman" w:eastAsia="黑体" w:cs="Times New Roman"/>
          <w:b w:val="0"/>
          <w:color w:val="auto"/>
          <w:sz w:val="28"/>
          <w:szCs w:val="28"/>
          <w:highlight w:val="none"/>
        </w:rPr>
      </w:pPr>
      <w:r>
        <w:rPr>
          <w:rFonts w:hint="default" w:ascii="Times New Roman" w:hAnsi="Times New Roman" w:eastAsia="黑体" w:cs="Times New Roman"/>
          <w:b w:val="0"/>
          <w:color w:val="auto"/>
          <w:sz w:val="28"/>
          <w:szCs w:val="28"/>
          <w:highlight w:val="none"/>
        </w:rPr>
        <w:t>17.计量与支付</w:t>
      </w:r>
      <w:bookmarkEnd w:id="850"/>
      <w:bookmarkEnd w:id="851"/>
      <w:bookmarkEnd w:id="852"/>
      <w:bookmarkEnd w:id="853"/>
    </w:p>
    <w:p w14:paraId="0BC48782">
      <w:pPr>
        <w:pageBreakBefore w:val="0"/>
        <w:kinsoku/>
        <w:wordWrap w:val="0"/>
        <w:bidi w:val="0"/>
        <w:spacing w:before="240" w:after="240" w:line="380" w:lineRule="atLeast"/>
        <w:outlineLvl w:val="9"/>
        <w:rPr>
          <w:rFonts w:hint="eastAsia" w:ascii="Times New Roman" w:hAnsi="Times New Roman" w:eastAsia="黑体" w:cs="Times New Roman"/>
          <w:b w:val="0"/>
          <w:color w:val="auto"/>
          <w:sz w:val="24"/>
          <w:szCs w:val="24"/>
          <w:highlight w:val="none"/>
          <w:lang w:eastAsia="zh-CN"/>
        </w:rPr>
      </w:pPr>
      <w:bookmarkStart w:id="859" w:name="_Toc12856"/>
      <w:bookmarkStart w:id="860" w:name="_Toc234833075"/>
      <w:bookmarkStart w:id="861" w:name="_Toc29292"/>
      <w:bookmarkStart w:id="862" w:name="_Toc21036"/>
      <w:r>
        <w:rPr>
          <w:rFonts w:hint="default" w:ascii="Times New Roman" w:hAnsi="Times New Roman" w:eastAsia="黑体" w:cs="Times New Roman"/>
          <w:b w:val="0"/>
          <w:color w:val="auto"/>
          <w:sz w:val="24"/>
          <w:szCs w:val="24"/>
          <w:highlight w:val="none"/>
        </w:rPr>
        <w:t>17.1计量</w:t>
      </w:r>
      <w:bookmarkEnd w:id="859"/>
      <w:bookmarkEnd w:id="860"/>
      <w:bookmarkEnd w:id="861"/>
      <w:bookmarkEnd w:id="862"/>
    </w:p>
    <w:p w14:paraId="28ED7FC0">
      <w:pPr>
        <w:pageBreakBefore w:val="0"/>
        <w:kinsoku/>
        <w:wordWrap w:val="0"/>
        <w:bidi w:val="0"/>
        <w:spacing w:line="400" w:lineRule="atLeast"/>
        <w:ind w:firstLine="470" w:firstLineChars="196"/>
        <w:outlineLvl w:val="9"/>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17.1.1</w:t>
      </w:r>
      <w:r>
        <w:rPr>
          <w:rFonts w:hint="default" w:ascii="Times New Roman" w:hAnsi="Times New Roman" w:eastAsia="黑体" w:cs="Times New Roman"/>
          <w:color w:val="auto"/>
          <w:sz w:val="24"/>
          <w:highlight w:val="none"/>
        </w:rPr>
        <w:t>计量单位</w:t>
      </w:r>
    </w:p>
    <w:p w14:paraId="036D9B53">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计量采用国家法定的计量单位。</w:t>
      </w:r>
    </w:p>
    <w:p w14:paraId="30472AFD">
      <w:pPr>
        <w:pageBreakBefore w:val="0"/>
        <w:kinsoku/>
        <w:wordWrap w:val="0"/>
        <w:bidi w:val="0"/>
        <w:spacing w:line="400" w:lineRule="atLeast"/>
        <w:ind w:firstLine="470" w:firstLineChars="196"/>
        <w:outlineLvl w:val="9"/>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17.1.2</w:t>
      </w:r>
      <w:r>
        <w:rPr>
          <w:rFonts w:hint="default" w:ascii="Times New Roman" w:hAnsi="Times New Roman" w:eastAsia="黑体" w:cs="Times New Roman"/>
          <w:color w:val="auto"/>
          <w:sz w:val="24"/>
          <w:highlight w:val="none"/>
        </w:rPr>
        <w:t>计量方法</w:t>
      </w:r>
    </w:p>
    <w:p w14:paraId="1ACAB7C3">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工程量清单中的工程量计算规则应按有关国家标准、行业标准的规定，并在合同中约定执行。</w:t>
      </w:r>
    </w:p>
    <w:p w14:paraId="6A290804">
      <w:pPr>
        <w:pageBreakBefore w:val="0"/>
        <w:kinsoku/>
        <w:wordWrap w:val="0"/>
        <w:bidi w:val="0"/>
        <w:spacing w:line="400" w:lineRule="atLeast"/>
        <w:ind w:firstLine="470" w:firstLineChars="196"/>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17.1.3</w:t>
      </w:r>
      <w:r>
        <w:rPr>
          <w:rFonts w:hint="default" w:ascii="Times New Roman" w:hAnsi="Times New Roman" w:eastAsia="黑体" w:cs="Times New Roman"/>
          <w:color w:val="auto"/>
          <w:sz w:val="24"/>
          <w:highlight w:val="none"/>
        </w:rPr>
        <w:t>计量周期</w:t>
      </w:r>
    </w:p>
    <w:p w14:paraId="142C97B8">
      <w:pPr>
        <w:pageBreakBefore w:val="0"/>
        <w:kinsoku/>
        <w:wordWrap w:val="0"/>
        <w:bidi w:val="0"/>
        <w:spacing w:line="400" w:lineRule="atLeast"/>
        <w:outlineLvl w:val="9"/>
        <w:rPr>
          <w:rFonts w:hint="eastAsia"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除专用合同条款另有约定外，单价子目已完成工程量按月计量，总价子目的计量周期按批准的支付分解报告确定。</w:t>
      </w:r>
    </w:p>
    <w:p w14:paraId="612DD1EA">
      <w:pPr>
        <w:pageBreakBefore w:val="0"/>
        <w:kinsoku/>
        <w:wordWrap w:val="0"/>
        <w:bidi w:val="0"/>
        <w:spacing w:line="400" w:lineRule="atLeast"/>
        <w:ind w:firstLine="470" w:firstLineChars="196"/>
        <w:outlineLvl w:val="9"/>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17.1.4</w:t>
      </w:r>
      <w:r>
        <w:rPr>
          <w:rFonts w:hint="default" w:ascii="Times New Roman" w:hAnsi="Times New Roman" w:eastAsia="黑体" w:cs="Times New Roman"/>
          <w:color w:val="auto"/>
          <w:sz w:val="24"/>
          <w:highlight w:val="none"/>
        </w:rPr>
        <w:t>单价子目的计量</w:t>
      </w:r>
    </w:p>
    <w:p w14:paraId="29460692">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（1）已标价工程量清单中的单价子目工程量为估算工程量。结算工程量是承包人实际完成的，并按合同约定的计量方法进行计量的工程量。</w:t>
      </w:r>
    </w:p>
    <w:p w14:paraId="458AF9F4">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（2）承包人对已完成的工程进行计量，向监理人提交进度付款申请单、已完成工程量报表和有关计量资料。</w:t>
      </w:r>
    </w:p>
    <w:p w14:paraId="3C2A4AAE">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监理人对承包人提交的工程量报表进行复核，以确定实际完成的工程量。对数量有异议的，可要求承包人按第8.2款约定进行共同复核和抽样复测。承包人应协助监理人进行复核并按监理人要求提供补充计量资料。承包人未按监理人要求参加复核，监理人复核或修正的工程量视为承包人实际完成的工程量。</w:t>
      </w:r>
    </w:p>
    <w:p w14:paraId="15794AE5">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（4）监理人认为有必要时，可通知承包人共同进行联合测量、计量，承包人应遵照执行。</w:t>
      </w:r>
    </w:p>
    <w:p w14:paraId="512C0D7D">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承包人完成工程量清单中每个子目的工程量后，监理人应要求承包人派员共同对每个子目的历次计量报表进行汇总，以核实最终结算工程量。监理人可要求承包人提供补充计量资料，以确定最后一次进度付款的准确工程量。承包人未按监理人要求派员参加的，监理人最终核实的工程量视为承包人完成该子目的准确工程量。</w:t>
      </w:r>
    </w:p>
    <w:p w14:paraId="17088D9C">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（6）监理人应在收到承包人提交的工程量报表后的7天内进行复核，监理人未在约定时间内复核的，承包人提交的工程量报表中的工程量视为承包人实际完成的工程量，据此计算工程价款。</w:t>
      </w:r>
    </w:p>
    <w:p w14:paraId="03907C61">
      <w:pPr>
        <w:pageBreakBefore w:val="0"/>
        <w:kinsoku/>
        <w:wordWrap w:val="0"/>
        <w:bidi w:val="0"/>
        <w:spacing w:line="400" w:lineRule="atLeast"/>
        <w:ind w:firstLine="470" w:firstLineChars="196"/>
        <w:outlineLvl w:val="9"/>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17.1.5</w:t>
      </w:r>
      <w:r>
        <w:rPr>
          <w:rFonts w:hint="default" w:ascii="Times New Roman" w:hAnsi="Times New Roman" w:eastAsia="黑体" w:cs="Times New Roman"/>
          <w:color w:val="auto"/>
          <w:sz w:val="24"/>
          <w:highlight w:val="none"/>
        </w:rPr>
        <w:t>总价子目的计量</w:t>
      </w:r>
    </w:p>
    <w:p w14:paraId="021A391C">
      <w:pPr>
        <w:pageBreakBefore w:val="0"/>
        <w:kinsoku/>
        <w:wordWrap w:val="0"/>
        <w:bidi w:val="0"/>
        <w:spacing w:line="400" w:lineRule="atLeast"/>
        <w:ind w:firstLine="470" w:firstLineChars="196"/>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除专用合同条款另有约定外，总价子目的分解和计量按照下述约定进行。</w:t>
      </w:r>
    </w:p>
    <w:p w14:paraId="776D039D">
      <w:pPr>
        <w:pageBreakBefore w:val="0"/>
        <w:kinsoku/>
        <w:wordWrap w:val="0"/>
        <w:bidi w:val="0"/>
        <w:spacing w:line="400" w:lineRule="atLeast"/>
        <w:ind w:firstLine="470" w:firstLineChars="196"/>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（1）总价子目的计量和支付应以总价为基础，不因第16.1款中的因素而进行调整。承包人实际完成的工程量，是进行工程目标管理和控制进度支付的依据。</w:t>
      </w:r>
    </w:p>
    <w:p w14:paraId="2937D51B">
      <w:pPr>
        <w:pageBreakBefore w:val="0"/>
        <w:kinsoku/>
        <w:wordWrap w:val="0"/>
        <w:bidi w:val="0"/>
        <w:spacing w:line="400" w:lineRule="atLeast"/>
        <w:ind w:firstLine="470" w:firstLineChars="196"/>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承包人在合同约定的每个计量周期内，对已完成的工程进行计量，并向监理人提交进度付款申请单、专用合同条款约定的合同总价支付分解表所表示的阶段性或分项计量的支持性资料，以及所达到工程形象目标或分阶段需完成的工程量和有关计量资料。</w:t>
      </w:r>
    </w:p>
    <w:p w14:paraId="66B069B0">
      <w:pPr>
        <w:pageBreakBefore w:val="0"/>
        <w:kinsoku/>
        <w:wordWrap w:val="0"/>
        <w:bidi w:val="0"/>
        <w:spacing w:line="400" w:lineRule="atLeast"/>
        <w:ind w:firstLine="470" w:firstLineChars="196"/>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（3）监理人对承包人提交的上述资料进行复核，以确定分阶段实际完成的工程量和工程形象目标。对其有异议的，可要求承包人按第8.2款约定进行共同复核和抽样复测。</w:t>
      </w:r>
    </w:p>
    <w:p w14:paraId="20F2E71D">
      <w:pPr>
        <w:pageBreakBefore w:val="0"/>
        <w:kinsoku/>
        <w:wordWrap w:val="0"/>
        <w:bidi w:val="0"/>
        <w:spacing w:line="400" w:lineRule="atLeast"/>
        <w:ind w:firstLine="470" w:firstLineChars="196"/>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（4）除按照第15条约定的变更外，总价子目的工程量是承包人用于结算的最终工程量。</w:t>
      </w:r>
    </w:p>
    <w:p w14:paraId="3A65B36F">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863" w:name="_Toc234833076"/>
      <w:bookmarkStart w:id="864" w:name="_Toc28845"/>
      <w:bookmarkStart w:id="865" w:name="_Toc16552"/>
      <w:bookmarkStart w:id="866" w:name="_Toc28011"/>
      <w:r>
        <w:rPr>
          <w:rFonts w:hint="default" w:ascii="Times New Roman" w:hAnsi="Times New Roman" w:eastAsia="黑体" w:cs="Times New Roman"/>
          <w:b w:val="0"/>
          <w:color w:val="auto"/>
          <w:sz w:val="24"/>
          <w:szCs w:val="24"/>
          <w:highlight w:val="none"/>
        </w:rPr>
        <w:t>17.2预付款</w:t>
      </w:r>
      <w:bookmarkEnd w:id="863"/>
      <w:bookmarkEnd w:id="864"/>
      <w:bookmarkEnd w:id="865"/>
      <w:bookmarkEnd w:id="866"/>
    </w:p>
    <w:p w14:paraId="7CC1BB23">
      <w:pPr>
        <w:pageBreakBefore w:val="0"/>
        <w:kinsoku/>
        <w:wordWrap w:val="0"/>
        <w:bidi w:val="0"/>
        <w:spacing w:line="400" w:lineRule="atLeast"/>
        <w:ind w:firstLine="470" w:firstLineChars="196"/>
        <w:outlineLvl w:val="9"/>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17.2.1</w:t>
      </w:r>
      <w:r>
        <w:rPr>
          <w:rFonts w:hint="default" w:ascii="Times New Roman" w:hAnsi="Times New Roman" w:eastAsia="黑体" w:cs="Times New Roman"/>
          <w:color w:val="auto"/>
          <w:sz w:val="24"/>
          <w:highlight w:val="none"/>
        </w:rPr>
        <w:t>预付款</w:t>
      </w:r>
    </w:p>
    <w:p w14:paraId="25FA72C3">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预付款用于承包人为合同工程施工购置材料、工程设备、施工设备、修建临时设施以及组织施工队伍进场等。预付款的额度和预付办法在专用合同条款中约定。预付款必须专用于合同工程。</w:t>
      </w:r>
    </w:p>
    <w:p w14:paraId="250BF368">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17.2.2</w:t>
      </w:r>
      <w:r>
        <w:rPr>
          <w:rFonts w:hint="default" w:ascii="Times New Roman" w:hAnsi="Times New Roman" w:eastAsia="黑体" w:cs="Times New Roman"/>
          <w:color w:val="auto"/>
          <w:sz w:val="24"/>
          <w:highlight w:val="none"/>
        </w:rPr>
        <w:t>预付款保函</w:t>
      </w:r>
    </w:p>
    <w:p w14:paraId="0A8ED597">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除专用合同条款另有约定外，承包人应在收到预付款的同时向发包人提交预付款保函，预付款保函的担保金额应与预付款金额相同。保函的担保金额可根据预付款扣回的金额相应递减。</w:t>
      </w:r>
    </w:p>
    <w:p w14:paraId="51527674">
      <w:pPr>
        <w:pageBreakBefore w:val="0"/>
        <w:kinsoku/>
        <w:wordWrap w:val="0"/>
        <w:bidi w:val="0"/>
        <w:spacing w:line="400" w:lineRule="atLeast"/>
        <w:ind w:firstLine="42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17.2.3</w:t>
      </w:r>
      <w:r>
        <w:rPr>
          <w:rFonts w:hint="default" w:ascii="Times New Roman" w:hAnsi="Times New Roman" w:eastAsia="黑体" w:cs="Times New Roman"/>
          <w:color w:val="auto"/>
          <w:sz w:val="24"/>
          <w:highlight w:val="none"/>
        </w:rPr>
        <w:t>预付款的扣回与还清</w:t>
      </w:r>
    </w:p>
    <w:p w14:paraId="6EC110CF">
      <w:pPr>
        <w:pageBreakBefore w:val="0"/>
        <w:kinsoku/>
        <w:wordWrap w:val="0"/>
        <w:bidi w:val="0"/>
        <w:spacing w:line="400" w:lineRule="atLeast"/>
        <w:ind w:firstLine="42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预付款在进度付款中扣回，扣回办法在专用合同条款中约定。在颁发工程接收证书前，由于不可抗力或其他原因解除合同时，预付款尚未扣清的，尚未扣清的预付款余额应作为承包人的到期应付款。</w:t>
      </w:r>
    </w:p>
    <w:p w14:paraId="15967F0A">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867" w:name="_Toc26397"/>
      <w:bookmarkStart w:id="868" w:name="_Toc20532"/>
      <w:bookmarkStart w:id="869" w:name="_Toc234833077"/>
      <w:bookmarkStart w:id="870" w:name="_Toc7717"/>
      <w:r>
        <w:rPr>
          <w:rFonts w:hint="default" w:ascii="Times New Roman" w:hAnsi="Times New Roman" w:eastAsia="黑体" w:cs="Times New Roman"/>
          <w:b w:val="0"/>
          <w:color w:val="auto"/>
          <w:sz w:val="24"/>
          <w:szCs w:val="24"/>
          <w:highlight w:val="none"/>
        </w:rPr>
        <w:t>17.3工程进度付款</w:t>
      </w:r>
      <w:bookmarkEnd w:id="867"/>
      <w:bookmarkEnd w:id="868"/>
      <w:bookmarkEnd w:id="869"/>
      <w:bookmarkEnd w:id="870"/>
    </w:p>
    <w:p w14:paraId="28B0B6C8">
      <w:pPr>
        <w:pageBreakBefore w:val="0"/>
        <w:kinsoku/>
        <w:wordWrap w:val="0"/>
        <w:bidi w:val="0"/>
        <w:spacing w:line="400" w:lineRule="atLeast"/>
        <w:ind w:firstLine="470" w:firstLineChars="196"/>
        <w:outlineLvl w:val="9"/>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17.3.1</w:t>
      </w:r>
      <w:r>
        <w:rPr>
          <w:rFonts w:hint="default" w:ascii="Times New Roman" w:hAnsi="Times New Roman" w:eastAsia="黑体" w:cs="Times New Roman"/>
          <w:color w:val="auto"/>
          <w:sz w:val="24"/>
          <w:highlight w:val="none"/>
        </w:rPr>
        <w:t>付款周期</w:t>
      </w:r>
    </w:p>
    <w:p w14:paraId="06070799">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付款周期同计量周期。</w:t>
      </w:r>
    </w:p>
    <w:p w14:paraId="5E091D94">
      <w:pPr>
        <w:pageBreakBefore w:val="0"/>
        <w:kinsoku/>
        <w:wordWrap w:val="0"/>
        <w:bidi w:val="0"/>
        <w:spacing w:line="400" w:lineRule="atLeast"/>
        <w:ind w:firstLine="470" w:firstLineChars="196"/>
        <w:outlineLvl w:val="9"/>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17.3.2</w:t>
      </w:r>
      <w:r>
        <w:rPr>
          <w:rFonts w:hint="default" w:ascii="Times New Roman" w:hAnsi="Times New Roman" w:eastAsia="黑体" w:cs="Times New Roman"/>
          <w:color w:val="auto"/>
          <w:sz w:val="24"/>
          <w:highlight w:val="none"/>
        </w:rPr>
        <w:t>进度付款申请单</w:t>
      </w:r>
    </w:p>
    <w:p w14:paraId="66F5E86E">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承包人应在每个付款周期末，按监理人批准的格式和专用合同条款约定的份数，向监理人提交进度付款申请单，并附相应的支持性证明文件。除专用合同条款另有约定外，进度付款申请单应包括下列内容：</w:t>
      </w:r>
    </w:p>
    <w:p w14:paraId="1F42B40E">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（1）截至本次付款周期末已实施工程的价款；</w:t>
      </w:r>
    </w:p>
    <w:p w14:paraId="78A0E3AD">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（2）根据第15条应增加和扣减的变更金额；</w:t>
      </w:r>
    </w:p>
    <w:p w14:paraId="08D648FE">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（3）根据第23条应增加和扣减的索赔金额；</w:t>
      </w:r>
    </w:p>
    <w:p w14:paraId="25E4C992">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（4）根据第17.2款约定应支付的预付款和扣减的返还预付款；</w:t>
      </w:r>
    </w:p>
    <w:p w14:paraId="6622DAE6">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（5）根据第17.4.1项约定应扣减的质量保证金；</w:t>
      </w:r>
    </w:p>
    <w:p w14:paraId="25A0EC75">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（6）根据合同应增加和扣减的其他金额。</w:t>
      </w:r>
    </w:p>
    <w:p w14:paraId="35BF3782">
      <w:pPr>
        <w:pageBreakBefore w:val="0"/>
        <w:kinsoku/>
        <w:wordWrap w:val="0"/>
        <w:bidi w:val="0"/>
        <w:spacing w:line="400" w:lineRule="atLeast"/>
        <w:ind w:firstLine="470" w:firstLineChars="196"/>
        <w:outlineLvl w:val="9"/>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17.3.3</w:t>
      </w:r>
      <w:r>
        <w:rPr>
          <w:rFonts w:hint="default" w:ascii="Times New Roman" w:hAnsi="Times New Roman" w:eastAsia="黑体" w:cs="Times New Roman"/>
          <w:color w:val="auto"/>
          <w:sz w:val="24"/>
          <w:highlight w:val="none"/>
        </w:rPr>
        <w:t>进度付款证书和支付时间</w:t>
      </w:r>
    </w:p>
    <w:p w14:paraId="70791925">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监理人在收到承包人进度付款申请单以及相应的支持性证明文件后的14天内完成核查，提出发包人到期应支付给承包人的金额以及相应的支持性材料，经发包人审查同意后，由监理人向承包人出具经发包人签认的进度付款证书。监理人有权扣发承包人未能按照合同要求履行任何工作或义务的相应金额。</w:t>
      </w:r>
    </w:p>
    <w:p w14:paraId="2BBF131C">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（2）发包人应在监理人收到进度付款申请单后的28天内，将进度应付款支付给承包人。发包人不按期支付的，按专用合同条款的约定支付逾期付款违约金。</w:t>
      </w:r>
    </w:p>
    <w:p w14:paraId="0BEEB9AA">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（3）监理人出具进度付款证书，不应视为监理人已同意、批准或接受了承包人完成的该部分工作。</w:t>
      </w:r>
    </w:p>
    <w:p w14:paraId="6FCFE99D">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（4）进度付款涉及政府投资资金的，按照国库集中支付等国家相关规定和专用合同条款的约定办理。</w:t>
      </w:r>
    </w:p>
    <w:p w14:paraId="741FFE13">
      <w:pPr>
        <w:pageBreakBefore w:val="0"/>
        <w:kinsoku/>
        <w:wordWrap w:val="0"/>
        <w:bidi w:val="0"/>
        <w:spacing w:line="400" w:lineRule="atLeast"/>
        <w:ind w:firstLine="470" w:firstLineChars="196"/>
        <w:outlineLvl w:val="9"/>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17.3.4</w:t>
      </w:r>
      <w:r>
        <w:rPr>
          <w:rFonts w:hint="default" w:ascii="Times New Roman" w:hAnsi="Times New Roman" w:eastAsia="黑体" w:cs="Times New Roman"/>
          <w:color w:val="auto"/>
          <w:sz w:val="24"/>
          <w:highlight w:val="none"/>
        </w:rPr>
        <w:t>工程进度付款的修正</w:t>
      </w:r>
    </w:p>
    <w:p w14:paraId="481447A2">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在对以往历次已签发的进度付款证书进行汇总和复核中发现错、漏或重复的，监理人有权予以修正，承包人也有权提出修正申请。经双方复核同意的修正，应在本次进度付款中支付或扣除。</w:t>
      </w:r>
    </w:p>
    <w:p w14:paraId="2FB6BADE">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871" w:name="_Toc2545"/>
      <w:bookmarkStart w:id="872" w:name="_Toc10469"/>
      <w:bookmarkStart w:id="873" w:name="_Toc234833078"/>
      <w:bookmarkStart w:id="874" w:name="_Toc30905"/>
      <w:r>
        <w:rPr>
          <w:rFonts w:hint="default" w:ascii="Times New Roman" w:hAnsi="Times New Roman" w:eastAsia="黑体" w:cs="Times New Roman"/>
          <w:b w:val="0"/>
          <w:color w:val="auto"/>
          <w:sz w:val="24"/>
          <w:szCs w:val="24"/>
          <w:highlight w:val="none"/>
        </w:rPr>
        <w:t>17.4质量保证金</w:t>
      </w:r>
      <w:bookmarkEnd w:id="871"/>
      <w:bookmarkEnd w:id="872"/>
      <w:bookmarkEnd w:id="873"/>
      <w:bookmarkEnd w:id="874"/>
    </w:p>
    <w:p w14:paraId="6CCA1F9F">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17.4.1监理人应从第一个付款周期开始，在发包人的进度付款中，按专用合同条款的约定扣留质量保证金，直至扣留的质量保证金总额达到专用合同条款约定的金额或比例为止。质量保证金的计算额度不包括预付款的支付、扣回以及价格调整的金额。</w:t>
      </w:r>
    </w:p>
    <w:p w14:paraId="78955F8B">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17.4.2在第1.1.4.5目约定的缺陷责任期满时，承包人向发包人申请到期应返还承包人剩余的质量保证金金额，发包人应在14天内会同承包人按照合同约定的内容核实承包人是否完成缺陷责任。如无异议，发包人应当在核实后将剩余保证金返还承包人。</w:t>
      </w:r>
    </w:p>
    <w:p w14:paraId="2178EFE4">
      <w:pPr>
        <w:pageBreakBefore w:val="0"/>
        <w:kinsoku/>
        <w:wordWrap w:val="0"/>
        <w:bidi w:val="0"/>
        <w:spacing w:line="400" w:lineRule="atLeast"/>
        <w:ind w:firstLine="480" w:firstLineChars="200"/>
        <w:outlineLvl w:val="9"/>
        <w:rPr>
          <w:rFonts w:hint="eastAsia"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17.4.3在第1.1.4.5目约定的缺陷责任期满时，承包人没有完成缺陷责任的，发包人有权扣留与未履行责任剩余工作所需金额相应的质量保证金余额，并有权根据第19.3款约定要求延长缺陷责任期，直至完成剩余工作为止。</w:t>
      </w:r>
    </w:p>
    <w:p w14:paraId="31345AC5">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875" w:name="_Toc23313"/>
      <w:bookmarkStart w:id="876" w:name="_Toc26619"/>
      <w:bookmarkStart w:id="877" w:name="_Toc234833079"/>
      <w:bookmarkStart w:id="878" w:name="_Toc9754"/>
      <w:r>
        <w:rPr>
          <w:rFonts w:hint="default" w:ascii="Times New Roman" w:hAnsi="Times New Roman" w:eastAsia="黑体" w:cs="Times New Roman"/>
          <w:b w:val="0"/>
          <w:color w:val="auto"/>
          <w:sz w:val="24"/>
          <w:szCs w:val="24"/>
          <w:highlight w:val="none"/>
        </w:rPr>
        <w:t>17.5竣工结算</w:t>
      </w:r>
      <w:bookmarkEnd w:id="875"/>
      <w:bookmarkEnd w:id="876"/>
      <w:bookmarkEnd w:id="877"/>
      <w:bookmarkEnd w:id="878"/>
    </w:p>
    <w:p w14:paraId="31ECABC3">
      <w:pPr>
        <w:pageBreakBefore w:val="0"/>
        <w:kinsoku/>
        <w:wordWrap w:val="0"/>
        <w:bidi w:val="0"/>
        <w:spacing w:line="400" w:lineRule="atLeast"/>
        <w:ind w:firstLine="470" w:firstLineChars="196"/>
        <w:outlineLvl w:val="9"/>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17.5.1</w:t>
      </w:r>
      <w:r>
        <w:rPr>
          <w:rFonts w:hint="default" w:ascii="Times New Roman" w:hAnsi="Times New Roman" w:eastAsia="黑体" w:cs="Times New Roman"/>
          <w:color w:val="auto"/>
          <w:sz w:val="24"/>
          <w:highlight w:val="none"/>
        </w:rPr>
        <w:t>竣工付款申请单</w:t>
      </w:r>
    </w:p>
    <w:p w14:paraId="5D1F1A57">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工程接收证书颁发后，承包人应按专用合同条款约定的份数和期限向监理人提交竣工付款申请单，并提供相关证明材料。除专用合同条款另有约定外，竣工付款申请单应包括下列内容：竣工结算合同总价、发包人已支付承包人的工程价款、应扣留的质量保证金、应支付的竣工付款金额。</w:t>
      </w:r>
    </w:p>
    <w:p w14:paraId="3F6EA2E4">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（2）监理人对竣工付款申请单有异议的，有权要求承包人进行修正和提供补充资料。经监理人和承包人协商后，由承包人向监理人提交修正后的竣工付款申请单。</w:t>
      </w:r>
    </w:p>
    <w:p w14:paraId="55EAB5A9">
      <w:pPr>
        <w:pageBreakBefore w:val="0"/>
        <w:kinsoku/>
        <w:wordWrap w:val="0"/>
        <w:bidi w:val="0"/>
        <w:spacing w:line="400" w:lineRule="atLeast"/>
        <w:ind w:firstLine="470" w:firstLineChars="196"/>
        <w:outlineLvl w:val="9"/>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17.5.2</w:t>
      </w:r>
      <w:r>
        <w:rPr>
          <w:rFonts w:hint="default" w:ascii="Times New Roman" w:hAnsi="Times New Roman" w:eastAsia="黑体" w:cs="Times New Roman"/>
          <w:color w:val="auto"/>
          <w:sz w:val="24"/>
          <w:highlight w:val="none"/>
        </w:rPr>
        <w:t>竣工付款证书及支付时间</w:t>
      </w:r>
    </w:p>
    <w:p w14:paraId="4F9F6D74">
      <w:pPr>
        <w:pageBreakBefore w:val="0"/>
        <w:kinsoku/>
        <w:wordWrap w:val="0"/>
        <w:bidi w:val="0"/>
        <w:spacing w:line="400" w:lineRule="atLeast"/>
        <w:ind w:firstLine="470" w:firstLineChars="196"/>
        <w:outlineLvl w:val="9"/>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1）监理人在收到承包人提交的竣工付款申请单后的14天内完成核查，提出发包人到期应支付给承包人的价款送发包人审核并抄送承包人。发包人应在收到后14天内审核完毕，由监理人向承包人出具经发包人签认的竣工付款证书。监理人未在约定时间内核查，又未提出具体意见的，视为承包人提交的竣工付款申请单已经监理人核查同意；发包人未在约定时间内审核又未提出具体意见的，监理人提出发包人到期应支付给承包人的价款视为已经发包人同意。</w:t>
      </w:r>
    </w:p>
    <w:p w14:paraId="0D20CB2A">
      <w:pPr>
        <w:pageBreakBefore w:val="0"/>
        <w:kinsoku/>
        <w:wordWrap w:val="0"/>
        <w:bidi w:val="0"/>
        <w:spacing w:line="400" w:lineRule="atLeast"/>
        <w:ind w:firstLine="6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（2）发包人应在监理人出具竣工付款证书后的14天内，将应支付款支付给承包人。发包人不按期支付的，按第17.3.3（2）目的约定，将逾期付款违约金支付给承包人。</w:t>
      </w:r>
    </w:p>
    <w:p w14:paraId="5E38CC33">
      <w:pPr>
        <w:pageBreakBefore w:val="0"/>
        <w:kinsoku/>
        <w:wordWrap w:val="0"/>
        <w:bidi w:val="0"/>
        <w:spacing w:line="400" w:lineRule="atLeast"/>
        <w:ind w:firstLine="6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（3）承包人对发包人签认的竣工付款证书有异议的，发包人可出具竣工付款申请单中承包人已同意部分的临时付款证书。存在争议的部分，按第24条的约定办理。</w:t>
      </w:r>
    </w:p>
    <w:p w14:paraId="4A661219">
      <w:pPr>
        <w:pageBreakBefore w:val="0"/>
        <w:kinsoku/>
        <w:wordWrap w:val="0"/>
        <w:bidi w:val="0"/>
        <w:spacing w:line="400" w:lineRule="atLeast"/>
        <w:ind w:firstLine="6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（4）竣工付款涉及政府投资资金的，按第17.3.3（4）目的约定办理。</w:t>
      </w:r>
    </w:p>
    <w:p w14:paraId="67002C97">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879" w:name="_Toc3447"/>
      <w:bookmarkStart w:id="880" w:name="_Toc234833080"/>
      <w:bookmarkStart w:id="881" w:name="_Toc4427"/>
      <w:bookmarkStart w:id="882" w:name="_Toc1613"/>
      <w:r>
        <w:rPr>
          <w:rFonts w:hint="default" w:ascii="Times New Roman" w:hAnsi="Times New Roman" w:eastAsia="黑体" w:cs="Times New Roman"/>
          <w:b w:val="0"/>
          <w:color w:val="auto"/>
          <w:sz w:val="24"/>
          <w:szCs w:val="24"/>
          <w:highlight w:val="none"/>
        </w:rPr>
        <w:t>17.6最终结清</w:t>
      </w:r>
      <w:bookmarkEnd w:id="879"/>
      <w:bookmarkEnd w:id="880"/>
      <w:bookmarkEnd w:id="881"/>
      <w:bookmarkEnd w:id="882"/>
    </w:p>
    <w:p w14:paraId="4EE90083">
      <w:pPr>
        <w:pageBreakBefore w:val="0"/>
        <w:kinsoku/>
        <w:wordWrap w:val="0"/>
        <w:bidi w:val="0"/>
        <w:spacing w:line="400" w:lineRule="atLeast"/>
        <w:ind w:firstLine="470" w:firstLineChars="196"/>
        <w:outlineLvl w:val="9"/>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17.6.1</w:t>
      </w:r>
      <w:r>
        <w:rPr>
          <w:rFonts w:hint="default" w:ascii="Times New Roman" w:hAnsi="Times New Roman" w:eastAsia="黑体" w:cs="Times New Roman"/>
          <w:color w:val="auto"/>
          <w:sz w:val="24"/>
          <w:highlight w:val="none"/>
        </w:rPr>
        <w:t>最终结清申请单</w:t>
      </w:r>
    </w:p>
    <w:p w14:paraId="36BE3071">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（1）缺陷责任期终止证书签发后，承包人可按专用合同条款约定的份数和期限向监理人提交最终结清申请单，并提供相关证明材料。</w:t>
      </w:r>
    </w:p>
    <w:p w14:paraId="612536B6">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（2）发包人对最终结清申请单内容有异议的，有权要求承包人进行修正和提供补充资料，由承包人向监理人提交修正后的最终结清申请单。</w:t>
      </w:r>
    </w:p>
    <w:p w14:paraId="11C6E37A">
      <w:pPr>
        <w:pageBreakBefore w:val="0"/>
        <w:kinsoku/>
        <w:wordWrap w:val="0"/>
        <w:bidi w:val="0"/>
        <w:spacing w:line="400" w:lineRule="atLeast"/>
        <w:ind w:firstLine="470" w:firstLineChars="196"/>
        <w:outlineLvl w:val="9"/>
        <w:rPr>
          <w:rFonts w:hint="eastAsia" w:ascii="Times New Roman" w:hAnsi="Times New Roman" w:eastAsia="黑体" w:cs="Times New Roman"/>
          <w:color w:val="auto"/>
          <w:sz w:val="24"/>
          <w:highlight w:val="none"/>
          <w:lang w:eastAsia="zh-CN"/>
        </w:rPr>
      </w:pPr>
      <w:r>
        <w:rPr>
          <w:rFonts w:hint="default" w:ascii="Times New Roman" w:hAnsi="Times New Roman" w:cs="Times New Roman"/>
          <w:color w:val="auto"/>
          <w:sz w:val="24"/>
          <w:highlight w:val="none"/>
        </w:rPr>
        <w:t>17.6.2</w:t>
      </w:r>
      <w:r>
        <w:rPr>
          <w:rFonts w:hint="default" w:ascii="Times New Roman" w:hAnsi="Times New Roman" w:eastAsia="黑体" w:cs="Times New Roman"/>
          <w:color w:val="auto"/>
          <w:sz w:val="24"/>
          <w:highlight w:val="none"/>
        </w:rPr>
        <w:t>最终结清证书和支付时间</w:t>
      </w:r>
    </w:p>
    <w:p w14:paraId="086E4AD7">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监理人收到承包人提交的最终结清申请单后的14天内，提出发包人应支付给承包人的价款送发包人审核并抄送承包人。发包人应在收到后14天内审核完毕，由监理人向承包人出具经发包人签认的最终结清证书。监理人未在约定时间内核查，又未提出具体意见的，视为承包人提交的最终结清申请单已经监理人核查同意；发包人未在约定时间内审核又未提出具体意见的，监理人提出应支付给承包人的价款视为已经发包人同意。</w:t>
      </w:r>
    </w:p>
    <w:p w14:paraId="13EAE517">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（2）发包人应在监理人出具最终结清证书后的14天内，将应支付款支付给承包人。发包人不按期支付的，按第17.3.3（2）目的约定，将逾期付款违约金支付给承包人。</w:t>
      </w:r>
    </w:p>
    <w:p w14:paraId="04FBDE73">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（3）承包人对发包人签认的最终结清证书有异议的，按第24条的约定办理。</w:t>
      </w:r>
    </w:p>
    <w:p w14:paraId="2A096F70">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（4）最终结清付款涉及政府投资资金的，按第17.3.3（4）目的约定办理。</w:t>
      </w:r>
    </w:p>
    <w:p w14:paraId="340F40BB">
      <w:pPr>
        <w:pageBreakBefore w:val="0"/>
        <w:kinsoku/>
        <w:wordWrap w:val="0"/>
        <w:bidi w:val="0"/>
        <w:spacing w:before="480" w:after="240" w:line="380" w:lineRule="atLeast"/>
        <w:outlineLvl w:val="9"/>
        <w:rPr>
          <w:rFonts w:hint="default" w:ascii="Times New Roman" w:hAnsi="Times New Roman" w:eastAsia="黑体" w:cs="Times New Roman"/>
          <w:b w:val="0"/>
          <w:color w:val="auto"/>
          <w:sz w:val="28"/>
          <w:szCs w:val="28"/>
          <w:highlight w:val="none"/>
        </w:rPr>
      </w:pPr>
      <w:bookmarkStart w:id="883" w:name="_Toc31279"/>
      <w:bookmarkStart w:id="884" w:name="_Toc13751"/>
      <w:bookmarkStart w:id="885" w:name="_Toc234833081"/>
      <w:bookmarkStart w:id="886" w:name="_Toc1653"/>
      <w:r>
        <w:rPr>
          <w:rFonts w:hint="default" w:ascii="Times New Roman" w:hAnsi="Times New Roman" w:eastAsia="黑体" w:cs="Times New Roman"/>
          <w:b w:val="0"/>
          <w:color w:val="auto"/>
          <w:sz w:val="28"/>
          <w:szCs w:val="28"/>
          <w:highlight w:val="none"/>
        </w:rPr>
        <w:t>18.竣工验收</w:t>
      </w:r>
      <w:bookmarkEnd w:id="883"/>
      <w:bookmarkEnd w:id="884"/>
      <w:bookmarkEnd w:id="885"/>
      <w:bookmarkEnd w:id="886"/>
    </w:p>
    <w:p w14:paraId="639FDFB8">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887" w:name="_Toc10071"/>
      <w:bookmarkStart w:id="888" w:name="_Toc14256"/>
      <w:bookmarkStart w:id="889" w:name="_Toc11052"/>
      <w:bookmarkStart w:id="890" w:name="_Toc234833082"/>
      <w:r>
        <w:rPr>
          <w:rFonts w:hint="default" w:ascii="Times New Roman" w:hAnsi="Times New Roman" w:eastAsia="黑体" w:cs="Times New Roman"/>
          <w:b w:val="0"/>
          <w:color w:val="auto"/>
          <w:sz w:val="24"/>
          <w:szCs w:val="24"/>
          <w:highlight w:val="none"/>
        </w:rPr>
        <w:t>18.1竣工验收的含义</w:t>
      </w:r>
      <w:bookmarkEnd w:id="887"/>
      <w:bookmarkEnd w:id="888"/>
      <w:bookmarkEnd w:id="889"/>
      <w:bookmarkEnd w:id="890"/>
    </w:p>
    <w:p w14:paraId="61077F67">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18.1.1竣工验收指承包人完成了全部合同工作后，发包人按合同要求进行的验收。</w:t>
      </w:r>
    </w:p>
    <w:p w14:paraId="7EFD7B54">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18.1.2国家验收是政府有关部门根据法律、规范、规程和政策要求，针对发包人全面组织实施的整个工程正式交付投运前的验收。</w:t>
      </w:r>
    </w:p>
    <w:p w14:paraId="471C8EF9">
      <w:pPr>
        <w:pageBreakBefore w:val="0"/>
        <w:kinsoku/>
        <w:wordWrap w:val="0"/>
        <w:bidi w:val="0"/>
        <w:spacing w:line="400" w:lineRule="atLeast"/>
        <w:ind w:firstLine="480" w:firstLineChars="200"/>
        <w:outlineLvl w:val="9"/>
        <w:rPr>
          <w:rFonts w:hint="eastAsia"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18.1.3需要进行国家验收的，竣工验收是国家验收的一部分。竣工验收所采用的各项验收和评定标准应符合国家验收标准。发包人和承包人为竣工验收提供的各项竣工验收资料应符合国家验收的要求。</w:t>
      </w:r>
    </w:p>
    <w:p w14:paraId="3EA8B6EF">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891" w:name="_Toc9365"/>
      <w:bookmarkStart w:id="892" w:name="_Toc234833083"/>
      <w:bookmarkStart w:id="893" w:name="_Toc25249"/>
      <w:bookmarkStart w:id="894" w:name="_Toc11221"/>
      <w:r>
        <w:rPr>
          <w:rFonts w:hint="default" w:ascii="Times New Roman" w:hAnsi="Times New Roman" w:eastAsia="黑体" w:cs="Times New Roman"/>
          <w:b w:val="0"/>
          <w:color w:val="auto"/>
          <w:sz w:val="24"/>
          <w:szCs w:val="24"/>
          <w:highlight w:val="none"/>
        </w:rPr>
        <w:t>18.2竣工验收申请报告</w:t>
      </w:r>
      <w:bookmarkEnd w:id="891"/>
      <w:bookmarkEnd w:id="892"/>
      <w:bookmarkEnd w:id="893"/>
      <w:bookmarkEnd w:id="894"/>
    </w:p>
    <w:p w14:paraId="1EBF23F5">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当工程具备以下条件时，承包人即可向监理人报送竣工验收申请报告：</w:t>
      </w:r>
    </w:p>
    <w:p w14:paraId="3D61D4F6">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（1）除监理人同意列入缺陷责任期内完成的尾工（甩项）工程和缺陷修补工作外，合同范围内的全部单位工程以及有关工作，包括合同要求的试验、试运行以及检验和验收均已完成，并符合合同要求；</w:t>
      </w:r>
    </w:p>
    <w:p w14:paraId="2EADE62B">
      <w:pPr>
        <w:pageBreakBefore w:val="0"/>
        <w:kinsoku/>
        <w:wordWrap w:val="0"/>
        <w:bidi w:val="0"/>
        <w:spacing w:line="400" w:lineRule="atLeast"/>
        <w:ind w:firstLine="480" w:firstLineChars="200"/>
        <w:outlineLvl w:val="9"/>
        <w:rPr>
          <w:rFonts w:hint="eastAsia"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（2）已按合同约定的内容和份数备齐了符合要求的竣工资料；</w:t>
      </w:r>
    </w:p>
    <w:p w14:paraId="0498FA59">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（3）已按监理人的要求编制了在缺陷责任期内完成的尾工（甩项）工程和缺陷修补工作清单以及相应施工计划；</w:t>
      </w:r>
    </w:p>
    <w:p w14:paraId="4C187E48">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（4）监理人要求在竣工验收前应完成的其他工作；</w:t>
      </w:r>
    </w:p>
    <w:p w14:paraId="3781E67A">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（5）监理人要求提交的竣工验收资料清单。</w:t>
      </w:r>
    </w:p>
    <w:p w14:paraId="5ADE14FE">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895" w:name="_Toc234833084"/>
      <w:bookmarkStart w:id="896" w:name="_Toc25904"/>
      <w:bookmarkStart w:id="897" w:name="_Toc11295"/>
      <w:bookmarkStart w:id="898" w:name="_Toc18269"/>
      <w:r>
        <w:rPr>
          <w:rFonts w:hint="default" w:ascii="Times New Roman" w:hAnsi="Times New Roman" w:eastAsia="黑体" w:cs="Times New Roman"/>
          <w:b w:val="0"/>
          <w:color w:val="auto"/>
          <w:sz w:val="24"/>
          <w:szCs w:val="24"/>
          <w:highlight w:val="none"/>
        </w:rPr>
        <w:t>18.3验收</w:t>
      </w:r>
      <w:bookmarkEnd w:id="895"/>
      <w:bookmarkEnd w:id="896"/>
      <w:bookmarkEnd w:id="897"/>
      <w:bookmarkEnd w:id="898"/>
    </w:p>
    <w:p w14:paraId="46B2E252">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监理人收到承包人按第18.2款约定提交的竣工验收申请报告后，应审查申请报告的各项内容，并按以下不同情况进行处理。</w:t>
      </w:r>
    </w:p>
    <w:p w14:paraId="24D04DD7">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18.3.1监理人审查后认为尚不具备竣工验收条件的，应在收到竣工验收申请报告后的28天内通知承包人，指出在颁发接收证书前承包人还需进行的工作内容。承包人完成监理人通知的全部工作内容后，应再次提交竣工验收申请报告，直至监理人同意为止。</w:t>
      </w:r>
    </w:p>
    <w:p w14:paraId="38089AB0">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18.3.2监理人审查后认为已具备竣工验收条件的，应在收到竣工验收申请报告后的28天内提请发包人进行工程验收。</w:t>
      </w:r>
    </w:p>
    <w:p w14:paraId="573CDC64">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18.3.3发包人经过验收后同意接收工程的，应在监理人收到竣工验收申请报告后的56天内，由监理人向承包人出具经发包人签认的工程接收证书。发包人验收后同意接收工程但提出整修和完善要求的，限期修好，并缓发工程接收证书。整修和完善工作完成后，监理人复查达到要求的，经发包人同意后，再向承包人出具工程接收证书。</w:t>
      </w:r>
    </w:p>
    <w:p w14:paraId="21D89D0F">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18.3.4发包人验收后不同意接收工程的，监理人应按照发包人的验收意见发出指示，要求承包人对不合格工程认真返工重作或进行补救处理，并承担由此产生的费用。承包人在完成不合格工程的返工重作或补救工作后，应重新提交竣工验收申请报告，按第18.3.1项、第18.3.2项和第18.3.3项的约定进行。</w:t>
      </w:r>
    </w:p>
    <w:p w14:paraId="6801F570">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18.3.5除专用合同条款另有约定外，经验收合格工程的实际竣工日期，以提交竣工验收申请报告的日期为准，并在工程接收证书中写明。</w:t>
      </w:r>
    </w:p>
    <w:p w14:paraId="4BF4C9C9">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18.3.6发包人在收到承包人竣工验收申请报告56天后未进行验收的，视为验收合格，实际竣工日期以提交竣工验收申请报告的日期为准，但发包人由于不可抗力不能进行验收的除外。</w:t>
      </w:r>
    </w:p>
    <w:p w14:paraId="63F21DF9">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899" w:name="_Toc21157"/>
      <w:bookmarkStart w:id="900" w:name="_Toc11852"/>
      <w:bookmarkStart w:id="901" w:name="_Toc234833085"/>
      <w:bookmarkStart w:id="902" w:name="_Toc7791"/>
      <w:r>
        <w:rPr>
          <w:rFonts w:hint="default" w:ascii="Times New Roman" w:hAnsi="Times New Roman" w:eastAsia="黑体" w:cs="Times New Roman"/>
          <w:b w:val="0"/>
          <w:color w:val="auto"/>
          <w:sz w:val="24"/>
          <w:szCs w:val="24"/>
          <w:highlight w:val="none"/>
        </w:rPr>
        <w:t>18.4单位工程验收</w:t>
      </w:r>
      <w:bookmarkEnd w:id="899"/>
      <w:bookmarkEnd w:id="900"/>
      <w:bookmarkEnd w:id="901"/>
      <w:bookmarkEnd w:id="902"/>
    </w:p>
    <w:p w14:paraId="5FADC80B">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eastAsia="黑体" w:cs="Times New Roman"/>
          <w:color w:val="auto"/>
          <w:sz w:val="24"/>
          <w:highlight w:val="none"/>
        </w:rPr>
        <w:t>18.4.1</w:t>
      </w:r>
      <w:r>
        <w:rPr>
          <w:rFonts w:hint="default" w:ascii="Times New Roman" w:hAnsi="Times New Roman" w:cs="Times New Roman"/>
          <w:color w:val="auto"/>
          <w:sz w:val="24"/>
          <w:highlight w:val="none"/>
        </w:rPr>
        <w:t>发包人根据合同进度计划安排，在全部工程竣工前需要使用已经竣工的单位工程时，或承包人提出经发包人同意时，可进行单位工程验收。验收的程序可参照第18.2款与第18.3款的约定进行。验收合格后，由监理人向承包人出具经发包人签认的单位工程验收证书。已签发单位工程接收证书的单位工程由发包人负责照管。单位工程的验收成果和结论作为全部工程竣工验收申请报告的附件。</w:t>
      </w:r>
    </w:p>
    <w:p w14:paraId="7CC7E68E">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18.4.2发包人在全部工程竣工前，使用已接收的单位工程导致承包人费用增加的，发包人应承担由此增加的费用和（或）工期延误，并支付承包人合理利润。</w:t>
      </w:r>
    </w:p>
    <w:p w14:paraId="557EEE21">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903" w:name="_Toc28737"/>
      <w:bookmarkStart w:id="904" w:name="_Toc15835"/>
      <w:bookmarkStart w:id="905" w:name="_Toc234833086"/>
      <w:bookmarkStart w:id="906" w:name="_Toc28198"/>
      <w:r>
        <w:rPr>
          <w:rFonts w:hint="default" w:ascii="Times New Roman" w:hAnsi="Times New Roman" w:eastAsia="黑体" w:cs="Times New Roman"/>
          <w:b w:val="0"/>
          <w:color w:val="auto"/>
          <w:sz w:val="24"/>
          <w:szCs w:val="24"/>
          <w:highlight w:val="none"/>
        </w:rPr>
        <w:t>18.5施工期运行</w:t>
      </w:r>
      <w:bookmarkEnd w:id="903"/>
      <w:bookmarkEnd w:id="904"/>
      <w:bookmarkEnd w:id="905"/>
      <w:bookmarkEnd w:id="906"/>
    </w:p>
    <w:p w14:paraId="319D309D">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18.5.1施工期运行是指合同工程尚未全部竣工，其中某项或某几项单位工程或工程设备安装已竣工，根据专用合同条款约定，需要投入施工期运行的，经发包人按第18.4款的约定验收合格，证明能确保安全后，才能在施工期投入运行。</w:t>
      </w:r>
    </w:p>
    <w:p w14:paraId="178A0C3C">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18.5.2在施工期运行中发现工程或工程设备损坏或存在缺陷的，由承包人按第19.2款约定进行修复。</w:t>
      </w:r>
    </w:p>
    <w:p w14:paraId="3BEC3B74">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907" w:name="_Toc19050"/>
      <w:bookmarkStart w:id="908" w:name="_Toc234833087"/>
      <w:bookmarkStart w:id="909" w:name="_Toc27512"/>
      <w:bookmarkStart w:id="910" w:name="_Toc21844"/>
      <w:r>
        <w:rPr>
          <w:rFonts w:hint="default" w:ascii="Times New Roman" w:hAnsi="Times New Roman" w:eastAsia="黑体" w:cs="Times New Roman"/>
          <w:b w:val="0"/>
          <w:color w:val="auto"/>
          <w:sz w:val="24"/>
          <w:szCs w:val="24"/>
          <w:highlight w:val="none"/>
        </w:rPr>
        <w:t>18.6试运行</w:t>
      </w:r>
      <w:bookmarkEnd w:id="907"/>
      <w:bookmarkEnd w:id="908"/>
      <w:bookmarkEnd w:id="909"/>
      <w:bookmarkEnd w:id="910"/>
    </w:p>
    <w:p w14:paraId="6A248B41">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18.6.1除专用合同条款另有约定外，承包人应按专用合同条款约定进行工程及工程设备试运行，负责提供试运行所需的人员、器材和必要的条件，并承担全部试运行费用。</w:t>
      </w:r>
    </w:p>
    <w:p w14:paraId="0F0084DB">
      <w:pPr>
        <w:pageBreakBefore w:val="0"/>
        <w:kinsoku/>
        <w:wordWrap w:val="0"/>
        <w:bidi w:val="0"/>
        <w:spacing w:line="400" w:lineRule="atLeast"/>
        <w:ind w:firstLine="480" w:firstLineChars="200"/>
        <w:outlineLvl w:val="9"/>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18.6.2由于承包人的原因导致试运行失败的，承包人应采取措施保证试运行合格，并承担相应费用。由于发包人的原因导致试运行失败的，承包人应当采取措施保证试运行合格，发包人应承担由此产生的费用，并支付承包人合理利润。</w:t>
      </w:r>
    </w:p>
    <w:p w14:paraId="11DF0F2F">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911" w:name="_Toc13521"/>
      <w:bookmarkStart w:id="912" w:name="_Toc234833088"/>
      <w:bookmarkStart w:id="913" w:name="_Toc14071"/>
      <w:bookmarkStart w:id="914" w:name="_Toc22550"/>
      <w:r>
        <w:rPr>
          <w:rFonts w:hint="default" w:ascii="Times New Roman" w:hAnsi="Times New Roman" w:eastAsia="黑体" w:cs="Times New Roman"/>
          <w:b w:val="0"/>
          <w:color w:val="auto"/>
          <w:sz w:val="24"/>
          <w:szCs w:val="24"/>
          <w:highlight w:val="none"/>
        </w:rPr>
        <w:t>18.7竣工清场</w:t>
      </w:r>
      <w:bookmarkEnd w:id="911"/>
      <w:bookmarkEnd w:id="912"/>
      <w:bookmarkEnd w:id="913"/>
      <w:bookmarkEnd w:id="914"/>
    </w:p>
    <w:p w14:paraId="62325076">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18.7.1除合同另有约定外，工程接收证书颁发后，承包人应按以下要求对施工场地进行清理，直至监理人检验合格为止。竣工清场费用由承包人承担。</w:t>
      </w:r>
    </w:p>
    <w:p w14:paraId="74ACF30C">
      <w:pPr>
        <w:pageBreakBefore w:val="0"/>
        <w:kinsoku/>
        <w:wordWrap w:val="0"/>
        <w:bidi w:val="0"/>
        <w:spacing w:line="400" w:lineRule="atLeast"/>
        <w:ind w:firstLine="650" w:firstLineChars="271"/>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（1）施工场地内残留的垃圾已全部清除出场；</w:t>
      </w:r>
    </w:p>
    <w:p w14:paraId="2F3EDEA7">
      <w:pPr>
        <w:pageBreakBefore w:val="0"/>
        <w:kinsoku/>
        <w:wordWrap w:val="0"/>
        <w:bidi w:val="0"/>
        <w:spacing w:line="400" w:lineRule="atLeast"/>
        <w:ind w:firstLine="650" w:firstLineChars="271"/>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（2）临时工程已拆除，场地已按合同要求进行清理、平整或复原；</w:t>
      </w:r>
    </w:p>
    <w:p w14:paraId="699CD41F">
      <w:pPr>
        <w:pageBreakBefore w:val="0"/>
        <w:kinsoku/>
        <w:wordWrap w:val="0"/>
        <w:bidi w:val="0"/>
        <w:spacing w:line="400" w:lineRule="atLeast"/>
        <w:ind w:firstLine="650" w:firstLineChars="271"/>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（3）按合同约定应撤离的承包人设备和剩余的材料，包括废弃的施工设备和材料，已按计划撤离施工场地；</w:t>
      </w:r>
    </w:p>
    <w:p w14:paraId="1B2FC8B5">
      <w:pPr>
        <w:pageBreakBefore w:val="0"/>
        <w:kinsoku/>
        <w:wordWrap w:val="0"/>
        <w:bidi w:val="0"/>
        <w:spacing w:line="400" w:lineRule="atLeast"/>
        <w:ind w:firstLine="650" w:firstLineChars="271"/>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（4）工程建筑物周边及其附近道路、河道的施工堆积物，已按监理人指示全部清理；</w:t>
      </w:r>
    </w:p>
    <w:p w14:paraId="3351419E">
      <w:pPr>
        <w:pageBreakBefore w:val="0"/>
        <w:kinsoku/>
        <w:wordWrap w:val="0"/>
        <w:bidi w:val="0"/>
        <w:spacing w:line="400" w:lineRule="atLeast"/>
        <w:ind w:firstLine="650" w:firstLineChars="271"/>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（5）监理人指示的其他场地清理工作已全部完成。</w:t>
      </w:r>
    </w:p>
    <w:p w14:paraId="3AEEACEA">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18.7.2承包人未按监理人的要求恢复临时占地，或者场地清理未达到合同约定的，发包人有权委托其他人恢复或清理，所发生的金额从拟支付给承包人的款项中扣除。</w:t>
      </w:r>
    </w:p>
    <w:p w14:paraId="5FE22C97">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915" w:name="_Toc14033"/>
      <w:bookmarkStart w:id="916" w:name="_Toc23526"/>
      <w:bookmarkStart w:id="917" w:name="_Toc5042"/>
      <w:bookmarkStart w:id="918" w:name="_Toc234833089"/>
      <w:r>
        <w:rPr>
          <w:rFonts w:hint="default" w:ascii="Times New Roman" w:hAnsi="Times New Roman" w:eastAsia="黑体" w:cs="Times New Roman"/>
          <w:b w:val="0"/>
          <w:color w:val="auto"/>
          <w:sz w:val="24"/>
          <w:szCs w:val="24"/>
          <w:highlight w:val="none"/>
        </w:rPr>
        <w:t>18.8施工队伍的撤离</w:t>
      </w:r>
      <w:bookmarkEnd w:id="915"/>
      <w:bookmarkEnd w:id="916"/>
      <w:bookmarkEnd w:id="917"/>
      <w:bookmarkEnd w:id="918"/>
    </w:p>
    <w:p w14:paraId="3227E8B5">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工程接收证书颁发后的56天内，除了经监理人同意需在缺陷责任期内继续工作和使用的人员、施工设备和临时工程外，其余的人员、施工设备和临时工程均应撤离施工场地或拆除。除合同另有约定外，缺陷责任期满时，承包人的人员和施工设备应全部撤离施工场地。</w:t>
      </w:r>
    </w:p>
    <w:p w14:paraId="45311212">
      <w:pPr>
        <w:pageBreakBefore w:val="0"/>
        <w:kinsoku/>
        <w:wordWrap w:val="0"/>
        <w:bidi w:val="0"/>
        <w:spacing w:before="480" w:after="240" w:line="380" w:lineRule="atLeast"/>
        <w:outlineLvl w:val="9"/>
        <w:rPr>
          <w:rFonts w:hint="default" w:ascii="Times New Roman" w:hAnsi="Times New Roman" w:eastAsia="黑体" w:cs="Times New Roman"/>
          <w:b w:val="0"/>
          <w:color w:val="auto"/>
          <w:sz w:val="28"/>
          <w:szCs w:val="28"/>
          <w:highlight w:val="none"/>
        </w:rPr>
      </w:pPr>
      <w:bookmarkStart w:id="919" w:name="_Toc2492"/>
      <w:bookmarkStart w:id="920" w:name="_Toc234833090"/>
      <w:bookmarkStart w:id="921" w:name="_Toc2434"/>
      <w:bookmarkStart w:id="922" w:name="_Toc11982"/>
      <w:r>
        <w:rPr>
          <w:rFonts w:hint="default" w:ascii="Times New Roman" w:hAnsi="Times New Roman" w:eastAsia="黑体" w:cs="Times New Roman"/>
          <w:b w:val="0"/>
          <w:color w:val="auto"/>
          <w:sz w:val="28"/>
          <w:szCs w:val="28"/>
          <w:highlight w:val="none"/>
        </w:rPr>
        <w:t>19.缺陷责任与保修责任</w:t>
      </w:r>
      <w:bookmarkEnd w:id="919"/>
      <w:bookmarkEnd w:id="920"/>
      <w:bookmarkEnd w:id="921"/>
      <w:bookmarkEnd w:id="922"/>
    </w:p>
    <w:p w14:paraId="54FE2C99">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923" w:name="_Toc26824"/>
      <w:bookmarkStart w:id="924" w:name="_Toc234833091"/>
      <w:bookmarkStart w:id="925" w:name="_Toc21347"/>
      <w:bookmarkStart w:id="926" w:name="_Toc28348"/>
      <w:r>
        <w:rPr>
          <w:rFonts w:hint="default" w:ascii="Times New Roman" w:hAnsi="Times New Roman" w:eastAsia="黑体" w:cs="Times New Roman"/>
          <w:b w:val="0"/>
          <w:color w:val="auto"/>
          <w:sz w:val="24"/>
          <w:szCs w:val="24"/>
          <w:highlight w:val="none"/>
        </w:rPr>
        <w:t>19.1缺陷责任期的起算时间</w:t>
      </w:r>
      <w:bookmarkEnd w:id="923"/>
      <w:bookmarkEnd w:id="924"/>
      <w:bookmarkEnd w:id="925"/>
      <w:bookmarkEnd w:id="926"/>
    </w:p>
    <w:p w14:paraId="1ED3CD6F">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缺陷责任期自实际竣工日期起计算。在全部工程竣工验收前，已经发包人提前验收的单位工程，其缺陷责任期的起算日期相应提前。</w:t>
      </w:r>
    </w:p>
    <w:p w14:paraId="4B8765E5">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927" w:name="_Toc18931"/>
      <w:bookmarkStart w:id="928" w:name="_Toc234833092"/>
      <w:bookmarkStart w:id="929" w:name="_Toc23702"/>
      <w:bookmarkStart w:id="930" w:name="_Toc17874"/>
      <w:r>
        <w:rPr>
          <w:rFonts w:hint="default" w:ascii="Times New Roman" w:hAnsi="Times New Roman" w:eastAsia="黑体" w:cs="Times New Roman"/>
          <w:b w:val="0"/>
          <w:color w:val="auto"/>
          <w:sz w:val="24"/>
          <w:szCs w:val="24"/>
          <w:highlight w:val="none"/>
        </w:rPr>
        <w:t>19.2缺陷责任</w:t>
      </w:r>
      <w:bookmarkEnd w:id="927"/>
      <w:bookmarkEnd w:id="928"/>
      <w:bookmarkEnd w:id="929"/>
      <w:bookmarkEnd w:id="930"/>
    </w:p>
    <w:p w14:paraId="1148CCB3">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19.2.1承包人应在缺陷责任期内对已交付使用的工程承担缺陷责任。</w:t>
      </w:r>
    </w:p>
    <w:p w14:paraId="37EB852D">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19.2.2缺陷责任期内，发包人对已接收使用的工程负责日常维护工作。发包人在使用过程中，发现已接收的工程存在新的缺陷或已修复的缺陷部位或部件又遭损坏的，承包人应负责修复，直至检验合格为止。</w:t>
      </w:r>
    </w:p>
    <w:p w14:paraId="3FF8DCBE">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19.2.3监理人和承包人应共同查清缺陷和（或）损坏的原因。经查明属承包人原因造成的，应由承包人承担修复和查验的费用。经查验属发包人原因造成的，发包人应承担修复和查验的费用，并支付承包人合理利润。</w:t>
      </w:r>
    </w:p>
    <w:p w14:paraId="6F507131">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19.2.4承包人不能在合理时间内修复缺陷的，发包人可自行修复或委托其他人修复，所需费用和利润的承担，按第19.2.3项约定办理。</w:t>
      </w:r>
    </w:p>
    <w:p w14:paraId="4A9E44CC">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931" w:name="_Toc28473"/>
      <w:bookmarkStart w:id="932" w:name="_Toc26044"/>
      <w:bookmarkStart w:id="933" w:name="_Toc4363"/>
      <w:bookmarkStart w:id="934" w:name="_Toc234833093"/>
      <w:r>
        <w:rPr>
          <w:rFonts w:hint="default" w:ascii="Times New Roman" w:hAnsi="Times New Roman" w:eastAsia="黑体" w:cs="Times New Roman"/>
          <w:b w:val="0"/>
          <w:color w:val="auto"/>
          <w:sz w:val="24"/>
          <w:szCs w:val="24"/>
          <w:highlight w:val="none"/>
        </w:rPr>
        <w:t>19.3缺陷责任期的延长</w:t>
      </w:r>
      <w:bookmarkEnd w:id="931"/>
      <w:bookmarkEnd w:id="932"/>
      <w:bookmarkEnd w:id="933"/>
      <w:bookmarkEnd w:id="934"/>
    </w:p>
    <w:p w14:paraId="0DFFD446">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由于承包人原因造成某项缺陷或损坏使某项工程或工程设备不能按原定目标使用而需要再次检查、检验和修复的，发包人有权要求承包人相应延长缺陷责任期，但缺陷责任期最长不超过2年。</w:t>
      </w:r>
    </w:p>
    <w:p w14:paraId="15A5A2CE">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935" w:name="_Toc10764"/>
      <w:bookmarkStart w:id="936" w:name="_Toc15365"/>
      <w:bookmarkStart w:id="937" w:name="_Toc722"/>
      <w:bookmarkStart w:id="938" w:name="_Toc234833094"/>
      <w:r>
        <w:rPr>
          <w:rFonts w:hint="default" w:ascii="Times New Roman" w:hAnsi="Times New Roman" w:eastAsia="黑体" w:cs="Times New Roman"/>
          <w:b w:val="0"/>
          <w:color w:val="auto"/>
          <w:sz w:val="24"/>
          <w:szCs w:val="24"/>
          <w:highlight w:val="none"/>
        </w:rPr>
        <w:t>19.4进一步试验和试运行</w:t>
      </w:r>
      <w:bookmarkEnd w:id="935"/>
      <w:bookmarkEnd w:id="936"/>
      <w:bookmarkEnd w:id="937"/>
      <w:bookmarkEnd w:id="938"/>
    </w:p>
    <w:p w14:paraId="71505749">
      <w:pPr>
        <w:pageBreakBefore w:val="0"/>
        <w:kinsoku/>
        <w:wordWrap w:val="0"/>
        <w:bidi w:val="0"/>
        <w:spacing w:line="400" w:lineRule="atLeast"/>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任何一项缺陷或损坏修复后，经检查证明其影响了工程或工程设备的使用性能，承包人应重新进行合同约定的试验和试运行，试验和试运行的全部费用应由责任方承担。</w:t>
      </w:r>
    </w:p>
    <w:p w14:paraId="24D0675F">
      <w:pPr>
        <w:pageBreakBefore w:val="0"/>
        <w:kinsoku/>
        <w:wordWrap w:val="0"/>
        <w:bidi w:val="0"/>
        <w:spacing w:before="240" w:after="240" w:line="380" w:lineRule="atLeast"/>
        <w:outlineLvl w:val="9"/>
        <w:rPr>
          <w:rFonts w:hint="eastAsia" w:ascii="Times New Roman" w:hAnsi="Times New Roman" w:eastAsia="黑体" w:cs="Times New Roman"/>
          <w:b w:val="0"/>
          <w:color w:val="auto"/>
          <w:sz w:val="24"/>
          <w:szCs w:val="24"/>
          <w:highlight w:val="none"/>
          <w:lang w:eastAsia="zh-CN"/>
        </w:rPr>
      </w:pPr>
      <w:bookmarkStart w:id="939" w:name="_Toc1336"/>
      <w:bookmarkStart w:id="940" w:name="_Toc234833095"/>
      <w:bookmarkStart w:id="941" w:name="_Toc5095"/>
      <w:bookmarkStart w:id="942" w:name="_Toc31117"/>
      <w:r>
        <w:rPr>
          <w:rFonts w:hint="default" w:ascii="Times New Roman" w:hAnsi="Times New Roman" w:eastAsia="黑体" w:cs="Times New Roman"/>
          <w:b w:val="0"/>
          <w:color w:val="auto"/>
          <w:sz w:val="24"/>
          <w:szCs w:val="24"/>
          <w:highlight w:val="none"/>
        </w:rPr>
        <w:t>19.5承包人的进入权</w:t>
      </w:r>
      <w:bookmarkEnd w:id="939"/>
      <w:bookmarkEnd w:id="940"/>
      <w:bookmarkEnd w:id="941"/>
      <w:bookmarkEnd w:id="942"/>
    </w:p>
    <w:p w14:paraId="5A72FDEC">
      <w:pPr>
        <w:pageBreakBefore w:val="0"/>
        <w:kinsoku/>
        <w:wordWrap w:val="0"/>
        <w:bidi w:val="0"/>
        <w:spacing w:line="400" w:lineRule="atLeast"/>
        <w:ind w:firstLine="435"/>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缺陷责任期内承包人为缺陷修复工作需要，有权进入工程现场，但应遵守发包人的保安和保密规定。</w:t>
      </w:r>
    </w:p>
    <w:p w14:paraId="4FA4872F">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943" w:name="_Toc2337"/>
      <w:bookmarkStart w:id="944" w:name="_Toc234833096"/>
      <w:bookmarkStart w:id="945" w:name="_Toc12330"/>
      <w:bookmarkStart w:id="946" w:name="_Toc10078"/>
      <w:r>
        <w:rPr>
          <w:rFonts w:hint="default" w:ascii="Times New Roman" w:hAnsi="Times New Roman" w:eastAsia="黑体" w:cs="Times New Roman"/>
          <w:b w:val="0"/>
          <w:color w:val="auto"/>
          <w:sz w:val="24"/>
          <w:szCs w:val="24"/>
          <w:highlight w:val="none"/>
        </w:rPr>
        <w:t>19.6缺陷责任期终止证书</w:t>
      </w:r>
      <w:bookmarkEnd w:id="943"/>
      <w:bookmarkEnd w:id="944"/>
      <w:bookmarkEnd w:id="945"/>
      <w:bookmarkEnd w:id="946"/>
    </w:p>
    <w:p w14:paraId="5EC578B5">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在第1.1.4.5目约定的缺陷责任期，包括根据第19.3款延长的期限终止后14天内，由监理人向承包人出具经发包人签认的缺陷责任期终止证书，并退还剩余的质量保证金。</w:t>
      </w:r>
    </w:p>
    <w:p w14:paraId="5079685D">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947" w:name="_Toc19867"/>
      <w:bookmarkStart w:id="948" w:name="_Toc234833097"/>
      <w:bookmarkStart w:id="949" w:name="_Toc19327"/>
      <w:bookmarkStart w:id="950" w:name="_Toc7127"/>
      <w:r>
        <w:rPr>
          <w:rFonts w:hint="default" w:ascii="Times New Roman" w:hAnsi="Times New Roman" w:eastAsia="黑体" w:cs="Times New Roman"/>
          <w:b w:val="0"/>
          <w:color w:val="auto"/>
          <w:sz w:val="24"/>
          <w:szCs w:val="24"/>
          <w:highlight w:val="none"/>
        </w:rPr>
        <w:t>19.7保修责任</w:t>
      </w:r>
      <w:bookmarkEnd w:id="947"/>
      <w:bookmarkEnd w:id="948"/>
      <w:bookmarkEnd w:id="949"/>
      <w:bookmarkEnd w:id="950"/>
    </w:p>
    <w:p w14:paraId="3DA2A223">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合同当事人根据有关法律规定，在专用合同条款中约定工程质量保修范围、期限和责任。保修期自实际竣工日期起计算。在全部工程竣工验收前，已经发包人提前验收的单位工程，其保修期的起算日期相应提前。</w:t>
      </w:r>
    </w:p>
    <w:p w14:paraId="4BB78575">
      <w:pPr>
        <w:pageBreakBefore w:val="0"/>
        <w:kinsoku/>
        <w:wordWrap w:val="0"/>
        <w:bidi w:val="0"/>
        <w:spacing w:before="480" w:after="240" w:line="380" w:lineRule="atLeast"/>
        <w:outlineLvl w:val="9"/>
        <w:rPr>
          <w:rFonts w:hint="default" w:ascii="Times New Roman" w:hAnsi="Times New Roman" w:eastAsia="黑体" w:cs="Times New Roman"/>
          <w:b w:val="0"/>
          <w:color w:val="auto"/>
          <w:sz w:val="28"/>
          <w:szCs w:val="28"/>
          <w:highlight w:val="none"/>
        </w:rPr>
      </w:pPr>
      <w:bookmarkStart w:id="951" w:name="_Toc12018"/>
      <w:bookmarkStart w:id="952" w:name="_Toc19060"/>
      <w:bookmarkStart w:id="953" w:name="_Toc13061"/>
      <w:bookmarkStart w:id="954" w:name="_Toc234833098"/>
      <w:r>
        <w:rPr>
          <w:rFonts w:hint="default" w:ascii="Times New Roman" w:hAnsi="Times New Roman" w:eastAsia="黑体" w:cs="Times New Roman"/>
          <w:b w:val="0"/>
          <w:color w:val="auto"/>
          <w:sz w:val="28"/>
          <w:szCs w:val="28"/>
          <w:highlight w:val="none"/>
        </w:rPr>
        <w:t>20.保险</w:t>
      </w:r>
      <w:bookmarkEnd w:id="951"/>
      <w:bookmarkEnd w:id="952"/>
      <w:bookmarkEnd w:id="953"/>
      <w:bookmarkEnd w:id="954"/>
    </w:p>
    <w:p w14:paraId="6BAAD57F">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955" w:name="_Toc234833099"/>
      <w:bookmarkStart w:id="956" w:name="_Toc1058"/>
      <w:bookmarkStart w:id="957" w:name="_Toc4841"/>
      <w:bookmarkStart w:id="958" w:name="_Toc1238"/>
      <w:r>
        <w:rPr>
          <w:rFonts w:hint="default" w:ascii="Times New Roman" w:hAnsi="Times New Roman" w:eastAsia="黑体" w:cs="Times New Roman"/>
          <w:b w:val="0"/>
          <w:color w:val="auto"/>
          <w:sz w:val="24"/>
          <w:szCs w:val="24"/>
          <w:highlight w:val="none"/>
        </w:rPr>
        <w:t>20.1工程保险</w:t>
      </w:r>
      <w:bookmarkEnd w:id="955"/>
      <w:bookmarkEnd w:id="956"/>
      <w:bookmarkEnd w:id="957"/>
      <w:bookmarkEnd w:id="958"/>
    </w:p>
    <w:p w14:paraId="708F2060">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除专用合同条款另有约定外，承包人应以发包人和承包人的共同名义向双方同意的保险人投保建筑工程一切险、安装工程一切险。其具体的投保内容、保险金额、保险费率、保险期限等有关内容在专用合同条款中约定。</w:t>
      </w:r>
    </w:p>
    <w:p w14:paraId="0ECFDBDB">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959" w:name="_Toc21060"/>
      <w:bookmarkStart w:id="960" w:name="_Toc234833100"/>
      <w:bookmarkStart w:id="961" w:name="_Toc30523"/>
      <w:bookmarkStart w:id="962" w:name="_Toc10723"/>
      <w:r>
        <w:rPr>
          <w:rFonts w:hint="default" w:ascii="Times New Roman" w:hAnsi="Times New Roman" w:eastAsia="黑体" w:cs="Times New Roman"/>
          <w:b w:val="0"/>
          <w:color w:val="auto"/>
          <w:sz w:val="24"/>
          <w:szCs w:val="24"/>
          <w:highlight w:val="none"/>
        </w:rPr>
        <w:t>20.2人员工伤事故的保险</w:t>
      </w:r>
      <w:bookmarkEnd w:id="959"/>
      <w:bookmarkEnd w:id="960"/>
      <w:bookmarkEnd w:id="961"/>
      <w:bookmarkEnd w:id="962"/>
    </w:p>
    <w:p w14:paraId="27F30AF9">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20.2.1</w:t>
      </w:r>
      <w:r>
        <w:rPr>
          <w:rFonts w:hint="default" w:ascii="Times New Roman" w:hAnsi="Times New Roman" w:eastAsia="黑体" w:cs="Times New Roman"/>
          <w:color w:val="auto"/>
          <w:sz w:val="24"/>
          <w:highlight w:val="none"/>
        </w:rPr>
        <w:t>承包人员工伤事故的保险</w:t>
      </w:r>
    </w:p>
    <w:p w14:paraId="43DB6F0E">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承包人应依照有关法律规定参加工伤保险，为其履行合同所雇用的全部人员，缴纳工伤保险费，并要求其分包人也进行此项保险。</w:t>
      </w:r>
    </w:p>
    <w:p w14:paraId="1EE1E1E4">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20.2.2</w:t>
      </w:r>
      <w:r>
        <w:rPr>
          <w:rFonts w:hint="default" w:ascii="Times New Roman" w:hAnsi="Times New Roman" w:eastAsia="黑体" w:cs="Times New Roman"/>
          <w:color w:val="auto"/>
          <w:sz w:val="24"/>
          <w:highlight w:val="none"/>
        </w:rPr>
        <w:t>发包人员工伤事故的保险</w:t>
      </w:r>
    </w:p>
    <w:p w14:paraId="0949F370">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发包人应依照有关法律规定参加工伤保险，为其现场机构雇用的全部人员，缴纳工伤保险费，并要求其监理人也进行此项保险。</w:t>
      </w:r>
    </w:p>
    <w:p w14:paraId="646DFCC5">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963" w:name="_Toc20449"/>
      <w:bookmarkStart w:id="964" w:name="_Toc11127"/>
      <w:bookmarkStart w:id="965" w:name="_Toc234833101"/>
      <w:bookmarkStart w:id="966" w:name="_Toc18737"/>
      <w:r>
        <w:rPr>
          <w:rFonts w:hint="default" w:ascii="Times New Roman" w:hAnsi="Times New Roman" w:eastAsia="黑体" w:cs="Times New Roman"/>
          <w:b w:val="0"/>
          <w:color w:val="auto"/>
          <w:sz w:val="24"/>
          <w:szCs w:val="24"/>
          <w:highlight w:val="none"/>
        </w:rPr>
        <w:t>20.3人身意外伤害险</w:t>
      </w:r>
      <w:bookmarkEnd w:id="963"/>
      <w:bookmarkEnd w:id="964"/>
      <w:bookmarkEnd w:id="965"/>
      <w:bookmarkEnd w:id="966"/>
    </w:p>
    <w:p w14:paraId="3EE5F1FA">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20.3.1发包人应在整个施工期间为其现场机构雇用的全部人员，投保人身意外伤害险，缴纳保险费，并要求其监理人也进行此项保险。</w:t>
      </w:r>
    </w:p>
    <w:p w14:paraId="2A2E357C">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20.3.2承包人应在整个施工期间为其现场机构雇用的全部人员，投保人身意外伤害险，缴纳保险费，并要求其分包人也进行此项保险。</w:t>
      </w:r>
    </w:p>
    <w:p w14:paraId="58081B42">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967" w:name="_Toc27566"/>
      <w:bookmarkStart w:id="968" w:name="_Toc234833102"/>
      <w:bookmarkStart w:id="969" w:name="_Toc26139"/>
      <w:bookmarkStart w:id="970" w:name="_Toc23644"/>
      <w:r>
        <w:rPr>
          <w:rFonts w:hint="default" w:ascii="Times New Roman" w:hAnsi="Times New Roman" w:eastAsia="黑体" w:cs="Times New Roman"/>
          <w:b w:val="0"/>
          <w:color w:val="auto"/>
          <w:sz w:val="24"/>
          <w:szCs w:val="24"/>
          <w:highlight w:val="none"/>
        </w:rPr>
        <w:t>20.4第三者责任险</w:t>
      </w:r>
      <w:bookmarkEnd w:id="967"/>
      <w:bookmarkEnd w:id="968"/>
      <w:bookmarkEnd w:id="969"/>
      <w:bookmarkEnd w:id="970"/>
    </w:p>
    <w:p w14:paraId="69569092">
      <w:pPr>
        <w:pageBreakBefore w:val="0"/>
        <w:kinsoku/>
        <w:wordWrap w:val="0"/>
        <w:bidi w:val="0"/>
        <w:spacing w:line="400" w:lineRule="atLeast"/>
        <w:ind w:firstLine="48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20.4.1第三者责任系指在保险期内，对因工程意外事故造成的、依法应由被保险人负责的工地上及毗邻地区的第三者人身伤亡、疾病或财产损失（本工程除外），以及被保险人因此而支付的诉讼费用和事先经保险人书面同意支付的其他费用等赔偿责任。</w:t>
      </w:r>
    </w:p>
    <w:p w14:paraId="21E17C53">
      <w:pPr>
        <w:pageBreakBefore w:val="0"/>
        <w:kinsoku/>
        <w:wordWrap w:val="0"/>
        <w:bidi w:val="0"/>
        <w:spacing w:line="400" w:lineRule="atLeast"/>
        <w:ind w:firstLine="48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20.4.2在缺陷责任期终止证书颁发前，承包人应以承包人和发包人的共同名义，投保第20.4.1项约定的第三者责任险，其保险费率、保险金额等有关内容在专用合同条款中约定。</w:t>
      </w:r>
    </w:p>
    <w:p w14:paraId="51DB05F7">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971" w:name="_Toc15956"/>
      <w:bookmarkStart w:id="972" w:name="_Toc234833103"/>
      <w:bookmarkStart w:id="973" w:name="_Toc27726"/>
      <w:bookmarkStart w:id="974" w:name="_Toc17223"/>
      <w:r>
        <w:rPr>
          <w:rFonts w:hint="default" w:ascii="Times New Roman" w:hAnsi="Times New Roman" w:eastAsia="黑体" w:cs="Times New Roman"/>
          <w:b w:val="0"/>
          <w:color w:val="auto"/>
          <w:sz w:val="24"/>
          <w:szCs w:val="24"/>
          <w:highlight w:val="none"/>
        </w:rPr>
        <w:t>20.5其他保险</w:t>
      </w:r>
      <w:bookmarkEnd w:id="971"/>
      <w:bookmarkEnd w:id="972"/>
      <w:bookmarkEnd w:id="973"/>
      <w:bookmarkEnd w:id="974"/>
    </w:p>
    <w:p w14:paraId="3A6D00C2">
      <w:pPr>
        <w:pageBreakBefore w:val="0"/>
        <w:kinsoku/>
        <w:wordWrap w:val="0"/>
        <w:bidi w:val="0"/>
        <w:spacing w:line="400" w:lineRule="atLeast"/>
        <w:ind w:firstLine="42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除专用合同条款另有约定外，承包人应为其施工设备、进场的材料和工程设备等办理保险。</w:t>
      </w:r>
    </w:p>
    <w:p w14:paraId="35715E01">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975" w:name="_Toc234833104"/>
      <w:bookmarkStart w:id="976" w:name="_Toc16557"/>
      <w:bookmarkStart w:id="977" w:name="_Toc6798"/>
      <w:bookmarkStart w:id="978" w:name="_Toc25129"/>
      <w:r>
        <w:rPr>
          <w:rFonts w:hint="default" w:ascii="Times New Roman" w:hAnsi="Times New Roman" w:eastAsia="黑体" w:cs="Times New Roman"/>
          <w:b w:val="0"/>
          <w:color w:val="auto"/>
          <w:sz w:val="24"/>
          <w:szCs w:val="24"/>
          <w:highlight w:val="none"/>
        </w:rPr>
        <w:t>20.6对各项保险的一般要求</w:t>
      </w:r>
      <w:bookmarkEnd w:id="975"/>
      <w:bookmarkEnd w:id="976"/>
      <w:bookmarkEnd w:id="977"/>
      <w:bookmarkEnd w:id="978"/>
    </w:p>
    <w:p w14:paraId="62C0EADF">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20.6.1</w:t>
      </w:r>
      <w:r>
        <w:rPr>
          <w:rFonts w:hint="default" w:ascii="Times New Roman" w:hAnsi="Times New Roman" w:eastAsia="黑体" w:cs="Times New Roman"/>
          <w:color w:val="auto"/>
          <w:sz w:val="24"/>
          <w:highlight w:val="none"/>
        </w:rPr>
        <w:t>保险凭证</w:t>
      </w:r>
    </w:p>
    <w:p w14:paraId="56759554">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承包人应在专用合同条款约定的期限内向发包人提交各项保险生效的证据和保险单副本，保险单必须与专用合同条款约定的条件保持一致。</w:t>
      </w:r>
    </w:p>
    <w:p w14:paraId="1A4C371A">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20.6.2</w:t>
      </w:r>
      <w:r>
        <w:rPr>
          <w:rFonts w:hint="default" w:ascii="Times New Roman" w:hAnsi="Times New Roman" w:eastAsia="黑体" w:cs="Times New Roman"/>
          <w:color w:val="auto"/>
          <w:sz w:val="24"/>
          <w:highlight w:val="none"/>
        </w:rPr>
        <w:t>保险合同条款的变动</w:t>
      </w:r>
    </w:p>
    <w:p w14:paraId="16190271">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承包人需要变动保险合同条款时，应事先征得发包人同意，并通知监理人。保险人作出变动的，承包人应在收到保险人通知后立即通知发包人和监理人。</w:t>
      </w:r>
    </w:p>
    <w:p w14:paraId="57618072">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20.6.3</w:t>
      </w:r>
      <w:r>
        <w:rPr>
          <w:rFonts w:hint="default" w:ascii="Times New Roman" w:hAnsi="Times New Roman" w:eastAsia="黑体" w:cs="Times New Roman"/>
          <w:color w:val="auto"/>
          <w:sz w:val="24"/>
          <w:highlight w:val="none"/>
        </w:rPr>
        <w:t>持续保险</w:t>
      </w:r>
    </w:p>
    <w:p w14:paraId="6B588752">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承包人应与保险人保持联系，使保险人能够随时了解工程实施中的变动，并确保按保险合同条款要求持续保险。</w:t>
      </w:r>
    </w:p>
    <w:p w14:paraId="2DBDC6EB">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20.6.4</w:t>
      </w:r>
      <w:r>
        <w:rPr>
          <w:rFonts w:hint="default" w:ascii="Times New Roman" w:hAnsi="Times New Roman" w:eastAsia="黑体" w:cs="Times New Roman"/>
          <w:color w:val="auto"/>
          <w:sz w:val="24"/>
          <w:highlight w:val="none"/>
        </w:rPr>
        <w:t>保险金不足的补偿</w:t>
      </w:r>
    </w:p>
    <w:p w14:paraId="2F043492">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保险金不足以补偿损失的，应由承包人和（或）发包人按合同约定负责补偿。</w:t>
      </w:r>
    </w:p>
    <w:p w14:paraId="741977FB">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20.6.5</w:t>
      </w:r>
      <w:r>
        <w:rPr>
          <w:rFonts w:hint="default" w:ascii="Times New Roman" w:hAnsi="Times New Roman" w:eastAsia="黑体" w:cs="Times New Roman"/>
          <w:color w:val="auto"/>
          <w:sz w:val="24"/>
          <w:highlight w:val="none"/>
        </w:rPr>
        <w:t>未按约定投保的补救</w:t>
      </w:r>
    </w:p>
    <w:p w14:paraId="02B81D0F">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（1）由于负有投保义务的一方当事人未按合同约定办理保险，或未能使保险持续有效的，另一方当事人可代为办理，所需费用由对方当事人承担。</w:t>
      </w:r>
    </w:p>
    <w:p w14:paraId="24C153BA">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（2）由于负有投保义务的一方当事人未按合同约定办理某项保险，导致受益人未能得到保险人的赔偿，原应从该项保险得到的保险金应由负有投保义务的一方当事人支付。</w:t>
      </w:r>
    </w:p>
    <w:p w14:paraId="3A6F7963">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20.6.6</w:t>
      </w:r>
      <w:r>
        <w:rPr>
          <w:rFonts w:hint="default" w:ascii="Times New Roman" w:hAnsi="Times New Roman" w:eastAsia="黑体" w:cs="Times New Roman"/>
          <w:color w:val="auto"/>
          <w:sz w:val="24"/>
          <w:highlight w:val="none"/>
        </w:rPr>
        <w:t>报告义务</w:t>
      </w:r>
    </w:p>
    <w:p w14:paraId="331F9AFD">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当保险事故发生时，投保人应按照保险单规定的条件和期限及时向保险人报告。</w:t>
      </w:r>
    </w:p>
    <w:p w14:paraId="1ADE1BA8">
      <w:pPr>
        <w:pageBreakBefore w:val="0"/>
        <w:kinsoku/>
        <w:wordWrap w:val="0"/>
        <w:bidi w:val="0"/>
        <w:spacing w:before="480" w:after="240" w:line="380" w:lineRule="atLeast"/>
        <w:outlineLvl w:val="9"/>
        <w:rPr>
          <w:rFonts w:hint="default" w:ascii="Times New Roman" w:hAnsi="Times New Roman" w:eastAsia="黑体" w:cs="Times New Roman"/>
          <w:b w:val="0"/>
          <w:color w:val="auto"/>
          <w:sz w:val="28"/>
          <w:szCs w:val="28"/>
          <w:highlight w:val="none"/>
        </w:rPr>
      </w:pPr>
      <w:bookmarkStart w:id="979" w:name="_Toc25184"/>
      <w:bookmarkStart w:id="980" w:name="_Toc234833105"/>
      <w:bookmarkStart w:id="981" w:name="_Toc1585"/>
      <w:bookmarkStart w:id="982" w:name="_Toc27736"/>
      <w:r>
        <w:rPr>
          <w:rFonts w:hint="default" w:ascii="Times New Roman" w:hAnsi="Times New Roman" w:eastAsia="黑体" w:cs="Times New Roman"/>
          <w:b w:val="0"/>
          <w:color w:val="auto"/>
          <w:sz w:val="28"/>
          <w:szCs w:val="28"/>
          <w:highlight w:val="none"/>
        </w:rPr>
        <w:t>21.不可抗力</w:t>
      </w:r>
      <w:bookmarkEnd w:id="979"/>
      <w:bookmarkEnd w:id="980"/>
      <w:bookmarkEnd w:id="981"/>
      <w:bookmarkEnd w:id="982"/>
    </w:p>
    <w:p w14:paraId="5BDA2509">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983" w:name="_Toc965"/>
      <w:bookmarkStart w:id="984" w:name="_Toc11379"/>
      <w:bookmarkStart w:id="985" w:name="_Toc234833106"/>
      <w:bookmarkStart w:id="986" w:name="_Toc30030"/>
      <w:r>
        <w:rPr>
          <w:rFonts w:hint="default" w:ascii="Times New Roman" w:hAnsi="Times New Roman" w:eastAsia="黑体" w:cs="Times New Roman"/>
          <w:b w:val="0"/>
          <w:color w:val="auto"/>
          <w:sz w:val="24"/>
          <w:szCs w:val="24"/>
          <w:highlight w:val="none"/>
        </w:rPr>
        <w:t>21.1不可抗力的确认</w:t>
      </w:r>
      <w:bookmarkEnd w:id="983"/>
      <w:bookmarkEnd w:id="984"/>
      <w:bookmarkEnd w:id="985"/>
      <w:bookmarkEnd w:id="986"/>
    </w:p>
    <w:p w14:paraId="692C3B46">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21.1.1不可抗力是指承包人和发包人在订立合同时不可预见，在工程施工过程中不可避免发生并不能克服的自然灾害和社会性突发事件，如地震、海啸、瘟疫、水灾、骚乱、暴动、战争和专用合同条款约定的其他情形。</w:t>
      </w:r>
    </w:p>
    <w:p w14:paraId="45EF8C95">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21.1.2不可抗力发生后，发包人和承包人应及时认真统计所造成的损失，收集不可抗力造成损失的证据。合同双方对是否属于不可抗力或其损失的意见不一致的，由监理人按第3.5款商定或确定。发生争议时，按第24条的约定办理。</w:t>
      </w:r>
    </w:p>
    <w:p w14:paraId="48D59287">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987" w:name="_Toc4694"/>
      <w:bookmarkStart w:id="988" w:name="_Toc22207"/>
      <w:bookmarkStart w:id="989" w:name="_Toc234833107"/>
      <w:bookmarkStart w:id="990" w:name="_Toc18922"/>
      <w:r>
        <w:rPr>
          <w:rFonts w:hint="default" w:ascii="Times New Roman" w:hAnsi="Times New Roman" w:eastAsia="黑体" w:cs="Times New Roman"/>
          <w:b w:val="0"/>
          <w:color w:val="auto"/>
          <w:sz w:val="24"/>
          <w:szCs w:val="24"/>
          <w:highlight w:val="none"/>
        </w:rPr>
        <w:t>21.2不可抗力的通知</w:t>
      </w:r>
      <w:bookmarkEnd w:id="987"/>
      <w:bookmarkEnd w:id="988"/>
      <w:bookmarkEnd w:id="989"/>
      <w:bookmarkEnd w:id="990"/>
    </w:p>
    <w:p w14:paraId="72FC1A6B">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21.2.1合同一方当事人遇到不可抗力事件，使其履行合同义务受到阻碍时，应立即通知合同另一方当事人和监理人，书面说明不可抗力和受阻碍的详细情况，并提供必要的证明。</w:t>
      </w:r>
    </w:p>
    <w:p w14:paraId="78059E5C">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21.2.2如不可抗力持续发生，合同一方当事人应及时向合同另一方当事人和监理人提交中间报告，说明不可抗力和履行合同受阻的情况，并于不可抗力事件结束后28天内提交最终报告及有关资料。</w:t>
      </w:r>
    </w:p>
    <w:p w14:paraId="6A90F45D">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991" w:name="_Toc1838"/>
      <w:bookmarkStart w:id="992" w:name="_Toc15055"/>
      <w:bookmarkStart w:id="993" w:name="_Toc15417"/>
      <w:bookmarkStart w:id="994" w:name="_Toc234833108"/>
      <w:r>
        <w:rPr>
          <w:rFonts w:hint="default" w:ascii="Times New Roman" w:hAnsi="Times New Roman" w:eastAsia="黑体" w:cs="Times New Roman"/>
          <w:b w:val="0"/>
          <w:color w:val="auto"/>
          <w:sz w:val="24"/>
          <w:szCs w:val="24"/>
          <w:highlight w:val="none"/>
        </w:rPr>
        <w:t>21.3不可抗力后果及其处理</w:t>
      </w:r>
      <w:bookmarkEnd w:id="991"/>
      <w:bookmarkEnd w:id="992"/>
      <w:bookmarkEnd w:id="993"/>
      <w:bookmarkEnd w:id="994"/>
    </w:p>
    <w:p w14:paraId="176BD428">
      <w:pPr>
        <w:pageBreakBefore w:val="0"/>
        <w:kinsoku/>
        <w:wordWrap w:val="0"/>
        <w:bidi w:val="0"/>
        <w:spacing w:line="400" w:lineRule="atLeast"/>
        <w:ind w:firstLine="470" w:firstLineChars="196"/>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21.3.1</w:t>
      </w:r>
      <w:r>
        <w:rPr>
          <w:rFonts w:hint="default" w:ascii="Times New Roman" w:hAnsi="Times New Roman" w:eastAsia="黑体" w:cs="Times New Roman"/>
          <w:color w:val="auto"/>
          <w:sz w:val="24"/>
          <w:highlight w:val="none"/>
        </w:rPr>
        <w:t>不可抗力造成损害的责任</w:t>
      </w:r>
    </w:p>
    <w:p w14:paraId="01F1C144">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除专用合同条款另有约定外，不可抗力导致的人员伤亡、财产损失、费用增加和（或）工期延误等后果，由合同双方按以下原则承担：</w:t>
      </w:r>
    </w:p>
    <w:p w14:paraId="1BA0A615">
      <w:pPr>
        <w:pageBreakBefore w:val="0"/>
        <w:kinsoku/>
        <w:wordWrap w:val="0"/>
        <w:bidi w:val="0"/>
        <w:spacing w:line="400" w:lineRule="atLeast"/>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（1）永久工程，包括已运至施工场地的材料和工程设备的损害，以及因工程损害造成的第三者人员伤亡和财产损失由发包人承担；</w:t>
      </w:r>
    </w:p>
    <w:p w14:paraId="4FC2FB65">
      <w:pPr>
        <w:pageBreakBefore w:val="0"/>
        <w:kinsoku/>
        <w:wordWrap w:val="0"/>
        <w:bidi w:val="0"/>
        <w:spacing w:line="400" w:lineRule="atLeast"/>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（2）承包人设备的损坏由承包人承担；</w:t>
      </w:r>
    </w:p>
    <w:p w14:paraId="30D30B07">
      <w:pPr>
        <w:pageBreakBefore w:val="0"/>
        <w:kinsoku/>
        <w:wordWrap w:val="0"/>
        <w:bidi w:val="0"/>
        <w:spacing w:line="400" w:lineRule="atLeast"/>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（3）发包人和承包人各自承担其人员伤亡和其他财产损失及其相关费用；</w:t>
      </w:r>
    </w:p>
    <w:p w14:paraId="28C915B1">
      <w:pPr>
        <w:pageBreakBefore w:val="0"/>
        <w:kinsoku/>
        <w:wordWrap w:val="0"/>
        <w:bidi w:val="0"/>
        <w:spacing w:line="400" w:lineRule="atLeast"/>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（4）承包人的停工损失由承包人承担，但停工期间应监理人要求照管工程和清理、修复工程的金额由发包人承担；</w:t>
      </w:r>
    </w:p>
    <w:p w14:paraId="2D412E04">
      <w:pPr>
        <w:pageBreakBefore w:val="0"/>
        <w:kinsoku/>
        <w:wordWrap w:val="0"/>
        <w:bidi w:val="0"/>
        <w:spacing w:line="400" w:lineRule="atLeast"/>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（5）不能按期竣工的，应合理延长工期，承包人不需支付逾期竣工违约金。发包人要求赶工的，承包人应采取赶工措施，赶工费用由发包人承担。</w:t>
      </w:r>
    </w:p>
    <w:p w14:paraId="70A5EBDD">
      <w:pPr>
        <w:pageBreakBefore w:val="0"/>
        <w:kinsoku/>
        <w:wordWrap w:val="0"/>
        <w:bidi w:val="0"/>
        <w:spacing w:line="400" w:lineRule="atLeast"/>
        <w:ind w:firstLine="470" w:firstLineChars="196"/>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21.3.2</w:t>
      </w:r>
      <w:r>
        <w:rPr>
          <w:rFonts w:hint="default" w:ascii="Times New Roman" w:hAnsi="Times New Roman" w:eastAsia="黑体" w:cs="Times New Roman"/>
          <w:color w:val="auto"/>
          <w:sz w:val="24"/>
          <w:highlight w:val="none"/>
        </w:rPr>
        <w:t>延迟履行期间发生的不可抗力</w:t>
      </w:r>
    </w:p>
    <w:p w14:paraId="4C46035D">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合同一方当事人延迟履行，在延迟履行期间发生不可抗力的，不免除其责任。</w:t>
      </w:r>
    </w:p>
    <w:p w14:paraId="1E3D96E9">
      <w:pPr>
        <w:pageBreakBefore w:val="0"/>
        <w:kinsoku/>
        <w:wordWrap w:val="0"/>
        <w:bidi w:val="0"/>
        <w:spacing w:line="400" w:lineRule="atLeast"/>
        <w:ind w:firstLine="470" w:firstLineChars="196"/>
        <w:outlineLvl w:val="9"/>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21.3.3</w:t>
      </w:r>
      <w:r>
        <w:rPr>
          <w:rFonts w:hint="default" w:ascii="Times New Roman" w:hAnsi="Times New Roman" w:eastAsia="黑体" w:cs="Times New Roman"/>
          <w:color w:val="auto"/>
          <w:sz w:val="24"/>
          <w:highlight w:val="none"/>
        </w:rPr>
        <w:t>避免和减少不可抗力损失</w:t>
      </w:r>
    </w:p>
    <w:p w14:paraId="220A1114">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不可抗力发生后，发包人和承包人均应采取措施尽量避免和减少损失的扩大，任何一方没有采取有效措施导致损失扩大的，应对扩大的损失承担责任。</w:t>
      </w:r>
    </w:p>
    <w:p w14:paraId="1B6934D4">
      <w:pPr>
        <w:pageBreakBefore w:val="0"/>
        <w:kinsoku/>
        <w:wordWrap w:val="0"/>
        <w:bidi w:val="0"/>
        <w:spacing w:line="400" w:lineRule="atLeast"/>
        <w:ind w:firstLine="470" w:firstLineChars="196"/>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21.3.4</w:t>
      </w:r>
      <w:r>
        <w:rPr>
          <w:rFonts w:hint="default" w:ascii="Times New Roman" w:hAnsi="Times New Roman" w:eastAsia="黑体" w:cs="Times New Roman"/>
          <w:color w:val="auto"/>
          <w:sz w:val="24"/>
          <w:highlight w:val="none"/>
        </w:rPr>
        <w:t>因不可抗力解除合同</w:t>
      </w:r>
    </w:p>
    <w:p w14:paraId="2033A319">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合同一方当事人因不可抗力不能履行合同的，应当及时通知对方解除合同。合同解除后，承包人应按照第22.2.5项约定撤离施工场地。已经订货的材料、设备由订货方负责退货或解除订货合同，不能退还的货款和因退货、解除订货合同发生的费用，由发包人承担，因未及时退货造成的损失由责任方承担。合同解除后的付款，参照第22.2.4项约定，由监理人按第3.5款商定或确定。</w:t>
      </w:r>
    </w:p>
    <w:p w14:paraId="7559A1BF">
      <w:pPr>
        <w:pageBreakBefore w:val="0"/>
        <w:kinsoku/>
        <w:wordWrap w:val="0"/>
        <w:bidi w:val="0"/>
        <w:spacing w:before="480" w:after="240" w:line="380" w:lineRule="atLeast"/>
        <w:outlineLvl w:val="9"/>
        <w:rPr>
          <w:rFonts w:hint="default" w:ascii="Times New Roman" w:hAnsi="Times New Roman" w:eastAsia="黑体" w:cs="Times New Roman"/>
          <w:b w:val="0"/>
          <w:color w:val="auto"/>
          <w:sz w:val="28"/>
          <w:szCs w:val="28"/>
          <w:highlight w:val="none"/>
        </w:rPr>
      </w:pPr>
      <w:bookmarkStart w:id="995" w:name="_Toc18084"/>
      <w:bookmarkStart w:id="996" w:name="_Toc13366"/>
      <w:bookmarkStart w:id="997" w:name="_Toc12831"/>
      <w:bookmarkStart w:id="998" w:name="_Toc234833109"/>
      <w:r>
        <w:rPr>
          <w:rFonts w:hint="default" w:ascii="Times New Roman" w:hAnsi="Times New Roman" w:eastAsia="黑体" w:cs="Times New Roman"/>
          <w:b w:val="0"/>
          <w:color w:val="auto"/>
          <w:sz w:val="28"/>
          <w:szCs w:val="28"/>
          <w:highlight w:val="none"/>
        </w:rPr>
        <w:t>22.违约</w:t>
      </w:r>
      <w:bookmarkEnd w:id="995"/>
      <w:bookmarkEnd w:id="996"/>
      <w:bookmarkEnd w:id="997"/>
      <w:bookmarkEnd w:id="998"/>
    </w:p>
    <w:p w14:paraId="6C49D2A8">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999" w:name="_Toc18327"/>
      <w:bookmarkStart w:id="1000" w:name="_Toc723"/>
      <w:bookmarkStart w:id="1001" w:name="_Toc234833110"/>
      <w:bookmarkStart w:id="1002" w:name="_Toc8987"/>
      <w:r>
        <w:rPr>
          <w:rFonts w:hint="default" w:ascii="Times New Roman" w:hAnsi="Times New Roman" w:eastAsia="黑体" w:cs="Times New Roman"/>
          <w:b w:val="0"/>
          <w:color w:val="auto"/>
          <w:sz w:val="24"/>
          <w:szCs w:val="24"/>
          <w:highlight w:val="none"/>
        </w:rPr>
        <w:t>22.1承包人违约</w:t>
      </w:r>
      <w:bookmarkEnd w:id="999"/>
      <w:bookmarkEnd w:id="1000"/>
      <w:bookmarkEnd w:id="1001"/>
      <w:bookmarkEnd w:id="1002"/>
    </w:p>
    <w:p w14:paraId="1A19A8E4">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22.1.1</w:t>
      </w:r>
      <w:r>
        <w:rPr>
          <w:rFonts w:hint="default" w:ascii="Times New Roman" w:hAnsi="Times New Roman" w:eastAsia="黑体" w:cs="Times New Roman"/>
          <w:color w:val="auto"/>
          <w:sz w:val="24"/>
          <w:highlight w:val="none"/>
        </w:rPr>
        <w:t>承包人违约的情形</w:t>
      </w:r>
    </w:p>
    <w:p w14:paraId="78ACFCCF">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在履行合同过程中发生的下列情况属承包人违约：</w:t>
      </w:r>
    </w:p>
    <w:p w14:paraId="2220130A">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（1）承包人违反第1.8款或第4.3款的约定，私自将合同的全部或部分权利转让给其他人，或私自将合同的全部或部分义务转移给其他人；</w:t>
      </w:r>
    </w:p>
    <w:p w14:paraId="6A0D1609">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（2）承包人违反第5.3款或第6.4款的约定，未经监理人批准，私自将已按合同约定进入施工场地的施工设备、临时设施或材料撤离施工场地；</w:t>
      </w:r>
    </w:p>
    <w:p w14:paraId="111D8ADB">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（3）承包人违反第5.4款的约定使用了不合格材料或工程设备，工程质量达不到标准要求，又拒绝清除不合格工程；</w:t>
      </w:r>
    </w:p>
    <w:p w14:paraId="126D780E">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（4）承包人未能按合同进度计划及时完成合同约定的工作，已造成或预期造成工期延误；</w:t>
      </w:r>
    </w:p>
    <w:p w14:paraId="5E2D8421">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（5）承包人在缺陷责任期内，未能对工程接收证书所列的缺陷清单的内容或缺陷责任期内发生的缺陷进行修复，而又拒绝按监理人指示再进行修补；</w:t>
      </w:r>
    </w:p>
    <w:p w14:paraId="5B6EA3EE">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（6）承包人无法继续履行或明确表示不履行或实质上已停止履行合同；</w:t>
      </w:r>
    </w:p>
    <w:p w14:paraId="5D1F2F9B">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（7）承包人不按合同约定履行义务的其他情况。</w:t>
      </w:r>
    </w:p>
    <w:p w14:paraId="4B37314E">
      <w:pPr>
        <w:pageBreakBefore w:val="0"/>
        <w:kinsoku/>
        <w:wordWrap w:val="0"/>
        <w:bidi w:val="0"/>
        <w:spacing w:line="400" w:lineRule="atLeast"/>
        <w:ind w:firstLine="470" w:firstLineChars="196"/>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22.1.2</w:t>
      </w:r>
      <w:r>
        <w:rPr>
          <w:rFonts w:hint="default" w:ascii="Times New Roman" w:hAnsi="Times New Roman" w:eastAsia="黑体" w:cs="Times New Roman"/>
          <w:color w:val="auto"/>
          <w:sz w:val="24"/>
          <w:highlight w:val="none"/>
        </w:rPr>
        <w:t>对承包人违约的处理</w:t>
      </w:r>
    </w:p>
    <w:p w14:paraId="0B326D50">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（1）承包人发生第22.1.1（6）目约定的违约情况时，发包人可通知承包人立即解除合同，并按有关法律处理。</w:t>
      </w:r>
    </w:p>
    <w:p w14:paraId="04D5ED22">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（2）承包人发生除第22.1.1（6）</w:t>
      </w:r>
      <w:r>
        <w:rPr>
          <w:rFonts w:hint="eastAsia" w:cs="Times New Roman"/>
          <w:color w:val="auto"/>
          <w:sz w:val="24"/>
          <w:highlight w:val="none"/>
          <w:lang w:val="en-US" w:eastAsia="zh-CN"/>
        </w:rPr>
        <w:t>项</w:t>
      </w:r>
      <w:r>
        <w:rPr>
          <w:rFonts w:hint="default" w:ascii="Times New Roman" w:hAnsi="Times New Roman" w:cs="Times New Roman"/>
          <w:color w:val="auto"/>
          <w:sz w:val="24"/>
          <w:highlight w:val="none"/>
        </w:rPr>
        <w:t>目约定以外的其他违约情况时，监理人可向承包人发出整改通知，要求其在指定的期限内改正。承包人应承担其违约所引起的费用增加和（或）工期延误。</w:t>
      </w:r>
    </w:p>
    <w:p w14:paraId="2813279F">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（3）经检查证明承包人已采取了有效措施纠正违约行为，具备复工条件的，可由监理人签发复工通知复工。</w:t>
      </w:r>
    </w:p>
    <w:p w14:paraId="01E78C77">
      <w:pPr>
        <w:pageBreakBefore w:val="0"/>
        <w:kinsoku/>
        <w:wordWrap w:val="0"/>
        <w:bidi w:val="0"/>
        <w:spacing w:line="400" w:lineRule="atLeast"/>
        <w:ind w:firstLine="470" w:firstLineChars="196"/>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22.1.3</w:t>
      </w:r>
      <w:r>
        <w:rPr>
          <w:rFonts w:hint="default" w:ascii="Times New Roman" w:hAnsi="Times New Roman" w:eastAsia="黑体" w:cs="Times New Roman"/>
          <w:color w:val="auto"/>
          <w:sz w:val="24"/>
          <w:highlight w:val="none"/>
        </w:rPr>
        <w:t>承包人违约解除合同</w:t>
      </w:r>
    </w:p>
    <w:p w14:paraId="4506816F">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监理人发出整改通知28天后，承包人仍不纠正违约行为的，发包人可向承包人发出解除合同通知。合同解除后，发包人可派员进驻施工场地，另行组织人员或委托其他承包人施工。发包人因继续完成该工程的需要，有权扣留使用承包人在现场的材料、设备和临时设施。但发包人的这一行动不免除承包人应承担的违约责任，也不影响发包人根据合同约定享有的索赔权利。</w:t>
      </w:r>
    </w:p>
    <w:p w14:paraId="315C10D0">
      <w:pPr>
        <w:pageBreakBefore w:val="0"/>
        <w:kinsoku/>
        <w:wordWrap w:val="0"/>
        <w:bidi w:val="0"/>
        <w:spacing w:line="400" w:lineRule="atLeast"/>
        <w:ind w:firstLine="470" w:firstLineChars="196"/>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22.1.4</w:t>
      </w:r>
      <w:r>
        <w:rPr>
          <w:rFonts w:hint="default" w:ascii="Times New Roman" w:hAnsi="Times New Roman" w:eastAsia="黑体" w:cs="Times New Roman"/>
          <w:color w:val="auto"/>
          <w:sz w:val="24"/>
          <w:highlight w:val="none"/>
        </w:rPr>
        <w:t>合同解除后的估价、付款和结清</w:t>
      </w:r>
    </w:p>
    <w:p w14:paraId="47F8FC31">
      <w:pPr>
        <w:pageBreakBefore w:val="0"/>
        <w:tabs>
          <w:tab w:val="left" w:pos="540"/>
        </w:tabs>
        <w:kinsoku/>
        <w:wordWrap w:val="0"/>
        <w:bidi w:val="0"/>
        <w:spacing w:line="400" w:lineRule="atLeast"/>
        <w:ind w:firstLine="480" w:firstLineChars="200"/>
        <w:outlineLvl w:val="9"/>
        <w:rPr>
          <w:rFonts w:hint="eastAsia"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（1）合同解除后，监理人按第3.5款商定或确定承包人实际完成工作的价值，以及承包人已提供的材料、施工设备、工程设备和临时工程等的价值。</w:t>
      </w:r>
    </w:p>
    <w:p w14:paraId="64FDBA09">
      <w:pPr>
        <w:pageBreakBefore w:val="0"/>
        <w:kinsoku/>
        <w:wordWrap w:val="0"/>
        <w:bidi w:val="0"/>
        <w:spacing w:line="400" w:lineRule="atLeast"/>
        <w:ind w:firstLine="480" w:firstLineChars="200"/>
        <w:outlineLvl w:val="9"/>
        <w:rPr>
          <w:rFonts w:hint="eastAsia"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（2）合同解除后，发包人应暂停对承包人的一切付款，查清各项付款和已扣款金额，包括承包人应支付的违约金。</w:t>
      </w:r>
    </w:p>
    <w:p w14:paraId="33CE5AB1">
      <w:pPr>
        <w:pageBreakBefore w:val="0"/>
        <w:tabs>
          <w:tab w:val="left" w:pos="720"/>
        </w:tabs>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（3）合同解除后，发包人应按第23.4款的约定向承包人索赔由于解除合同给发包人造成的损失。</w:t>
      </w:r>
    </w:p>
    <w:p w14:paraId="441D5545">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（4）合同双方确认上述往来款项后，出具最终结清付款证书，结清全部合同款项。</w:t>
      </w:r>
    </w:p>
    <w:p w14:paraId="1C5E6F26">
      <w:pPr>
        <w:pageBreakBefore w:val="0"/>
        <w:kinsoku/>
        <w:wordWrap w:val="0"/>
        <w:bidi w:val="0"/>
        <w:spacing w:line="400" w:lineRule="atLeast"/>
        <w:ind w:right="25" w:rightChars="12"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（5）发包人和承包人未能就解除合同后的结清达成一致而形成争议的，按第24条的约定办理。</w:t>
      </w:r>
    </w:p>
    <w:p w14:paraId="22100714">
      <w:pPr>
        <w:pageBreakBefore w:val="0"/>
        <w:kinsoku/>
        <w:wordWrap w:val="0"/>
        <w:bidi w:val="0"/>
        <w:spacing w:line="400" w:lineRule="atLeast"/>
        <w:ind w:firstLine="470" w:firstLineChars="196"/>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22.1.5</w:t>
      </w:r>
      <w:r>
        <w:rPr>
          <w:rFonts w:hint="default" w:ascii="Times New Roman" w:hAnsi="Times New Roman" w:eastAsia="黑体" w:cs="Times New Roman"/>
          <w:color w:val="auto"/>
          <w:sz w:val="24"/>
          <w:highlight w:val="none"/>
        </w:rPr>
        <w:t>协议利益的转让</w:t>
      </w:r>
    </w:p>
    <w:p w14:paraId="29CEA38E">
      <w:pPr>
        <w:pageBreakBefore w:val="0"/>
        <w:kinsoku/>
        <w:wordWrap w:val="0"/>
        <w:bidi w:val="0"/>
        <w:spacing w:line="400" w:lineRule="atLeast"/>
        <w:ind w:firstLine="480" w:firstLineChars="200"/>
        <w:outlineLvl w:val="9"/>
        <w:rPr>
          <w:rFonts w:hint="eastAsia"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因承包人违约解除合同的，发包人有权要求承包人将其为实施合同而签订的材料和设备的订货协议或任何服务协议利益转让给发包人，并在解除合同后的14天内，依法办理转让手续。</w:t>
      </w:r>
    </w:p>
    <w:p w14:paraId="3E913DE6">
      <w:pPr>
        <w:pageBreakBefore w:val="0"/>
        <w:kinsoku/>
        <w:wordWrap w:val="0"/>
        <w:bidi w:val="0"/>
        <w:spacing w:line="400" w:lineRule="atLeast"/>
        <w:ind w:firstLine="470" w:firstLineChars="196"/>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22.1.6</w:t>
      </w:r>
      <w:r>
        <w:rPr>
          <w:rFonts w:hint="default" w:ascii="Times New Roman" w:hAnsi="Times New Roman" w:eastAsia="黑体" w:cs="Times New Roman"/>
          <w:color w:val="auto"/>
          <w:sz w:val="24"/>
          <w:highlight w:val="none"/>
        </w:rPr>
        <w:t>紧急情况下无能力或不愿进行抢救</w:t>
      </w:r>
    </w:p>
    <w:p w14:paraId="34F32416">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在工程实施期间或缺陷责任期内发生危及工程安全的事件，监理人通知承包人进行抢救，承包人声明无能力或不愿立即执行的，发包人有权雇佣其他人员进行抢救。此类抢救按合同约定属于承包人义务的，由此发生的金额和（或）工期延误由承包人承担。</w:t>
      </w:r>
    </w:p>
    <w:p w14:paraId="2797CA89">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003" w:name="_Toc31447"/>
      <w:bookmarkStart w:id="1004" w:name="_Toc234833111"/>
      <w:bookmarkStart w:id="1005" w:name="_Toc18188"/>
      <w:bookmarkStart w:id="1006" w:name="_Toc18762"/>
      <w:r>
        <w:rPr>
          <w:rFonts w:hint="default" w:ascii="Times New Roman" w:hAnsi="Times New Roman" w:eastAsia="黑体" w:cs="Times New Roman"/>
          <w:b w:val="0"/>
          <w:color w:val="auto"/>
          <w:sz w:val="24"/>
          <w:szCs w:val="24"/>
          <w:highlight w:val="none"/>
        </w:rPr>
        <w:t>22.2发包人违约</w:t>
      </w:r>
      <w:bookmarkEnd w:id="1003"/>
      <w:bookmarkEnd w:id="1004"/>
      <w:bookmarkEnd w:id="1005"/>
      <w:bookmarkEnd w:id="1006"/>
    </w:p>
    <w:p w14:paraId="4C6C254F">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22.2.1</w:t>
      </w:r>
      <w:r>
        <w:rPr>
          <w:rFonts w:hint="default" w:ascii="Times New Roman" w:hAnsi="Times New Roman" w:eastAsia="黑体" w:cs="Times New Roman"/>
          <w:color w:val="auto"/>
          <w:sz w:val="24"/>
          <w:highlight w:val="none"/>
        </w:rPr>
        <w:t>发包人违约的情形</w:t>
      </w:r>
    </w:p>
    <w:p w14:paraId="4F9AB28C">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在履行合同过程中发生的下列情形，属发包人违约：</w:t>
      </w:r>
    </w:p>
    <w:p w14:paraId="3BF9185F">
      <w:pPr>
        <w:pageBreakBefore w:val="0"/>
        <w:kinsoku/>
        <w:wordWrap w:val="0"/>
        <w:bidi w:val="0"/>
        <w:spacing w:line="400" w:lineRule="atLeast"/>
        <w:ind w:firstLine="480" w:firstLineChars="200"/>
        <w:outlineLvl w:val="9"/>
        <w:rPr>
          <w:rFonts w:hint="eastAsia"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（1）发包人未能按合同约定支付预付款或合同价款，或拖延、拒绝批准付款申请和支付凭证，导致付款延误的；</w:t>
      </w:r>
    </w:p>
    <w:p w14:paraId="493214C1">
      <w:pPr>
        <w:pageBreakBefore w:val="0"/>
        <w:tabs>
          <w:tab w:val="left" w:pos="720"/>
        </w:tabs>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（2）发包人原因造成停工的；</w:t>
      </w:r>
    </w:p>
    <w:p w14:paraId="5ADEB545">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（3）监理人无正当理由没有在约定期限内发出复工指示，导致承包人无法复工的；</w:t>
      </w:r>
    </w:p>
    <w:p w14:paraId="50AE79EC">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（4）发包人无法继续履行或明确表示不履行或实质上已停止履行合同的；</w:t>
      </w:r>
    </w:p>
    <w:p w14:paraId="11D36228">
      <w:pPr>
        <w:pageBreakBefore w:val="0"/>
        <w:tabs>
          <w:tab w:val="left" w:pos="720"/>
        </w:tabs>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（5）发包人不履行合同约定其他义务的。</w:t>
      </w:r>
    </w:p>
    <w:p w14:paraId="311872E2">
      <w:pPr>
        <w:pageBreakBefore w:val="0"/>
        <w:kinsoku/>
        <w:wordWrap w:val="0"/>
        <w:bidi w:val="0"/>
        <w:spacing w:line="400" w:lineRule="atLeast"/>
        <w:ind w:firstLine="470" w:firstLineChars="196"/>
        <w:outlineLvl w:val="9"/>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22.2.2</w:t>
      </w:r>
      <w:r>
        <w:rPr>
          <w:rFonts w:hint="default" w:ascii="Times New Roman" w:hAnsi="Times New Roman" w:eastAsia="黑体" w:cs="Times New Roman"/>
          <w:color w:val="auto"/>
          <w:sz w:val="24"/>
          <w:highlight w:val="none"/>
        </w:rPr>
        <w:t>承包人有权暂停施工</w:t>
      </w:r>
    </w:p>
    <w:p w14:paraId="17A77653">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发包人发生除第22.2.1（4）目以外的违约情况时，承包人可向发包人发出通知，要求发包人采取有效措施纠正违约行为。发包人收到承包人通知后的28天内仍不履行合同义务，承包人有权暂停施工，并通知监理人，发包人应承担由此增加的费用和（或）工期延误，并支付承包人合理利润。</w:t>
      </w:r>
    </w:p>
    <w:p w14:paraId="199B691E">
      <w:pPr>
        <w:pageBreakBefore w:val="0"/>
        <w:kinsoku/>
        <w:wordWrap w:val="0"/>
        <w:bidi w:val="0"/>
        <w:spacing w:line="400" w:lineRule="atLeast"/>
        <w:ind w:firstLine="470" w:firstLineChars="196"/>
        <w:outlineLvl w:val="9"/>
        <w:rPr>
          <w:rFonts w:hint="eastAsia" w:ascii="Times New Roman" w:hAnsi="Times New Roman" w:eastAsia="黑体" w:cs="Times New Roman"/>
          <w:color w:val="auto"/>
          <w:sz w:val="24"/>
          <w:highlight w:val="none"/>
          <w:lang w:eastAsia="zh-CN"/>
        </w:rPr>
      </w:pPr>
      <w:r>
        <w:rPr>
          <w:rFonts w:hint="default" w:ascii="Times New Roman" w:hAnsi="Times New Roman" w:cs="Times New Roman"/>
          <w:color w:val="auto"/>
          <w:sz w:val="24"/>
          <w:highlight w:val="none"/>
        </w:rPr>
        <w:t>22.2.3</w:t>
      </w:r>
      <w:r>
        <w:rPr>
          <w:rFonts w:hint="default" w:ascii="Times New Roman" w:hAnsi="Times New Roman" w:eastAsia="黑体" w:cs="Times New Roman"/>
          <w:color w:val="auto"/>
          <w:sz w:val="24"/>
          <w:highlight w:val="none"/>
        </w:rPr>
        <w:t>发包人违约解除合同</w:t>
      </w:r>
    </w:p>
    <w:p w14:paraId="433D34F1">
      <w:pPr>
        <w:pageBreakBefore w:val="0"/>
        <w:kinsoku/>
        <w:wordWrap w:val="0"/>
        <w:bidi w:val="0"/>
        <w:spacing w:line="400" w:lineRule="atLeast"/>
        <w:ind w:firstLine="480" w:firstLineChars="200"/>
        <w:outlineLvl w:val="9"/>
        <w:rPr>
          <w:rFonts w:hint="eastAsia"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（1）发生第22.2.1（4）目的违约情况时，承包人可书面通知发包人解除合同。</w:t>
      </w:r>
    </w:p>
    <w:p w14:paraId="7412D3BB">
      <w:pPr>
        <w:pageBreakBefore w:val="0"/>
        <w:tabs>
          <w:tab w:val="left" w:pos="720"/>
          <w:tab w:val="left" w:pos="900"/>
        </w:tabs>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（2）承包人按第22.2.2项暂停施工28天后，发包人仍不纠正违约行为的，承包人可向发包人发出解除合同通知。但承包人的这一行动不免除发包人承担的违约责任，也不影响承包人根据合同约定享有的索赔权利。</w:t>
      </w:r>
    </w:p>
    <w:p w14:paraId="049F2F96">
      <w:pPr>
        <w:pageBreakBefore w:val="0"/>
        <w:kinsoku/>
        <w:wordWrap w:val="0"/>
        <w:bidi w:val="0"/>
        <w:spacing w:line="400" w:lineRule="atLeast"/>
        <w:ind w:firstLine="470" w:firstLineChars="196"/>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22.2.4</w:t>
      </w:r>
      <w:r>
        <w:rPr>
          <w:rFonts w:hint="default" w:ascii="Times New Roman" w:hAnsi="Times New Roman" w:eastAsia="黑体" w:cs="Times New Roman"/>
          <w:color w:val="auto"/>
          <w:sz w:val="24"/>
          <w:highlight w:val="none"/>
        </w:rPr>
        <w:t>解除合同后的付款</w:t>
      </w:r>
    </w:p>
    <w:p w14:paraId="389C0448">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因发包人违约解除合同的，发包人应在解除合同后28天内向承包人支付下列金额，承包人应在此期限内及时向发包人提交要求支付下列金额的有关资料和凭证：</w:t>
      </w:r>
    </w:p>
    <w:p w14:paraId="5239691F">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（1）合同解除日以前所完成工作的价款；</w:t>
      </w:r>
    </w:p>
    <w:p w14:paraId="3758A15A">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（2）承包人为该工程施工订购并已付款的材料、工程设备和其他物品的金额。发包人付还后，该材料、工程设备和其他物品归发包人所有；</w:t>
      </w:r>
    </w:p>
    <w:p w14:paraId="3FD3B0FC">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（3）承包人为完成工程所发生的，而发包人未支付的金额；</w:t>
      </w:r>
    </w:p>
    <w:p w14:paraId="5C530F0A">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（4）承包人撤离施工场地以及遣散承包人人员的金额；</w:t>
      </w:r>
    </w:p>
    <w:p w14:paraId="068F4ADD">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（5）由于解除合同应赔偿的承包人损失；</w:t>
      </w:r>
    </w:p>
    <w:p w14:paraId="5099B526">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（6）按合同约定在合同解除日前应支付给承包人的其他金额。</w:t>
      </w:r>
    </w:p>
    <w:p w14:paraId="6380BF78">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发包人应按本项约定支付上述金额并退还质量保证金和履约担保，但有权要求承包人支付应偿还给发包人的各项金额。</w:t>
      </w:r>
    </w:p>
    <w:p w14:paraId="12E786EE">
      <w:pPr>
        <w:pageBreakBefore w:val="0"/>
        <w:kinsoku/>
        <w:wordWrap w:val="0"/>
        <w:bidi w:val="0"/>
        <w:spacing w:line="400" w:lineRule="atLeast"/>
        <w:ind w:firstLine="470" w:firstLineChars="196"/>
        <w:outlineLvl w:val="9"/>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22.2.5解除合同后的承包人撤离</w:t>
      </w:r>
    </w:p>
    <w:p w14:paraId="5B2C19D5">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因发包人违约而解除合同后，承包人应妥善做好已竣工工程和已购材料、设备的保护和移交工作，按发包人要求将承包人设备和人员撤出施工场地。承包人撤出施工场地应遵守第18.7.1项的约定，发包人应为承包人撤出提供必要条件。</w:t>
      </w:r>
    </w:p>
    <w:p w14:paraId="617E6D5E">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007" w:name="_Toc27072"/>
      <w:bookmarkStart w:id="1008" w:name="_Toc234833112"/>
      <w:bookmarkStart w:id="1009" w:name="_Toc5244"/>
      <w:bookmarkStart w:id="1010" w:name="_Toc1197"/>
      <w:r>
        <w:rPr>
          <w:rFonts w:hint="default" w:ascii="Times New Roman" w:hAnsi="Times New Roman" w:eastAsia="黑体" w:cs="Times New Roman"/>
          <w:b w:val="0"/>
          <w:color w:val="auto"/>
          <w:sz w:val="24"/>
          <w:szCs w:val="24"/>
          <w:highlight w:val="none"/>
        </w:rPr>
        <w:t>22.3第三人造成的违约</w:t>
      </w:r>
      <w:bookmarkEnd w:id="1007"/>
      <w:bookmarkEnd w:id="1008"/>
      <w:bookmarkEnd w:id="1009"/>
      <w:bookmarkEnd w:id="1010"/>
    </w:p>
    <w:p w14:paraId="50294D06">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在履行合同过程中，一方当事人因第三人的原因造成违约的，应当向对方当事人承担违约责任。一方当事人和第三人之间的纠纷，依照法律规定或者按照约定解决。</w:t>
      </w:r>
    </w:p>
    <w:p w14:paraId="54D6570B">
      <w:pPr>
        <w:pageBreakBefore w:val="0"/>
        <w:kinsoku/>
        <w:wordWrap w:val="0"/>
        <w:bidi w:val="0"/>
        <w:spacing w:before="480" w:after="240" w:line="380" w:lineRule="atLeast"/>
        <w:outlineLvl w:val="9"/>
        <w:rPr>
          <w:rFonts w:hint="default" w:ascii="Times New Roman" w:hAnsi="Times New Roman" w:eastAsia="黑体" w:cs="Times New Roman"/>
          <w:b w:val="0"/>
          <w:color w:val="auto"/>
          <w:sz w:val="28"/>
          <w:szCs w:val="28"/>
          <w:highlight w:val="none"/>
        </w:rPr>
      </w:pPr>
      <w:bookmarkStart w:id="1011" w:name="_Toc29983"/>
      <w:bookmarkStart w:id="1012" w:name="_Toc234833113"/>
      <w:bookmarkStart w:id="1013" w:name="_Toc15487"/>
      <w:bookmarkStart w:id="1014" w:name="_Toc27731"/>
      <w:r>
        <w:rPr>
          <w:rFonts w:hint="default" w:ascii="Times New Roman" w:hAnsi="Times New Roman" w:eastAsia="黑体" w:cs="Times New Roman"/>
          <w:b w:val="0"/>
          <w:color w:val="auto"/>
          <w:sz w:val="28"/>
          <w:szCs w:val="28"/>
          <w:highlight w:val="none"/>
        </w:rPr>
        <w:t>23.索赔</w:t>
      </w:r>
      <w:bookmarkEnd w:id="1011"/>
      <w:bookmarkEnd w:id="1012"/>
      <w:bookmarkEnd w:id="1013"/>
      <w:bookmarkEnd w:id="1014"/>
    </w:p>
    <w:p w14:paraId="1CD2BF2A">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015" w:name="_Toc31146"/>
      <w:bookmarkStart w:id="1016" w:name="_Toc234833114"/>
      <w:bookmarkStart w:id="1017" w:name="_Toc3879"/>
      <w:bookmarkStart w:id="1018" w:name="_Toc8289"/>
      <w:r>
        <w:rPr>
          <w:rFonts w:hint="default" w:ascii="Times New Roman" w:hAnsi="Times New Roman" w:eastAsia="黑体" w:cs="Times New Roman"/>
          <w:b w:val="0"/>
          <w:color w:val="auto"/>
          <w:sz w:val="24"/>
          <w:szCs w:val="24"/>
          <w:highlight w:val="none"/>
        </w:rPr>
        <w:t>23.1承包人索赔的提出</w:t>
      </w:r>
      <w:bookmarkEnd w:id="1015"/>
      <w:bookmarkEnd w:id="1016"/>
      <w:bookmarkEnd w:id="1017"/>
      <w:bookmarkEnd w:id="1018"/>
    </w:p>
    <w:p w14:paraId="1CD97D25">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根据合同约定，承包人认为有权得到追加付款和（或）延长工期的，应按以下程序向发包人提出索赔：</w:t>
      </w:r>
    </w:p>
    <w:p w14:paraId="4389338E">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（1）承包人应在知道或应当知道索赔事件发生后28天内，向监理人递交索赔意向通知书，并说明发生索赔事件的事由。承包人未在前述28天内发出索赔意向通知书的，丧失要求追加付款和（或）延长工期的权利；</w:t>
      </w:r>
    </w:p>
    <w:p w14:paraId="211E5378">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（2）承包人应在发出索赔意向通知书后28天内，向监理人正式递交索赔通知书。索赔通知书应详细说明索赔理由以及要求追加的付款金额和（或）延长的工期，并附必要的记录和证明材料；</w:t>
      </w:r>
    </w:p>
    <w:p w14:paraId="6262D63A">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（3）索赔事件具有连续影响的，承包人应按合理时间间隔继续递交延续索赔通知，说明连续影响的实际情况和记录，列出累计的追加付款金额和（或）工期延长天数；</w:t>
      </w:r>
    </w:p>
    <w:p w14:paraId="37DFE516">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（4）在索赔事件影响结束后的28天内，承包人应向监理人递交最终索赔通知书，说明最终要求索赔的追加付款金额和延长的工期，并附必要的记录和证明材料。</w:t>
      </w:r>
    </w:p>
    <w:p w14:paraId="7140E69D">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019" w:name="_Toc31313"/>
      <w:bookmarkStart w:id="1020" w:name="_Toc18819"/>
      <w:bookmarkStart w:id="1021" w:name="_Toc17762"/>
      <w:bookmarkStart w:id="1022" w:name="_Toc234833115"/>
      <w:r>
        <w:rPr>
          <w:rFonts w:hint="default" w:ascii="Times New Roman" w:hAnsi="Times New Roman" w:eastAsia="黑体" w:cs="Times New Roman"/>
          <w:b w:val="0"/>
          <w:color w:val="auto"/>
          <w:sz w:val="24"/>
          <w:szCs w:val="24"/>
          <w:highlight w:val="none"/>
        </w:rPr>
        <w:t>23.2承包人索赔处理程序</w:t>
      </w:r>
      <w:bookmarkEnd w:id="1019"/>
      <w:bookmarkEnd w:id="1020"/>
      <w:bookmarkEnd w:id="1021"/>
      <w:bookmarkEnd w:id="1022"/>
    </w:p>
    <w:p w14:paraId="151833BE">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（1）监理人收到承包人提交的索赔通知书后，应及时审查索赔通知书的内容、查验承包人的记录和证明材料，必要时监理人可要求承包人提交全部原始记录副本。</w:t>
      </w:r>
    </w:p>
    <w:p w14:paraId="76BBECCC">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（2）监理人应按第3.5款商定或确定追加的付款和（或）延长的工期，并在收到上述索赔通知书或有关索赔的进一步证明材料后的42天内，将索赔处理结果答复承包人。</w:t>
      </w:r>
    </w:p>
    <w:p w14:paraId="3B119120">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（3）承包人接受索赔处理结果的，发包人应在作出索赔处理结果答复后28天内完成赔付。承包人不接受索赔处理结果的，按第24条的约定办理。</w:t>
      </w:r>
    </w:p>
    <w:p w14:paraId="57C0AE99">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023" w:name="_Toc3852"/>
      <w:bookmarkStart w:id="1024" w:name="_Toc616"/>
      <w:bookmarkStart w:id="1025" w:name="_Toc19947"/>
      <w:bookmarkStart w:id="1026" w:name="_Toc234833116"/>
      <w:r>
        <w:rPr>
          <w:rFonts w:hint="default" w:ascii="Times New Roman" w:hAnsi="Times New Roman" w:eastAsia="黑体" w:cs="Times New Roman"/>
          <w:b w:val="0"/>
          <w:color w:val="auto"/>
          <w:sz w:val="24"/>
          <w:szCs w:val="24"/>
          <w:highlight w:val="none"/>
        </w:rPr>
        <w:t>23.3承包人提出索赔的期限</w:t>
      </w:r>
      <w:bookmarkEnd w:id="1023"/>
      <w:bookmarkEnd w:id="1024"/>
      <w:bookmarkEnd w:id="1025"/>
      <w:bookmarkEnd w:id="1026"/>
    </w:p>
    <w:p w14:paraId="6F294CC8">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23.3.1承包人按第17.5款的约定接受了竣工付款证书后，应被认为已无权再提出在合同工程接收证书颁发前所发生的任何索赔。</w:t>
      </w:r>
    </w:p>
    <w:p w14:paraId="7B09561B">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23.3.2承包人按第17.6款的约定提交的最终结清申请单中，只限于提出工程接收证书颁发后发生的索赔。提出索赔的期限自接受最终结清证书时终止。</w:t>
      </w:r>
    </w:p>
    <w:p w14:paraId="166D009F">
      <w:pPr>
        <w:pageBreakBefore w:val="0"/>
        <w:kinsoku/>
        <w:wordWrap w:val="0"/>
        <w:bidi w:val="0"/>
        <w:spacing w:before="240" w:after="240" w:line="380" w:lineRule="atLeast"/>
        <w:outlineLvl w:val="9"/>
        <w:rPr>
          <w:rFonts w:hint="eastAsia" w:ascii="Times New Roman" w:hAnsi="Times New Roman" w:eastAsia="黑体" w:cs="Times New Roman"/>
          <w:b w:val="0"/>
          <w:color w:val="auto"/>
          <w:sz w:val="24"/>
          <w:szCs w:val="24"/>
          <w:highlight w:val="none"/>
          <w:lang w:eastAsia="zh-CN"/>
        </w:rPr>
      </w:pPr>
      <w:bookmarkStart w:id="1027" w:name="_Toc234833117"/>
      <w:bookmarkStart w:id="1028" w:name="_Toc6220"/>
      <w:bookmarkStart w:id="1029" w:name="_Toc9765"/>
      <w:bookmarkStart w:id="1030" w:name="_Toc2347"/>
      <w:r>
        <w:rPr>
          <w:rFonts w:hint="default" w:ascii="Times New Roman" w:hAnsi="Times New Roman" w:eastAsia="黑体" w:cs="Times New Roman"/>
          <w:b w:val="0"/>
          <w:color w:val="auto"/>
          <w:sz w:val="24"/>
          <w:szCs w:val="24"/>
          <w:highlight w:val="none"/>
        </w:rPr>
        <w:t>23.4发包人的索赔</w:t>
      </w:r>
      <w:bookmarkEnd w:id="1027"/>
      <w:bookmarkEnd w:id="1028"/>
      <w:bookmarkEnd w:id="1029"/>
      <w:bookmarkEnd w:id="1030"/>
    </w:p>
    <w:p w14:paraId="44E87839">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23.4.1发生索赔事件后，监理人应及时书面通知承包人，详细说明发包人有权得到的索赔金额和（或）延长缺陷责任期的细节和依据。发包人提出索赔的期限和要求与第23.3款的约定相同，延长缺陷责任期的通知应在缺陷责任期届满前发出。</w:t>
      </w:r>
    </w:p>
    <w:p w14:paraId="129DC6E5">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23.4.2监理人按第3.5款商定或确定发包人从承包人处得到赔付的金额和（或）缺陷责任期的延长期。承包人应付给发包人的金额可从拟支付给承包人的合同价款中扣除，或由承包人以其他方式支付给发包人。</w:t>
      </w:r>
    </w:p>
    <w:p w14:paraId="025692FE">
      <w:pPr>
        <w:pageBreakBefore w:val="0"/>
        <w:kinsoku/>
        <w:wordWrap w:val="0"/>
        <w:bidi w:val="0"/>
        <w:spacing w:before="480" w:after="240" w:line="380" w:lineRule="atLeast"/>
        <w:outlineLvl w:val="9"/>
        <w:rPr>
          <w:rFonts w:hint="default" w:ascii="Times New Roman" w:hAnsi="Times New Roman" w:eastAsia="黑体" w:cs="Times New Roman"/>
          <w:b w:val="0"/>
          <w:color w:val="auto"/>
          <w:sz w:val="28"/>
          <w:szCs w:val="28"/>
          <w:highlight w:val="none"/>
        </w:rPr>
      </w:pPr>
      <w:bookmarkStart w:id="1031" w:name="_Toc234833118"/>
      <w:bookmarkStart w:id="1032" w:name="_Toc31922"/>
      <w:bookmarkStart w:id="1033" w:name="_Toc27984"/>
      <w:bookmarkStart w:id="1034" w:name="_Toc15563"/>
      <w:r>
        <w:rPr>
          <w:rFonts w:hint="default" w:ascii="Times New Roman" w:hAnsi="Times New Roman" w:eastAsia="黑体" w:cs="Times New Roman"/>
          <w:b w:val="0"/>
          <w:color w:val="auto"/>
          <w:sz w:val="28"/>
          <w:szCs w:val="28"/>
          <w:highlight w:val="none"/>
        </w:rPr>
        <w:t>24.争议的解决</w:t>
      </w:r>
      <w:bookmarkEnd w:id="1031"/>
      <w:bookmarkEnd w:id="1032"/>
      <w:bookmarkEnd w:id="1033"/>
      <w:bookmarkEnd w:id="1034"/>
    </w:p>
    <w:p w14:paraId="5B5FD5CD">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035" w:name="_Toc1723"/>
      <w:bookmarkStart w:id="1036" w:name="_Toc32049"/>
      <w:bookmarkStart w:id="1037" w:name="_Toc234833119"/>
      <w:bookmarkStart w:id="1038" w:name="_Toc30045"/>
      <w:r>
        <w:rPr>
          <w:rFonts w:hint="default" w:ascii="Times New Roman" w:hAnsi="Times New Roman" w:eastAsia="黑体" w:cs="Times New Roman"/>
          <w:b w:val="0"/>
          <w:color w:val="auto"/>
          <w:sz w:val="24"/>
          <w:szCs w:val="24"/>
          <w:highlight w:val="none"/>
        </w:rPr>
        <w:t>24.1争议的解决方式</w:t>
      </w:r>
      <w:bookmarkEnd w:id="1035"/>
      <w:bookmarkEnd w:id="1036"/>
      <w:bookmarkEnd w:id="1037"/>
      <w:bookmarkEnd w:id="1038"/>
    </w:p>
    <w:p w14:paraId="5BBD31AC">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发包人和承包人在履行合同中发生争议的，可以友好协商解决或者提请争议评审组评审。合同当事人友好协商解决不成、不愿提请争议评审或者不接受争议评审组意见的，可在专用合同条款中约定下列一种方式解决：</w:t>
      </w:r>
    </w:p>
    <w:p w14:paraId="365BEA28">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（1）向约定的仲裁委员会申请仲裁；</w:t>
      </w:r>
    </w:p>
    <w:p w14:paraId="1ECB4821">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（2）向有管辖权的人民法院提起诉讼。</w:t>
      </w:r>
    </w:p>
    <w:p w14:paraId="1B0D809A">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039" w:name="_Toc4677"/>
      <w:bookmarkStart w:id="1040" w:name="_Toc234833120"/>
      <w:bookmarkStart w:id="1041" w:name="_Toc21235"/>
      <w:bookmarkStart w:id="1042" w:name="_Toc25861"/>
      <w:r>
        <w:rPr>
          <w:rFonts w:hint="default" w:ascii="Times New Roman" w:hAnsi="Times New Roman" w:eastAsia="黑体" w:cs="Times New Roman"/>
          <w:b w:val="0"/>
          <w:color w:val="auto"/>
          <w:sz w:val="24"/>
          <w:szCs w:val="24"/>
          <w:highlight w:val="none"/>
        </w:rPr>
        <w:t>24.2友好解决</w:t>
      </w:r>
      <w:bookmarkEnd w:id="1039"/>
      <w:bookmarkEnd w:id="1040"/>
      <w:bookmarkEnd w:id="1041"/>
      <w:bookmarkEnd w:id="1042"/>
    </w:p>
    <w:p w14:paraId="0D0E8DA5">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在提请争议评审、仲裁或者诉讼前，以及在争议评审、仲裁或诉讼过程中，发包人和承包人均可共同努力友好协商解决争议。</w:t>
      </w:r>
    </w:p>
    <w:p w14:paraId="591008C0">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043" w:name="_Toc24796"/>
      <w:bookmarkStart w:id="1044" w:name="_Toc20198"/>
      <w:bookmarkStart w:id="1045" w:name="_Toc234833121"/>
      <w:bookmarkStart w:id="1046" w:name="_Toc17586"/>
      <w:r>
        <w:rPr>
          <w:rFonts w:hint="default" w:ascii="Times New Roman" w:hAnsi="Times New Roman" w:eastAsia="黑体" w:cs="Times New Roman"/>
          <w:b w:val="0"/>
          <w:color w:val="auto"/>
          <w:sz w:val="24"/>
          <w:szCs w:val="24"/>
          <w:highlight w:val="none"/>
        </w:rPr>
        <w:t>24.3争议评审</w:t>
      </w:r>
      <w:bookmarkEnd w:id="1043"/>
      <w:bookmarkEnd w:id="1044"/>
      <w:bookmarkEnd w:id="1045"/>
      <w:bookmarkEnd w:id="1046"/>
    </w:p>
    <w:p w14:paraId="1AA6F29F">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24.3.1采用争议评审的，发包人和承包人应在开工日后的28天内或在争议发生后，协商成立争议评审组。争议评审组由有合同管理和工程实践经验的专家组成。</w:t>
      </w:r>
    </w:p>
    <w:p w14:paraId="2B3F3731">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24.3.2合同双方的争议，应首先由申请人向争议评审组提交一份详细的评审申请报告，并附必要的文件、图纸和证明材料，申请人还应将上述报告的副本同时提交给被申请人和监理人。</w:t>
      </w:r>
    </w:p>
    <w:p w14:paraId="5729790C">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24.3.3被申请人在收到申请人评审申请报告副本后的28天内，向争议评审组提交一份答辩报告，并附证明材料。被申请人应将答辩报告的副本同时提交给申请人和监理人。</w:t>
      </w:r>
    </w:p>
    <w:p w14:paraId="72F78DCC">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24.3.4除专用合同条款另有约定外，争议评审组在收到合同双方报告后的14天内，邀请双方代表和有关人员举行调查会，向双方调查争议细节；必要时争议评审组可要求双方进一步提供补充材料。</w:t>
      </w:r>
    </w:p>
    <w:p w14:paraId="3654951C">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24.3.5除专用合同条款另有约定外，在调查会结束后的14天内，争议评审组应在不受任何干扰的情况下进行独立、公正的评审，作出书面评审意见，并说明理由。在争议评审期间，争议双方暂按总监理工程师的确定执行。</w:t>
      </w:r>
    </w:p>
    <w:p w14:paraId="770CCFAE">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24.3.6发包人和承包人接受评审意见的，由监理人根据评审意见拟定执行协议，经争议双方签字后作为合同的补充文件，并遵照执行。</w:t>
      </w:r>
    </w:p>
    <w:p w14:paraId="69F4ED33">
      <w:pPr>
        <w:pageBreakBefore w:val="0"/>
        <w:kinsoku/>
        <w:wordWrap w:val="0"/>
        <w:bidi w:val="0"/>
        <w:spacing w:line="400" w:lineRule="atLeast"/>
        <w:ind w:firstLine="480" w:firstLineChars="200"/>
        <w:outlineLvl w:val="9"/>
        <w:rPr>
          <w:rFonts w:hint="default" w:ascii="Times New Roman" w:hAnsi="Times New Roman" w:cs="Times New Roman"/>
          <w:color w:val="auto"/>
          <w:sz w:val="20"/>
          <w:szCs w:val="20"/>
          <w:highlight w:val="none"/>
        </w:rPr>
      </w:pPr>
      <w:r>
        <w:rPr>
          <w:rFonts w:hint="default" w:ascii="Times New Roman" w:hAnsi="Times New Roman" w:cs="Times New Roman"/>
          <w:color w:val="auto"/>
          <w:sz w:val="24"/>
          <w:highlight w:val="none"/>
        </w:rPr>
        <w:t>24.3.7发包人或承包人不接受评审意见，并要求提交仲裁或提起诉讼的，应在收到评审意见后的14天内将仲裁或起诉意向书面通知另一方，并抄送监理人，但在仲裁或诉讼结束前应暂按总监理工程师的确定执行。</w:t>
      </w:r>
    </w:p>
    <w:p w14:paraId="071177B3">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r>
        <w:rPr>
          <w:rFonts w:hint="default" w:ascii="Times New Roman" w:hAnsi="Times New Roman" w:eastAsia="黑体" w:cs="Times New Roman"/>
          <w:color w:val="auto"/>
          <w:sz w:val="32"/>
          <w:szCs w:val="32"/>
          <w:highlight w:val="none"/>
        </w:rPr>
        <w:br w:type="page"/>
      </w:r>
      <w:bookmarkStart w:id="1047" w:name="_Toc234833122"/>
    </w:p>
    <w:p w14:paraId="5E9D8D46">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6A93E744">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06316767">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4918FF6E">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1D67E71E">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1F1C5777">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294F942A">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3410FFFF">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4998F7E9">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748647EA">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3E281D14">
      <w:pPr>
        <w:pStyle w:val="5"/>
        <w:pageBreakBefore w:val="0"/>
        <w:kinsoku/>
        <w:wordWrap w:val="0"/>
        <w:bidi w:val="0"/>
        <w:spacing w:before="240" w:after="240" w:line="380" w:lineRule="atLeast"/>
        <w:jc w:val="center"/>
        <w:outlineLvl w:val="2"/>
        <w:rPr>
          <w:rFonts w:hint="default" w:ascii="Times New Roman" w:hAnsi="Times New Roman" w:eastAsia="黑体" w:cs="Times New Roman"/>
          <w:b w:val="0"/>
          <w:color w:val="auto"/>
          <w:sz w:val="42"/>
          <w:szCs w:val="42"/>
          <w:highlight w:val="none"/>
        </w:rPr>
      </w:pPr>
      <w:bookmarkStart w:id="1048" w:name="_Toc22779"/>
      <w:bookmarkStart w:id="1049" w:name="_Toc11299"/>
      <w:bookmarkStart w:id="1050" w:name="_Toc21883"/>
      <w:bookmarkStart w:id="1051" w:name="_Toc22963"/>
      <w:r>
        <w:rPr>
          <w:rFonts w:hint="default" w:ascii="Times New Roman" w:hAnsi="Times New Roman" w:eastAsia="黑体" w:cs="Times New Roman"/>
          <w:b w:val="0"/>
          <w:color w:val="auto"/>
          <w:sz w:val="42"/>
          <w:szCs w:val="42"/>
          <w:highlight w:val="none"/>
        </w:rPr>
        <w:t>第二节</w:t>
      </w:r>
      <w:r>
        <w:rPr>
          <w:rFonts w:hint="eastAsia" w:cs="Times New Roman"/>
          <w:b w:val="0"/>
          <w:color w:val="auto"/>
          <w:sz w:val="42"/>
          <w:szCs w:val="42"/>
          <w:highlight w:val="none"/>
          <w:lang w:val="en-US" w:eastAsia="zh-CN"/>
        </w:rPr>
        <w:t xml:space="preserve"> </w:t>
      </w:r>
      <w:r>
        <w:rPr>
          <w:rFonts w:hint="default" w:ascii="Times New Roman" w:hAnsi="Times New Roman" w:eastAsia="黑体" w:cs="Times New Roman"/>
          <w:b w:val="0"/>
          <w:color w:val="auto"/>
          <w:sz w:val="42"/>
          <w:szCs w:val="42"/>
          <w:highlight w:val="none"/>
        </w:rPr>
        <w:t>专用合同条款</w:t>
      </w:r>
      <w:bookmarkEnd w:id="1047"/>
      <w:bookmarkEnd w:id="1048"/>
      <w:bookmarkEnd w:id="1049"/>
      <w:bookmarkEnd w:id="1050"/>
      <w:bookmarkEnd w:id="1051"/>
    </w:p>
    <w:p w14:paraId="5090C205">
      <w:pPr>
        <w:pageBreakBefore w:val="0"/>
        <w:kinsoku/>
        <w:wordWrap w:val="0"/>
        <w:bidi w:val="0"/>
        <w:spacing w:before="240" w:after="240" w:line="380" w:lineRule="atLeast"/>
        <w:jc w:val="center"/>
        <w:outlineLvl w:val="3"/>
        <w:rPr>
          <w:rFonts w:hint="default" w:ascii="Times New Roman" w:hAnsi="Times New Roman" w:eastAsia="黑体" w:cs="Times New Roman"/>
          <w:b w:val="0"/>
          <w:color w:val="auto"/>
          <w:sz w:val="32"/>
          <w:szCs w:val="32"/>
          <w:highlight w:val="none"/>
        </w:rPr>
      </w:pPr>
      <w:r>
        <w:rPr>
          <w:rFonts w:hint="default" w:ascii="Times New Roman" w:hAnsi="Times New Roman" w:eastAsia="黑体" w:cs="Times New Roman"/>
          <w:b w:val="0"/>
          <w:color w:val="auto"/>
          <w:sz w:val="32"/>
          <w:szCs w:val="32"/>
          <w:highlight w:val="none"/>
        </w:rPr>
        <w:br w:type="page"/>
      </w:r>
      <w:bookmarkStart w:id="1052" w:name="_Toc22882"/>
      <w:bookmarkStart w:id="1053" w:name="_Toc234833123"/>
      <w:bookmarkStart w:id="1054" w:name="_Toc3511"/>
      <w:r>
        <w:rPr>
          <w:rFonts w:hint="default" w:ascii="Times New Roman" w:hAnsi="Times New Roman" w:eastAsia="黑体" w:cs="Times New Roman"/>
          <w:b w:val="0"/>
          <w:color w:val="auto"/>
          <w:sz w:val="32"/>
          <w:szCs w:val="32"/>
          <w:highlight w:val="none"/>
        </w:rPr>
        <w:t>A.公路工程专用合同条款</w:t>
      </w:r>
      <w:bookmarkEnd w:id="1052"/>
      <w:bookmarkEnd w:id="1053"/>
      <w:bookmarkEnd w:id="1054"/>
    </w:p>
    <w:p w14:paraId="1F84FF30">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p>
    <w:p w14:paraId="19F8749E">
      <w:pPr>
        <w:pageBreakBefore w:val="0"/>
        <w:kinsoku/>
        <w:wordWrap w:val="0"/>
        <w:bidi w:val="0"/>
        <w:spacing w:before="240" w:after="240" w:line="380" w:lineRule="atLeast"/>
        <w:outlineLvl w:val="9"/>
        <w:rPr>
          <w:rFonts w:hint="default" w:ascii="Times New Roman" w:hAnsi="Times New Roman" w:eastAsia="黑体" w:cs="Times New Roman"/>
          <w:b w:val="0"/>
          <w:color w:val="auto"/>
          <w:sz w:val="28"/>
          <w:szCs w:val="28"/>
          <w:highlight w:val="none"/>
        </w:rPr>
      </w:pPr>
      <w:bookmarkStart w:id="1055" w:name="_Toc8341"/>
      <w:bookmarkStart w:id="1056" w:name="_Toc8680"/>
      <w:bookmarkStart w:id="1057" w:name="_Toc18793"/>
      <w:bookmarkStart w:id="1058" w:name="_Toc234833124"/>
      <w:r>
        <w:rPr>
          <w:rFonts w:hint="default" w:ascii="Times New Roman" w:hAnsi="Times New Roman" w:eastAsia="黑体" w:cs="Times New Roman"/>
          <w:b w:val="0"/>
          <w:color w:val="auto"/>
          <w:sz w:val="28"/>
          <w:szCs w:val="28"/>
          <w:highlight w:val="none"/>
        </w:rPr>
        <w:t>1.一般约定</w:t>
      </w:r>
      <w:bookmarkEnd w:id="1055"/>
      <w:bookmarkEnd w:id="1056"/>
      <w:bookmarkEnd w:id="1057"/>
      <w:bookmarkEnd w:id="1058"/>
      <w:r>
        <w:rPr>
          <w:rFonts w:hint="default" w:ascii="Times New Roman" w:hAnsi="Times New Roman" w:eastAsia="黑体" w:cs="Times New Roman"/>
          <w:b w:val="0"/>
          <w:color w:val="auto"/>
          <w:sz w:val="28"/>
          <w:szCs w:val="28"/>
          <w:highlight w:val="none"/>
        </w:rPr>
        <w:tab/>
      </w:r>
    </w:p>
    <w:p w14:paraId="0E91527F">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059" w:name="_Toc9796"/>
      <w:bookmarkStart w:id="1060" w:name="_Toc16083"/>
      <w:bookmarkStart w:id="1061" w:name="_Toc12594"/>
      <w:bookmarkStart w:id="1062" w:name="_Toc234833125"/>
      <w:r>
        <w:rPr>
          <w:rFonts w:hint="default" w:ascii="Times New Roman" w:hAnsi="Times New Roman" w:eastAsia="黑体" w:cs="Times New Roman"/>
          <w:b w:val="0"/>
          <w:color w:val="auto"/>
          <w:sz w:val="24"/>
          <w:szCs w:val="24"/>
          <w:highlight w:val="none"/>
        </w:rPr>
        <w:t>1.1</w:t>
      </w:r>
      <w:r>
        <w:rPr>
          <w:rFonts w:hint="default" w:ascii="Times New Roman" w:hAnsi="Times New Roman" w:eastAsia="黑体" w:cs="Times New Roman"/>
          <w:b w:val="0"/>
          <w:color w:val="auto"/>
          <w:sz w:val="24"/>
          <w:szCs w:val="24"/>
          <w:highlight w:val="none"/>
        </w:rPr>
        <w:tab/>
      </w:r>
      <w:r>
        <w:rPr>
          <w:rFonts w:hint="default" w:ascii="Times New Roman" w:hAnsi="Times New Roman" w:eastAsia="黑体" w:cs="Times New Roman"/>
          <w:b w:val="0"/>
          <w:color w:val="auto"/>
          <w:sz w:val="24"/>
          <w:szCs w:val="24"/>
          <w:highlight w:val="none"/>
        </w:rPr>
        <w:t>词语定义</w:t>
      </w:r>
      <w:bookmarkEnd w:id="1059"/>
      <w:bookmarkEnd w:id="1060"/>
      <w:bookmarkEnd w:id="1061"/>
      <w:bookmarkEnd w:id="1062"/>
    </w:p>
    <w:p w14:paraId="2CA364F7">
      <w:pPr>
        <w:pageBreakBefore w:val="0"/>
        <w:kinsoku/>
        <w:wordWrap w:val="0"/>
        <w:bidi w:val="0"/>
        <w:spacing w:line="400" w:lineRule="atLeast"/>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1.1.1</w:t>
      </w:r>
      <w:r>
        <w:rPr>
          <w:rFonts w:hint="default" w:ascii="Times New Roman" w:hAnsi="Times New Roman" w:eastAsia="黑体" w:cs="Times New Roman"/>
          <w:color w:val="auto"/>
          <w:sz w:val="24"/>
          <w:highlight w:val="none"/>
        </w:rPr>
        <w:t>合同</w:t>
      </w:r>
    </w:p>
    <w:p w14:paraId="5260CE9E">
      <w:pPr>
        <w:pageBreakBefore w:val="0"/>
        <w:kinsoku/>
        <w:wordWrap w:val="0"/>
        <w:bidi w:val="0"/>
        <w:spacing w:line="400" w:lineRule="atLeast"/>
        <w:ind w:firstLine="720" w:firstLineChars="3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第1.1.1.6目细化为：</w:t>
      </w:r>
    </w:p>
    <w:p w14:paraId="1E64C68B">
      <w:pPr>
        <w:pageBreakBefore w:val="0"/>
        <w:kinsoku/>
        <w:wordWrap w:val="0"/>
        <w:bidi w:val="0"/>
        <w:spacing w:line="400" w:lineRule="atLeast"/>
        <w:ind w:firstLine="720" w:firstLineChars="3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技术规范：指本合同所约定的技术标准和要求，是合同文件的组成部分。通用合同条款中</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技术标准和要求</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一词具有相同含义。</w:t>
      </w:r>
    </w:p>
    <w:p w14:paraId="4A29E844">
      <w:pPr>
        <w:pageBreakBefore w:val="0"/>
        <w:kinsoku/>
        <w:wordWrap w:val="0"/>
        <w:bidi w:val="0"/>
        <w:spacing w:line="400" w:lineRule="atLeast"/>
        <w:ind w:firstLine="720" w:firstLineChars="3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第1.1.1.8目细化为：</w:t>
      </w:r>
    </w:p>
    <w:p w14:paraId="6BF0EEA7">
      <w:pPr>
        <w:pageBreakBefore w:val="0"/>
        <w:kinsoku/>
        <w:wordWrap w:val="0"/>
        <w:bidi w:val="0"/>
        <w:spacing w:line="400" w:lineRule="atLeast"/>
        <w:ind w:firstLine="720" w:firstLineChars="3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已标价工程量清单：指构成合同文件组成部分的已标明价格、经算术性错误修正及其他错误修正（如有）且承包人已确认的最终的工程量清单，包括工程量清单说明、投标报价说明、计日工说明、其他说明及工程量清单各项表格（工程量清单表5.1～表5.5）。</w:t>
      </w:r>
    </w:p>
    <w:p w14:paraId="56E7C672">
      <w:pPr>
        <w:pageBreakBefore w:val="0"/>
        <w:kinsoku/>
        <w:wordWrap w:val="0"/>
        <w:bidi w:val="0"/>
        <w:spacing w:line="400" w:lineRule="atLeast"/>
        <w:ind w:firstLine="720" w:firstLineChars="3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本项补充第1.1.1.10目：</w:t>
      </w:r>
    </w:p>
    <w:p w14:paraId="6BA22CEF">
      <w:pPr>
        <w:pageBreakBefore w:val="0"/>
        <w:kinsoku/>
        <w:wordWrap w:val="0"/>
        <w:bidi w:val="0"/>
        <w:spacing w:line="400" w:lineRule="atLeast"/>
        <w:ind w:firstLine="720" w:firstLineChars="3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1.1.1.10补遗书：指发出招标文件之后由招标人向已取得招标文件的投标人发出的、编号的对招标文件所作的澄清、修改书。</w:t>
      </w:r>
    </w:p>
    <w:p w14:paraId="78F9821C">
      <w:pPr>
        <w:pageBreakBefore w:val="0"/>
        <w:kinsoku/>
        <w:wordWrap w:val="0"/>
        <w:bidi w:val="0"/>
        <w:spacing w:line="400" w:lineRule="atLeast"/>
        <w:ind w:firstLine="480" w:firstLineChars="200"/>
        <w:outlineLvl w:val="9"/>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1.1.2</w:t>
      </w:r>
      <w:r>
        <w:rPr>
          <w:rFonts w:hint="default" w:ascii="Times New Roman" w:hAnsi="Times New Roman" w:eastAsia="黑体" w:cs="Times New Roman"/>
          <w:color w:val="auto"/>
          <w:sz w:val="24"/>
          <w:highlight w:val="none"/>
        </w:rPr>
        <w:t>合同当事人和人员</w:t>
      </w:r>
    </w:p>
    <w:p w14:paraId="25C69E98">
      <w:pPr>
        <w:pageBreakBefore w:val="0"/>
        <w:kinsoku/>
        <w:wordWrap w:val="0"/>
        <w:bidi w:val="0"/>
        <w:spacing w:line="400" w:lineRule="atLeast"/>
        <w:ind w:firstLine="720" w:firstLineChars="3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本项补充第1.1.2.8</w:t>
      </w:r>
      <w:r>
        <w:rPr>
          <w:rFonts w:hint="eastAsia" w:cs="Times New Roman"/>
          <w:color w:val="auto"/>
          <w:sz w:val="24"/>
          <w:highlight w:val="none"/>
          <w:lang w:val="en-US" w:eastAsia="zh-CN"/>
        </w:rPr>
        <w:t>项</w:t>
      </w:r>
      <w:r>
        <w:rPr>
          <w:rFonts w:hint="default" w:ascii="Times New Roman" w:hAnsi="Times New Roman" w:cs="Times New Roman"/>
          <w:color w:val="auto"/>
          <w:sz w:val="24"/>
          <w:highlight w:val="none"/>
        </w:rPr>
        <w:t>目：</w:t>
      </w:r>
    </w:p>
    <w:p w14:paraId="238C0666">
      <w:pPr>
        <w:pageBreakBefore w:val="0"/>
        <w:kinsoku/>
        <w:wordWrap w:val="0"/>
        <w:bidi w:val="0"/>
        <w:spacing w:line="400" w:lineRule="atLeast"/>
        <w:ind w:firstLine="720" w:firstLineChars="3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1.1.2.8承包人项目总工：指由承包人书面委派常驻现场负责管理本合同工程的总工程师或技术总负责人。</w:t>
      </w:r>
    </w:p>
    <w:p w14:paraId="61D9BC5A">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1.1.3</w:t>
      </w:r>
      <w:r>
        <w:rPr>
          <w:rFonts w:hint="default" w:ascii="Times New Roman" w:hAnsi="Times New Roman" w:eastAsia="黑体" w:cs="Times New Roman"/>
          <w:color w:val="auto"/>
          <w:sz w:val="24"/>
          <w:highlight w:val="none"/>
        </w:rPr>
        <w:t>工程和设备</w:t>
      </w:r>
    </w:p>
    <w:p w14:paraId="3C85E721">
      <w:pPr>
        <w:pageBreakBefore w:val="0"/>
        <w:kinsoku/>
        <w:wordWrap w:val="0"/>
        <w:bidi w:val="0"/>
        <w:spacing w:line="400" w:lineRule="atLeast"/>
        <w:ind w:firstLine="720" w:firstLineChars="3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第1.1.3.4目细化为：</w:t>
      </w:r>
    </w:p>
    <w:p w14:paraId="4C2AFE7F">
      <w:pPr>
        <w:pageBreakBefore w:val="0"/>
        <w:kinsoku/>
        <w:wordWrap w:val="0"/>
        <w:bidi w:val="0"/>
        <w:spacing w:line="400" w:lineRule="atLeast"/>
        <w:ind w:firstLine="720" w:firstLineChars="3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单位工程：指在建设项目中，根据签订的合同，具有独立施工条件的工程。</w:t>
      </w:r>
    </w:p>
    <w:p w14:paraId="3EFE6503">
      <w:pPr>
        <w:pageBreakBefore w:val="0"/>
        <w:kinsoku/>
        <w:wordWrap w:val="0"/>
        <w:bidi w:val="0"/>
        <w:spacing w:line="400" w:lineRule="atLeast"/>
        <w:ind w:firstLine="720" w:firstLineChars="300"/>
        <w:outlineLvl w:val="9"/>
        <w:rPr>
          <w:rFonts w:hint="eastAsia"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第1.1.3.10目细化为：</w:t>
      </w:r>
    </w:p>
    <w:p w14:paraId="28AE3D0C">
      <w:pPr>
        <w:pageBreakBefore w:val="0"/>
        <w:kinsoku/>
        <w:wordWrap w:val="0"/>
        <w:bidi w:val="0"/>
        <w:spacing w:line="400" w:lineRule="atLeast"/>
        <w:ind w:firstLine="720" w:firstLineChars="3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永久占地：指为实施本合同工程而需要的一切永久占用的土地，包括公路两侧路权范围内的用地。</w:t>
      </w:r>
    </w:p>
    <w:p w14:paraId="237C633A">
      <w:pPr>
        <w:pageBreakBefore w:val="0"/>
        <w:kinsoku/>
        <w:wordWrap w:val="0"/>
        <w:bidi w:val="0"/>
        <w:spacing w:line="400" w:lineRule="atLeast"/>
        <w:ind w:firstLine="720" w:firstLineChars="3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第1.1.3.11目细化为：</w:t>
      </w:r>
    </w:p>
    <w:p w14:paraId="0459C0F1">
      <w:pPr>
        <w:pageBreakBefore w:val="0"/>
        <w:kinsoku/>
        <w:wordWrap w:val="0"/>
        <w:bidi w:val="0"/>
        <w:spacing w:line="400" w:lineRule="atLeast"/>
        <w:ind w:firstLine="720" w:firstLineChars="3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临时占地：指为实施本合同工程而需要的一切临时占用的土地，包括施工所用的临时支线、便道、便桥和现场的临时出入通道，以及生产（办公）、生活等临时设施用地等。</w:t>
      </w:r>
    </w:p>
    <w:p w14:paraId="73FC46DD">
      <w:pPr>
        <w:pageBreakBefore w:val="0"/>
        <w:kinsoku/>
        <w:wordWrap w:val="0"/>
        <w:bidi w:val="0"/>
        <w:spacing w:line="400" w:lineRule="atLeast"/>
        <w:ind w:firstLine="720" w:firstLineChars="3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本项补充第1.1.3.12目、第1.1.3.13目：</w:t>
      </w:r>
    </w:p>
    <w:p w14:paraId="7C166EC7">
      <w:pPr>
        <w:pageBreakBefore w:val="0"/>
        <w:kinsoku/>
        <w:wordWrap w:val="0"/>
        <w:bidi w:val="0"/>
        <w:spacing w:line="400" w:lineRule="atLeast"/>
        <w:ind w:firstLine="720" w:firstLineChars="3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1.1.3.12分部工程：指在单位工程中，按结构部位、路段长度及施工特点或施工任务划分的若干个工程。</w:t>
      </w:r>
    </w:p>
    <w:p w14:paraId="3FB59BD8">
      <w:pPr>
        <w:pageBreakBefore w:val="0"/>
        <w:kinsoku/>
        <w:wordWrap w:val="0"/>
        <w:bidi w:val="0"/>
        <w:spacing w:line="400" w:lineRule="atLeast"/>
        <w:ind w:firstLine="720" w:firstLineChars="3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1.1.3.13分项工程：指在分部工程中，按不同的施工方法、材料、工序及路段长度等划分的若干个工程。</w:t>
      </w:r>
    </w:p>
    <w:p w14:paraId="39DC88E0">
      <w:pPr>
        <w:pageBreakBefore w:val="0"/>
        <w:kinsoku/>
        <w:wordWrap w:val="0"/>
        <w:bidi w:val="0"/>
        <w:spacing w:line="400" w:lineRule="atLeast"/>
        <w:ind w:firstLine="470" w:firstLineChars="196"/>
        <w:outlineLvl w:val="9"/>
        <w:rPr>
          <w:rFonts w:hint="default" w:ascii="Times New Roman" w:hAnsi="Times New Roman" w:cs="Times New Roman"/>
          <w:color w:val="auto"/>
          <w:sz w:val="24"/>
          <w:highlight w:val="none"/>
        </w:rPr>
      </w:pPr>
      <w:bookmarkStart w:id="1063" w:name="OLE_LINK18"/>
      <w:r>
        <w:rPr>
          <w:rFonts w:hint="default" w:ascii="Times New Roman" w:hAnsi="Times New Roman" w:cs="Times New Roman"/>
          <w:color w:val="auto"/>
          <w:sz w:val="24"/>
          <w:highlight w:val="none"/>
        </w:rPr>
        <w:t>1.1.6</w:t>
      </w:r>
      <w:r>
        <w:rPr>
          <w:rFonts w:hint="default" w:ascii="Times New Roman" w:hAnsi="Times New Roman" w:eastAsia="黑体" w:cs="Times New Roman"/>
          <w:color w:val="auto"/>
          <w:sz w:val="24"/>
          <w:highlight w:val="none"/>
        </w:rPr>
        <w:t>其他</w:t>
      </w:r>
    </w:p>
    <w:p w14:paraId="2B28E945">
      <w:pPr>
        <w:pageBreakBefore w:val="0"/>
        <w:kinsoku/>
        <w:wordWrap w:val="0"/>
        <w:bidi w:val="0"/>
        <w:spacing w:line="400" w:lineRule="atLeast"/>
        <w:ind w:firstLine="720" w:firstLineChars="3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本项补充第1.1.6.2目～第1.1.6.9目：</w:t>
      </w:r>
    </w:p>
    <w:p w14:paraId="4DE41128">
      <w:pPr>
        <w:pageBreakBefore w:val="0"/>
        <w:kinsoku/>
        <w:wordWrap w:val="0"/>
        <w:bidi w:val="0"/>
        <w:spacing w:line="400" w:lineRule="atLeast"/>
        <w:ind w:firstLine="720" w:firstLineChars="3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1.1.6.2竣工验收：指《公路工程竣（交）工验收办法》中的竣工验收。通用合同条款中</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国家验收</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一词具有相同含义。</w:t>
      </w:r>
    </w:p>
    <w:p w14:paraId="66A70B3D">
      <w:pPr>
        <w:pageBreakBefore w:val="0"/>
        <w:kinsoku/>
        <w:wordWrap w:val="0"/>
        <w:bidi w:val="0"/>
        <w:spacing w:line="400" w:lineRule="atLeast"/>
        <w:ind w:firstLine="720" w:firstLineChars="3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1.1.6.3交工：指《公路工程竣（交）工验收办法》中的交工。通用合同条款中</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竣工</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一词具有相同含义。</w:t>
      </w:r>
    </w:p>
    <w:p w14:paraId="186B67B0">
      <w:pPr>
        <w:pageBreakBefore w:val="0"/>
        <w:kinsoku/>
        <w:wordWrap w:val="0"/>
        <w:bidi w:val="0"/>
        <w:spacing w:line="400" w:lineRule="atLeast"/>
        <w:ind w:firstLine="720" w:firstLineChars="3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1.1.6.4交工验收：指《公路工程竣（交）工验收办法》中的交工验收。通用合同条款中</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竣工验收</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一词具有相同含义。</w:t>
      </w:r>
    </w:p>
    <w:p w14:paraId="422EE9B5">
      <w:pPr>
        <w:pageBreakBefore w:val="0"/>
        <w:kinsoku/>
        <w:wordWrap w:val="0"/>
        <w:bidi w:val="0"/>
        <w:spacing w:line="400" w:lineRule="atLeast"/>
        <w:ind w:firstLine="720" w:firstLineChars="3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1.1.6.5交工验收证书：指《公路工程竣（交）工验收办法》中的交工验收证书。通用合同条款中</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工程接收证书</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一词具有相同含义。</w:t>
      </w:r>
    </w:p>
    <w:bookmarkEnd w:id="1063"/>
    <w:p w14:paraId="4CB16334">
      <w:pPr>
        <w:pageBreakBefore w:val="0"/>
        <w:kinsoku/>
        <w:wordWrap w:val="0"/>
        <w:bidi w:val="0"/>
        <w:spacing w:line="400" w:lineRule="atLeast"/>
        <w:ind w:firstLine="720" w:firstLineChars="3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1.1.6.6转包：指承包人违反法律和不履行合同规定的责任和义务，将中标工程全部委托或以专业分包的名义将中标工程肢解后全部委托给其他施工企业施工的行为。</w:t>
      </w:r>
    </w:p>
    <w:p w14:paraId="0E322DD1">
      <w:pPr>
        <w:pageBreakBefore w:val="0"/>
        <w:kinsoku/>
        <w:wordWrap w:val="0"/>
        <w:bidi w:val="0"/>
        <w:spacing w:line="400" w:lineRule="atLeast"/>
        <w:ind w:firstLine="720" w:firstLineChars="3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1.1.6.7专业分包：指承包人与具有相应资格的施工企业签订专业分包合同，由分包人承担承包人委托的分部工程、分项工程或适合专业化队伍施工的其他工程，整体结算，并能独立控制工程质量、施工进度、材料采购、生产安全的施工行为。</w:t>
      </w:r>
    </w:p>
    <w:p w14:paraId="3E5AE8DB">
      <w:pPr>
        <w:pageBreakBefore w:val="0"/>
        <w:kinsoku/>
        <w:wordWrap w:val="0"/>
        <w:bidi w:val="0"/>
        <w:spacing w:line="400" w:lineRule="atLeast"/>
        <w:ind w:firstLine="720" w:firstLineChars="3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1.1.6.8劳务分包：指承包人与具有施工劳务资质的劳务企业签订劳务分包合同，由劳务企业提供劳务人员及机具，由承包人统一组织施工、统一控制工程质量、施工进度、材料采购、生产安全的施工行为。</w:t>
      </w:r>
    </w:p>
    <w:p w14:paraId="0F09B3BF">
      <w:pPr>
        <w:pageBreakBefore w:val="0"/>
        <w:kinsoku/>
        <w:wordWrap w:val="0"/>
        <w:bidi w:val="0"/>
        <w:spacing w:line="400" w:lineRule="atLeast"/>
        <w:ind w:firstLine="720" w:firstLineChars="3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1.1.6.9雇用民工：指承包人与具有相应劳动能力的自然人签订劳动合同，由承包人统一组织管理，从事分项工程施工或配套工程施工的行为。</w:t>
      </w:r>
    </w:p>
    <w:p w14:paraId="23A9D1E4">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064" w:name="_Toc20079"/>
      <w:bookmarkStart w:id="1065" w:name="_Toc234833126"/>
      <w:bookmarkStart w:id="1066" w:name="_Toc27402"/>
      <w:bookmarkStart w:id="1067" w:name="_Toc1907"/>
      <w:r>
        <w:rPr>
          <w:rFonts w:hint="default" w:ascii="Times New Roman" w:hAnsi="Times New Roman" w:eastAsia="黑体" w:cs="Times New Roman"/>
          <w:b w:val="0"/>
          <w:color w:val="auto"/>
          <w:sz w:val="24"/>
          <w:szCs w:val="24"/>
          <w:highlight w:val="none"/>
        </w:rPr>
        <w:t>1.4合同文件的优先顺序</w:t>
      </w:r>
      <w:bookmarkEnd w:id="1064"/>
      <w:bookmarkEnd w:id="1065"/>
      <w:bookmarkEnd w:id="1066"/>
      <w:bookmarkEnd w:id="1067"/>
    </w:p>
    <w:p w14:paraId="3A15F9C5">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本款约定为：</w:t>
      </w:r>
    </w:p>
    <w:p w14:paraId="64997DD2">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组成合同的各项文件应互相解释，互为说明。除项目专用合同条款另有约定外，解释合同文件的优先顺序如下：</w:t>
      </w:r>
    </w:p>
    <w:p w14:paraId="7CBF1087">
      <w:pPr>
        <w:pageBreakBefore w:val="0"/>
        <w:kinsoku/>
        <w:wordWrap w:val="0"/>
        <w:bidi w:val="0"/>
        <w:spacing w:line="400" w:lineRule="atLeast"/>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（1）合同协议书及各种合同附件（含评标期间和合同谈判过程中的澄清文件和补充资料）；</w:t>
      </w:r>
    </w:p>
    <w:p w14:paraId="687114F2">
      <w:pPr>
        <w:pageBreakBefore w:val="0"/>
        <w:kinsoku/>
        <w:wordWrap w:val="0"/>
        <w:bidi w:val="0"/>
        <w:spacing w:line="400" w:lineRule="atLeast"/>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（2）中标通知书；</w:t>
      </w:r>
    </w:p>
    <w:p w14:paraId="76C26DA0">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（3）投标函及投标函附录；</w:t>
      </w:r>
    </w:p>
    <w:p w14:paraId="7F44181D">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（4）项目专用合同条款；</w:t>
      </w:r>
    </w:p>
    <w:p w14:paraId="439857F1">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（5）公路工程专用合同条款；</w:t>
      </w:r>
    </w:p>
    <w:p w14:paraId="7CC5E060">
      <w:pPr>
        <w:pageBreakBefore w:val="0"/>
        <w:kinsoku/>
        <w:wordWrap w:val="0"/>
        <w:bidi w:val="0"/>
        <w:spacing w:line="400" w:lineRule="atLeast"/>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（6）通用合同条款；</w:t>
      </w:r>
    </w:p>
    <w:p w14:paraId="42C33B5B">
      <w:pPr>
        <w:pageBreakBefore w:val="0"/>
        <w:kinsoku/>
        <w:wordWrap w:val="0"/>
        <w:bidi w:val="0"/>
        <w:spacing w:line="400" w:lineRule="atLeast"/>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（7）工程量清单计量规则；</w:t>
      </w:r>
    </w:p>
    <w:p w14:paraId="5F95B512">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（8）技术规范；</w:t>
      </w:r>
    </w:p>
    <w:p w14:paraId="1CF61A1C">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（9）图纸；</w:t>
      </w:r>
    </w:p>
    <w:p w14:paraId="2123060B">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（10）已标价工程量清单；</w:t>
      </w:r>
    </w:p>
    <w:p w14:paraId="126681ED">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（11）承包人有关人员、设备投入的承诺及投标文件中的施工组织设计；</w:t>
      </w:r>
    </w:p>
    <w:p w14:paraId="502FF963">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（12）其他合同文件。</w:t>
      </w:r>
    </w:p>
    <w:p w14:paraId="3D1ED98F">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068" w:name="_Toc28459"/>
      <w:bookmarkStart w:id="1069" w:name="_Toc7187"/>
      <w:bookmarkStart w:id="1070" w:name="_Toc17521"/>
      <w:bookmarkStart w:id="1071" w:name="_Toc234833127"/>
      <w:r>
        <w:rPr>
          <w:rFonts w:hint="default" w:ascii="Times New Roman" w:hAnsi="Times New Roman" w:eastAsia="黑体" w:cs="Times New Roman"/>
          <w:b w:val="0"/>
          <w:color w:val="auto"/>
          <w:sz w:val="24"/>
          <w:szCs w:val="24"/>
          <w:highlight w:val="none"/>
        </w:rPr>
        <w:t>1.5合同协议书</w:t>
      </w:r>
      <w:bookmarkEnd w:id="1068"/>
      <w:bookmarkEnd w:id="1069"/>
      <w:bookmarkEnd w:id="1070"/>
      <w:bookmarkEnd w:id="1071"/>
    </w:p>
    <w:p w14:paraId="09949862">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本款补充：</w:t>
      </w:r>
    </w:p>
    <w:p w14:paraId="563F818B">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制备本合同文件的费用由发包人承担。在合同协议书签订并生效之前，投标函和中标通知书将对双方具有约束力。</w:t>
      </w:r>
    </w:p>
    <w:p w14:paraId="60356949">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072" w:name="_Toc21351"/>
      <w:bookmarkStart w:id="1073" w:name="_Toc2156"/>
      <w:bookmarkStart w:id="1074" w:name="_Toc5981"/>
      <w:bookmarkStart w:id="1075" w:name="_Toc234833128"/>
      <w:r>
        <w:rPr>
          <w:rFonts w:hint="default" w:ascii="Times New Roman" w:hAnsi="Times New Roman" w:eastAsia="黑体" w:cs="Times New Roman"/>
          <w:b w:val="0"/>
          <w:color w:val="auto"/>
          <w:sz w:val="24"/>
          <w:szCs w:val="24"/>
          <w:highlight w:val="none"/>
        </w:rPr>
        <w:t>1.6图纸和承包人文件</w:t>
      </w:r>
      <w:bookmarkEnd w:id="1072"/>
      <w:bookmarkEnd w:id="1073"/>
      <w:bookmarkEnd w:id="1074"/>
      <w:bookmarkEnd w:id="1075"/>
    </w:p>
    <w:p w14:paraId="66E71F97">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1.6.1</w:t>
      </w:r>
      <w:r>
        <w:rPr>
          <w:rFonts w:hint="default" w:ascii="Times New Roman" w:hAnsi="Times New Roman" w:eastAsia="黑体" w:cs="Times New Roman"/>
          <w:color w:val="auto"/>
          <w:sz w:val="24"/>
          <w:highlight w:val="none"/>
        </w:rPr>
        <w:t>图纸的提供</w:t>
      </w:r>
    </w:p>
    <w:p w14:paraId="7905021A">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本项细化为：</w:t>
      </w:r>
    </w:p>
    <w:p w14:paraId="624BCAC3">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监理人应在发出中标通知书之后42天内，向承包人免费提供由发包人或其委托的设计单位设计的施工图纸、技术规范和其他技术资料2份，并向承包人进行技术交底。承包人需要更多份数时，应自费复制。由于发包人未按时提供图纸造成工期延误的，按第11.3款的约定办理。</w:t>
      </w:r>
    </w:p>
    <w:p w14:paraId="2F37D6F3">
      <w:pPr>
        <w:pageBreakBefore w:val="0"/>
        <w:kinsoku/>
        <w:wordWrap w:val="0"/>
        <w:bidi w:val="0"/>
        <w:spacing w:line="400" w:lineRule="atLeast"/>
        <w:ind w:firstLine="470" w:firstLineChars="196"/>
        <w:outlineLvl w:val="9"/>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1.6.2</w:t>
      </w:r>
      <w:r>
        <w:rPr>
          <w:rFonts w:hint="default" w:ascii="Times New Roman" w:hAnsi="Times New Roman" w:eastAsia="黑体" w:cs="Times New Roman"/>
          <w:color w:val="auto"/>
          <w:sz w:val="24"/>
          <w:highlight w:val="none"/>
        </w:rPr>
        <w:t>承包人提供的文件</w:t>
      </w:r>
    </w:p>
    <w:p w14:paraId="63840717">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本项细化为：</w:t>
      </w:r>
    </w:p>
    <w:p w14:paraId="7E88A914">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有下列情形之一的，承包人应免费向监理人提交相关部分工程的施工图纸3份，并附必要的计算书、技术资料，或施工工艺图、设备安装图及安装设备的使用和维护手册各2份供监理人批准。</w:t>
      </w:r>
    </w:p>
    <w:p w14:paraId="6114C802">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（1）为使第1.6.1项所述的施工图纸适合于经施工测量后的纵、横断面；</w:t>
      </w:r>
    </w:p>
    <w:p w14:paraId="0414A832">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（2）为使第1.6.1项所述的施工图纸适合于现场具体地形；</w:t>
      </w:r>
    </w:p>
    <w:p w14:paraId="05751DFE">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（3）为使第1.6.1项所述的施工图纸适合于因尺寸与位置变化而引起局部变更；</w:t>
      </w:r>
    </w:p>
    <w:p w14:paraId="241268A7">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（4）由于合同要求与施工需要。</w:t>
      </w:r>
    </w:p>
    <w:p w14:paraId="03237151">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此类图纸应按监理人规定的格式和图幅绘制。监理人在收到由承包人绘制的上述工程、工艺图纸、计算书和有关技术资料后14天内应予批准或提出修改要求，承包人应按监理人提出的要求作出修改，重新向监理人提交，监理人应在7天内批准或提出进一步的修改意见。</w:t>
      </w:r>
    </w:p>
    <w:p w14:paraId="0D8EFAE1">
      <w:pPr>
        <w:pageBreakBefore w:val="0"/>
        <w:kinsoku/>
        <w:wordWrap w:val="0"/>
        <w:bidi w:val="0"/>
        <w:spacing w:line="400" w:lineRule="atLeast"/>
        <w:ind w:firstLine="470" w:firstLineChars="196"/>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1.6.4</w:t>
      </w:r>
      <w:r>
        <w:rPr>
          <w:rFonts w:hint="default" w:ascii="Times New Roman" w:hAnsi="Times New Roman" w:eastAsia="黑体" w:cs="Times New Roman"/>
          <w:color w:val="auto"/>
          <w:sz w:val="24"/>
          <w:highlight w:val="none"/>
        </w:rPr>
        <w:t>图纸的错误</w:t>
      </w:r>
    </w:p>
    <w:p w14:paraId="7C61956F">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本项细化为：</w:t>
      </w:r>
    </w:p>
    <w:p w14:paraId="5FF5814B">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当承包人在查阅合同文件或在本合同工程实施过程中，发现有关的工程设计、技术规范、图纸或其他资料中的任何差错、遗漏或缺陷后，应及时通知监理人。监理人接到该通知后，应立即就此作出决定，并通知承包人和发包人。</w:t>
      </w:r>
    </w:p>
    <w:p w14:paraId="3B65B53B">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076" w:name="_Toc29704"/>
      <w:bookmarkStart w:id="1077" w:name="_Toc5360"/>
      <w:bookmarkStart w:id="1078" w:name="_Toc234833129"/>
      <w:bookmarkStart w:id="1079" w:name="_Toc23783"/>
      <w:r>
        <w:rPr>
          <w:rFonts w:hint="default" w:ascii="Times New Roman" w:hAnsi="Times New Roman" w:eastAsia="黑体" w:cs="Times New Roman"/>
          <w:b w:val="0"/>
          <w:color w:val="auto"/>
          <w:sz w:val="24"/>
          <w:szCs w:val="24"/>
          <w:highlight w:val="none"/>
        </w:rPr>
        <w:t>1.9严禁贿赂</w:t>
      </w:r>
      <w:bookmarkEnd w:id="1076"/>
      <w:bookmarkEnd w:id="1077"/>
      <w:bookmarkEnd w:id="1078"/>
      <w:bookmarkEnd w:id="1079"/>
    </w:p>
    <w:p w14:paraId="30750DC7">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本款补充：</w:t>
      </w:r>
    </w:p>
    <w:p w14:paraId="34C0485E">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在合同执行过程中，发包人和承包人应严格履行《廉政合同》约定的双方在廉政建设方面的权利和义务以及应承担的违约责任。承包人如果用行贿、送礼或其他不正当手段企图影响或已经影响了发包人或监理人的行为和（或）欲获得或已获得超出合同规定以外的额外费用，则发包人应按有关法纪严肃处理当事人，且承包人应对其上述行为造成的工程损害、发包人的经济损失等承担一切责任，并予赔偿。情节严重者，发包人有权终止承包人在本合同项下的承包。</w:t>
      </w:r>
    </w:p>
    <w:p w14:paraId="40A4A18A">
      <w:pPr>
        <w:pageBreakBefore w:val="0"/>
        <w:kinsoku/>
        <w:wordWrap w:val="0"/>
        <w:bidi w:val="0"/>
        <w:spacing w:before="480" w:after="240" w:line="380" w:lineRule="atLeast"/>
        <w:outlineLvl w:val="9"/>
        <w:rPr>
          <w:rFonts w:hint="default" w:ascii="Times New Roman" w:hAnsi="Times New Roman" w:eastAsia="黑体" w:cs="Times New Roman"/>
          <w:b w:val="0"/>
          <w:color w:val="auto"/>
          <w:sz w:val="28"/>
          <w:szCs w:val="28"/>
          <w:highlight w:val="none"/>
        </w:rPr>
      </w:pPr>
      <w:bookmarkStart w:id="1080" w:name="_Toc3220"/>
      <w:bookmarkStart w:id="1081" w:name="_Toc234833130"/>
      <w:bookmarkStart w:id="1082" w:name="_Toc15632"/>
      <w:bookmarkStart w:id="1083" w:name="_Toc1766"/>
      <w:r>
        <w:rPr>
          <w:rFonts w:hint="default" w:ascii="Times New Roman" w:hAnsi="Times New Roman" w:eastAsia="黑体" w:cs="Times New Roman"/>
          <w:b w:val="0"/>
          <w:color w:val="auto"/>
          <w:sz w:val="28"/>
          <w:szCs w:val="28"/>
          <w:highlight w:val="none"/>
        </w:rPr>
        <w:t>2.发包人义务</w:t>
      </w:r>
      <w:bookmarkEnd w:id="1080"/>
      <w:bookmarkEnd w:id="1081"/>
      <w:bookmarkEnd w:id="1082"/>
      <w:bookmarkEnd w:id="1083"/>
    </w:p>
    <w:p w14:paraId="3B5F0B25">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084" w:name="_Toc234833131"/>
      <w:bookmarkStart w:id="1085" w:name="_Toc21651"/>
      <w:bookmarkStart w:id="1086" w:name="_Toc27735"/>
      <w:bookmarkStart w:id="1087" w:name="_Toc14471"/>
      <w:r>
        <w:rPr>
          <w:rFonts w:hint="default" w:ascii="Times New Roman" w:hAnsi="Times New Roman" w:eastAsia="黑体" w:cs="Times New Roman"/>
          <w:b w:val="0"/>
          <w:color w:val="auto"/>
          <w:sz w:val="24"/>
          <w:szCs w:val="24"/>
          <w:highlight w:val="none"/>
        </w:rPr>
        <w:t>2.3提供施工场地</w:t>
      </w:r>
      <w:bookmarkEnd w:id="1084"/>
      <w:bookmarkEnd w:id="1085"/>
      <w:bookmarkEnd w:id="1086"/>
      <w:bookmarkEnd w:id="1087"/>
    </w:p>
    <w:p w14:paraId="0A908C8A">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本款补充：</w:t>
      </w:r>
    </w:p>
    <w:p w14:paraId="6296E891">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发包人负责办理永久占地的征用及与之有关的拆迁赔偿手续并承担相关费用。承包人在按第10条规定提交施工进度计划的同时，应向监理人提交一份按施工先后次序所需的永久占地计划。监理人应在收到此计划后的14天内审核并转报发包人核备。发包人应在监理人发出本工程或分部工程开工通知之前，对承包人开工所需的永久占地办妥征用手续和相关拆迁赔偿手续，通知承包人使用，以使承包人能够及时开工；此后按承包人提交并经监理人同意的合同进度计划的安排，分期（也可以一次）将施工所需的其余永久占地办妥征用以及拆迁赔偿手续，通知承包人使用，以使承包人能够连续不间断地施工。由于承包人施工考虑不周或措施不当等原因而造成的超计划占地或拆迁等所发生的征用和赔偿费用，应由承包人承担。</w:t>
      </w:r>
    </w:p>
    <w:p w14:paraId="5EBDCC54">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由于发包人未能按照本项规定办妥永久占地征用手续，影响承包人及时使用永久占地造成的费用增加和（或）工期延误应由发包人承担。由于承包人未能按照本项规定提交占地计划，影响发包人办理永久占地征用手续造成的费用增加和（或）工期延误由承包人承担。</w:t>
      </w:r>
    </w:p>
    <w:p w14:paraId="4F8458C7">
      <w:pPr>
        <w:pageBreakBefore w:val="0"/>
        <w:kinsoku/>
        <w:wordWrap w:val="0"/>
        <w:bidi w:val="0"/>
        <w:spacing w:before="480" w:after="240" w:line="380" w:lineRule="atLeast"/>
        <w:outlineLvl w:val="9"/>
        <w:rPr>
          <w:rFonts w:hint="default" w:ascii="Times New Roman" w:hAnsi="Times New Roman" w:eastAsia="黑体" w:cs="Times New Roman"/>
          <w:b w:val="0"/>
          <w:color w:val="auto"/>
          <w:sz w:val="28"/>
          <w:szCs w:val="28"/>
          <w:highlight w:val="none"/>
        </w:rPr>
      </w:pPr>
      <w:bookmarkStart w:id="1088" w:name="_Toc18195"/>
      <w:bookmarkStart w:id="1089" w:name="_Toc234833132"/>
      <w:bookmarkStart w:id="1090" w:name="_Toc18127"/>
      <w:bookmarkStart w:id="1091" w:name="_Toc25338"/>
      <w:r>
        <w:rPr>
          <w:rFonts w:hint="default" w:ascii="Times New Roman" w:hAnsi="Times New Roman" w:eastAsia="黑体" w:cs="Times New Roman"/>
          <w:b w:val="0"/>
          <w:color w:val="auto"/>
          <w:sz w:val="28"/>
          <w:szCs w:val="28"/>
          <w:highlight w:val="none"/>
        </w:rPr>
        <w:t>3.监理人</w:t>
      </w:r>
      <w:bookmarkEnd w:id="1088"/>
      <w:bookmarkEnd w:id="1089"/>
      <w:bookmarkEnd w:id="1090"/>
      <w:bookmarkEnd w:id="1091"/>
    </w:p>
    <w:p w14:paraId="38745D38">
      <w:pPr>
        <w:pageBreakBefore w:val="0"/>
        <w:kinsoku/>
        <w:wordWrap w:val="0"/>
        <w:bidi w:val="0"/>
        <w:spacing w:before="240" w:after="240" w:line="380" w:lineRule="atLeast"/>
        <w:outlineLvl w:val="9"/>
        <w:rPr>
          <w:rFonts w:hint="eastAsia" w:ascii="Times New Roman" w:hAnsi="Times New Roman" w:eastAsia="黑体" w:cs="Times New Roman"/>
          <w:b w:val="0"/>
          <w:color w:val="auto"/>
          <w:sz w:val="24"/>
          <w:szCs w:val="24"/>
          <w:highlight w:val="none"/>
          <w:lang w:eastAsia="zh-CN"/>
        </w:rPr>
      </w:pPr>
      <w:bookmarkStart w:id="1092" w:name="_Toc31502"/>
      <w:bookmarkStart w:id="1093" w:name="_Toc19048"/>
      <w:bookmarkStart w:id="1094" w:name="_Toc234833133"/>
      <w:bookmarkStart w:id="1095" w:name="_Toc10320"/>
      <w:r>
        <w:rPr>
          <w:rFonts w:hint="default" w:ascii="Times New Roman" w:hAnsi="Times New Roman" w:eastAsia="黑体" w:cs="Times New Roman"/>
          <w:b w:val="0"/>
          <w:color w:val="auto"/>
          <w:sz w:val="24"/>
          <w:szCs w:val="24"/>
          <w:highlight w:val="none"/>
        </w:rPr>
        <w:t>3.1监理人的职责和权力</w:t>
      </w:r>
      <w:bookmarkEnd w:id="1092"/>
      <w:bookmarkEnd w:id="1093"/>
      <w:bookmarkEnd w:id="1094"/>
      <w:bookmarkEnd w:id="1095"/>
    </w:p>
    <w:p w14:paraId="2E455F43">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第3.1.1项补充：</w:t>
      </w:r>
    </w:p>
    <w:p w14:paraId="63745B4B">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监理人在行使下列权力前需要经发包人事先批准：</w:t>
      </w:r>
    </w:p>
    <w:p w14:paraId="291CCEBB">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（1）根据第4.3款，同意分包本工程的某些非关键性工作或者适合专业化队伍施工的专项工程；</w:t>
      </w:r>
    </w:p>
    <w:p w14:paraId="013B2535">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（2）确定第4.11款下产生的费用增加额；</w:t>
      </w:r>
    </w:p>
    <w:p w14:paraId="603F9B18">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（3）根据第11.1款、第12.3款、第12.4款发布开工通知、暂停施工指示或复工通知；</w:t>
      </w:r>
    </w:p>
    <w:p w14:paraId="66654D4E">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（4）决定第11.3款、第11.4款下的工期延长；</w:t>
      </w:r>
    </w:p>
    <w:p w14:paraId="307534CC">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（5）审查批准技术方案或设计的变更；</w:t>
      </w:r>
    </w:p>
    <w:p w14:paraId="5AFA0BC5">
      <w:pPr>
        <w:pageBreakBefore w:val="0"/>
        <w:kinsoku/>
        <w:wordWrap w:val="0"/>
        <w:bidi w:val="0"/>
        <w:spacing w:line="400" w:lineRule="atLeast"/>
        <w:ind w:firstLine="480" w:firstLineChars="200"/>
        <w:outlineLvl w:val="9"/>
        <w:rPr>
          <w:rFonts w:hint="eastAsia"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（6）根据第15.3款发出的变更指示，其单项工程变更或累计变更涉及的金额超过了项目专用合同条款数据表中规定的金额；</w:t>
      </w:r>
    </w:p>
    <w:p w14:paraId="4AA14DB2">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（7）确定第15.4款下变更工作的单价；</w:t>
      </w:r>
    </w:p>
    <w:p w14:paraId="09BF96D1">
      <w:pPr>
        <w:pageBreakBefore w:val="0"/>
        <w:kinsoku/>
        <w:wordWrap w:val="0"/>
        <w:bidi w:val="0"/>
        <w:spacing w:line="400" w:lineRule="atLeast"/>
        <w:ind w:firstLine="480" w:firstLineChars="200"/>
        <w:outlineLvl w:val="9"/>
        <w:rPr>
          <w:rFonts w:hint="eastAsia"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（8）按照第15.6款决定有关暂列金额的使用；</w:t>
      </w:r>
    </w:p>
    <w:p w14:paraId="5EAFB241">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（9）确定第15.8款下的暂估价金额；</w:t>
      </w:r>
    </w:p>
    <w:p w14:paraId="1896FF20">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（10）确定第23.1款下的索赔额。</w:t>
      </w:r>
    </w:p>
    <w:p w14:paraId="02606340">
      <w:pPr>
        <w:pageBreakBefore w:val="0"/>
        <w:kinsoku/>
        <w:wordWrap w:val="0"/>
        <w:bidi w:val="0"/>
        <w:spacing w:line="440" w:lineRule="exac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如果发生紧急情况，监理人认为将造成人员伤亡，或危及本工程或邻近的财产需立即采取行动，监理人有权在未征得发包人的批准的情况下发布处理紧急情况所必需的指令，承包人应予执行，由此造成的费用增加由监理人按第3.5款商定或确定。</w:t>
      </w:r>
    </w:p>
    <w:p w14:paraId="4534396A">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096" w:name="_Toc22142"/>
      <w:bookmarkStart w:id="1097" w:name="_Toc24088"/>
      <w:bookmarkStart w:id="1098" w:name="_Toc234833134"/>
      <w:bookmarkStart w:id="1099" w:name="_Toc11325"/>
      <w:r>
        <w:rPr>
          <w:rFonts w:hint="default" w:ascii="Times New Roman" w:hAnsi="Times New Roman" w:eastAsia="黑体" w:cs="Times New Roman"/>
          <w:b w:val="0"/>
          <w:color w:val="auto"/>
          <w:sz w:val="24"/>
          <w:szCs w:val="24"/>
          <w:highlight w:val="none"/>
        </w:rPr>
        <w:t>3.5商定或确定</w:t>
      </w:r>
      <w:bookmarkEnd w:id="1096"/>
      <w:bookmarkEnd w:id="1097"/>
      <w:bookmarkEnd w:id="1098"/>
      <w:bookmarkEnd w:id="1099"/>
    </w:p>
    <w:p w14:paraId="4F4322FA">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第3.5.1项补充：</w:t>
      </w:r>
    </w:p>
    <w:p w14:paraId="0D7EB217">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如果这项商定或确定导致费用增加和（或）工期延长，或者涉及确定变更工程的价格，则总监理工程师在发出通知前，应征得发包人的同意。</w:t>
      </w:r>
    </w:p>
    <w:p w14:paraId="3E144ABC">
      <w:pPr>
        <w:pageBreakBefore w:val="0"/>
        <w:kinsoku/>
        <w:wordWrap w:val="0"/>
        <w:bidi w:val="0"/>
        <w:spacing w:before="480" w:after="240" w:line="380" w:lineRule="atLeast"/>
        <w:outlineLvl w:val="9"/>
        <w:rPr>
          <w:rFonts w:hint="default" w:ascii="Times New Roman" w:hAnsi="Times New Roman" w:eastAsia="黑体" w:cs="Times New Roman"/>
          <w:b w:val="0"/>
          <w:color w:val="auto"/>
          <w:sz w:val="28"/>
          <w:szCs w:val="28"/>
          <w:highlight w:val="none"/>
        </w:rPr>
      </w:pPr>
      <w:bookmarkStart w:id="1100" w:name="_Toc11613"/>
      <w:bookmarkStart w:id="1101" w:name="_Toc234833135"/>
      <w:bookmarkStart w:id="1102" w:name="_Toc9107"/>
      <w:bookmarkStart w:id="1103" w:name="_Toc32621"/>
      <w:r>
        <w:rPr>
          <w:rFonts w:hint="default" w:ascii="Times New Roman" w:hAnsi="Times New Roman" w:eastAsia="黑体" w:cs="Times New Roman"/>
          <w:b w:val="0"/>
          <w:color w:val="auto"/>
          <w:sz w:val="28"/>
          <w:szCs w:val="28"/>
          <w:highlight w:val="none"/>
        </w:rPr>
        <w:t>4.承包人</w:t>
      </w:r>
      <w:bookmarkEnd w:id="1100"/>
      <w:bookmarkEnd w:id="1101"/>
      <w:bookmarkEnd w:id="1102"/>
      <w:bookmarkEnd w:id="1103"/>
    </w:p>
    <w:p w14:paraId="16C0CD81">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104" w:name="_Toc234833136"/>
      <w:bookmarkStart w:id="1105" w:name="_Toc9712"/>
      <w:bookmarkStart w:id="1106" w:name="_Toc1637"/>
      <w:bookmarkStart w:id="1107" w:name="_Toc10533"/>
      <w:r>
        <w:rPr>
          <w:rFonts w:hint="default" w:ascii="Times New Roman" w:hAnsi="Times New Roman" w:eastAsia="黑体" w:cs="Times New Roman"/>
          <w:b w:val="0"/>
          <w:color w:val="auto"/>
          <w:sz w:val="24"/>
          <w:szCs w:val="24"/>
          <w:highlight w:val="none"/>
        </w:rPr>
        <w:t>4.1承包人的一般义务</w:t>
      </w:r>
      <w:bookmarkEnd w:id="1104"/>
      <w:bookmarkEnd w:id="1105"/>
      <w:bookmarkEnd w:id="1106"/>
      <w:bookmarkEnd w:id="1107"/>
    </w:p>
    <w:p w14:paraId="53532D38">
      <w:pPr>
        <w:pageBreakBefore w:val="0"/>
        <w:kinsoku/>
        <w:wordWrap w:val="0"/>
        <w:bidi w:val="0"/>
        <w:spacing w:line="400" w:lineRule="atLeast"/>
        <w:ind w:firstLine="470" w:firstLineChars="196"/>
        <w:outlineLvl w:val="9"/>
        <w:rPr>
          <w:rFonts w:hint="eastAsia" w:ascii="Times New Roman" w:hAnsi="Times New Roman" w:eastAsia="黑体" w:cs="Times New Roman"/>
          <w:color w:val="auto"/>
          <w:sz w:val="24"/>
          <w:highlight w:val="none"/>
          <w:lang w:eastAsia="zh-CN"/>
        </w:rPr>
      </w:pPr>
      <w:r>
        <w:rPr>
          <w:rFonts w:hint="default" w:ascii="Times New Roman" w:hAnsi="Times New Roman" w:cs="Times New Roman"/>
          <w:color w:val="auto"/>
          <w:sz w:val="24"/>
          <w:highlight w:val="none"/>
        </w:rPr>
        <w:t>4.1.9</w:t>
      </w:r>
      <w:r>
        <w:rPr>
          <w:rFonts w:hint="default" w:ascii="Times New Roman" w:hAnsi="Times New Roman" w:eastAsia="黑体" w:cs="Times New Roman"/>
          <w:color w:val="auto"/>
          <w:sz w:val="24"/>
          <w:highlight w:val="none"/>
        </w:rPr>
        <w:t>工程的维护和照管</w:t>
      </w:r>
    </w:p>
    <w:p w14:paraId="634FABDE">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本项细化为：</w:t>
      </w:r>
    </w:p>
    <w:p w14:paraId="2DDEBDA0">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交工验收证书颁发前，承包人应负责照管和维护工程及将用于或安装在本工程中的材料、设备。交工验收证书颁发时尚有部分未交工工程的，承包人还应负责该未交工工程、材料、设备的照管和维护工作，直至交工后移交给发包人为止。</w:t>
      </w:r>
    </w:p>
    <w:p w14:paraId="1A17A235">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在承包人负责照管与维护期间，如果本工程或材料、设备等发生损失或损害，除不可抗力原因之外，承包人均应自费弥补，并达到合同要求。承包人还应对按第19条规定而实施作业过程中由承包人造成的对工程的任何损失或损害负责。</w:t>
      </w:r>
    </w:p>
    <w:p w14:paraId="3436AE54">
      <w:pPr>
        <w:pageBreakBefore w:val="0"/>
        <w:kinsoku/>
        <w:wordWrap w:val="0"/>
        <w:bidi w:val="0"/>
        <w:spacing w:line="400" w:lineRule="atLeast"/>
        <w:ind w:firstLine="470" w:firstLineChars="196"/>
        <w:outlineLvl w:val="9"/>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4.1.10</w:t>
      </w:r>
      <w:r>
        <w:rPr>
          <w:rFonts w:hint="default" w:ascii="Times New Roman" w:hAnsi="Times New Roman" w:eastAsia="黑体" w:cs="Times New Roman"/>
          <w:color w:val="auto"/>
          <w:sz w:val="24"/>
          <w:highlight w:val="none"/>
        </w:rPr>
        <w:t>其他义务</w:t>
      </w:r>
    </w:p>
    <w:p w14:paraId="07D2EE27">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本项细化为：</w:t>
      </w:r>
    </w:p>
    <w:p w14:paraId="13886BF5">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（1）临时占地由承包人向当地政府土地管理部门申请，并办理租用手续，承包人按有关规定直接支付其费用，发包人对此将予以协调。</w:t>
      </w:r>
    </w:p>
    <w:p w14:paraId="42973406">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临时占地范围包括承包人驻地的办公室、食堂、宿舍、道路和机械设备停放场、材料堆放场地、弃土场、预制场、拌和场、仓库、进场临时道路、临时便道、便桥等。承包人应在</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临时占地计划表</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范围内按实际需要与先后次序，提出具体计划报监理人同意，并报发包人。临时占地的面积和使用期应满足工程需要，费用包括临时占地数量、时间及因此而发生的协调、租用、复耕、地面附着物（电力、电信、房屋、坟墓除外）的拆迁补偿等相关费用。除项目专用合同条款另有约定外，临时占地的租地费用实行总额包干，列入工程量清单第100章中由承包人按总额报价。</w:t>
      </w:r>
    </w:p>
    <w:p w14:paraId="6AADAEA6">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临时占地退还前，承包人应自费恢复到临时占地使用前的状况。如因承包人撤离后未按要求对临时占地进行恢复或虽进行了恢复但未达到使用标准的，将由发包人委托第三方对其恢复，所发生的费用将从应付给承包人的任何款项内扣除。</w:t>
      </w:r>
    </w:p>
    <w:p w14:paraId="115FDB15">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除项目专用合同条款另有约定外，承包人应承担并支付为获得本合同工程所需的石料、砂、砾石、黏土或其他当地材料等所发生的料场使用费及其他开支或补偿费。发包人应尽可能协助承包人办理料场租用手续及解决使用过程中的有关问题。</w:t>
      </w:r>
    </w:p>
    <w:p w14:paraId="1C3D6066">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承包人应严格遵守国家有关解决拖欠工程款和民工工资的法律、法规，及时支付工程中的材料、设备货款及民工工资等费用。承包人不得以任何借口拖欠材料、设备货款及民工工资等费用，如果出现此种现象，发包人有权代为支付其拖欠的材料、设备货款及民工工资，并从应付给承包人的工程款中扣除相应款项。对恶意拖欠和拒不按计划支付的，作为不良记录纳入</w:t>
      </w:r>
      <w:r>
        <w:rPr>
          <w:rFonts w:hint="eastAsia" w:cs="Times New Roman"/>
          <w:color w:val="auto"/>
          <w:sz w:val="24"/>
          <w:highlight w:val="none"/>
          <w:lang w:eastAsia="zh-CN"/>
        </w:rPr>
        <w:t>全国公路建设市场监督管理系统</w:t>
      </w:r>
      <w:r>
        <w:rPr>
          <w:rFonts w:hint="default" w:ascii="Times New Roman" w:hAnsi="Times New Roman" w:cs="Times New Roman"/>
          <w:color w:val="auto"/>
          <w:sz w:val="24"/>
          <w:highlight w:val="none"/>
        </w:rPr>
        <w:t>。</w:t>
      </w:r>
    </w:p>
    <w:p w14:paraId="25EE3BD5">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的项目经理部是民工工资支付行为的主体，承包人的项目经理是民工工资支付的责任人。项目经理部要建立全体民工花名册和工资支付表，确保将工资直接发放给民工本人，或委托银行发放民工工资，严禁发放给</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包工头</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或其他不具备用工主体资格的组织和个人。</w:t>
      </w:r>
    </w:p>
    <w:p w14:paraId="6F297F31">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工资支付表应如实记录支付单位、支付时间、支付对象、支付数额、支付对象的身份证号和签字等信息。民工花名册和工资支付表应报监理人备查。</w:t>
      </w:r>
    </w:p>
    <w:p w14:paraId="6E918268">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（4）承包人应分解工程价款中的人工费用，在工程项目所在地银行开设</w:t>
      </w:r>
      <w:r>
        <w:rPr>
          <w:rFonts w:hint="eastAsia" w:cs="Times New Roman"/>
          <w:color w:val="auto"/>
          <w:sz w:val="24"/>
          <w:highlight w:val="none"/>
          <w:lang w:val="en-US" w:eastAsia="zh-CN"/>
        </w:rPr>
        <w:t>农</w:t>
      </w:r>
      <w:r>
        <w:rPr>
          <w:rFonts w:hint="default" w:ascii="Times New Roman" w:hAnsi="Times New Roman" w:cs="Times New Roman"/>
          <w:color w:val="auto"/>
          <w:sz w:val="24"/>
          <w:highlight w:val="none"/>
        </w:rPr>
        <w:t>民工工资（劳务费）专用账户，专项用于支付民工工资。发包人应按照本合同约定的比例或承包人提供的人工费用数额，将应付工程款中的人工费单独拨付到承包人开设的民工工资（劳务费）专用账户。民工工资（劳务费）专用账户应向人力资源社会保障部门和交通运输主管部门备案，并委托开户银行负责日常监管，确保专款专用。开户银行发现账户资金不足、被挪用等情况，应及时向人力资源社会保障部门和交通运输主管部门报告。</w:t>
      </w:r>
    </w:p>
    <w:p w14:paraId="04E29FA6">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承包人应严格执行招标文件技术规范对施工标准化提出的具体要求，结合本单位施工能力和技术优势，积极采取有利于标准化施工的组织方式和工艺流程，加强工地建设、工艺控制、人员管理和内业资料管理，强化对施工一线操作人员的培训，改善职工生产生活条件，与此相关的费用承包人应列入工程量清单第100章中。</w:t>
      </w:r>
    </w:p>
    <w:p w14:paraId="710BCA0A">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（6）承包人应履行项目专用合同条款约定的其他义务。</w:t>
      </w:r>
    </w:p>
    <w:p w14:paraId="5C896181">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108" w:name="_Toc29645"/>
      <w:bookmarkStart w:id="1109" w:name="_Toc16581"/>
      <w:bookmarkStart w:id="1110" w:name="_Toc19692"/>
      <w:bookmarkStart w:id="1111" w:name="_Toc234833137"/>
      <w:r>
        <w:rPr>
          <w:rFonts w:hint="default" w:ascii="Times New Roman" w:hAnsi="Times New Roman" w:eastAsia="黑体" w:cs="Times New Roman"/>
          <w:b w:val="0"/>
          <w:color w:val="auto"/>
          <w:sz w:val="24"/>
          <w:szCs w:val="24"/>
          <w:highlight w:val="none"/>
        </w:rPr>
        <w:t>4.2履约保证金</w:t>
      </w:r>
      <w:bookmarkEnd w:id="1108"/>
      <w:bookmarkEnd w:id="1109"/>
      <w:bookmarkEnd w:id="1110"/>
    </w:p>
    <w:p w14:paraId="217B572F">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本款细化为：</w:t>
      </w:r>
    </w:p>
    <w:p w14:paraId="54B27E93">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承包人应保证其履约保证金在发包人签发交工验收证书且承包人按照合同约定缴纳质量保证金前一直有效。发包人应在收到承包人缴纳的质量保证金后28天内将履约保证金退还给承包人。</w:t>
      </w:r>
    </w:p>
    <w:p w14:paraId="7C65B923">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承包人拒绝按照本合同约定缴纳质量保证金的，发包人有权从交工付款证书中扣留相应金额作为质量保证金，或者直接将履约保证金金额用于保证承包人在缺陷责任期内履行缺陷修复义务。</w:t>
      </w:r>
    </w:p>
    <w:p w14:paraId="52FC7C5D">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112" w:name="_Toc25400"/>
      <w:bookmarkStart w:id="1113" w:name="_Toc32680"/>
      <w:bookmarkStart w:id="1114" w:name="_Toc1237"/>
      <w:r>
        <w:rPr>
          <w:rFonts w:hint="default" w:ascii="Times New Roman" w:hAnsi="Times New Roman" w:eastAsia="黑体" w:cs="Times New Roman"/>
          <w:b w:val="0"/>
          <w:color w:val="auto"/>
          <w:sz w:val="24"/>
          <w:szCs w:val="24"/>
          <w:highlight w:val="none"/>
        </w:rPr>
        <w:t>4.3分包</w:t>
      </w:r>
      <w:bookmarkEnd w:id="1111"/>
      <w:bookmarkEnd w:id="1112"/>
      <w:bookmarkEnd w:id="1113"/>
      <w:bookmarkEnd w:id="1114"/>
    </w:p>
    <w:p w14:paraId="1379EFF3">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第4.3.2项～第4.3.4项细化为：</w:t>
      </w:r>
    </w:p>
    <w:p w14:paraId="0E6EC7DD">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4.3.2承包人不得将《辽宁省公路工程施工分包管理实施细则》（辽交公路规〔2025〕1号）规定的负面清单所列主体和关键性工作分包给第三人。经发包人同意，承包人可将工程的其他部分或工作分包给第三人。分包包括专业分包和劳务分包。</w:t>
      </w:r>
    </w:p>
    <w:p w14:paraId="2790C632">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4.3.3专业分包</w:t>
      </w:r>
    </w:p>
    <w:p w14:paraId="64E31CBA">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在工程施工过程中，承包人进行专业分包必须遵守以下规定：</w:t>
      </w:r>
    </w:p>
    <w:p w14:paraId="4A218A69">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（1）允许专业分包的工程范围仅限于《辽宁省公路工程施工分包管理实施细则》（辽交公路规〔2025〕1号）</w:t>
      </w:r>
      <w:r>
        <w:rPr>
          <w:rFonts w:hint="eastAsia" w:cs="Times New Roman"/>
          <w:color w:val="auto"/>
          <w:sz w:val="24"/>
          <w:highlight w:val="none"/>
          <w:lang w:val="en-US" w:eastAsia="zh-CN"/>
        </w:rPr>
        <w:t>规定的负面清单以外的部分单位工程、分部工程或者分项工程</w:t>
      </w:r>
      <w:r>
        <w:rPr>
          <w:rFonts w:hint="default" w:ascii="Times New Roman" w:hAnsi="Times New Roman" w:cs="Times New Roman"/>
          <w:color w:val="auto"/>
          <w:sz w:val="24"/>
          <w:highlight w:val="none"/>
        </w:rPr>
        <w:t>。</w:t>
      </w:r>
    </w:p>
    <w:p w14:paraId="175ADE65">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（2）专业分包人的资格能力（含安全生产能力）应与其分包工程的标准和规模相适应，且应当具备如下条件：</w:t>
      </w:r>
    </w:p>
    <w:p w14:paraId="5D7E8320">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a.具有经依法登记的法人资格；</w:t>
      </w:r>
    </w:p>
    <w:p w14:paraId="5F6707E2">
      <w:pPr>
        <w:pageBreakBefore w:val="0"/>
        <w:kinsoku/>
        <w:wordWrap w:val="0"/>
        <w:bidi w:val="0"/>
        <w:spacing w:line="400" w:lineRule="atLeast"/>
        <w:ind w:firstLine="480" w:firstLineChars="200"/>
        <w:outlineLvl w:val="9"/>
        <w:rPr>
          <w:rFonts w:hint="eastAsia"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b.具有从事类似工程经验的管理与技术人员；</w:t>
      </w:r>
    </w:p>
    <w:p w14:paraId="2130C8BD">
      <w:pPr>
        <w:pageBreakBefore w:val="0"/>
        <w:kinsoku/>
        <w:wordWrap w:val="0"/>
        <w:bidi w:val="0"/>
        <w:spacing w:line="400" w:lineRule="atLeast"/>
        <w:ind w:firstLine="480" w:firstLineChars="200"/>
        <w:outlineLvl w:val="9"/>
        <w:rPr>
          <w:rFonts w:hint="eastAsia" w:cs="Times New Roman"/>
          <w:color w:val="auto"/>
          <w:sz w:val="24"/>
          <w:highlight w:val="none"/>
          <w:lang w:eastAsia="zh-CN"/>
        </w:rPr>
      </w:pPr>
      <w:r>
        <w:rPr>
          <w:rFonts w:hint="default" w:ascii="Times New Roman" w:hAnsi="Times New Roman" w:cs="Times New Roman"/>
          <w:color w:val="auto"/>
          <w:sz w:val="24"/>
          <w:highlight w:val="none"/>
        </w:rPr>
        <w:t>c.具有（自有或者租赁）分包工程所需的施工设备和辅助设施</w:t>
      </w:r>
      <w:r>
        <w:rPr>
          <w:rFonts w:hint="eastAsia" w:cs="Times New Roman"/>
          <w:color w:val="auto"/>
          <w:sz w:val="24"/>
          <w:highlight w:val="none"/>
          <w:lang w:eastAsia="zh-CN"/>
        </w:rPr>
        <w:t>；</w:t>
      </w:r>
    </w:p>
    <w:p w14:paraId="2370EE7B">
      <w:pPr>
        <w:pageBreakBefore w:val="0"/>
        <w:kinsoku/>
        <w:wordWrap w:val="0"/>
        <w:bidi w:val="0"/>
        <w:spacing w:line="400" w:lineRule="atLeast"/>
        <w:ind w:firstLine="480" w:firstLineChars="200"/>
        <w:outlineLvl w:val="9"/>
        <w:rPr>
          <w:rFonts w:hint="eastAsia" w:cs="Times New Roman"/>
          <w:color w:val="auto"/>
          <w:sz w:val="24"/>
          <w:highlight w:val="none"/>
          <w:lang w:val="en-US" w:eastAsia="zh-CN"/>
        </w:rPr>
      </w:pPr>
      <w:r>
        <w:rPr>
          <w:rFonts w:hint="eastAsia" w:cs="Times New Roman"/>
          <w:color w:val="auto"/>
          <w:sz w:val="24"/>
          <w:highlight w:val="none"/>
          <w:lang w:val="en-US" w:eastAsia="zh-CN"/>
        </w:rPr>
        <w:t>d.单位工程设有资质要求的，单位工程及所含分部工程、分项工程的分包人，应当具备国家规定的相应专业承包资质条件;</w:t>
      </w:r>
    </w:p>
    <w:p w14:paraId="6F1160A7">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eastAsia" w:cs="Times New Roman"/>
          <w:color w:val="auto"/>
          <w:sz w:val="24"/>
          <w:highlight w:val="none"/>
          <w:lang w:val="en-US" w:eastAsia="zh-CN"/>
        </w:rPr>
        <w:t>e.其他单位工程及所含分部工程、分项工程的分包人，应当具备发包人确定的资格条件，但不得违反法律法规等相关规定</w:t>
      </w:r>
      <w:r>
        <w:rPr>
          <w:rFonts w:hint="default" w:ascii="Times New Roman" w:hAnsi="Times New Roman" w:cs="Times New Roman"/>
          <w:color w:val="auto"/>
          <w:sz w:val="24"/>
          <w:highlight w:val="none"/>
        </w:rPr>
        <w:t>。</w:t>
      </w:r>
    </w:p>
    <w:p w14:paraId="1AB153E3">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承包人应向监理人提交专业分包人的资格能力证明材料，经监理人审查并报发包人批准后，可以将相应专业工程分包给该专业分包人。</w:t>
      </w:r>
    </w:p>
    <w:p w14:paraId="23334387">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（3）专业分包工程不得再次分包。</w:t>
      </w:r>
    </w:p>
    <w:p w14:paraId="3B3D629A">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承包人和专业分包人应当按照交通运输主管部门制定的统一格式依法签订专业分包合同，并履行合同约定的义务。专业分包合同必须遵循承包合同的各项原则，满足承包合同中的质量、安全、进度、环保以及其他技术、经济等要求。专业分包合同必须明确约定工程款支付条款、结算方式以及保证按期支付的相应措施，确保工程款的支付。承包人应在工程实施前，将经监理人审查同意后的分包合同报发包人备案。</w:t>
      </w:r>
    </w:p>
    <w:p w14:paraId="431D2E96">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专业分包人应当设立项目管理机构，对所分包工程的施工活动实施管理。项目管理机构应当具有与分包工程的规模、技术复杂程度相适应的技术、经济管理人员，其中项目负责人和技术、财务、计量、质量、安全等主要管理人员必须是专业分包人本单位人员。</w:t>
      </w:r>
    </w:p>
    <w:p w14:paraId="7BE11903">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承包人应当建立健全相关分包管理制度和台账，对专业分包工程的质量、安全、进度和专业分包人的行为等实施全过程管理，按照合同约定对专业分包工程的实施向发包人负责，并承担赔偿责任。专业分包合同不免除承包合同中规定的承包人的责任或者义务。</w:t>
      </w:r>
    </w:p>
    <w:p w14:paraId="3CF93552">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（7）专业分包人应当依据专业分包合同的约定，组织分包工程的施工，并对分包工程的质量、安全和进度等实施有效控制。专业分包人对其分包的工程向承包人负责，并就所分包的工程向发包人承担连带责任。</w:t>
      </w:r>
    </w:p>
    <w:p w14:paraId="644C434F">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8）承包人对施工现场安全负总责，并对专业分包人的安全生产进行培训和管理。专业分包人应将其专业分包工程的施工组织设计和施工安全方案报承包人备案。专业分包人对分包施工现场安全负责，发现事故隐患，应及时处理。</w:t>
      </w:r>
    </w:p>
    <w:p w14:paraId="7EEC813E">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违反上述规定之一者属违规分包。</w:t>
      </w:r>
    </w:p>
    <w:p w14:paraId="3FCF6E34">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4.3.4劳务分包</w:t>
      </w:r>
    </w:p>
    <w:p w14:paraId="6FB7D84F">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在工程施工过程中，承包人进行劳务分包必须遵守以下规定：</w:t>
      </w:r>
    </w:p>
    <w:p w14:paraId="76593CB3">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（1）劳务分包人应具有施工劳务资质。</w:t>
      </w:r>
    </w:p>
    <w:p w14:paraId="20B06BCB">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劳务分包应当依法签订劳务分包合同，劳务分包合同必须由承包人的法定代表人或其委托代理人与劳务分包人直接签订，不得由他人代签。承包人的项目经理部、项目经理、施工班组等不具备用工主体资格，不能与劳务分包人签订劳务分包合同。承包人应向发包人和监理人提交劳务分包合同副本并报项目所在地劳动保障部门备案。</w:t>
      </w:r>
    </w:p>
    <w:p w14:paraId="4D664144">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承包人雇用的劳务作业应加入到承包人的施工班组统一管理。有关施工质量、施工安全、施工进度、环境保护、技术方案、试验检测、材料保管与供应、机械设备等都必须由承包人管理与调配，不得以包代管。</w:t>
      </w:r>
    </w:p>
    <w:p w14:paraId="0DB13F1C">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（4）承包人应当对劳务分包人员进行安全培训和管理，劳务分包人不得将其分包的劳务作业再次分包。</w:t>
      </w:r>
    </w:p>
    <w:p w14:paraId="232CA5A3">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违反上述规定之一者属违规分包。</w:t>
      </w:r>
    </w:p>
    <w:p w14:paraId="750F43BA">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本款补充第4.3.6项、第4.3.7项：</w:t>
      </w:r>
    </w:p>
    <w:p w14:paraId="45CC17A9">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4.3.6发包人对承包人与分包人之间的法律与经济纠纷不承担任何责任和义务。</w:t>
      </w:r>
    </w:p>
    <w:p w14:paraId="52F18E4D">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4.3.7本项目的各项分包工作均应遵守《公路工程施工分包管理办法》的有关规定。</w:t>
      </w:r>
    </w:p>
    <w:p w14:paraId="4542A2C5">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115" w:name="_Toc29009"/>
      <w:bookmarkStart w:id="1116" w:name="_Toc32168"/>
      <w:bookmarkStart w:id="1117" w:name="_Toc234833138"/>
      <w:bookmarkStart w:id="1118" w:name="_Toc29289"/>
      <w:r>
        <w:rPr>
          <w:rFonts w:hint="default" w:ascii="Times New Roman" w:hAnsi="Times New Roman" w:eastAsia="黑体" w:cs="Times New Roman"/>
          <w:b w:val="0"/>
          <w:color w:val="auto"/>
          <w:sz w:val="24"/>
          <w:szCs w:val="24"/>
          <w:highlight w:val="none"/>
        </w:rPr>
        <w:t>4.4联合体</w:t>
      </w:r>
      <w:bookmarkEnd w:id="1115"/>
      <w:bookmarkEnd w:id="1116"/>
      <w:bookmarkEnd w:id="1117"/>
      <w:bookmarkEnd w:id="1118"/>
    </w:p>
    <w:p w14:paraId="35BDA53E">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本款补充第4.4.4项：</w:t>
      </w:r>
    </w:p>
    <w:p w14:paraId="40E504BE">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4.4.4未经发包人事先同意，联合体的组成与结构不得变动。</w:t>
      </w:r>
    </w:p>
    <w:p w14:paraId="7D0534E4">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119" w:name="_Toc234833139"/>
      <w:bookmarkStart w:id="1120" w:name="_Toc13104"/>
      <w:bookmarkStart w:id="1121" w:name="_Toc2858"/>
      <w:bookmarkStart w:id="1122" w:name="_Toc12253"/>
      <w:r>
        <w:rPr>
          <w:rFonts w:hint="default" w:ascii="Times New Roman" w:hAnsi="Times New Roman" w:eastAsia="黑体" w:cs="Times New Roman"/>
          <w:b w:val="0"/>
          <w:color w:val="auto"/>
          <w:sz w:val="24"/>
          <w:szCs w:val="24"/>
          <w:highlight w:val="none"/>
        </w:rPr>
        <w:t>4.6承包人人员的管理</w:t>
      </w:r>
      <w:bookmarkEnd w:id="1119"/>
      <w:bookmarkEnd w:id="1120"/>
      <w:bookmarkEnd w:id="1121"/>
      <w:bookmarkEnd w:id="1122"/>
    </w:p>
    <w:p w14:paraId="192634E3">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第4.6.3项细化为：</w:t>
      </w:r>
    </w:p>
    <w:p w14:paraId="750FB503">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安排在施工场地的主要管理人员和技术骨干应与承包人承诺的名单一致，并保持相对稳定。未经监理人批准，上述人员不应无故不到位或被替换；若确实无法到位或需替换，需经监理人审核并报发包人批准后，用同等资质和经历的人员替换。</w:t>
      </w:r>
    </w:p>
    <w:p w14:paraId="3B2FBD11">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本款补充第4.6.5项：</w:t>
      </w:r>
    </w:p>
    <w:p w14:paraId="0FBA0A6C">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4.6.5尽管承包人已按承诺派遣了上述各类人员，但若这些人员仍不能满足合同进度计划和（或）质量要求时，监理人有权要求承包人继续增派或雇用这类人员，并书面通知承包人和抄送发包人。承包人在接到上述通知后应立即执行监理人的上述指示，不得无故拖延，由此增加的费用和（或）工期延误由承包人承担。</w:t>
      </w:r>
    </w:p>
    <w:p w14:paraId="75714CE5">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123" w:name="_Toc3046"/>
      <w:bookmarkStart w:id="1124" w:name="_Toc234833140"/>
      <w:bookmarkStart w:id="1125" w:name="_Toc20923"/>
      <w:bookmarkStart w:id="1126" w:name="_Toc16403"/>
      <w:r>
        <w:rPr>
          <w:rFonts w:hint="default" w:ascii="Times New Roman" w:hAnsi="Times New Roman" w:eastAsia="黑体" w:cs="Times New Roman"/>
          <w:b w:val="0"/>
          <w:color w:val="auto"/>
          <w:sz w:val="24"/>
          <w:szCs w:val="24"/>
          <w:highlight w:val="none"/>
        </w:rPr>
        <w:t>4.7撤换承包人项目经理和其他人员</w:t>
      </w:r>
      <w:bookmarkEnd w:id="1123"/>
      <w:bookmarkEnd w:id="1124"/>
      <w:bookmarkEnd w:id="1125"/>
      <w:bookmarkEnd w:id="1126"/>
    </w:p>
    <w:p w14:paraId="77ED67A7">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本款细化为：</w:t>
      </w:r>
    </w:p>
    <w:p w14:paraId="583D1B34">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对其项目经理和其他人员进行有效管理。监理人要求撤换不能胜任本职工作、行为不端或玩忽职守的承包人项目经理和其他人员的，承包人应予以撤换，同时委派经发包人与监理人同意的新的项目经理和其他人员。</w:t>
      </w:r>
    </w:p>
    <w:p w14:paraId="354A34F2">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127" w:name="_Toc6730"/>
      <w:bookmarkStart w:id="1128" w:name="_Toc4005"/>
      <w:bookmarkStart w:id="1129" w:name="_Toc234833141"/>
      <w:bookmarkStart w:id="1130" w:name="_Toc22693"/>
      <w:r>
        <w:rPr>
          <w:rFonts w:hint="default" w:ascii="Times New Roman" w:hAnsi="Times New Roman" w:eastAsia="黑体" w:cs="Times New Roman"/>
          <w:b w:val="0"/>
          <w:color w:val="auto"/>
          <w:sz w:val="24"/>
          <w:szCs w:val="24"/>
          <w:highlight w:val="none"/>
        </w:rPr>
        <w:t>4.9工程价款应专款专用</w:t>
      </w:r>
      <w:bookmarkEnd w:id="1127"/>
      <w:bookmarkEnd w:id="1128"/>
      <w:bookmarkEnd w:id="1129"/>
      <w:bookmarkEnd w:id="1130"/>
    </w:p>
    <w:p w14:paraId="3997FCAF">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本款细化为：</w:t>
      </w:r>
    </w:p>
    <w:p w14:paraId="53625A49">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发包人按合同约定支付给承包人的各项价款应专用于合同工程。承包人必须在发包人指定的银行开户，并与发包人、银行共同签订《工程资金监管协议》，接受发包人和银行对资金的监管。承包人应向发包人授权进行本合同工程开户银行工程资金的查询。发包人支付的工程进度款应为本工程的专款专用资金，不得转移或用于其他工程。发包人的期中支付款将转入该银行所设的专门账户，发包人及其派出机构有权不定期对承包人工程资金使用情况进行检查，发现问题及时责令承包人限期改正，否则，将终止</w:t>
      </w:r>
      <w:r>
        <w:rPr>
          <w:rFonts w:hint="eastAsia" w:cs="Times New Roman"/>
          <w:color w:val="auto"/>
          <w:sz w:val="24"/>
          <w:highlight w:val="none"/>
          <w:lang w:val="en-US" w:eastAsia="zh-CN"/>
        </w:rPr>
        <w:t>当</w:t>
      </w:r>
      <w:r>
        <w:rPr>
          <w:rFonts w:hint="default" w:ascii="Times New Roman" w:hAnsi="Times New Roman" w:cs="Times New Roman"/>
          <w:color w:val="auto"/>
          <w:sz w:val="24"/>
          <w:highlight w:val="none"/>
        </w:rPr>
        <w:t>月支付，直至承包人改正为止。</w:t>
      </w:r>
    </w:p>
    <w:p w14:paraId="326FAFB6">
      <w:pPr>
        <w:pageBreakBefore w:val="0"/>
        <w:kinsoku/>
        <w:wordWrap w:val="0"/>
        <w:bidi w:val="0"/>
        <w:spacing w:before="240" w:after="240" w:line="380" w:lineRule="atLeast"/>
        <w:outlineLvl w:val="9"/>
        <w:rPr>
          <w:rFonts w:hint="eastAsia" w:ascii="Times New Roman" w:hAnsi="Times New Roman" w:eastAsia="黑体" w:cs="Times New Roman"/>
          <w:b w:val="0"/>
          <w:color w:val="auto"/>
          <w:sz w:val="24"/>
          <w:szCs w:val="24"/>
          <w:highlight w:val="none"/>
          <w:lang w:eastAsia="zh-CN"/>
        </w:rPr>
      </w:pPr>
      <w:bookmarkStart w:id="1131" w:name="_Toc2824"/>
      <w:bookmarkStart w:id="1132" w:name="_Toc234833142"/>
      <w:bookmarkStart w:id="1133" w:name="_Toc14913"/>
      <w:bookmarkStart w:id="1134" w:name="_Toc5299"/>
      <w:r>
        <w:rPr>
          <w:rFonts w:hint="default" w:ascii="Times New Roman" w:hAnsi="Times New Roman" w:eastAsia="黑体" w:cs="Times New Roman"/>
          <w:b w:val="0"/>
          <w:color w:val="auto"/>
          <w:sz w:val="24"/>
          <w:szCs w:val="24"/>
          <w:highlight w:val="none"/>
        </w:rPr>
        <w:t>4.10承包人现场查勘</w:t>
      </w:r>
      <w:bookmarkEnd w:id="1131"/>
      <w:bookmarkEnd w:id="1132"/>
      <w:bookmarkEnd w:id="1133"/>
      <w:bookmarkEnd w:id="1134"/>
    </w:p>
    <w:p w14:paraId="526D2990">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第4.10.1项细化为：</w:t>
      </w:r>
      <w:r>
        <w:rPr>
          <w:rStyle w:val="48"/>
          <w:rFonts w:hint="default" w:ascii="Times New Roman" w:hAnsi="Times New Roman" w:cs="Times New Roman"/>
          <w:color w:val="auto"/>
          <w:sz w:val="24"/>
          <w:highlight w:val="none"/>
        </w:rPr>
        <w:footnoteReference w:id="32"/>
      </w:r>
    </w:p>
    <w:p w14:paraId="06CFEB6E">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发包人提供的本合同工程的水文、地质、气象和料场分布、取土场、弃土场位置等资料均属于参考资料，并不构成合同文件的组成部分，承包人应对自己就上述资料的解释、推论和应用负责，发包人不对承包人据此作出的判断和决策承担任何责任。</w:t>
      </w:r>
    </w:p>
    <w:p w14:paraId="0E249F19">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135" w:name="_Toc29737"/>
      <w:bookmarkStart w:id="1136" w:name="_Toc234833143"/>
      <w:bookmarkStart w:id="1137" w:name="_Toc15362"/>
      <w:bookmarkStart w:id="1138" w:name="_Toc26327"/>
      <w:r>
        <w:rPr>
          <w:rFonts w:hint="default" w:ascii="Times New Roman" w:hAnsi="Times New Roman" w:eastAsia="黑体" w:cs="Times New Roman"/>
          <w:b w:val="0"/>
          <w:color w:val="auto"/>
          <w:sz w:val="24"/>
          <w:szCs w:val="24"/>
          <w:highlight w:val="none"/>
        </w:rPr>
        <w:t>4.11不利物质条件</w:t>
      </w:r>
      <w:bookmarkEnd w:id="1135"/>
      <w:bookmarkEnd w:id="1136"/>
      <w:bookmarkEnd w:id="1137"/>
      <w:bookmarkEnd w:id="1138"/>
    </w:p>
    <w:p w14:paraId="059164E7">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第4.11.2项细化为：</w:t>
      </w:r>
    </w:p>
    <w:p w14:paraId="26D980F7">
      <w:pPr>
        <w:pageBreakBefore w:val="0"/>
        <w:kinsoku/>
        <w:wordWrap w:val="0"/>
        <w:bidi w:val="0"/>
        <w:spacing w:line="400" w:lineRule="atLeast"/>
        <w:ind w:firstLine="420"/>
        <w:outlineLvl w:val="9"/>
        <w:rPr>
          <w:rFonts w:hint="default" w:ascii="Times New Roman" w:hAnsi="Times New Roman" w:cs="Times New Roman"/>
          <w:iCs/>
          <w:color w:val="auto"/>
          <w:sz w:val="24"/>
          <w:highlight w:val="none"/>
        </w:rPr>
      </w:pPr>
      <w:r>
        <w:rPr>
          <w:rFonts w:hint="default" w:ascii="Times New Roman" w:hAnsi="Times New Roman" w:cs="Times New Roman"/>
          <w:iCs/>
          <w:color w:val="auto"/>
          <w:sz w:val="24"/>
          <w:highlight w:val="none"/>
        </w:rPr>
        <w:t>4.11.2承包人遇到不可预见的不利物质条件时，应采取适应不利物质条件的合理措施继续施工，并及时通知监理人。监理人应当及时发出指示，指示构成变更的，按第15条约定办理。监理人没有发出指示的，承包人因采取合理措施而增加的费用和（或）工期延误，由发包人承担。</w:t>
      </w:r>
    </w:p>
    <w:p w14:paraId="258EA714">
      <w:pPr>
        <w:pageBreakBefore w:val="0"/>
        <w:kinsoku/>
        <w:wordWrap w:val="0"/>
        <w:bidi w:val="0"/>
        <w:spacing w:line="400" w:lineRule="atLeast"/>
        <w:ind w:firstLine="42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本款补充第4.11.3项：</w:t>
      </w:r>
    </w:p>
    <w:p w14:paraId="7C298A0C">
      <w:pPr>
        <w:pageBreakBefore w:val="0"/>
        <w:kinsoku/>
        <w:wordWrap w:val="0"/>
        <w:bidi w:val="0"/>
        <w:spacing w:line="400" w:lineRule="atLeast"/>
        <w:ind w:firstLine="42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4.11.3可预见的不利物质条件</w:t>
      </w:r>
    </w:p>
    <w:p w14:paraId="4E283EED">
      <w:pPr>
        <w:pageBreakBefore w:val="0"/>
        <w:kinsoku/>
        <w:wordWrap w:val="0"/>
        <w:bidi w:val="0"/>
        <w:spacing w:line="400" w:lineRule="atLeast"/>
        <w:ind w:firstLine="42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（1）对于项目专用合同条款中已经明确指出的不利物质条件无论承包人是否有其经历和经验均视为承包人在接受合同时已预见其影响，并已在签约合同价中计入因其影响而可能发生的一切费用。</w:t>
      </w:r>
    </w:p>
    <w:p w14:paraId="20158CB0">
      <w:pPr>
        <w:pageBreakBefore w:val="0"/>
        <w:kinsoku/>
        <w:wordWrap w:val="0"/>
        <w:bidi w:val="0"/>
        <w:spacing w:line="400" w:lineRule="atLeast"/>
        <w:ind w:firstLine="42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（2）对于项目专用合同条款未明确指出，但是在不利物质条件发生之前，监理人已经指示承包人有可能发生，但承包人未能及时采取有效措施，而导致的损失和后果均由承包人承担。</w:t>
      </w:r>
    </w:p>
    <w:p w14:paraId="0EA4AD0E">
      <w:pPr>
        <w:pageBreakBefore w:val="0"/>
        <w:kinsoku/>
        <w:wordWrap w:val="0"/>
        <w:bidi w:val="0"/>
        <w:spacing w:line="400" w:lineRule="atLeast"/>
        <w:outlineLvl w:val="9"/>
        <w:rPr>
          <w:rFonts w:hint="default" w:ascii="Times New Roman" w:hAnsi="Times New Roman" w:cs="Times New Roman"/>
          <w:color w:val="auto"/>
          <w:sz w:val="24"/>
          <w:highlight w:val="none"/>
        </w:rPr>
      </w:pPr>
    </w:p>
    <w:p w14:paraId="79D7F8F6">
      <w:pPr>
        <w:pageBreakBefore w:val="0"/>
        <w:kinsoku/>
        <w:wordWrap w:val="0"/>
        <w:bidi w:val="0"/>
        <w:spacing w:line="400" w:lineRule="atLeast"/>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补充第4.12款、第4.13款：</w:t>
      </w:r>
    </w:p>
    <w:p w14:paraId="6E2FF07E">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139" w:name="_Toc30842"/>
      <w:bookmarkStart w:id="1140" w:name="_Toc234833144"/>
      <w:bookmarkStart w:id="1141" w:name="_Toc4142"/>
      <w:bookmarkStart w:id="1142" w:name="_Toc13171"/>
      <w:r>
        <w:rPr>
          <w:rFonts w:hint="default" w:ascii="Times New Roman" w:hAnsi="Times New Roman" w:eastAsia="黑体" w:cs="Times New Roman"/>
          <w:b w:val="0"/>
          <w:color w:val="auto"/>
          <w:sz w:val="24"/>
          <w:szCs w:val="24"/>
          <w:highlight w:val="none"/>
        </w:rPr>
        <w:t>4.12投标文件的完备性</w:t>
      </w:r>
      <w:bookmarkEnd w:id="1139"/>
      <w:bookmarkEnd w:id="1140"/>
      <w:bookmarkEnd w:id="1141"/>
      <w:bookmarkEnd w:id="1142"/>
    </w:p>
    <w:p w14:paraId="5520C2BC">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合同双方一致认为，承包人在递交投标文件前，对本合同工程的投标文件和已标价工程量清单中开列的单价和总额价已查明是正确的和完备的。投标的单价和总额价应已包括了合同中规定的承包人的全部义务（包括提供货物、材料、设备、服务的义务，并包括了暂列金额和暂估价范围内的额外工作的义务）以及为实施和完成本合同工程及其缺陷修复所必需的一切工作和条件。</w:t>
      </w:r>
    </w:p>
    <w:p w14:paraId="7C705845">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143" w:name="_Toc18033"/>
      <w:bookmarkStart w:id="1144" w:name="_Toc4019"/>
      <w:bookmarkStart w:id="1145" w:name="_Toc14467"/>
      <w:r>
        <w:rPr>
          <w:rFonts w:hint="default" w:ascii="Times New Roman" w:hAnsi="Times New Roman" w:eastAsia="黑体" w:cs="Times New Roman"/>
          <w:b w:val="0"/>
          <w:color w:val="auto"/>
          <w:sz w:val="24"/>
          <w:szCs w:val="24"/>
          <w:highlight w:val="none"/>
        </w:rPr>
        <w:t>4.13开展党建工作要求</w:t>
      </w:r>
      <w:bookmarkEnd w:id="1143"/>
      <w:bookmarkEnd w:id="1144"/>
      <w:bookmarkEnd w:id="1145"/>
    </w:p>
    <w:p w14:paraId="3CA3D346">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对于政府投资的国家高速公路项目，或承包人为国有控股或参股企业的，承包人应按规定在项目现场设立基层党组织。不满足上述情形的，承包人应创造条件使党员能够参加党组织生活并接受相应管理。</w:t>
      </w:r>
    </w:p>
    <w:p w14:paraId="211CBFD5">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在项目现场设立基层党组织的，应明确党组织机构设置、党组织负责人及党务工作人员配备情况，编制党务工作开展预案，并按照预案要求在项目实施过程中同步开展党务工作，充分发挥基层党组织在项目实施中的作用。</w:t>
      </w:r>
    </w:p>
    <w:p w14:paraId="167D0DB2">
      <w:pPr>
        <w:pageBreakBefore w:val="0"/>
        <w:kinsoku/>
        <w:wordWrap w:val="0"/>
        <w:bidi w:val="0"/>
        <w:spacing w:before="480" w:after="240" w:line="380" w:lineRule="atLeast"/>
        <w:outlineLvl w:val="9"/>
        <w:rPr>
          <w:rFonts w:hint="default" w:ascii="Times New Roman" w:hAnsi="Times New Roman" w:eastAsia="黑体" w:cs="Times New Roman"/>
          <w:b w:val="0"/>
          <w:color w:val="auto"/>
          <w:sz w:val="28"/>
          <w:szCs w:val="28"/>
          <w:highlight w:val="none"/>
        </w:rPr>
      </w:pPr>
      <w:bookmarkStart w:id="1146" w:name="_Toc26645"/>
      <w:bookmarkStart w:id="1147" w:name="_Toc21286"/>
      <w:bookmarkStart w:id="1148" w:name="_Toc29830"/>
      <w:bookmarkStart w:id="1149" w:name="_Toc234833145"/>
      <w:r>
        <w:rPr>
          <w:rFonts w:hint="default" w:ascii="Times New Roman" w:hAnsi="Times New Roman" w:eastAsia="黑体" w:cs="Times New Roman"/>
          <w:b w:val="0"/>
          <w:color w:val="auto"/>
          <w:sz w:val="28"/>
          <w:szCs w:val="28"/>
          <w:highlight w:val="none"/>
        </w:rPr>
        <w:t>5.材料和工程设备</w:t>
      </w:r>
      <w:bookmarkEnd w:id="1146"/>
      <w:bookmarkEnd w:id="1147"/>
      <w:bookmarkEnd w:id="1148"/>
      <w:bookmarkEnd w:id="1149"/>
    </w:p>
    <w:p w14:paraId="4CE40D91">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150" w:name="_Toc6846"/>
      <w:bookmarkStart w:id="1151" w:name="_Toc25319"/>
      <w:bookmarkStart w:id="1152" w:name="_Toc234833146"/>
      <w:bookmarkStart w:id="1153" w:name="_Toc25834"/>
      <w:r>
        <w:rPr>
          <w:rFonts w:hint="default" w:ascii="Times New Roman" w:hAnsi="Times New Roman" w:eastAsia="黑体" w:cs="Times New Roman"/>
          <w:b w:val="0"/>
          <w:color w:val="auto"/>
          <w:sz w:val="24"/>
          <w:szCs w:val="24"/>
          <w:highlight w:val="none"/>
        </w:rPr>
        <w:t>5.2发包人提供的材料和工程设备</w:t>
      </w:r>
      <w:bookmarkEnd w:id="1150"/>
      <w:bookmarkEnd w:id="1151"/>
      <w:bookmarkEnd w:id="1152"/>
      <w:bookmarkEnd w:id="1153"/>
    </w:p>
    <w:p w14:paraId="5385FBD7">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第5.2.3项补充：</w:t>
      </w:r>
    </w:p>
    <w:p w14:paraId="40DA5B0D">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负责接收并按规定对材料进行抽样检验和对工程设备进行检验测试，若发现材料和工程设备存在缺陷，承包人应及时通知监理人，发包人应及时改正通知中指出的缺陷。承包人负责接收后的运输和保管，因承包人的原因发生丢失、损坏或进度拖延，由承包人承担相应责任。</w:t>
      </w:r>
    </w:p>
    <w:p w14:paraId="70A5F974">
      <w:pPr>
        <w:pageBreakBefore w:val="0"/>
        <w:kinsoku/>
        <w:wordWrap w:val="0"/>
        <w:bidi w:val="0"/>
        <w:spacing w:before="480" w:after="240" w:line="380" w:lineRule="atLeast"/>
        <w:outlineLvl w:val="9"/>
        <w:rPr>
          <w:rFonts w:hint="eastAsia" w:ascii="Times New Roman" w:hAnsi="Times New Roman" w:eastAsia="黑体" w:cs="Times New Roman"/>
          <w:b w:val="0"/>
          <w:color w:val="auto"/>
          <w:sz w:val="28"/>
          <w:szCs w:val="28"/>
          <w:highlight w:val="none"/>
          <w:lang w:eastAsia="zh-CN"/>
        </w:rPr>
      </w:pPr>
      <w:bookmarkStart w:id="1154" w:name="_Toc19827"/>
      <w:bookmarkStart w:id="1155" w:name="_Toc11578"/>
      <w:bookmarkStart w:id="1156" w:name="_Toc11315"/>
      <w:bookmarkStart w:id="1157" w:name="_Toc234833147"/>
      <w:r>
        <w:rPr>
          <w:rFonts w:hint="default" w:ascii="Times New Roman" w:hAnsi="Times New Roman" w:eastAsia="黑体" w:cs="Times New Roman"/>
          <w:b w:val="0"/>
          <w:color w:val="auto"/>
          <w:sz w:val="28"/>
          <w:szCs w:val="28"/>
          <w:highlight w:val="none"/>
        </w:rPr>
        <w:t>6.施工设备和临时设施</w:t>
      </w:r>
      <w:bookmarkEnd w:id="1154"/>
      <w:bookmarkEnd w:id="1155"/>
      <w:bookmarkEnd w:id="1156"/>
      <w:bookmarkEnd w:id="1157"/>
    </w:p>
    <w:p w14:paraId="25C31B78">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158" w:name="_Toc26020"/>
      <w:bookmarkStart w:id="1159" w:name="_Toc24822"/>
      <w:bookmarkStart w:id="1160" w:name="_Toc24564"/>
      <w:bookmarkStart w:id="1161" w:name="_Toc234833148"/>
      <w:r>
        <w:rPr>
          <w:rFonts w:hint="default" w:ascii="Times New Roman" w:hAnsi="Times New Roman" w:eastAsia="黑体" w:cs="Times New Roman"/>
          <w:b w:val="0"/>
          <w:color w:val="auto"/>
          <w:sz w:val="24"/>
          <w:szCs w:val="24"/>
          <w:highlight w:val="none"/>
        </w:rPr>
        <w:t>6.1承包人提供的施工设备和临时设施</w:t>
      </w:r>
      <w:bookmarkEnd w:id="1158"/>
      <w:bookmarkEnd w:id="1159"/>
      <w:bookmarkEnd w:id="1160"/>
      <w:bookmarkEnd w:id="1161"/>
    </w:p>
    <w:p w14:paraId="4E8C389F">
      <w:pPr>
        <w:pageBreakBefore w:val="0"/>
        <w:kinsoku/>
        <w:wordWrap w:val="0"/>
        <w:bidi w:val="0"/>
        <w:spacing w:line="400" w:lineRule="atLeast"/>
        <w:ind w:firstLine="42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第6.1.2项约定为：</w:t>
      </w:r>
    </w:p>
    <w:p w14:paraId="63555295">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承包人应自行承担修建临时设施的费用，需要临时占地的，应由承包人按第4.1.10项（1）目的规定办理。</w:t>
      </w:r>
    </w:p>
    <w:p w14:paraId="054E82A4">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162" w:name="_Toc10697"/>
      <w:bookmarkStart w:id="1163" w:name="_Toc28402"/>
      <w:bookmarkStart w:id="1164" w:name="_Toc15629"/>
      <w:bookmarkStart w:id="1165" w:name="_Toc234833149"/>
      <w:r>
        <w:rPr>
          <w:rFonts w:hint="default" w:ascii="Times New Roman" w:hAnsi="Times New Roman" w:eastAsia="黑体" w:cs="Times New Roman"/>
          <w:b w:val="0"/>
          <w:color w:val="auto"/>
          <w:sz w:val="24"/>
          <w:szCs w:val="24"/>
          <w:highlight w:val="none"/>
        </w:rPr>
        <w:t>6.3要求承包人增加或更换施工设备</w:t>
      </w:r>
      <w:bookmarkEnd w:id="1162"/>
      <w:bookmarkEnd w:id="1163"/>
      <w:bookmarkEnd w:id="1164"/>
      <w:bookmarkEnd w:id="1165"/>
    </w:p>
    <w:p w14:paraId="3B4ED6B6">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本款细化为：</w:t>
      </w:r>
    </w:p>
    <w:p w14:paraId="19B23A99">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承诺的施工设备必须按时到达现场，不得拖延、短缺或任意更换。尽管承包人已按承诺提供了上述设备，但若承包人使用的施工设备不能满足合同进度计划和（或）质量要求时，监理人有权要求承包人增加或更换施工设备，承包人应及时增加或更换，由此增加的费用和（或）工期延误由承包人承担。</w:t>
      </w:r>
    </w:p>
    <w:p w14:paraId="1C28FFE7">
      <w:pPr>
        <w:pageBreakBefore w:val="0"/>
        <w:kinsoku/>
        <w:wordWrap w:val="0"/>
        <w:bidi w:val="0"/>
        <w:spacing w:before="480" w:after="240" w:line="380" w:lineRule="atLeast"/>
        <w:outlineLvl w:val="9"/>
        <w:rPr>
          <w:rFonts w:hint="eastAsia" w:ascii="Times New Roman" w:hAnsi="Times New Roman" w:eastAsia="黑体" w:cs="Times New Roman"/>
          <w:b w:val="0"/>
          <w:color w:val="auto"/>
          <w:sz w:val="28"/>
          <w:szCs w:val="28"/>
          <w:highlight w:val="none"/>
          <w:lang w:eastAsia="zh-CN"/>
        </w:rPr>
      </w:pPr>
      <w:bookmarkStart w:id="1166" w:name="_Toc28894"/>
      <w:bookmarkStart w:id="1167" w:name="_Toc30626"/>
      <w:bookmarkStart w:id="1168" w:name="_Toc31348"/>
      <w:bookmarkStart w:id="1169" w:name="_Toc234833150"/>
      <w:r>
        <w:rPr>
          <w:rFonts w:hint="default" w:ascii="Times New Roman" w:hAnsi="Times New Roman" w:eastAsia="黑体" w:cs="Times New Roman"/>
          <w:b w:val="0"/>
          <w:color w:val="auto"/>
          <w:sz w:val="28"/>
          <w:szCs w:val="28"/>
          <w:highlight w:val="none"/>
        </w:rPr>
        <w:t>7.交通运输</w:t>
      </w:r>
      <w:bookmarkEnd w:id="1166"/>
      <w:bookmarkEnd w:id="1167"/>
      <w:bookmarkEnd w:id="1168"/>
      <w:bookmarkEnd w:id="1169"/>
    </w:p>
    <w:p w14:paraId="7C65AE7D">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170" w:name="_Toc234833151"/>
      <w:bookmarkStart w:id="1171" w:name="_Toc24391"/>
      <w:bookmarkStart w:id="1172" w:name="_Toc3580"/>
      <w:bookmarkStart w:id="1173" w:name="_Toc23400"/>
      <w:r>
        <w:rPr>
          <w:rFonts w:hint="default" w:ascii="Times New Roman" w:hAnsi="Times New Roman" w:eastAsia="黑体" w:cs="Times New Roman"/>
          <w:b w:val="0"/>
          <w:color w:val="auto"/>
          <w:sz w:val="24"/>
          <w:szCs w:val="24"/>
          <w:highlight w:val="none"/>
        </w:rPr>
        <w:t>7.1道路通行权和场外设施</w:t>
      </w:r>
      <w:bookmarkEnd w:id="1170"/>
      <w:bookmarkEnd w:id="1171"/>
      <w:bookmarkEnd w:id="1172"/>
      <w:bookmarkEnd w:id="1173"/>
    </w:p>
    <w:p w14:paraId="29690338">
      <w:pPr>
        <w:pageBreakBefore w:val="0"/>
        <w:kinsoku/>
        <w:wordWrap w:val="0"/>
        <w:bidi w:val="0"/>
        <w:spacing w:line="400" w:lineRule="atLeast"/>
        <w:ind w:firstLine="42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本款约定为：</w:t>
      </w:r>
    </w:p>
    <w:p w14:paraId="0F1B45FB">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根据合同工程的施工需要，负责办理取得出入施工场地的专用和临时道路的通行权，以及取得为工程建设所需修建场外设施的权利，并承担有关费用。需要发包人协调时，发包人应协助承包人办理相关手续。</w:t>
      </w:r>
    </w:p>
    <w:p w14:paraId="4C72E8F8">
      <w:pPr>
        <w:pageBreakBefore w:val="0"/>
        <w:kinsoku/>
        <w:wordWrap w:val="0"/>
        <w:bidi w:val="0"/>
        <w:spacing w:before="480" w:after="240" w:line="380" w:lineRule="atLeast"/>
        <w:outlineLvl w:val="9"/>
        <w:rPr>
          <w:rFonts w:hint="default" w:ascii="Times New Roman" w:hAnsi="Times New Roman" w:eastAsia="黑体" w:cs="Times New Roman"/>
          <w:b w:val="0"/>
          <w:color w:val="auto"/>
          <w:sz w:val="28"/>
          <w:szCs w:val="28"/>
          <w:highlight w:val="none"/>
        </w:rPr>
      </w:pPr>
      <w:bookmarkStart w:id="1174" w:name="_Toc5379"/>
      <w:bookmarkStart w:id="1175" w:name="_Toc6333"/>
      <w:bookmarkStart w:id="1176" w:name="_Toc31528"/>
      <w:bookmarkStart w:id="1177" w:name="_Toc234833152"/>
      <w:r>
        <w:rPr>
          <w:rFonts w:hint="default" w:ascii="Times New Roman" w:hAnsi="Times New Roman" w:eastAsia="黑体" w:cs="Times New Roman"/>
          <w:b w:val="0"/>
          <w:color w:val="auto"/>
          <w:sz w:val="28"/>
          <w:szCs w:val="28"/>
          <w:highlight w:val="none"/>
        </w:rPr>
        <w:t>8.测量放线</w:t>
      </w:r>
      <w:bookmarkEnd w:id="1174"/>
      <w:bookmarkEnd w:id="1175"/>
      <w:bookmarkEnd w:id="1176"/>
      <w:bookmarkEnd w:id="1177"/>
    </w:p>
    <w:p w14:paraId="1CCE5AA5">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178" w:name="_Toc234833153"/>
      <w:bookmarkStart w:id="1179" w:name="_Toc6917"/>
      <w:bookmarkStart w:id="1180" w:name="_Toc26266"/>
      <w:bookmarkStart w:id="1181" w:name="_Toc26436"/>
      <w:r>
        <w:rPr>
          <w:rFonts w:hint="default" w:ascii="Times New Roman" w:hAnsi="Times New Roman" w:eastAsia="黑体" w:cs="Times New Roman"/>
          <w:b w:val="0"/>
          <w:color w:val="auto"/>
          <w:sz w:val="24"/>
          <w:szCs w:val="24"/>
          <w:highlight w:val="none"/>
        </w:rPr>
        <w:t>8.4监理人使用施工控制网</w:t>
      </w:r>
      <w:bookmarkEnd w:id="1178"/>
      <w:bookmarkEnd w:id="1179"/>
      <w:bookmarkEnd w:id="1180"/>
      <w:bookmarkEnd w:id="1181"/>
    </w:p>
    <w:p w14:paraId="63C6A07B">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本款补充</w:t>
      </w:r>
      <w:r>
        <w:rPr>
          <w:rFonts w:hint="eastAsia" w:cs="Times New Roman"/>
          <w:color w:val="auto"/>
          <w:sz w:val="24"/>
          <w:highlight w:val="none"/>
          <w:lang w:val="en-US" w:eastAsia="zh-CN"/>
        </w:rPr>
        <w:t>如下</w:t>
      </w:r>
      <w:r>
        <w:rPr>
          <w:rFonts w:hint="default" w:ascii="Times New Roman" w:hAnsi="Times New Roman" w:cs="Times New Roman"/>
          <w:color w:val="auto"/>
          <w:sz w:val="24"/>
          <w:highlight w:val="none"/>
        </w:rPr>
        <w:t>：</w:t>
      </w:r>
    </w:p>
    <w:p w14:paraId="604C9D9B">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经监理人批准，其他相关承包人也可免费使用施工控制网。</w:t>
      </w:r>
    </w:p>
    <w:p w14:paraId="1C25E4D7">
      <w:pPr>
        <w:pageBreakBefore w:val="0"/>
        <w:kinsoku/>
        <w:wordWrap w:val="0"/>
        <w:bidi w:val="0"/>
        <w:spacing w:before="480" w:after="240" w:line="380" w:lineRule="atLeast"/>
        <w:outlineLvl w:val="9"/>
        <w:rPr>
          <w:rFonts w:hint="default" w:ascii="Times New Roman" w:hAnsi="Times New Roman" w:eastAsia="黑体" w:cs="Times New Roman"/>
          <w:b w:val="0"/>
          <w:color w:val="auto"/>
          <w:sz w:val="28"/>
          <w:szCs w:val="28"/>
          <w:highlight w:val="none"/>
        </w:rPr>
      </w:pPr>
      <w:bookmarkStart w:id="1182" w:name="_Toc22517"/>
      <w:bookmarkStart w:id="1183" w:name="_Toc13649"/>
      <w:bookmarkStart w:id="1184" w:name="_Toc31525"/>
      <w:bookmarkStart w:id="1185" w:name="_Toc234833154"/>
      <w:r>
        <w:rPr>
          <w:rFonts w:hint="default" w:ascii="Times New Roman" w:hAnsi="Times New Roman" w:eastAsia="黑体" w:cs="Times New Roman"/>
          <w:b w:val="0"/>
          <w:color w:val="auto"/>
          <w:sz w:val="28"/>
          <w:szCs w:val="28"/>
          <w:highlight w:val="none"/>
        </w:rPr>
        <w:t>9.施工安全、治安保卫和环境保护</w:t>
      </w:r>
      <w:bookmarkEnd w:id="1182"/>
      <w:bookmarkEnd w:id="1183"/>
      <w:bookmarkEnd w:id="1184"/>
      <w:bookmarkEnd w:id="1185"/>
    </w:p>
    <w:p w14:paraId="005BC02A">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186" w:name="_Toc234833155"/>
      <w:bookmarkStart w:id="1187" w:name="_Toc15856"/>
      <w:bookmarkStart w:id="1188" w:name="_Toc12442"/>
      <w:bookmarkStart w:id="1189" w:name="_Toc22581"/>
      <w:r>
        <w:rPr>
          <w:rFonts w:hint="default" w:ascii="Times New Roman" w:hAnsi="Times New Roman" w:eastAsia="黑体" w:cs="Times New Roman"/>
          <w:b w:val="0"/>
          <w:color w:val="auto"/>
          <w:sz w:val="24"/>
          <w:szCs w:val="24"/>
          <w:highlight w:val="none"/>
        </w:rPr>
        <w:t>9.2承包人的施工安全责任</w:t>
      </w:r>
      <w:bookmarkEnd w:id="1186"/>
      <w:bookmarkEnd w:id="1187"/>
      <w:bookmarkEnd w:id="1188"/>
      <w:bookmarkEnd w:id="1189"/>
    </w:p>
    <w:p w14:paraId="7FBBB317">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第9.2.1项细化为：</w:t>
      </w:r>
    </w:p>
    <w:p w14:paraId="6D4AD93F">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按合同约定履行安全职责，严格执行国家、地方政府有关施工安全管理方面的法律、法规及规章制度，同时严格执行发包人制订的本项目安全生产管理方面的规章制度、安全检查程序及施工安全管理要求，以及监理人有关安全工作的指示。</w:t>
      </w:r>
    </w:p>
    <w:p w14:paraId="10ABF195">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根据本工程的实际安全施工要求，编制施工安全技术措施，并在签订合同协议书后28天内，报监理人和发包人批准。该施工安全技术措施包括（但不限于）施工安全保障体系，安全生产责任制，安全生产管理规章制度，安全防护施工方案，施工现场临时用电方案，施工安全评估，安全预控及保证措施方案，紧急应变措施，安全标识、警示和围护方案等。对影响安全的重要工序和下列危险性较大的工程应编制专项施工方案，并附安全验算结果，经承包人项目总工签字并报监理人和发包人批准后实施，由专职安全生产管理人员进行现场监督。</w:t>
      </w:r>
    </w:p>
    <w:p w14:paraId="096CFA83">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本项目需要编制专项施工方案的工程包括但不限于以下内容：</w:t>
      </w:r>
    </w:p>
    <w:p w14:paraId="04CD995E">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（1）不良地质条件下有潜在危险性的土方、石方开挖；</w:t>
      </w:r>
    </w:p>
    <w:p w14:paraId="42B713E6">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（2）滑坡和高边坡处理；</w:t>
      </w:r>
    </w:p>
    <w:p w14:paraId="7AFF5976">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（3）桩基础、挡墙基础、深水基础及围堰工程；</w:t>
      </w:r>
    </w:p>
    <w:p w14:paraId="619AD864">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（4）桥梁工程中的梁、拱、柱等构件施工等；</w:t>
      </w:r>
    </w:p>
    <w:p w14:paraId="6202A734">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（5）隧道工程中的不良地质隧道、高瓦斯隧道等；</w:t>
      </w:r>
    </w:p>
    <w:p w14:paraId="7A3842E6">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（6）水上工程中的打桩船作业、施工船作业、外海孤岛作业、边通航边施工作业等；</w:t>
      </w:r>
    </w:p>
    <w:p w14:paraId="48F5BB0C">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（7）水下工程中的水下焊接、混凝土浇筑、爆破工程等；</w:t>
      </w:r>
    </w:p>
    <w:p w14:paraId="7B2C7A94">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（8）爆破工程；</w:t>
      </w:r>
    </w:p>
    <w:p w14:paraId="5581C214">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（9）大型临时工程中的大型支架、模板、便桥的架设与拆除；桥梁、码头的加固与拆除；</w:t>
      </w:r>
    </w:p>
    <w:p w14:paraId="5BE9BEF4">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（10）其他危险性较大的工程。</w:t>
      </w:r>
    </w:p>
    <w:p w14:paraId="16E614F0">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监理人和发包人在检查中发现有安全问题或有违反安全管理规章制度的情况时，可视为承包人违约，应按第22.1款的规定办理。</w:t>
      </w:r>
    </w:p>
    <w:p w14:paraId="14E17145">
      <w:pPr>
        <w:pageBreakBefore w:val="0"/>
        <w:kinsoku/>
        <w:wordWrap w:val="0"/>
        <w:bidi w:val="0"/>
        <w:spacing w:line="440" w:lineRule="exac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第9.2.5项细化为：</w:t>
      </w:r>
    </w:p>
    <w:p w14:paraId="1BE5A0BF">
      <w:pPr>
        <w:pageBreakBefore w:val="0"/>
        <w:kinsoku/>
        <w:wordWrap w:val="0"/>
        <w:bidi w:val="0"/>
        <w:spacing w:line="440" w:lineRule="exac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除项目专用合同条款另有约定外，安全生产费用应为投标价（不含安全生产费及建筑工程一切险及第三者责任险的保险费）的1.5%（若发包人公布了最高投标限价时，按最高投标限价的1.5%计）。安全生产费用应用于施工安全防护用具及设施的采购和更新、安全施工措施的落实、安全生产条件的改善，不得挪作他用。如承包人在此基础上增加安全生产费用以满足项目施工需要，则承包人应在本项目工程量清单其他相关子目的单价或总额价中予以考虑，发包人不再另行支付。因采取合同未约定的特殊防护措施增加的费用，由监理人按第3.5款商定或确定。</w:t>
      </w:r>
    </w:p>
    <w:p w14:paraId="5A1F34B2">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本款补充第9.2.8项~第9.2.11项：</w:t>
      </w:r>
    </w:p>
    <w:p w14:paraId="52737048">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9.2.8承包人应充分关注和保障所有在现场工作的人员的安全，采取以下有效措施，使现场和本合同工程的实施保持有条不紊，以免使上述人员的安全受到威胁。</w:t>
      </w:r>
    </w:p>
    <w:p w14:paraId="766708AF">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（1）按《公路水运工程安全生产监督管理办法》规定的最低数量和资质条件配备专职安全生产管理人员；</w:t>
      </w:r>
    </w:p>
    <w:p w14:paraId="0DE2FB55">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承包人的垂直运输机械作业人员、施工船舶作业人员、爆破作业人员、安装拆卸工、起重信号工、电工、焊工等国家规定的特种作业人员，必须按照国家规定经过专门的安全作业培训，并取得特种作业操作资格证书后，方可上岗作业；</w:t>
      </w:r>
    </w:p>
    <w:p w14:paraId="5C710877">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（3）所有施工机具设备和高空作业设备均应定期检查，并有安全员的签字记录；</w:t>
      </w:r>
    </w:p>
    <w:p w14:paraId="213C0279">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（4）根据本合同各单位工程的施工特点，严格执行《公路水运工程安全生产监督管理办法》《公路工程施工安全技术规范》等有关规定。</w:t>
      </w:r>
    </w:p>
    <w:p w14:paraId="7EA6B04E">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9.2.9为了保护本合同工程免遭损坏，或为了现场附近和过往群众的安全与方便，在确有必要的时候和地方，或当监理人或有关主管部门要求时，承包人应自费提供照明、警卫、护栅、警告标志等安全防护设施。</w:t>
      </w:r>
    </w:p>
    <w:p w14:paraId="06A2175D">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9.2.10在通航水域施工时，承包人应与当地主管部门取得联系，设置必要的导航标志，及时发布航行通告，确保施工水域安全。</w:t>
      </w:r>
    </w:p>
    <w:p w14:paraId="1A7EC8FD">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9.2.11在整个施工过程中对承包人采取的施工安全措施，发包人和监理人有权监督，并向承包人提出整改要求。如果由于承包人未能对其负责的上述事项采取各种必要的措施而导致或发生与此有关的人身伤亡、罚款、索赔、损失补偿、诉讼费用及其他一切责任应由承包人负责。</w:t>
      </w:r>
    </w:p>
    <w:p w14:paraId="3C50A892">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190" w:name="_Toc22668"/>
      <w:bookmarkStart w:id="1191" w:name="_Toc234833156"/>
      <w:bookmarkStart w:id="1192" w:name="_Toc4067"/>
      <w:bookmarkStart w:id="1193" w:name="_Toc23200"/>
      <w:r>
        <w:rPr>
          <w:rFonts w:hint="default" w:ascii="Times New Roman" w:hAnsi="Times New Roman" w:eastAsia="黑体" w:cs="Times New Roman"/>
          <w:b w:val="0"/>
          <w:color w:val="auto"/>
          <w:sz w:val="24"/>
          <w:szCs w:val="24"/>
          <w:highlight w:val="none"/>
        </w:rPr>
        <w:t>9.4环境保护</w:t>
      </w:r>
      <w:bookmarkEnd w:id="1190"/>
      <w:bookmarkEnd w:id="1191"/>
      <w:bookmarkEnd w:id="1192"/>
      <w:bookmarkEnd w:id="1193"/>
    </w:p>
    <w:p w14:paraId="4A0C0D51">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本款补充第9.4.7项~第9.4.11项：</w:t>
      </w:r>
    </w:p>
    <w:p w14:paraId="69ED43EC">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9.4.7承包人应切实执行技术规范中有关环境保护方面的条款和规定。</w:t>
      </w:r>
    </w:p>
    <w:p w14:paraId="01C571BC">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对于来自施工机械和运输车辆的施工噪声，为保护施工人员的健康，应遵守《中华人民共和国环境噪声污染防治法》并依据《工业企业噪声卫生标准》合理安排工作人员轮流操作筑路机械，减少接触高噪声的时间，或间歇安排高噪声的工作。对距噪声源较近的施工人员，除采取使用防护耳塞或头盔等有效措施外，还应当缩短其劳动时间。同时，要注意对机械的经常性保养，尽量使其噪声降低到最低水平。为保护施工现场附近居民的夜间休息，对居民区150m以内的施工现场，施工时间应加以控制。</w:t>
      </w:r>
    </w:p>
    <w:p w14:paraId="01F0687B">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（2）对于公路施工中粉尘污染的主要污染源――灰土拌和、施工车辆和筑路机械运行及运输产生的扬尘，应采取有效措施减轻其对施工现场的大气污染，保护人民健康，如：</w:t>
      </w:r>
    </w:p>
    <w:p w14:paraId="34A0D8F1">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a.拌和设备应有较好的密封，或有防尘设备。</w:t>
      </w:r>
    </w:p>
    <w:p w14:paraId="6A16421F">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b.施工通道、沥青混凝土拌和站及灰土拌和站应经常进行洒水降尘。</w:t>
      </w:r>
    </w:p>
    <w:p w14:paraId="2AB75B31">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c.路面施工应注意保持水分，以免扬尘。</w:t>
      </w:r>
    </w:p>
    <w:p w14:paraId="1E2241DF">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d.隧道出渣和桥梁钻孔灌注桩施工时排出的泥浆要进行妥善处理，严禁向河流或农田排放。</w:t>
      </w:r>
    </w:p>
    <w:p w14:paraId="3CB61A20">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（3）采取可靠措施保证原有交通的正常通行，维持沿线村镇的居民饮水、农田灌溉、生产生活用电及通信等管线的正常使用。</w:t>
      </w:r>
    </w:p>
    <w:p w14:paraId="251D52AB">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9.4.8在整个施工过程中对承包人采取的环境保护措施，发包人和监理人有权监督，并向承包人提出整改要求。如果由于承包人未能对其负责的上述事项采取各种必要的措施而导致或发生与此有关的人身伤亡、罚款、索赔、损失补偿、诉讼费用及其他一切责任应由承包人负责。</w:t>
      </w:r>
    </w:p>
    <w:p w14:paraId="1AC259B7">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9.4.9在施工期间，承包人应随时保持现场整洁，施工设备和材料、工程设备应整齐妥善存放和储存，废料与垃圾及不再需要的临时设施应及时从现场清除、拆除并运走。</w:t>
      </w:r>
    </w:p>
    <w:p w14:paraId="3F79933D">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9.4.10在施工期间，承包人应严格遵守《关于在公路建设中实行最严格的耕地保护制度的若干意见》的相关规定，规范用地、科学用地、合理用地和节约用地。承包人应合理利用所占耕地地表的耕作层，用于重新造地；合理设置取土坑和弃土场，取土坑和弃土场的施工防护要符合要求，防止水土流失。承包人应严格控制临时占地数量，施工便道、各种料场、预制场要根据工程进度统筹考虑，尽可能设置在公路用地范围内或利用荒坡、废弃地解决，不得占用农田。施工过程中要采取有效措施防止污染农田，项目完工后承包人应将临时占地自费恢复到临时占地使用前的状况。</w:t>
      </w:r>
    </w:p>
    <w:p w14:paraId="428CA5B2">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9.4.11承包人应严格按照国家有关法规要求，做好施工过程中的生态保护和水土保持工作。施工中要尽可能减少对原地面的扰动，减少对地面草木的破坏，需要爆破作业的，应按规定进行控爆设计。雨季填筑路基应随挖、随运、随填、随压，要完善施工中的临时排水系统，加强施工便道的管理。取（弃）土场必须先挡后弃，严禁在指定的取（弃）土场以外的地方乱挖乱弃。</w:t>
      </w:r>
    </w:p>
    <w:p w14:paraId="06FFA644">
      <w:pPr>
        <w:pageBreakBefore w:val="0"/>
        <w:kinsoku/>
        <w:wordWrap w:val="0"/>
        <w:bidi w:val="0"/>
        <w:spacing w:before="480" w:after="240" w:line="380" w:lineRule="atLeast"/>
        <w:outlineLvl w:val="9"/>
        <w:rPr>
          <w:rFonts w:hint="default" w:ascii="Times New Roman" w:hAnsi="Times New Roman" w:eastAsia="黑体" w:cs="Times New Roman"/>
          <w:b w:val="0"/>
          <w:color w:val="auto"/>
          <w:sz w:val="28"/>
          <w:szCs w:val="28"/>
          <w:highlight w:val="none"/>
        </w:rPr>
      </w:pPr>
      <w:bookmarkStart w:id="1194" w:name="_Toc31300"/>
      <w:bookmarkStart w:id="1195" w:name="_Toc14910"/>
      <w:bookmarkStart w:id="1196" w:name="_Toc2443"/>
      <w:bookmarkStart w:id="1197" w:name="_Toc234833157"/>
      <w:r>
        <w:rPr>
          <w:rFonts w:hint="default" w:ascii="Times New Roman" w:hAnsi="Times New Roman" w:eastAsia="黑体" w:cs="Times New Roman"/>
          <w:b w:val="0"/>
          <w:color w:val="auto"/>
          <w:sz w:val="28"/>
          <w:szCs w:val="28"/>
          <w:highlight w:val="none"/>
        </w:rPr>
        <w:t>10.进度计划</w:t>
      </w:r>
      <w:bookmarkEnd w:id="1194"/>
      <w:bookmarkEnd w:id="1195"/>
      <w:bookmarkEnd w:id="1196"/>
      <w:bookmarkEnd w:id="1197"/>
    </w:p>
    <w:p w14:paraId="7773AB7E">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198" w:name="_Toc31463"/>
      <w:bookmarkStart w:id="1199" w:name="_Toc19701"/>
      <w:bookmarkStart w:id="1200" w:name="_Toc13304"/>
      <w:bookmarkStart w:id="1201" w:name="_Toc234833158"/>
      <w:r>
        <w:rPr>
          <w:rFonts w:hint="default" w:ascii="Times New Roman" w:hAnsi="Times New Roman" w:eastAsia="黑体" w:cs="Times New Roman"/>
          <w:b w:val="0"/>
          <w:color w:val="auto"/>
          <w:sz w:val="24"/>
          <w:szCs w:val="24"/>
          <w:highlight w:val="none"/>
        </w:rPr>
        <w:t>10.1合同进度计划</w:t>
      </w:r>
      <w:bookmarkEnd w:id="1198"/>
      <w:bookmarkEnd w:id="1199"/>
      <w:bookmarkEnd w:id="1200"/>
      <w:bookmarkEnd w:id="1201"/>
    </w:p>
    <w:p w14:paraId="50CDF209">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本款补充</w:t>
      </w:r>
      <w:r>
        <w:rPr>
          <w:rFonts w:hint="eastAsia" w:cs="Times New Roman"/>
          <w:color w:val="auto"/>
          <w:sz w:val="24"/>
          <w:highlight w:val="none"/>
          <w:lang w:val="en-US" w:eastAsia="zh-CN"/>
        </w:rPr>
        <w:t>如下</w:t>
      </w:r>
      <w:r>
        <w:rPr>
          <w:rFonts w:hint="default" w:ascii="Times New Roman" w:hAnsi="Times New Roman" w:cs="Times New Roman"/>
          <w:color w:val="auto"/>
          <w:sz w:val="24"/>
          <w:highlight w:val="none"/>
        </w:rPr>
        <w:t>：</w:t>
      </w:r>
    </w:p>
    <w:p w14:paraId="79AAAA30">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承包人编制施工方案说明的内容见项目专用合同条款。</w:t>
      </w:r>
    </w:p>
    <w:p w14:paraId="4F7886E7">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承包人向监理人报送施工进度计划和施工方案说明的期限：签订合同协议书后28天之内。</w:t>
      </w:r>
    </w:p>
    <w:p w14:paraId="4FDD6BDF">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监理人应在14天内对承包人施工进度计划和施工方案说明予以批复或提出修改意见。</w:t>
      </w:r>
    </w:p>
    <w:p w14:paraId="2670B037">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合同进度计划应按照关键线路网络图和主要工作横道图两种形式分别编绘，并应包括每月预计完成的工作量和形象进度。</w:t>
      </w:r>
    </w:p>
    <w:p w14:paraId="66C16ED9">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202" w:name="_Toc22600"/>
      <w:bookmarkStart w:id="1203" w:name="_Toc234833159"/>
      <w:bookmarkStart w:id="1204" w:name="_Toc16914"/>
      <w:bookmarkStart w:id="1205" w:name="_Toc24615"/>
      <w:r>
        <w:rPr>
          <w:rFonts w:hint="default" w:ascii="Times New Roman" w:hAnsi="Times New Roman" w:eastAsia="黑体" w:cs="Times New Roman"/>
          <w:b w:val="0"/>
          <w:color w:val="auto"/>
          <w:sz w:val="24"/>
          <w:szCs w:val="24"/>
          <w:highlight w:val="none"/>
        </w:rPr>
        <w:t>10.2合同进度计划的修订</w:t>
      </w:r>
      <w:bookmarkEnd w:id="1202"/>
      <w:bookmarkEnd w:id="1203"/>
      <w:bookmarkEnd w:id="1204"/>
      <w:bookmarkEnd w:id="1205"/>
    </w:p>
    <w:p w14:paraId="75B27F34">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本款补充：</w:t>
      </w:r>
    </w:p>
    <w:p w14:paraId="6141AB3E">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承包人提交合同进度计划修订申请报告，并附有关措施和相关资料的期限：实际进度发生滞后的当月25日前。</w:t>
      </w:r>
    </w:p>
    <w:p w14:paraId="51FE9009">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监理人批复修订合同进度计划的期限：收到修订合同进度计划后14天内。</w:t>
      </w:r>
    </w:p>
    <w:p w14:paraId="59D66B19">
      <w:pPr>
        <w:pageBreakBefore w:val="0"/>
        <w:kinsoku/>
        <w:wordWrap w:val="0"/>
        <w:bidi w:val="0"/>
        <w:spacing w:before="240" w:beforeLines="100" w:line="400" w:lineRule="atLeast"/>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本条补充第10.3款、第10.4款：</w:t>
      </w:r>
    </w:p>
    <w:p w14:paraId="3FE42D6B">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206" w:name="_Toc234833160"/>
      <w:bookmarkStart w:id="1207" w:name="_Toc638"/>
      <w:bookmarkStart w:id="1208" w:name="_Toc12343"/>
      <w:bookmarkStart w:id="1209" w:name="_Toc5845"/>
      <w:r>
        <w:rPr>
          <w:rFonts w:hint="default" w:ascii="Times New Roman" w:hAnsi="Times New Roman" w:eastAsia="黑体" w:cs="Times New Roman"/>
          <w:b w:val="0"/>
          <w:color w:val="auto"/>
          <w:sz w:val="24"/>
          <w:szCs w:val="24"/>
          <w:highlight w:val="none"/>
        </w:rPr>
        <w:t>10.3年度施工计划</w:t>
      </w:r>
      <w:bookmarkEnd w:id="1206"/>
      <w:bookmarkEnd w:id="1207"/>
      <w:bookmarkEnd w:id="1208"/>
      <w:bookmarkEnd w:id="1209"/>
    </w:p>
    <w:p w14:paraId="775610B0">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在每年11月底前，根据已同意的合同进度计划或其修订的计划，向监理人提交2份格式和内容符合监理人合理规定的下一年度的施工计划，以供审查。该计划应包括本年度估计完成的和下一年度预计完成的分项工程数量和工作量，以及为实施此计划将采取的措施。</w:t>
      </w:r>
    </w:p>
    <w:p w14:paraId="6B305552">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210" w:name="_Toc234833161"/>
      <w:bookmarkStart w:id="1211" w:name="_Toc3557"/>
      <w:bookmarkStart w:id="1212" w:name="_Toc26059"/>
      <w:bookmarkStart w:id="1213" w:name="_Toc28266"/>
      <w:r>
        <w:rPr>
          <w:rFonts w:hint="default" w:ascii="Times New Roman" w:hAnsi="Times New Roman" w:eastAsia="黑体" w:cs="Times New Roman"/>
          <w:b w:val="0"/>
          <w:color w:val="auto"/>
          <w:sz w:val="24"/>
          <w:szCs w:val="24"/>
          <w:highlight w:val="none"/>
        </w:rPr>
        <w:t>10.4合同用款计划</w:t>
      </w:r>
      <w:bookmarkEnd w:id="1210"/>
      <w:bookmarkEnd w:id="1211"/>
      <w:bookmarkEnd w:id="1212"/>
      <w:bookmarkEnd w:id="1213"/>
    </w:p>
    <w:p w14:paraId="765A8E9C">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在签订本合同协议书后28天之内，按招标文件中规定的格式，向监理人提交2份按合同规定承包人有权得到支付的详细的季度合同用款计划，以备监理人查阅。如果监理人提出要求，承包人还应按季度提交修订的合同用款计划。</w:t>
      </w:r>
    </w:p>
    <w:p w14:paraId="23AA14AE">
      <w:pPr>
        <w:pageBreakBefore w:val="0"/>
        <w:kinsoku/>
        <w:wordWrap w:val="0"/>
        <w:bidi w:val="0"/>
        <w:spacing w:before="480" w:after="240" w:line="380" w:lineRule="atLeast"/>
        <w:outlineLvl w:val="9"/>
        <w:rPr>
          <w:rFonts w:hint="default" w:ascii="Times New Roman" w:hAnsi="Times New Roman" w:eastAsia="黑体" w:cs="Times New Roman"/>
          <w:b w:val="0"/>
          <w:color w:val="auto"/>
          <w:sz w:val="28"/>
          <w:szCs w:val="28"/>
          <w:highlight w:val="none"/>
        </w:rPr>
      </w:pPr>
      <w:bookmarkStart w:id="1214" w:name="_Toc29145"/>
      <w:bookmarkStart w:id="1215" w:name="_Toc234833162"/>
      <w:bookmarkStart w:id="1216" w:name="_Toc24381"/>
      <w:bookmarkStart w:id="1217" w:name="_Toc16858"/>
      <w:r>
        <w:rPr>
          <w:rFonts w:hint="default" w:ascii="Times New Roman" w:hAnsi="Times New Roman" w:eastAsia="黑体" w:cs="Times New Roman"/>
          <w:b w:val="0"/>
          <w:color w:val="auto"/>
          <w:sz w:val="28"/>
          <w:szCs w:val="28"/>
          <w:highlight w:val="none"/>
        </w:rPr>
        <w:t>11.开工和交工</w:t>
      </w:r>
      <w:bookmarkEnd w:id="1214"/>
      <w:bookmarkEnd w:id="1215"/>
      <w:bookmarkEnd w:id="1216"/>
      <w:bookmarkEnd w:id="1217"/>
    </w:p>
    <w:p w14:paraId="0BD8E28A">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218" w:name="_Toc23342"/>
      <w:bookmarkStart w:id="1219" w:name="_Toc234833163"/>
      <w:bookmarkStart w:id="1220" w:name="_Toc21034"/>
      <w:bookmarkStart w:id="1221" w:name="_Toc211"/>
      <w:r>
        <w:rPr>
          <w:rFonts w:hint="default" w:ascii="Times New Roman" w:hAnsi="Times New Roman" w:eastAsia="黑体" w:cs="Times New Roman"/>
          <w:b w:val="0"/>
          <w:color w:val="auto"/>
          <w:sz w:val="24"/>
          <w:szCs w:val="24"/>
          <w:highlight w:val="none"/>
        </w:rPr>
        <w:t>11.1开工</w:t>
      </w:r>
      <w:bookmarkEnd w:id="1218"/>
      <w:bookmarkEnd w:id="1219"/>
      <w:bookmarkEnd w:id="1220"/>
      <w:bookmarkEnd w:id="1221"/>
    </w:p>
    <w:p w14:paraId="24741394">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第11.1.2项补充：</w:t>
      </w:r>
    </w:p>
    <w:p w14:paraId="4B04DEC4">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承包人应在分部工程开工前14天向监理人提交分部工程开工报审表，若承包人的开工准备、工作计划和质量控制方法是可接受的且已获得批准，则经监理人书面同意，分部工程才能开工。</w:t>
      </w:r>
    </w:p>
    <w:p w14:paraId="640F96D9">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222" w:name="_Toc4642"/>
      <w:bookmarkStart w:id="1223" w:name="_Toc8362"/>
      <w:bookmarkStart w:id="1224" w:name="_Toc2188"/>
      <w:bookmarkStart w:id="1225" w:name="_Toc234833164"/>
      <w:r>
        <w:rPr>
          <w:rFonts w:hint="default" w:ascii="Times New Roman" w:hAnsi="Times New Roman" w:eastAsia="黑体" w:cs="Times New Roman"/>
          <w:b w:val="0"/>
          <w:color w:val="auto"/>
          <w:sz w:val="24"/>
          <w:szCs w:val="24"/>
          <w:highlight w:val="none"/>
        </w:rPr>
        <w:t>11.3发包人的工期延误</w:t>
      </w:r>
      <w:bookmarkEnd w:id="1222"/>
      <w:bookmarkEnd w:id="1223"/>
      <w:bookmarkEnd w:id="1224"/>
      <w:bookmarkEnd w:id="1225"/>
    </w:p>
    <w:p w14:paraId="357DFCAC">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本款补充：</w:t>
      </w:r>
    </w:p>
    <w:p w14:paraId="17FED013">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即使由于上述原因造成工期延误，如果受影响的工程并非处在工程施工进度网络计划的关键线路上，则承包人无权要求延长总工期。</w:t>
      </w:r>
    </w:p>
    <w:p w14:paraId="68543CD8">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226" w:name="_Toc2448"/>
      <w:bookmarkStart w:id="1227" w:name="_Toc3372"/>
      <w:bookmarkStart w:id="1228" w:name="_Toc234833165"/>
      <w:bookmarkStart w:id="1229" w:name="_Toc26694"/>
      <w:r>
        <w:rPr>
          <w:rFonts w:hint="default" w:ascii="Times New Roman" w:hAnsi="Times New Roman" w:eastAsia="黑体" w:cs="Times New Roman"/>
          <w:b w:val="0"/>
          <w:color w:val="auto"/>
          <w:sz w:val="24"/>
          <w:szCs w:val="24"/>
          <w:highlight w:val="none"/>
        </w:rPr>
        <w:t>11.4异常恶劣的气候条件</w:t>
      </w:r>
      <w:bookmarkEnd w:id="1226"/>
      <w:bookmarkEnd w:id="1227"/>
      <w:bookmarkEnd w:id="1228"/>
      <w:bookmarkEnd w:id="1229"/>
    </w:p>
    <w:p w14:paraId="05B8C931">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本款补充：</w:t>
      </w:r>
    </w:p>
    <w:p w14:paraId="74E069C9">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异常气候是指项目所在地30年以上一遇的罕见气候现象（包括</w:t>
      </w:r>
      <w:r>
        <w:rPr>
          <w:rFonts w:hint="default" w:ascii="Times New Roman" w:hAnsi="Times New Roman" w:cs="Times New Roman"/>
          <w:color w:val="auto"/>
          <w:sz w:val="24"/>
          <w:highlight w:val="none"/>
          <w:u w:val="none"/>
        </w:rPr>
        <w:t>温度</w:t>
      </w:r>
      <w:r>
        <w:rPr>
          <w:rFonts w:hint="default" w:ascii="Times New Roman" w:hAnsi="Times New Roman" w:cs="Times New Roman"/>
          <w:color w:val="auto"/>
          <w:sz w:val="24"/>
          <w:highlight w:val="none"/>
        </w:rPr>
        <w:t>、降水、降雪、风等）。异常恶劣的气候条件在项目专用合同条款中作具体约定。</w:t>
      </w:r>
    </w:p>
    <w:p w14:paraId="6335B795">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230" w:name="_Toc19354"/>
      <w:bookmarkStart w:id="1231" w:name="_Toc13242"/>
      <w:bookmarkStart w:id="1232" w:name="_Toc234833166"/>
      <w:bookmarkStart w:id="1233" w:name="_Toc7083"/>
      <w:r>
        <w:rPr>
          <w:rFonts w:hint="default" w:ascii="Times New Roman" w:hAnsi="Times New Roman" w:eastAsia="黑体" w:cs="Times New Roman"/>
          <w:b w:val="0"/>
          <w:color w:val="auto"/>
          <w:sz w:val="24"/>
          <w:szCs w:val="24"/>
          <w:highlight w:val="none"/>
        </w:rPr>
        <w:t>11.5承包人的工期延误</w:t>
      </w:r>
      <w:bookmarkEnd w:id="1230"/>
      <w:bookmarkEnd w:id="1231"/>
      <w:bookmarkEnd w:id="1232"/>
      <w:bookmarkEnd w:id="1233"/>
    </w:p>
    <w:p w14:paraId="2A35329C">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本款细化为：</w:t>
      </w:r>
    </w:p>
    <w:p w14:paraId="2782B8C1">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承包人应严格执行监理人批准的合同进度计划，对工作量计划和形象进度计划分别控制。除第11.3款规定外，承包人的实际工程进度曲线应在合同进度管理曲线规定的安全区域之内。若承包人的实际工程进度曲线处在合同进度管理曲线规定的安全区域的下限之外时，则监理人有权认为本合同工程的进度过慢，并通知承包人应采取必要措施，以便加快工程进度，确保工程能在预定的工期内交工。承包人应采取措施加快进度，并承担加快进度所增加的费用。</w:t>
      </w:r>
    </w:p>
    <w:p w14:paraId="26018D6B">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如果承包人在接到监理人通知后的14天内，未能采取加快工程进度的措施，致使实际工程进度进一步滞后，或承包人虽采取了一些措施，仍无法按预计工期交工时，监理人应立即通知发包人。发包人在向承包人发出书面警告通知14天后，发包人可按第22.1款终止对承包人的雇用，也可将本合同工程中的一部分工作交由其他承包人或其他分包人完成。在不解除本合同规定的承包人责任和义务的同时，承包人应承担因此所增加的一切费用。</w:t>
      </w:r>
    </w:p>
    <w:p w14:paraId="699DF8D4">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由于承包人原因造成工期延误，承包人应支付逾期交工违约金。逾期交工违约金的计算方法在项目专用合同条款数据表中约定，时间自预定的交工日期起到交工验收证书中写明的实际交工日期止（扣除已批准的延长工期），按天计算。逾期交工违约金累计金额最高不超过项目专用合同条款数据表中写明的限额。发包人可以从应付或到期应付给承包人的任何款项中或采用其他方法扣除此违约金。</w:t>
      </w:r>
    </w:p>
    <w:p w14:paraId="24F3958C">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（4）承包人支付逾期交工违约金，不免除承包人完成工程及修补缺陷的义务。</w:t>
      </w:r>
    </w:p>
    <w:p w14:paraId="71714BBF">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如果在合同工程完工之前，已对合同工程内按时完工的单位工程签发了交工验收证书，则合同工程的逾期交工违约金，应按已签发交工验收证书的单位工程的价值占合同工程价值的比例予以减少，但本规定不应影响逾期交工违约金的规定限额。</w:t>
      </w:r>
    </w:p>
    <w:p w14:paraId="1FF24FC4">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234" w:name="_Toc234833167"/>
      <w:bookmarkStart w:id="1235" w:name="_Toc21733"/>
      <w:bookmarkStart w:id="1236" w:name="_Toc25459"/>
      <w:bookmarkStart w:id="1237" w:name="_Toc8201"/>
      <w:r>
        <w:rPr>
          <w:rFonts w:hint="default" w:ascii="Times New Roman" w:hAnsi="Times New Roman" w:eastAsia="黑体" w:cs="Times New Roman"/>
          <w:b w:val="0"/>
          <w:color w:val="auto"/>
          <w:sz w:val="24"/>
          <w:szCs w:val="24"/>
          <w:highlight w:val="none"/>
        </w:rPr>
        <w:t>11.6工期提前</w:t>
      </w:r>
      <w:bookmarkEnd w:id="1234"/>
      <w:bookmarkEnd w:id="1235"/>
      <w:bookmarkEnd w:id="1236"/>
      <w:bookmarkEnd w:id="1237"/>
    </w:p>
    <w:p w14:paraId="25508CAF">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本款补充：</w:t>
      </w:r>
    </w:p>
    <w:p w14:paraId="6CF64410">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发包人不得随意要求承包人提前交工，承包人也不得随意提出提前交工的建议。如遇特殊情况，确需将工期提前的，发包人和承包人必须采取有效措施，确保工程质量。</w:t>
      </w:r>
    </w:p>
    <w:p w14:paraId="239B0080">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如果承包人提前交工，发包人支付奖金的计算方法在项目专用合同条款数据表中约定，时间自交工验收证书中写明的实际交工日期起至预定的交工日期止，按天计算。但奖金最高限额不超过项目专用合同条款数据表中写明的限额。</w:t>
      </w:r>
    </w:p>
    <w:p w14:paraId="27D36FA1">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p>
    <w:p w14:paraId="32DBD09E">
      <w:pPr>
        <w:pageBreakBefore w:val="0"/>
        <w:kinsoku/>
        <w:wordWrap w:val="0"/>
        <w:bidi w:val="0"/>
        <w:spacing w:line="400" w:lineRule="atLeast"/>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本条补充第11.7款：</w:t>
      </w:r>
    </w:p>
    <w:p w14:paraId="645215B1">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238" w:name="_Toc11965"/>
      <w:bookmarkStart w:id="1239" w:name="_Toc234833168"/>
      <w:bookmarkStart w:id="1240" w:name="_Toc14155"/>
      <w:bookmarkStart w:id="1241" w:name="_Toc29501"/>
      <w:r>
        <w:rPr>
          <w:rFonts w:hint="default" w:ascii="Times New Roman" w:hAnsi="Times New Roman" w:eastAsia="黑体" w:cs="Times New Roman"/>
          <w:b w:val="0"/>
          <w:color w:val="auto"/>
          <w:sz w:val="24"/>
          <w:szCs w:val="24"/>
          <w:highlight w:val="none"/>
        </w:rPr>
        <w:t>11.7工作时间的限制</w:t>
      </w:r>
      <w:bookmarkEnd w:id="1238"/>
      <w:bookmarkEnd w:id="1239"/>
      <w:bookmarkEnd w:id="1240"/>
      <w:bookmarkEnd w:id="1241"/>
    </w:p>
    <w:p w14:paraId="20F531C2">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承包人在夜间或国家规定的节假日进行永久工程的施工，应向监理人报告，以便监理人履行监理职责和义务。</w:t>
      </w:r>
    </w:p>
    <w:p w14:paraId="134DA785">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但是，为了抢救生命或保护财产，或为了工程的安全、质量而不可避免地短暂作业，则不必事先向监理人报告。但承包人应在事后立即向监理人报告。</w:t>
      </w:r>
    </w:p>
    <w:p w14:paraId="45FDCEC9">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本款规定不适用于习惯上或施工本身要求实行连续生产的作业。</w:t>
      </w:r>
    </w:p>
    <w:p w14:paraId="1B719D01">
      <w:pPr>
        <w:pageBreakBefore w:val="0"/>
        <w:kinsoku/>
        <w:wordWrap w:val="0"/>
        <w:bidi w:val="0"/>
        <w:spacing w:before="480" w:after="240" w:line="380" w:lineRule="atLeast"/>
        <w:outlineLvl w:val="9"/>
        <w:rPr>
          <w:rFonts w:hint="default" w:ascii="Times New Roman" w:hAnsi="Times New Roman" w:eastAsia="黑体" w:cs="Times New Roman"/>
          <w:b w:val="0"/>
          <w:color w:val="auto"/>
          <w:sz w:val="28"/>
          <w:szCs w:val="28"/>
          <w:highlight w:val="none"/>
        </w:rPr>
      </w:pPr>
      <w:bookmarkStart w:id="1242" w:name="_Toc10404"/>
      <w:bookmarkStart w:id="1243" w:name="_Toc10095"/>
      <w:bookmarkStart w:id="1244" w:name="_Toc21568"/>
      <w:bookmarkStart w:id="1245" w:name="_Toc234833169"/>
      <w:r>
        <w:rPr>
          <w:rFonts w:hint="default" w:ascii="Times New Roman" w:hAnsi="Times New Roman" w:eastAsia="黑体" w:cs="Times New Roman"/>
          <w:b w:val="0"/>
          <w:color w:val="auto"/>
          <w:sz w:val="28"/>
          <w:szCs w:val="28"/>
          <w:highlight w:val="none"/>
        </w:rPr>
        <w:t>12.暂停施工</w:t>
      </w:r>
      <w:bookmarkEnd w:id="1242"/>
      <w:bookmarkEnd w:id="1243"/>
      <w:bookmarkEnd w:id="1244"/>
      <w:bookmarkEnd w:id="1245"/>
    </w:p>
    <w:p w14:paraId="1BC68486">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246" w:name="_Toc686"/>
      <w:bookmarkStart w:id="1247" w:name="_Toc19976"/>
      <w:bookmarkStart w:id="1248" w:name="_Toc24281"/>
      <w:bookmarkStart w:id="1249" w:name="_Toc234833170"/>
      <w:r>
        <w:rPr>
          <w:rFonts w:hint="default" w:ascii="Times New Roman" w:hAnsi="Times New Roman" w:eastAsia="黑体" w:cs="Times New Roman"/>
          <w:b w:val="0"/>
          <w:color w:val="auto"/>
          <w:sz w:val="24"/>
          <w:szCs w:val="24"/>
          <w:highlight w:val="none"/>
        </w:rPr>
        <w:t>12.1承包人暂停施工的责任</w:t>
      </w:r>
      <w:bookmarkEnd w:id="1246"/>
      <w:bookmarkEnd w:id="1247"/>
      <w:bookmarkEnd w:id="1248"/>
      <w:bookmarkEnd w:id="1249"/>
    </w:p>
    <w:p w14:paraId="7D75BE47">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本款第（5）项细化为：</w:t>
      </w:r>
    </w:p>
    <w:p w14:paraId="1E52C799">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（5）现场气候条件导致的必要停工（第11.4款约定的异常恶劣的气候条件除外）；</w:t>
      </w:r>
    </w:p>
    <w:p w14:paraId="17ADF63D">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（6）项目专用合同条款可能约定的由承包人承担的其他暂停施工。</w:t>
      </w:r>
    </w:p>
    <w:p w14:paraId="3F71929D">
      <w:pPr>
        <w:pageBreakBefore w:val="0"/>
        <w:kinsoku/>
        <w:wordWrap w:val="0"/>
        <w:bidi w:val="0"/>
        <w:spacing w:before="480" w:after="240" w:line="380" w:lineRule="atLeast"/>
        <w:outlineLvl w:val="9"/>
        <w:rPr>
          <w:rFonts w:hint="default" w:ascii="Times New Roman" w:hAnsi="Times New Roman" w:eastAsia="黑体" w:cs="Times New Roman"/>
          <w:b w:val="0"/>
          <w:color w:val="auto"/>
          <w:sz w:val="28"/>
          <w:szCs w:val="28"/>
          <w:highlight w:val="none"/>
        </w:rPr>
      </w:pPr>
      <w:bookmarkStart w:id="1250" w:name="_Toc22379"/>
      <w:bookmarkStart w:id="1251" w:name="_Toc234833171"/>
      <w:bookmarkStart w:id="1252" w:name="_Toc12288"/>
      <w:bookmarkStart w:id="1253" w:name="_Toc139"/>
      <w:r>
        <w:rPr>
          <w:rFonts w:hint="default" w:ascii="Times New Roman" w:hAnsi="Times New Roman" w:eastAsia="黑体" w:cs="Times New Roman"/>
          <w:b w:val="0"/>
          <w:color w:val="auto"/>
          <w:sz w:val="28"/>
          <w:szCs w:val="28"/>
          <w:highlight w:val="none"/>
        </w:rPr>
        <w:t>13.工程质量</w:t>
      </w:r>
      <w:bookmarkEnd w:id="1250"/>
      <w:bookmarkEnd w:id="1251"/>
      <w:bookmarkEnd w:id="1252"/>
      <w:bookmarkEnd w:id="1253"/>
    </w:p>
    <w:p w14:paraId="58A37A1A">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254" w:name="_Toc30210"/>
      <w:bookmarkStart w:id="1255" w:name="_Toc25773"/>
      <w:bookmarkStart w:id="1256" w:name="_Toc14295"/>
      <w:bookmarkStart w:id="1257" w:name="_Toc234833172"/>
      <w:r>
        <w:rPr>
          <w:rFonts w:hint="default" w:ascii="Times New Roman" w:hAnsi="Times New Roman" w:eastAsia="黑体" w:cs="Times New Roman"/>
          <w:b w:val="0"/>
          <w:color w:val="auto"/>
          <w:sz w:val="24"/>
          <w:szCs w:val="24"/>
          <w:highlight w:val="none"/>
        </w:rPr>
        <w:t>13.1工程质量要求</w:t>
      </w:r>
      <w:bookmarkEnd w:id="1254"/>
      <w:bookmarkEnd w:id="1255"/>
      <w:bookmarkEnd w:id="1256"/>
      <w:bookmarkEnd w:id="1257"/>
    </w:p>
    <w:p w14:paraId="245806F1">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第13.1.1项约定为：</w:t>
      </w:r>
    </w:p>
    <w:p w14:paraId="5F827E21">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工程质量验收按技术规范及《公路工程质量检验评定标准》执行。</w:t>
      </w:r>
    </w:p>
    <w:p w14:paraId="6FEEC609">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本款补充第13.1.4项、第13.1.5项：</w:t>
      </w:r>
    </w:p>
    <w:p w14:paraId="0C5859B1">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13.1.4发包人和承包人应严格遵守《关于严格落实公路工程质量责任制的若干意见》的相关规定，认真执行工程质量责任登记制度并</w:t>
      </w:r>
      <w:r>
        <w:rPr>
          <w:rFonts w:hint="default" w:ascii="Times New Roman" w:hAnsi="Times New Roman" w:cs="Times New Roman"/>
          <w:color w:val="auto"/>
          <w:kern w:val="0"/>
          <w:sz w:val="24"/>
          <w:highlight w:val="none"/>
        </w:rPr>
        <w:t>按要求填写工程质量责任登记表</w:t>
      </w:r>
      <w:r>
        <w:rPr>
          <w:rFonts w:hint="default" w:ascii="Times New Roman" w:hAnsi="Times New Roman" w:cs="Times New Roman"/>
          <w:color w:val="auto"/>
          <w:sz w:val="24"/>
          <w:highlight w:val="none"/>
        </w:rPr>
        <w:t>。</w:t>
      </w:r>
    </w:p>
    <w:p w14:paraId="4C447C0A">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13.1.5本项目严格执行质量责任追究制度。质量事故处理实行</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四不放过</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原则：事故原因调查不清不放过；事故责任者没有受到教育不放过；没有防范措施不放过；相关责任人没受到处理不放过。</w:t>
      </w:r>
    </w:p>
    <w:p w14:paraId="0FB275FD">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258" w:name="_Toc234833173"/>
      <w:bookmarkStart w:id="1259" w:name="_Toc8253"/>
      <w:bookmarkStart w:id="1260" w:name="_Toc19759"/>
      <w:bookmarkStart w:id="1261" w:name="_Toc1003"/>
      <w:r>
        <w:rPr>
          <w:rFonts w:hint="default" w:ascii="Times New Roman" w:hAnsi="Times New Roman" w:eastAsia="黑体" w:cs="Times New Roman"/>
          <w:b w:val="0"/>
          <w:color w:val="auto"/>
          <w:sz w:val="24"/>
          <w:szCs w:val="24"/>
          <w:highlight w:val="none"/>
        </w:rPr>
        <w:t>13.2承包人的质量管理</w:t>
      </w:r>
      <w:bookmarkEnd w:id="1258"/>
      <w:bookmarkEnd w:id="1259"/>
      <w:bookmarkEnd w:id="1260"/>
      <w:bookmarkEnd w:id="1261"/>
    </w:p>
    <w:p w14:paraId="4C376041">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第13.2.1项补充：</w:t>
      </w:r>
    </w:p>
    <w:p w14:paraId="4A72C593">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承包人提交工程质量保证措施文件的期限：签订合同协议书后28天之内。</w:t>
      </w:r>
    </w:p>
    <w:p w14:paraId="41F44D67">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本款补充第13.2.3项~第13.2.10项：</w:t>
      </w:r>
    </w:p>
    <w:p w14:paraId="004BA857">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13.2.3公路工程施行质量责任终身制。承包人应当书面明确相应的项目负责人和质量负责人。承包人的相关人员按照国家法律法规和有关规定在工程合理使用年限内承担相应的质量责任。</w:t>
      </w:r>
    </w:p>
    <w:p w14:paraId="69ADF653">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13.2.4承包人应当建立健全工程质量保证体系，制定质量管理制度，强化工程质量管理措施，完善工程质量目标保障机制；严格遵守国家有关法律、法规和规章，严格执行公路工程强制性技术标准、各类技术规范及规程，全面履行工程合同义务。</w:t>
      </w:r>
    </w:p>
    <w:p w14:paraId="3F222EE0">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13.2.5承包人对工程施工质量负责，应当按合同约定设立现场质量管理机构、配备工程技术人员和质量管理人员，落实工程施工质量责任制。</w:t>
      </w:r>
    </w:p>
    <w:p w14:paraId="27EEC9ED">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13.2.6承包人应当严格按照工程设计图纸、施工技术标准和合同约定施工，对原材料、混合料、构配件、工程实体、机电设备等进行检验；按规定施行班组自检、工序交接检、专职质检员检验的质量控制程序；对分项工程、分部工程和单位工程进行质量自评。检验或者自评不合格的，不得进入下道工序或者投入使用。</w:t>
      </w:r>
    </w:p>
    <w:p w14:paraId="7C2F70F8">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13.2.7承包人应当加强施工过程质量控制，并形成完整、可追溯的施工质量管理资料，主体工程的隐蔽部位施工还应当保留影像资料。对施工中出现的质量问题或者验收不合格的工程，应当负责返工处理；对在保修范围和保修期限内发生质量问题的工程，应当履行保修义务。</w:t>
      </w:r>
    </w:p>
    <w:p w14:paraId="5EDA0C38">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13.2.8承包人应当按照合同约定设立工地临时试验室，配齐检测和试验仪器、仪表，及时校正确保其精度；严格按照工程技术标准、检测规范和规程，在核定的试验检测参数范围内开展试验检测活动，并确保规范规定的检验、抽检频率。承包人应当对其设立的工地临时试验室所出具的试验检测数据和报告的真实性、客观性、准确性负责。</w:t>
      </w:r>
    </w:p>
    <w:p w14:paraId="6C20504F">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13.2.9承包人应当依法规范分包行为，并对承担的工程质量负总责，分包单位对分包合同范围内的工程质量负责。</w:t>
      </w:r>
    </w:p>
    <w:p w14:paraId="3C750288">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13.2.10承包人驻工程现场机构应在现场驻地和重要的分部、分项工程施工现场设置明显的工程质量责任登记表公示牌。</w:t>
      </w:r>
    </w:p>
    <w:p w14:paraId="21D6BE67">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262" w:name="_Toc20957"/>
      <w:bookmarkStart w:id="1263" w:name="_Toc21708"/>
      <w:bookmarkStart w:id="1264" w:name="_Toc17725"/>
      <w:bookmarkStart w:id="1265" w:name="_Toc234833174"/>
      <w:r>
        <w:rPr>
          <w:rFonts w:hint="default" w:ascii="Times New Roman" w:hAnsi="Times New Roman" w:eastAsia="黑体" w:cs="Times New Roman"/>
          <w:b w:val="0"/>
          <w:color w:val="auto"/>
          <w:sz w:val="24"/>
          <w:szCs w:val="24"/>
          <w:highlight w:val="none"/>
        </w:rPr>
        <w:t>13.4监理人的质量检查</w:t>
      </w:r>
      <w:bookmarkEnd w:id="1262"/>
      <w:bookmarkEnd w:id="1263"/>
      <w:bookmarkEnd w:id="1264"/>
      <w:bookmarkEnd w:id="1265"/>
    </w:p>
    <w:p w14:paraId="00979A0C">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本款补充：</w:t>
      </w:r>
    </w:p>
    <w:p w14:paraId="712A8808">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监理人及其委派的检验人员，应能进入工程现场，以及材料或工程设备的制造、加工或制配的车间和场所，包括不属于承包人的车间或场所进行检查，承包人应为此提供便利和协助。</w:t>
      </w:r>
    </w:p>
    <w:p w14:paraId="6A6A5651">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监理人可以将材料或工程设备的检查和检验委托给一家独立的有质量检验认证资格的检验单位。该独立检验单位的检验结果应视为监理人完成的。监理人应将这种委托的通知书不少于7天前交给承包人。</w:t>
      </w:r>
    </w:p>
    <w:p w14:paraId="7B3DF199">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266" w:name="_Toc24829"/>
      <w:bookmarkStart w:id="1267" w:name="_Toc25352"/>
      <w:bookmarkStart w:id="1268" w:name="_Toc234833175"/>
      <w:bookmarkStart w:id="1269" w:name="_Toc31604"/>
      <w:r>
        <w:rPr>
          <w:rFonts w:hint="default" w:ascii="Times New Roman" w:hAnsi="Times New Roman" w:eastAsia="黑体" w:cs="Times New Roman"/>
          <w:b w:val="0"/>
          <w:color w:val="auto"/>
          <w:sz w:val="24"/>
          <w:szCs w:val="24"/>
          <w:highlight w:val="none"/>
        </w:rPr>
        <w:t>13.5工程隐蔽部位覆盖前的检查</w:t>
      </w:r>
      <w:bookmarkEnd w:id="1266"/>
      <w:bookmarkEnd w:id="1267"/>
      <w:bookmarkEnd w:id="1268"/>
      <w:bookmarkEnd w:id="1269"/>
    </w:p>
    <w:p w14:paraId="21919F3C">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第13.5.1项补充：</w:t>
      </w:r>
    </w:p>
    <w:p w14:paraId="34EAE7E5">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当监理人有指令时，承包人应对重要隐蔽工程进行拍摄或照相并应保证监理人有充分的机会对将要覆盖或掩蔽的工程进行检查和量测，特别是在基础以上的任一部分工程修筑之前，对该基础进行检查。</w:t>
      </w:r>
    </w:p>
    <w:p w14:paraId="0F364DCD">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270" w:name="_Toc1659"/>
      <w:bookmarkStart w:id="1271" w:name="_Toc19441"/>
      <w:bookmarkStart w:id="1272" w:name="_Toc234833176"/>
      <w:bookmarkStart w:id="1273" w:name="_Toc20396"/>
      <w:r>
        <w:rPr>
          <w:rFonts w:hint="default" w:ascii="Times New Roman" w:hAnsi="Times New Roman" w:eastAsia="黑体" w:cs="Times New Roman"/>
          <w:b w:val="0"/>
          <w:color w:val="auto"/>
          <w:sz w:val="24"/>
          <w:szCs w:val="24"/>
          <w:highlight w:val="none"/>
        </w:rPr>
        <w:t>13.6清除不合格工程</w:t>
      </w:r>
      <w:bookmarkEnd w:id="1270"/>
      <w:bookmarkEnd w:id="1271"/>
      <w:bookmarkEnd w:id="1272"/>
      <w:bookmarkEnd w:id="1273"/>
    </w:p>
    <w:p w14:paraId="57B2608C">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第13.6.1项细化为：</w:t>
      </w:r>
    </w:p>
    <w:p w14:paraId="0B37B8CE">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承包人使用不合格材料、工程设备，或采用不适当的施工工艺，或施工不当，造成工程不合格的，监理人可以随时发出指示，要求承包人立即采取措施进行替换、补救或拆除重建，直至达到合同要求的质量标准，由此增加的费用和（或）工期延误由承包人承担。</w:t>
      </w:r>
    </w:p>
    <w:p w14:paraId="1E344EA6">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（2）如果承包人未在规定时间内执行监理人的指示，发包人有权雇用他人执行，由此增加的费用和（或）工期延误由承包人承担。</w:t>
      </w:r>
    </w:p>
    <w:p w14:paraId="4ADAD16D">
      <w:pPr>
        <w:pageBreakBefore w:val="0"/>
        <w:kinsoku/>
        <w:wordWrap w:val="0"/>
        <w:bidi w:val="0"/>
        <w:spacing w:before="480" w:after="240" w:line="380" w:lineRule="atLeast"/>
        <w:outlineLvl w:val="9"/>
        <w:rPr>
          <w:rFonts w:hint="default" w:ascii="Times New Roman" w:hAnsi="Times New Roman" w:eastAsia="黑体" w:cs="Times New Roman"/>
          <w:b w:val="0"/>
          <w:color w:val="auto"/>
          <w:sz w:val="28"/>
          <w:szCs w:val="28"/>
          <w:highlight w:val="none"/>
        </w:rPr>
      </w:pPr>
      <w:bookmarkStart w:id="1274" w:name="_Toc26653"/>
      <w:bookmarkStart w:id="1275" w:name="_Toc17523"/>
      <w:bookmarkStart w:id="1276" w:name="_Toc12972"/>
      <w:bookmarkStart w:id="1277" w:name="_Toc234833177"/>
      <w:r>
        <w:rPr>
          <w:rFonts w:hint="default" w:ascii="Times New Roman" w:hAnsi="Times New Roman" w:eastAsia="黑体" w:cs="Times New Roman"/>
          <w:b w:val="0"/>
          <w:color w:val="auto"/>
          <w:sz w:val="28"/>
          <w:szCs w:val="28"/>
          <w:highlight w:val="none"/>
        </w:rPr>
        <w:t>14.试验和检验</w:t>
      </w:r>
      <w:bookmarkEnd w:id="1274"/>
      <w:bookmarkEnd w:id="1275"/>
      <w:bookmarkEnd w:id="1276"/>
      <w:bookmarkEnd w:id="1277"/>
    </w:p>
    <w:p w14:paraId="65A61D0C">
      <w:pPr>
        <w:pageBreakBefore w:val="0"/>
        <w:kinsoku/>
        <w:wordWrap w:val="0"/>
        <w:bidi w:val="0"/>
        <w:spacing w:line="400" w:lineRule="atLeast"/>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本条补充第14.4款：</w:t>
      </w:r>
    </w:p>
    <w:p w14:paraId="114365F9">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278" w:name="_Toc8486"/>
      <w:bookmarkStart w:id="1279" w:name="_Toc18957"/>
      <w:bookmarkStart w:id="1280" w:name="_Toc234833178"/>
      <w:bookmarkStart w:id="1281" w:name="_Toc9837"/>
      <w:r>
        <w:rPr>
          <w:rFonts w:hint="default" w:ascii="Times New Roman" w:hAnsi="Times New Roman" w:eastAsia="黑体" w:cs="Times New Roman"/>
          <w:b w:val="0"/>
          <w:color w:val="auto"/>
          <w:sz w:val="24"/>
          <w:szCs w:val="24"/>
          <w:highlight w:val="none"/>
        </w:rPr>
        <w:t>14.4试验和检验费用</w:t>
      </w:r>
      <w:bookmarkEnd w:id="1278"/>
      <w:bookmarkEnd w:id="1279"/>
      <w:bookmarkEnd w:id="1280"/>
      <w:bookmarkEnd w:id="1281"/>
    </w:p>
    <w:p w14:paraId="1F64B831">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（1）承包人应负责提供合同和技术规范规定的试验和检验所需的全部样品，并承担其费用。</w:t>
      </w:r>
    </w:p>
    <w:p w14:paraId="78BBDE8B">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（2）在合同中明确规定的试验和检验，包括无须在工程量清单中单独列项和已在工程量清单中单独列项的试验和检验，其试验和检验的费用由承包人承担。</w:t>
      </w:r>
    </w:p>
    <w:p w14:paraId="2FC63F8B">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如果监理人所要求做的试验和检验为合同未规定的或是在该材料或工程设备的制造、加工、制配场地以外的场所进行的，则检验结束后，如表明操作工艺或材料、工程设备未能符合合同规定，其费用应由承包人承担，否则，其费用应由发包人承担。</w:t>
      </w:r>
    </w:p>
    <w:p w14:paraId="608D6137">
      <w:pPr>
        <w:pageBreakBefore w:val="0"/>
        <w:kinsoku/>
        <w:wordWrap w:val="0"/>
        <w:bidi w:val="0"/>
        <w:spacing w:before="480" w:after="240" w:line="380" w:lineRule="atLeast"/>
        <w:outlineLvl w:val="9"/>
        <w:rPr>
          <w:rFonts w:hint="default" w:ascii="Times New Roman" w:hAnsi="Times New Roman" w:eastAsia="黑体" w:cs="Times New Roman"/>
          <w:b w:val="0"/>
          <w:color w:val="auto"/>
          <w:sz w:val="28"/>
          <w:szCs w:val="28"/>
          <w:highlight w:val="none"/>
        </w:rPr>
      </w:pPr>
      <w:bookmarkStart w:id="1282" w:name="_Toc24940"/>
      <w:bookmarkStart w:id="1283" w:name="_Toc9387"/>
      <w:bookmarkStart w:id="1284" w:name="_Toc8627"/>
      <w:bookmarkStart w:id="1285" w:name="_Toc234833179"/>
      <w:r>
        <w:rPr>
          <w:rFonts w:hint="default" w:ascii="Times New Roman" w:hAnsi="Times New Roman" w:eastAsia="黑体" w:cs="Times New Roman"/>
          <w:b w:val="0"/>
          <w:color w:val="auto"/>
          <w:sz w:val="28"/>
          <w:szCs w:val="28"/>
          <w:highlight w:val="none"/>
        </w:rPr>
        <w:t>15.变更</w:t>
      </w:r>
      <w:bookmarkEnd w:id="1282"/>
      <w:bookmarkEnd w:id="1283"/>
      <w:bookmarkEnd w:id="1284"/>
      <w:bookmarkEnd w:id="1285"/>
    </w:p>
    <w:p w14:paraId="22152B80">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286" w:name="_Toc234833180"/>
      <w:bookmarkStart w:id="1287" w:name="_Toc25196"/>
      <w:bookmarkStart w:id="1288" w:name="_Toc5311"/>
      <w:bookmarkStart w:id="1289" w:name="_Toc11885"/>
      <w:r>
        <w:rPr>
          <w:rFonts w:hint="default" w:ascii="Times New Roman" w:hAnsi="Times New Roman" w:eastAsia="黑体" w:cs="Times New Roman"/>
          <w:b w:val="0"/>
          <w:color w:val="auto"/>
          <w:sz w:val="24"/>
          <w:szCs w:val="24"/>
          <w:highlight w:val="none"/>
        </w:rPr>
        <w:t>15.1变更的范围和内容</w:t>
      </w:r>
      <w:bookmarkEnd w:id="1286"/>
      <w:bookmarkEnd w:id="1287"/>
      <w:bookmarkEnd w:id="1288"/>
      <w:bookmarkEnd w:id="1289"/>
    </w:p>
    <w:p w14:paraId="5D5FC4B1">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本款第（1）项细化为：</w:t>
      </w:r>
    </w:p>
    <w:p w14:paraId="0B917728">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（1）取消合同中任何一项工作，但被取消的工作不能转由发包人或其他人实施，由于承包人违约造成的情况除外；</w:t>
      </w:r>
    </w:p>
    <w:p w14:paraId="52C499E1">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290" w:name="_Toc234833181"/>
      <w:bookmarkStart w:id="1291" w:name="_Toc15909"/>
      <w:bookmarkStart w:id="1292" w:name="_Toc11045"/>
      <w:bookmarkStart w:id="1293" w:name="_Toc26890"/>
      <w:r>
        <w:rPr>
          <w:rFonts w:hint="default" w:ascii="Times New Roman" w:hAnsi="Times New Roman" w:eastAsia="黑体" w:cs="Times New Roman"/>
          <w:b w:val="0"/>
          <w:color w:val="auto"/>
          <w:sz w:val="24"/>
          <w:szCs w:val="24"/>
          <w:highlight w:val="none"/>
        </w:rPr>
        <w:t>15.3变更程序</w:t>
      </w:r>
      <w:bookmarkEnd w:id="1290"/>
      <w:bookmarkEnd w:id="1291"/>
      <w:bookmarkEnd w:id="1292"/>
      <w:bookmarkEnd w:id="1293"/>
    </w:p>
    <w:p w14:paraId="2C702A44">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本款补充第15.3.4项：</w:t>
      </w:r>
    </w:p>
    <w:p w14:paraId="4B3D3AB7">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15.3.4设计变更程序应执行《公路工程设计变更管理办法》的相关规定。</w:t>
      </w:r>
    </w:p>
    <w:p w14:paraId="6585C5F4">
      <w:pPr>
        <w:pageBreakBefore w:val="0"/>
        <w:kinsoku/>
        <w:wordWrap w:val="0"/>
        <w:bidi w:val="0"/>
        <w:spacing w:before="240" w:after="240" w:line="380" w:lineRule="atLeast"/>
        <w:outlineLvl w:val="9"/>
        <w:rPr>
          <w:rFonts w:hint="eastAsia" w:ascii="Times New Roman" w:hAnsi="Times New Roman" w:eastAsia="黑体" w:cs="Times New Roman"/>
          <w:b w:val="0"/>
          <w:color w:val="auto"/>
          <w:sz w:val="24"/>
          <w:szCs w:val="24"/>
          <w:highlight w:val="none"/>
          <w:lang w:eastAsia="zh-CN"/>
        </w:rPr>
      </w:pPr>
      <w:bookmarkStart w:id="1294" w:name="_Toc16771"/>
      <w:bookmarkStart w:id="1295" w:name="_Toc10432"/>
      <w:bookmarkStart w:id="1296" w:name="_Toc234833182"/>
      <w:bookmarkStart w:id="1297" w:name="_Toc31295"/>
      <w:r>
        <w:rPr>
          <w:rFonts w:hint="default" w:ascii="Times New Roman" w:hAnsi="Times New Roman" w:eastAsia="黑体" w:cs="Times New Roman"/>
          <w:b w:val="0"/>
          <w:color w:val="auto"/>
          <w:sz w:val="24"/>
          <w:szCs w:val="24"/>
          <w:highlight w:val="none"/>
        </w:rPr>
        <w:t>15.4变更的估价原则</w:t>
      </w:r>
      <w:bookmarkEnd w:id="1294"/>
      <w:bookmarkEnd w:id="1295"/>
      <w:bookmarkEnd w:id="1296"/>
      <w:bookmarkEnd w:id="1297"/>
    </w:p>
    <w:p w14:paraId="71096129">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本款细化为：</w:t>
      </w:r>
    </w:p>
    <w:p w14:paraId="01ECAFE2">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除项目专用合同条款另有约定外，因变更引起的价格调整按照本款约定处理。</w:t>
      </w:r>
    </w:p>
    <w:p w14:paraId="0B557105">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15.4.1如果取消某项工作，则该项工作的总额价不予支付。</w:t>
      </w:r>
    </w:p>
    <w:p w14:paraId="0077BC46">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15.4.2已标价工程量清单中有适用于变更工作的子目的，采用该子目的单价。</w:t>
      </w:r>
    </w:p>
    <w:p w14:paraId="4047FB00">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15.4.3已标价工程量清单中无适用于变更工作的子目，但有类似子目的，可在合理范围内参照类似子目的单价，由监理人按第3.5款商定或确定变更工作的单价。</w:t>
      </w:r>
    </w:p>
    <w:p w14:paraId="0F5EC225">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15.4.4已标价工程量清单中无适用或类似子目的单价，可在综合考虑承包人在投标时所提供的单价分析表的基础上，由监理人按第3.5款商定或确定变更工作的单价。</w:t>
      </w:r>
    </w:p>
    <w:p w14:paraId="6080FA51">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15.4.5如果本工程的变更指示是因承包人过错、承包人违反合同或承包人责任造成的，则这种违约引起的任何额外费用应由承包人承担。</w:t>
      </w:r>
    </w:p>
    <w:p w14:paraId="60B2F076">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298" w:name="_Toc24348"/>
      <w:bookmarkStart w:id="1299" w:name="_Toc234833183"/>
      <w:bookmarkStart w:id="1300" w:name="_Toc11214"/>
      <w:bookmarkStart w:id="1301" w:name="_Toc31098"/>
      <w:r>
        <w:rPr>
          <w:rFonts w:hint="default" w:ascii="Times New Roman" w:hAnsi="Times New Roman" w:eastAsia="黑体" w:cs="Times New Roman"/>
          <w:b w:val="0"/>
          <w:color w:val="auto"/>
          <w:sz w:val="24"/>
          <w:szCs w:val="24"/>
          <w:highlight w:val="none"/>
        </w:rPr>
        <w:t>15.5承包人的合理化建议</w:t>
      </w:r>
      <w:bookmarkEnd w:id="1298"/>
      <w:bookmarkEnd w:id="1299"/>
      <w:bookmarkEnd w:id="1300"/>
      <w:bookmarkEnd w:id="1301"/>
    </w:p>
    <w:p w14:paraId="4E65F6AE">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第15.5.2项约定为：</w:t>
      </w:r>
    </w:p>
    <w:p w14:paraId="1208ED5E">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承包人提出的合理化建议缩短了工期，发包人按第11.6款的规定给予奖励。</w:t>
      </w:r>
    </w:p>
    <w:p w14:paraId="34FF87B1">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承包人提出的合理化建议降低了合同价格或者提高了工程经济效益的，发包人按项目专用合同条款数据表中规定的金额给予奖励。</w:t>
      </w:r>
    </w:p>
    <w:p w14:paraId="7F9AC1E0">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302" w:name="_Toc10877"/>
      <w:bookmarkStart w:id="1303" w:name="_Toc4473"/>
      <w:bookmarkStart w:id="1304" w:name="_Toc234833184"/>
      <w:bookmarkStart w:id="1305" w:name="_Toc18139"/>
      <w:r>
        <w:rPr>
          <w:rFonts w:hint="default" w:ascii="Times New Roman" w:hAnsi="Times New Roman" w:eastAsia="黑体" w:cs="Times New Roman"/>
          <w:b w:val="0"/>
          <w:color w:val="auto"/>
          <w:sz w:val="24"/>
          <w:szCs w:val="24"/>
          <w:highlight w:val="none"/>
        </w:rPr>
        <w:t>15.6暂列金额</w:t>
      </w:r>
      <w:bookmarkEnd w:id="1302"/>
      <w:bookmarkEnd w:id="1303"/>
      <w:bookmarkEnd w:id="1304"/>
      <w:bookmarkEnd w:id="1305"/>
    </w:p>
    <w:p w14:paraId="577280C0">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本款细化为：</w:t>
      </w:r>
    </w:p>
    <w:p w14:paraId="18596196">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15.6.1暂列金额应由监理人报发包人批准后指令全部或部分地使用，或者根本不予动用。</w:t>
      </w:r>
    </w:p>
    <w:p w14:paraId="770C1E21">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15.6.2对于经发包人批准的每一笔暂列金额，监理人有权向承包人发出实施工程或提供材料、工程设备或服务的指令。这些指令应由承包人完成，监理人应根据第15.4款约定的变更估价原则和第15.7款的规定，对合同价格进行相应调整。</w:t>
      </w:r>
    </w:p>
    <w:p w14:paraId="4EAF5FCF">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15.6.3当监理人提出要求时，承包人应提供有关暂列金额支出的所有报价单、发票、凭证和账单或收据，除非该工作是根据已标价工程量清单列明的单价或总额价进行的估价。</w:t>
      </w:r>
    </w:p>
    <w:p w14:paraId="6AE67B7B">
      <w:pPr>
        <w:pageBreakBefore w:val="0"/>
        <w:kinsoku/>
        <w:wordWrap w:val="0"/>
        <w:bidi w:val="0"/>
        <w:spacing w:before="480" w:after="240" w:line="380" w:lineRule="atLeast"/>
        <w:outlineLvl w:val="9"/>
        <w:rPr>
          <w:rFonts w:hint="default" w:ascii="Times New Roman" w:hAnsi="Times New Roman" w:eastAsia="黑体" w:cs="Times New Roman"/>
          <w:b w:val="0"/>
          <w:color w:val="auto"/>
          <w:sz w:val="28"/>
          <w:szCs w:val="28"/>
          <w:highlight w:val="none"/>
        </w:rPr>
      </w:pPr>
      <w:bookmarkStart w:id="1306" w:name="_Toc234833185"/>
      <w:bookmarkStart w:id="1307" w:name="_Toc6229"/>
      <w:bookmarkStart w:id="1308" w:name="_Toc25734"/>
      <w:bookmarkStart w:id="1309" w:name="_Toc3192"/>
      <w:r>
        <w:rPr>
          <w:rFonts w:hint="default" w:ascii="Times New Roman" w:hAnsi="Times New Roman" w:eastAsia="黑体" w:cs="Times New Roman"/>
          <w:b w:val="0"/>
          <w:color w:val="auto"/>
          <w:sz w:val="28"/>
          <w:szCs w:val="28"/>
          <w:highlight w:val="none"/>
        </w:rPr>
        <w:t>16.价格调整</w:t>
      </w:r>
      <w:bookmarkEnd w:id="1306"/>
      <w:bookmarkEnd w:id="1307"/>
      <w:bookmarkEnd w:id="1308"/>
      <w:bookmarkEnd w:id="1309"/>
    </w:p>
    <w:p w14:paraId="73572853">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310" w:name="_Toc234833186"/>
      <w:bookmarkStart w:id="1311" w:name="_Toc925"/>
      <w:bookmarkStart w:id="1312" w:name="_Toc11157"/>
      <w:bookmarkStart w:id="1313" w:name="_Toc11540"/>
      <w:r>
        <w:rPr>
          <w:rFonts w:hint="default" w:ascii="Times New Roman" w:hAnsi="Times New Roman" w:eastAsia="黑体" w:cs="Times New Roman"/>
          <w:b w:val="0"/>
          <w:color w:val="auto"/>
          <w:sz w:val="24"/>
          <w:szCs w:val="24"/>
          <w:highlight w:val="none"/>
        </w:rPr>
        <w:t>16.1物价波动引起的价格调整</w:t>
      </w:r>
      <w:bookmarkEnd w:id="1310"/>
      <w:bookmarkEnd w:id="1311"/>
      <w:bookmarkEnd w:id="1312"/>
      <w:bookmarkEnd w:id="1313"/>
    </w:p>
    <w:p w14:paraId="3E2575BF">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本款约定为：</w:t>
      </w:r>
    </w:p>
    <w:p w14:paraId="24718EE5">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（1）除项目专用合同条款另有约定外，因物价波动引起的价格调整应按项目专用合同条款数据表的规定，按照第16.1.1项或第16.1.2项约定的原则处理；或者</w:t>
      </w:r>
    </w:p>
    <w:p w14:paraId="3262E517">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（2）在合同执行期间（包括工期拖延期间）由于人工、材料和设备价格的上涨而引起工程施工成本增加的风险由承包人自行承担，合同价格不会因此而调整。</w:t>
      </w:r>
    </w:p>
    <w:p w14:paraId="23B5D0C0">
      <w:pPr>
        <w:pageBreakBefore w:val="0"/>
        <w:kinsoku/>
        <w:wordWrap w:val="0"/>
        <w:bidi w:val="0"/>
        <w:spacing w:line="400" w:lineRule="atLeast"/>
        <w:ind w:firstLine="470" w:firstLineChars="196"/>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16.1.1</w:t>
      </w:r>
      <w:r>
        <w:rPr>
          <w:rFonts w:hint="default" w:ascii="Times New Roman" w:hAnsi="Times New Roman" w:eastAsia="黑体" w:cs="Times New Roman"/>
          <w:color w:val="auto"/>
          <w:sz w:val="24"/>
          <w:highlight w:val="none"/>
        </w:rPr>
        <w:t>采用价格指数调整价格差额</w:t>
      </w:r>
    </w:p>
    <w:p w14:paraId="3DEE2752">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16.1.1.1价格调整公式</w:t>
      </w:r>
    </w:p>
    <w:p w14:paraId="66B19121">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价格调整公式后增加备注如下：</w:t>
      </w:r>
    </w:p>
    <w:p w14:paraId="082EB49A">
      <w:pPr>
        <w:pageBreakBefore w:val="0"/>
        <w:kinsoku/>
        <w:wordWrap w:val="0"/>
        <w:bidi w:val="0"/>
        <w:spacing w:line="400" w:lineRule="atLeast"/>
        <w:ind w:firstLine="746" w:firstLineChars="311"/>
        <w:rPr>
          <w:rFonts w:hint="default" w:ascii="Times New Roman" w:hAnsi="Times New Roman" w:cs="Times New Roman"/>
          <w:color w:val="auto"/>
          <w:sz w:val="24"/>
          <w:highlight w:val="none"/>
        </w:rPr>
      </w:pPr>
      <w:r>
        <w:rPr>
          <w:rFonts w:hint="default" w:ascii="Times New Roman" w:hAnsi="Times New Roman" w:cs="Times New Roman"/>
          <w:bCs/>
          <w:color w:val="auto"/>
          <w:sz w:val="24"/>
          <w:highlight w:val="none"/>
        </w:rPr>
        <w:t>式中，</w:t>
      </w:r>
      <w:r>
        <w:rPr>
          <w:rFonts w:hint="default" w:ascii="Times New Roman" w:hAnsi="Times New Roman" w:cs="Times New Roman"/>
          <w:b/>
          <w:bCs/>
          <w:color w:val="auto"/>
          <w:sz w:val="24"/>
          <w:highlight w:val="none"/>
        </w:rPr>
        <w:t>A=1－（B</w:t>
      </w:r>
      <w:r>
        <w:rPr>
          <w:rFonts w:hint="default" w:ascii="Times New Roman" w:hAnsi="Times New Roman" w:cs="Times New Roman"/>
          <w:b/>
          <w:bCs/>
          <w:color w:val="auto"/>
          <w:sz w:val="24"/>
          <w:highlight w:val="none"/>
          <w:vertAlign w:val="subscript"/>
        </w:rPr>
        <w:t>1</w:t>
      </w:r>
      <w:r>
        <w:rPr>
          <w:rFonts w:hint="default" w:ascii="Times New Roman" w:hAnsi="Times New Roman" w:cs="Times New Roman"/>
          <w:b/>
          <w:bCs/>
          <w:color w:val="auto"/>
          <w:sz w:val="24"/>
          <w:highlight w:val="none"/>
        </w:rPr>
        <w:t>＋B</w:t>
      </w:r>
      <w:r>
        <w:rPr>
          <w:rFonts w:hint="default" w:ascii="Times New Roman" w:hAnsi="Times New Roman" w:cs="Times New Roman"/>
          <w:b/>
          <w:bCs/>
          <w:color w:val="auto"/>
          <w:sz w:val="24"/>
          <w:highlight w:val="none"/>
          <w:vertAlign w:val="subscript"/>
        </w:rPr>
        <w:t>2</w:t>
      </w:r>
      <w:r>
        <w:rPr>
          <w:rFonts w:hint="default" w:ascii="Times New Roman" w:hAnsi="Times New Roman" w:cs="Times New Roman"/>
          <w:b/>
          <w:bCs/>
          <w:color w:val="auto"/>
          <w:sz w:val="24"/>
          <w:highlight w:val="none"/>
        </w:rPr>
        <w:t>＋B</w:t>
      </w:r>
      <w:r>
        <w:rPr>
          <w:rFonts w:hint="default" w:ascii="Times New Roman" w:hAnsi="Times New Roman" w:cs="Times New Roman"/>
          <w:b/>
          <w:bCs/>
          <w:color w:val="auto"/>
          <w:sz w:val="24"/>
          <w:highlight w:val="none"/>
          <w:vertAlign w:val="subscript"/>
        </w:rPr>
        <w:t>3</w:t>
      </w:r>
      <w:r>
        <w:rPr>
          <w:rFonts w:hint="default" w:ascii="Times New Roman" w:hAnsi="Times New Roman" w:cs="Times New Roman"/>
          <w:b/>
          <w:bCs/>
          <w:color w:val="auto"/>
          <w:sz w:val="24"/>
          <w:highlight w:val="none"/>
        </w:rPr>
        <w:t>＋</w:t>
      </w:r>
      <w:r>
        <w:rPr>
          <w:rFonts w:hint="default" w:ascii="Times New Roman" w:hAnsi="Times New Roman" w:cs="Times New Roman"/>
          <w:b/>
          <w:bCs/>
          <w:color w:val="auto"/>
          <w:sz w:val="24"/>
          <w:highlight w:val="none"/>
          <w:vertAlign w:val="subscript"/>
        </w:rPr>
        <w:t>……</w:t>
      </w:r>
      <w:r>
        <w:rPr>
          <w:rFonts w:hint="default" w:ascii="Times New Roman" w:hAnsi="Times New Roman" w:cs="Times New Roman"/>
          <w:b/>
          <w:bCs/>
          <w:color w:val="auto"/>
          <w:sz w:val="24"/>
          <w:highlight w:val="none"/>
        </w:rPr>
        <w:t>＋B</w:t>
      </w:r>
      <w:r>
        <w:rPr>
          <w:rFonts w:hint="default" w:ascii="Times New Roman" w:hAnsi="Times New Roman" w:cs="Times New Roman"/>
          <w:b/>
          <w:bCs/>
          <w:color w:val="auto"/>
          <w:sz w:val="24"/>
          <w:highlight w:val="none"/>
          <w:vertAlign w:val="subscript"/>
        </w:rPr>
        <w:t>n</w:t>
      </w:r>
      <w:r>
        <w:rPr>
          <w:rFonts w:hint="default" w:ascii="Times New Roman" w:hAnsi="Times New Roman" w:cs="Times New Roman"/>
          <w:b/>
          <w:bCs/>
          <w:color w:val="auto"/>
          <w:sz w:val="24"/>
          <w:highlight w:val="none"/>
        </w:rPr>
        <w:t>）</w:t>
      </w:r>
      <w:r>
        <w:rPr>
          <w:rFonts w:hint="default" w:ascii="Times New Roman" w:hAnsi="Times New Roman" w:cs="Times New Roman"/>
          <w:color w:val="auto"/>
          <w:sz w:val="24"/>
          <w:highlight w:val="none"/>
        </w:rPr>
        <w:t>。</w:t>
      </w:r>
    </w:p>
    <w:p w14:paraId="3DC8DF64">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本目最后一段文字细化为：</w:t>
      </w:r>
    </w:p>
    <w:p w14:paraId="070CB8E6">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在采用价格调整公式进行调价时，还应遵守以下规定：</w:t>
      </w:r>
    </w:p>
    <w:p w14:paraId="55C046DD">
      <w:pPr>
        <w:pageBreakBefore w:val="0"/>
        <w:kinsoku/>
        <w:wordWrap w:val="0"/>
        <w:bidi w:val="0"/>
        <w:spacing w:line="400" w:lineRule="atLeast"/>
        <w:ind w:firstLine="477" w:firstLineChars="19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以上价格调整公式中的各可调因子、定值权重，以及基本价格指数及其来源由发包人在投标函附录价格指数和权重表中约定。价格指数应首先采用国家或省、自治区、直辖市价格部门或统计部门提供的价格指数，缺乏上述价格指数时，可采用上述部门提供的价格代替。</w:t>
      </w:r>
    </w:p>
    <w:p w14:paraId="480B1B07">
      <w:pPr>
        <w:pageBreakBefore w:val="0"/>
        <w:kinsoku/>
        <w:wordWrap w:val="0"/>
        <w:bidi w:val="0"/>
        <w:spacing w:line="400" w:lineRule="atLeast"/>
        <w:ind w:firstLine="477" w:firstLineChars="19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价格调整公式中的变值权重，由发包人根据项目实际情况测算确定范围，并在投标函附录价格指数和权重表中约定范围；承包人在投标时在此范围内填写各可调因子的权重，合同实施期间将按此权重进行调价。</w:t>
      </w:r>
    </w:p>
    <w:p w14:paraId="5CB106F3">
      <w:pPr>
        <w:pageBreakBefore w:val="0"/>
        <w:kinsoku/>
        <w:wordWrap w:val="0"/>
        <w:bidi w:val="0"/>
        <w:spacing w:before="480" w:after="240" w:line="380" w:lineRule="atLeast"/>
        <w:outlineLvl w:val="9"/>
        <w:rPr>
          <w:rFonts w:hint="default" w:ascii="Times New Roman" w:hAnsi="Times New Roman" w:eastAsia="黑体" w:cs="Times New Roman"/>
          <w:b w:val="0"/>
          <w:color w:val="auto"/>
          <w:sz w:val="28"/>
          <w:szCs w:val="28"/>
          <w:highlight w:val="none"/>
        </w:rPr>
      </w:pPr>
      <w:bookmarkStart w:id="1314" w:name="_Toc234833187"/>
      <w:bookmarkStart w:id="1315" w:name="_Toc12404"/>
      <w:bookmarkStart w:id="1316" w:name="_Toc18133"/>
      <w:bookmarkStart w:id="1317" w:name="_Toc13648"/>
      <w:r>
        <w:rPr>
          <w:rFonts w:hint="default" w:ascii="Times New Roman" w:hAnsi="Times New Roman" w:eastAsia="黑体" w:cs="Times New Roman"/>
          <w:b w:val="0"/>
          <w:color w:val="auto"/>
          <w:sz w:val="28"/>
          <w:szCs w:val="28"/>
          <w:highlight w:val="none"/>
        </w:rPr>
        <w:t>17.计量与支付</w:t>
      </w:r>
      <w:bookmarkEnd w:id="1314"/>
      <w:bookmarkEnd w:id="1315"/>
      <w:bookmarkEnd w:id="1316"/>
      <w:bookmarkEnd w:id="1317"/>
    </w:p>
    <w:p w14:paraId="7398305E">
      <w:pPr>
        <w:pageBreakBefore w:val="0"/>
        <w:kinsoku/>
        <w:wordWrap w:val="0"/>
        <w:bidi w:val="0"/>
        <w:spacing w:before="240" w:after="240" w:line="380" w:lineRule="atLeast"/>
        <w:outlineLvl w:val="9"/>
        <w:rPr>
          <w:rFonts w:hint="eastAsia" w:ascii="Times New Roman" w:hAnsi="Times New Roman" w:eastAsia="黑体" w:cs="Times New Roman"/>
          <w:b w:val="0"/>
          <w:color w:val="auto"/>
          <w:sz w:val="24"/>
          <w:szCs w:val="24"/>
          <w:highlight w:val="none"/>
          <w:lang w:eastAsia="zh-CN"/>
        </w:rPr>
      </w:pPr>
      <w:bookmarkStart w:id="1318" w:name="_Toc22272"/>
      <w:bookmarkStart w:id="1319" w:name="_Toc23776"/>
      <w:bookmarkStart w:id="1320" w:name="_Toc30341"/>
      <w:bookmarkStart w:id="1321" w:name="_Toc234833188"/>
      <w:r>
        <w:rPr>
          <w:rFonts w:hint="default" w:ascii="Times New Roman" w:hAnsi="Times New Roman" w:eastAsia="黑体" w:cs="Times New Roman"/>
          <w:b w:val="0"/>
          <w:color w:val="auto"/>
          <w:sz w:val="24"/>
          <w:szCs w:val="24"/>
          <w:highlight w:val="none"/>
        </w:rPr>
        <w:t>17.1计量</w:t>
      </w:r>
      <w:bookmarkEnd w:id="1318"/>
      <w:bookmarkEnd w:id="1319"/>
      <w:bookmarkEnd w:id="1320"/>
      <w:bookmarkEnd w:id="1321"/>
    </w:p>
    <w:p w14:paraId="1F9FA280">
      <w:pPr>
        <w:pageBreakBefore w:val="0"/>
        <w:kinsoku/>
        <w:wordWrap w:val="0"/>
        <w:bidi w:val="0"/>
        <w:spacing w:line="400" w:lineRule="atLeast"/>
        <w:ind w:firstLine="470" w:firstLineChars="196"/>
        <w:outlineLvl w:val="9"/>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17.1.2</w:t>
      </w:r>
      <w:r>
        <w:rPr>
          <w:rFonts w:hint="default" w:ascii="Times New Roman" w:hAnsi="Times New Roman" w:eastAsia="黑体" w:cs="Times New Roman"/>
          <w:color w:val="auto"/>
          <w:sz w:val="24"/>
          <w:highlight w:val="none"/>
        </w:rPr>
        <w:t>计量方法</w:t>
      </w:r>
    </w:p>
    <w:p w14:paraId="6DED9FEB">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本项约定为：</w:t>
      </w:r>
    </w:p>
    <w:p w14:paraId="5DD53BD3">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工程的计量应以净值为准，除非项目专用合同条款另有约定。工程量清单中各个子目的具体计量方法按本合同文件工程量清单计量规则中的规定执行。</w:t>
      </w:r>
    </w:p>
    <w:p w14:paraId="2F2A3963">
      <w:pPr>
        <w:pageBreakBefore w:val="0"/>
        <w:kinsoku/>
        <w:wordWrap w:val="0"/>
        <w:bidi w:val="0"/>
        <w:spacing w:line="400" w:lineRule="atLeast"/>
        <w:ind w:firstLine="470" w:firstLineChars="196"/>
        <w:outlineLvl w:val="9"/>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17.1.4</w:t>
      </w:r>
      <w:r>
        <w:rPr>
          <w:rFonts w:hint="default" w:ascii="Times New Roman" w:hAnsi="Times New Roman" w:eastAsia="黑体" w:cs="Times New Roman"/>
          <w:color w:val="auto"/>
          <w:sz w:val="24"/>
          <w:highlight w:val="none"/>
        </w:rPr>
        <w:t>单价子目的计量</w:t>
      </w:r>
    </w:p>
    <w:p w14:paraId="551CE8F9">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本项补充：</w:t>
      </w:r>
    </w:p>
    <w:p w14:paraId="442F4820">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（7）承包人未在已标价工程量清单中填入单价或总额价的工程子目，将被认为其已包含在本合同的其他子目的单价和总额价中，发包人将不另行支付。</w:t>
      </w:r>
    </w:p>
    <w:p w14:paraId="6B28E138">
      <w:pPr>
        <w:pageBreakBefore w:val="0"/>
        <w:kinsoku/>
        <w:wordWrap w:val="0"/>
        <w:bidi w:val="0"/>
        <w:spacing w:line="400" w:lineRule="atLeast"/>
        <w:ind w:firstLine="470" w:firstLineChars="196"/>
        <w:outlineLvl w:val="9"/>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17.1.5</w:t>
      </w:r>
      <w:r>
        <w:rPr>
          <w:rFonts w:hint="default" w:ascii="Times New Roman" w:hAnsi="Times New Roman" w:eastAsia="黑体" w:cs="Times New Roman"/>
          <w:color w:val="auto"/>
          <w:sz w:val="24"/>
          <w:highlight w:val="none"/>
        </w:rPr>
        <w:t>总价子目的计量</w:t>
      </w:r>
    </w:p>
    <w:p w14:paraId="18403676">
      <w:pPr>
        <w:pageBreakBefore w:val="0"/>
        <w:kinsoku/>
        <w:wordWrap w:val="0"/>
        <w:bidi w:val="0"/>
        <w:spacing w:line="400" w:lineRule="atLeast"/>
        <w:ind w:firstLine="470" w:firstLineChars="196"/>
        <w:outlineLvl w:val="9"/>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本项补充：</w:t>
      </w:r>
    </w:p>
    <w:p w14:paraId="0E56E286">
      <w:pPr>
        <w:pageBreakBefore w:val="0"/>
        <w:kinsoku/>
        <w:wordWrap w:val="0"/>
        <w:bidi w:val="0"/>
        <w:spacing w:line="400" w:lineRule="atLeast"/>
        <w:ind w:firstLine="470" w:firstLineChars="196"/>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本项目工程量清单中要求承包人以</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总额</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方式报价的子目，各子目的支付原则和支付进度按项目专用合同条款的规定执行。</w:t>
      </w:r>
    </w:p>
    <w:p w14:paraId="747A2C77">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322" w:name="_Toc23977"/>
      <w:bookmarkStart w:id="1323" w:name="_Toc10842"/>
      <w:bookmarkStart w:id="1324" w:name="_Toc15810"/>
      <w:bookmarkStart w:id="1325" w:name="_Toc234833189"/>
      <w:r>
        <w:rPr>
          <w:rFonts w:hint="default" w:ascii="Times New Roman" w:hAnsi="Times New Roman" w:eastAsia="黑体" w:cs="Times New Roman"/>
          <w:b w:val="0"/>
          <w:color w:val="auto"/>
          <w:sz w:val="24"/>
          <w:szCs w:val="24"/>
          <w:highlight w:val="none"/>
        </w:rPr>
        <w:t>17.2预付款</w:t>
      </w:r>
      <w:bookmarkEnd w:id="1322"/>
      <w:bookmarkEnd w:id="1323"/>
      <w:bookmarkEnd w:id="1324"/>
      <w:bookmarkEnd w:id="1325"/>
    </w:p>
    <w:p w14:paraId="11431B2C">
      <w:pPr>
        <w:pageBreakBefore w:val="0"/>
        <w:kinsoku/>
        <w:wordWrap w:val="0"/>
        <w:bidi w:val="0"/>
        <w:spacing w:line="400" w:lineRule="atLeast"/>
        <w:ind w:firstLine="470" w:firstLineChars="196"/>
        <w:outlineLvl w:val="9"/>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17.2.1</w:t>
      </w:r>
      <w:r>
        <w:rPr>
          <w:rFonts w:hint="default" w:ascii="Times New Roman" w:hAnsi="Times New Roman" w:eastAsia="黑体" w:cs="Times New Roman"/>
          <w:color w:val="auto"/>
          <w:sz w:val="24"/>
          <w:highlight w:val="none"/>
        </w:rPr>
        <w:t>预付款</w:t>
      </w:r>
    </w:p>
    <w:p w14:paraId="412A9235">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本项约定为：</w:t>
      </w:r>
    </w:p>
    <w:p w14:paraId="2254AAC2">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预付款包括开工预付款和材料、设备预付款。具体额度和预付办法如下：</w:t>
      </w:r>
    </w:p>
    <w:p w14:paraId="376EB3F1">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（1）开工预付款的金额在项目专用合同条款数据表中约定。在承包人签订了合同协议书且承包人承诺的主要设备进场后，监理人应在当期进度付款证书中向承包人支付开工预付款。</w:t>
      </w:r>
    </w:p>
    <w:p w14:paraId="685EA8C5">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承包人不得将该预付款用于与本工程无关的支出，监理人有权监督承包人对该项费用的使用，如经查实承包人滥用开工预付款，发包人有权立即向银行索赔履约保证金，并解除合同。</w:t>
      </w:r>
    </w:p>
    <w:p w14:paraId="6883E788">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（2）材料、设备预付款按项目专用合同条款数据表中所列主要材料、设备</w:t>
      </w:r>
      <w:r>
        <w:rPr>
          <w:rFonts w:hint="eastAsia" w:cs="Times New Roman"/>
          <w:color w:val="auto"/>
          <w:sz w:val="24"/>
          <w:highlight w:val="none"/>
          <w:lang w:val="en-US" w:eastAsia="zh-CN"/>
        </w:rPr>
        <w:t>清单</w:t>
      </w:r>
      <w:r>
        <w:rPr>
          <w:rFonts w:hint="default" w:ascii="Times New Roman" w:hAnsi="Times New Roman" w:cs="Times New Roman"/>
          <w:color w:val="auto"/>
          <w:sz w:val="24"/>
          <w:highlight w:val="none"/>
        </w:rPr>
        <w:t>费用（进口的材料、设备为到岸价，国内采购的为出厂价或销售价，地方材料为堆场价）的百分比支付。其预付条件为：</w:t>
      </w:r>
    </w:p>
    <w:p w14:paraId="632128CD">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a.材料、设备符合规范要求并经监理人认可；</w:t>
      </w:r>
    </w:p>
    <w:p w14:paraId="7A66378E">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b.承包人已出具材料、设备费用凭证或支付单据；</w:t>
      </w:r>
    </w:p>
    <w:p w14:paraId="64990285">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c.材料、设备已在现场交货，且存储良好，监理人认为材料、设备的存储方法符合要求。</w:t>
      </w:r>
    </w:p>
    <w:p w14:paraId="3A0BB62E">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则监理人应将此项金额作为材料、设备预付款计入下一次的进度付款证书中。在预计交工前3个月，将不再支付材料、设备预付款。</w:t>
      </w:r>
    </w:p>
    <w:p w14:paraId="320274F9">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17.2.2</w:t>
      </w:r>
      <w:r>
        <w:rPr>
          <w:rFonts w:hint="default" w:ascii="Times New Roman" w:hAnsi="Times New Roman" w:eastAsia="黑体" w:cs="Times New Roman"/>
          <w:color w:val="auto"/>
          <w:sz w:val="24"/>
          <w:highlight w:val="none"/>
        </w:rPr>
        <w:t>预付款保函</w:t>
      </w:r>
    </w:p>
    <w:p w14:paraId="667D8048">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本项细化为：</w:t>
      </w:r>
    </w:p>
    <w:p w14:paraId="23DC2C74">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u w:val="single"/>
        </w:rPr>
      </w:pPr>
      <w:r>
        <w:rPr>
          <w:rFonts w:hint="default" w:ascii="Times New Roman" w:hAnsi="Times New Roman" w:cs="Times New Roman"/>
          <w:color w:val="auto"/>
          <w:sz w:val="24"/>
          <w:highlight w:val="none"/>
        </w:rPr>
        <w:t>承包人无须向发包人提交预付款保函。发包人向承包人支付的预付款，应按照本合同第17.2.1项规定使用，承包人提交的履约保证金对预付款的正常使用承担保证责任。</w:t>
      </w:r>
    </w:p>
    <w:p w14:paraId="33EA409F">
      <w:pPr>
        <w:pageBreakBefore w:val="0"/>
        <w:kinsoku/>
        <w:wordWrap w:val="0"/>
        <w:bidi w:val="0"/>
        <w:spacing w:line="400" w:lineRule="atLeast"/>
        <w:ind w:firstLine="42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17.2.3</w:t>
      </w:r>
      <w:r>
        <w:rPr>
          <w:rFonts w:hint="default" w:ascii="Times New Roman" w:hAnsi="Times New Roman" w:eastAsia="黑体" w:cs="Times New Roman"/>
          <w:color w:val="auto"/>
          <w:sz w:val="24"/>
          <w:highlight w:val="none"/>
        </w:rPr>
        <w:t>预付款的扣回与还清</w:t>
      </w:r>
    </w:p>
    <w:p w14:paraId="07FD99CE">
      <w:pPr>
        <w:pageBreakBefore w:val="0"/>
        <w:kinsoku/>
        <w:wordWrap w:val="0"/>
        <w:bidi w:val="0"/>
        <w:spacing w:line="400" w:lineRule="atLeast"/>
        <w:ind w:firstLine="42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本项约定为：</w:t>
      </w:r>
    </w:p>
    <w:p w14:paraId="215E290F">
      <w:pPr>
        <w:pageBreakBefore w:val="0"/>
        <w:kinsoku/>
        <w:wordWrap w:val="0"/>
        <w:bidi w:val="0"/>
        <w:spacing w:line="400" w:lineRule="atLeast"/>
        <w:ind w:firstLine="42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开工预付款在进度付款证书的累计金额未达到签约合同价的30%之前不予扣回，在达到签约合同价30%之后，开始按工程进度以固定比例（即每完成签约合同价的1%，扣回开工预付款的2%）分期从各月的进度付款证书中扣回，全部金额在进度付款证书的累计金额达到签约合同价的80%时扣完。</w:t>
      </w:r>
    </w:p>
    <w:p w14:paraId="5E9A2AFD">
      <w:pPr>
        <w:pageBreakBefore w:val="0"/>
        <w:kinsoku/>
        <w:wordWrap w:val="0"/>
        <w:bidi w:val="0"/>
        <w:spacing w:line="400" w:lineRule="atLeast"/>
        <w:ind w:firstLine="42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（2）当材料、设备已用于或安装在永久工程之中时，材料、设备预付款应从进度付款证书中扣回，扣回期不超过3个月。已经支付材料、设备预付款的材料、设备的所有权应属于发包人。</w:t>
      </w:r>
    </w:p>
    <w:p w14:paraId="74E734B6">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326" w:name="_Toc30179"/>
      <w:bookmarkStart w:id="1327" w:name="_Toc234833190"/>
      <w:bookmarkStart w:id="1328" w:name="_Toc32286"/>
      <w:bookmarkStart w:id="1329" w:name="_Toc24114"/>
      <w:r>
        <w:rPr>
          <w:rFonts w:hint="default" w:ascii="Times New Roman" w:hAnsi="Times New Roman" w:eastAsia="黑体" w:cs="Times New Roman"/>
          <w:b w:val="0"/>
          <w:color w:val="auto"/>
          <w:sz w:val="24"/>
          <w:szCs w:val="24"/>
          <w:highlight w:val="none"/>
        </w:rPr>
        <w:t>17.3工程进度付款</w:t>
      </w:r>
      <w:bookmarkEnd w:id="1326"/>
      <w:bookmarkEnd w:id="1327"/>
      <w:bookmarkEnd w:id="1328"/>
      <w:bookmarkEnd w:id="1329"/>
    </w:p>
    <w:p w14:paraId="066E0D19">
      <w:pPr>
        <w:pageBreakBefore w:val="0"/>
        <w:kinsoku/>
        <w:wordWrap w:val="0"/>
        <w:bidi w:val="0"/>
        <w:spacing w:line="400" w:lineRule="atLeast"/>
        <w:ind w:firstLine="470" w:firstLineChars="196"/>
        <w:outlineLvl w:val="9"/>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17.3.3</w:t>
      </w:r>
      <w:r>
        <w:rPr>
          <w:rFonts w:hint="default" w:ascii="Times New Roman" w:hAnsi="Times New Roman" w:eastAsia="黑体" w:cs="Times New Roman"/>
          <w:color w:val="auto"/>
          <w:sz w:val="24"/>
          <w:highlight w:val="none"/>
        </w:rPr>
        <w:t>进度付款证书和支付时间</w:t>
      </w:r>
    </w:p>
    <w:p w14:paraId="216B6163">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本项（1）目补充：</w:t>
      </w:r>
    </w:p>
    <w:p w14:paraId="7E9E10A6">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如果该付款周期应结算的价款经扣留和扣回后的款额少于项目专用合同条款数据表中列明的进度付款证书的最低金额，则该付款周期监理人可不核证支付，上述款额将按付款周期结转，直至累计应支付的款额达到项目专用合同条款数据表中列明的进度付款证书的最低金额为止。</w:t>
      </w:r>
    </w:p>
    <w:p w14:paraId="11F09CD5">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本项（2）目细化为：</w:t>
      </w:r>
    </w:p>
    <w:p w14:paraId="2D4DDEBF">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发包人应在监理人收到进度付款申请单且承包人提交了合格的增值税专用发票后的28天内，将进度应付款支付给承包人。</w:t>
      </w:r>
    </w:p>
    <w:p w14:paraId="0D4A0187">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发包人不按期支付的，按项目专用合同条款数据表中约定的利率向承包人支付逾期付款违约金。违约金计算基数为发包人的全部未付款额，时间从应付而未付该款额之日算起（不计复利）。</w:t>
      </w:r>
    </w:p>
    <w:p w14:paraId="264DAB8A">
      <w:pPr>
        <w:pageBreakBefore w:val="0"/>
        <w:widowControl/>
        <w:kinsoku/>
        <w:wordWrap w:val="0"/>
        <w:bidi w:val="0"/>
        <w:spacing w:line="42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本款补充第17.3.5项：</w:t>
      </w:r>
    </w:p>
    <w:p w14:paraId="35287F33">
      <w:pPr>
        <w:pageBreakBefore w:val="0"/>
        <w:kinsoku/>
        <w:wordWrap w:val="0"/>
        <w:bidi w:val="0"/>
        <w:spacing w:line="420" w:lineRule="atLeast"/>
        <w:ind w:firstLine="470" w:firstLineChars="196"/>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17.3.5</w:t>
      </w:r>
      <w:r>
        <w:rPr>
          <w:rFonts w:hint="default" w:ascii="Times New Roman" w:hAnsi="Times New Roman" w:eastAsia="黑体" w:cs="Times New Roman"/>
          <w:color w:val="auto"/>
          <w:sz w:val="24"/>
          <w:highlight w:val="none"/>
        </w:rPr>
        <w:t>农民工工资保证金</w:t>
      </w:r>
    </w:p>
    <w:p w14:paraId="15D94E8B">
      <w:pPr>
        <w:pageBreakBefore w:val="0"/>
        <w:widowControl/>
        <w:kinsoku/>
        <w:wordWrap w:val="0"/>
        <w:bidi w:val="0"/>
        <w:spacing w:line="42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（1）为确保施工过程中农民工工资实时、足额发放到位，承包人应按照项目专用合同条款约定的时间和金额缴存农民工工资保证金。</w:t>
      </w:r>
    </w:p>
    <w:p w14:paraId="2C36889D">
      <w:pPr>
        <w:pageBreakBefore w:val="0"/>
        <w:widowControl/>
        <w:kinsoku/>
        <w:wordWrap w:val="0"/>
        <w:bidi w:val="0"/>
        <w:spacing w:line="42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（2）农民工工资保证金可采用银行保函或现金、支票形式。采用银行保函时，出具保函的银行须具有相应担保能力，且按照发包人批准的格式出具，所需费用由承包人承担。</w:t>
      </w:r>
    </w:p>
    <w:p w14:paraId="73038BCB">
      <w:pPr>
        <w:pageBreakBefore w:val="0"/>
        <w:widowControl/>
        <w:kinsoku/>
        <w:wordWrap w:val="0"/>
        <w:bidi w:val="0"/>
        <w:spacing w:line="42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（3）农民工工资保证金的扣留条件、返还时间按照项目专用合同条款的约定执行。</w:t>
      </w:r>
    </w:p>
    <w:p w14:paraId="30C0C84D">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330" w:name="_Toc4893"/>
      <w:bookmarkStart w:id="1331" w:name="_Toc29743"/>
      <w:bookmarkStart w:id="1332" w:name="_Toc29571"/>
      <w:bookmarkStart w:id="1333" w:name="_Toc234833191"/>
      <w:r>
        <w:rPr>
          <w:rFonts w:hint="default" w:ascii="Times New Roman" w:hAnsi="Times New Roman" w:eastAsia="黑体" w:cs="Times New Roman"/>
          <w:b w:val="0"/>
          <w:color w:val="auto"/>
          <w:sz w:val="24"/>
          <w:szCs w:val="24"/>
          <w:highlight w:val="none"/>
        </w:rPr>
        <w:t>17.4质量保证金</w:t>
      </w:r>
      <w:bookmarkEnd w:id="1330"/>
      <w:bookmarkEnd w:id="1331"/>
      <w:bookmarkEnd w:id="1332"/>
      <w:bookmarkEnd w:id="1333"/>
    </w:p>
    <w:p w14:paraId="29C0572E">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第17.4.1项、第17.4.2项细化为：</w:t>
      </w:r>
    </w:p>
    <w:p w14:paraId="304935E0">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17.4.1交工验收证书签发后14天内，承包人应向发包人缴纳质量保证金。质量保证金可采用银行保函或现金、支票形式，金额应符合项目专用合同条款数据表的规定。采用银行保函时，出具保函的银行须具有相应担保能力，且按照发包人批准的格式出具，所需费用由承包人承担。</w:t>
      </w:r>
    </w:p>
    <w:p w14:paraId="152730E2">
      <w:pPr>
        <w:pageBreakBefore w:val="0"/>
        <w:kinsoku/>
        <w:wordWrap w:val="0"/>
        <w:bidi w:val="0"/>
        <w:spacing w:line="400" w:lineRule="atLeast"/>
        <w:ind w:firstLine="480" w:firstLineChars="200"/>
        <w:outlineLvl w:val="9"/>
        <w:rPr>
          <w:rFonts w:hint="default" w:ascii="Times New Roman" w:hAnsi="Times New Roman" w:eastAsia="宋体 ，Arial" w:cs="Times New Roman"/>
          <w:color w:val="auto"/>
          <w:kern w:val="0"/>
          <w:sz w:val="24"/>
          <w:highlight w:val="none"/>
        </w:rPr>
      </w:pPr>
      <w:r>
        <w:rPr>
          <w:rFonts w:hint="default" w:ascii="Times New Roman" w:hAnsi="Times New Roman" w:cs="Times New Roman"/>
          <w:color w:val="auto"/>
          <w:sz w:val="24"/>
          <w:highlight w:val="none"/>
        </w:rPr>
        <w:t>质量保证金采用现金、支票形式提交的，发包人应在项目专用合同条款数据表中明确是否</w:t>
      </w:r>
      <w:r>
        <w:rPr>
          <w:rFonts w:hint="default" w:ascii="Times New Roman" w:hAnsi="Times New Roman" w:eastAsia="宋体 ，Arial" w:cs="Times New Roman"/>
          <w:color w:val="auto"/>
          <w:kern w:val="0"/>
          <w:sz w:val="24"/>
          <w:highlight w:val="none"/>
        </w:rPr>
        <w:t>计付利息以及利息的计算方式。</w:t>
      </w:r>
    </w:p>
    <w:p w14:paraId="0478A273">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17.4.2在第1.1.4.5</w:t>
      </w:r>
      <w:r>
        <w:rPr>
          <w:rFonts w:hint="eastAsia" w:cs="Times New Roman"/>
          <w:color w:val="auto"/>
          <w:sz w:val="24"/>
          <w:highlight w:val="none"/>
          <w:lang w:val="en-US" w:eastAsia="zh-CN"/>
        </w:rPr>
        <w:t>款项</w:t>
      </w:r>
      <w:r>
        <w:rPr>
          <w:rFonts w:hint="default" w:ascii="Times New Roman" w:hAnsi="Times New Roman" w:cs="Times New Roman"/>
          <w:color w:val="auto"/>
          <w:sz w:val="24"/>
          <w:highlight w:val="none"/>
        </w:rPr>
        <w:t>目约定的缺陷责任期满，且质量监督机构已按规定对工程质量检测鉴定合格，承包人向发包人申请到期应返还承包人剩余的质量保证金金额，发包人应在14天内会同承包人按照合同约定的内容核实承包人是否完成缺陷责任。如无异议，发包人应当在核实后将剩余保证金返还承包人。</w:t>
      </w:r>
    </w:p>
    <w:p w14:paraId="24C041DE">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334" w:name="_Toc1942"/>
      <w:bookmarkStart w:id="1335" w:name="_Toc234833192"/>
      <w:bookmarkStart w:id="1336" w:name="_Toc1771"/>
      <w:bookmarkStart w:id="1337" w:name="_Toc3090"/>
      <w:r>
        <w:rPr>
          <w:rFonts w:hint="default" w:ascii="Times New Roman" w:hAnsi="Times New Roman" w:eastAsia="黑体" w:cs="Times New Roman"/>
          <w:b w:val="0"/>
          <w:color w:val="auto"/>
          <w:sz w:val="24"/>
          <w:szCs w:val="24"/>
          <w:highlight w:val="none"/>
        </w:rPr>
        <w:t>17.5交工结算</w:t>
      </w:r>
      <w:bookmarkEnd w:id="1334"/>
      <w:bookmarkEnd w:id="1335"/>
      <w:bookmarkEnd w:id="1336"/>
      <w:bookmarkEnd w:id="1337"/>
    </w:p>
    <w:p w14:paraId="4D1B9809">
      <w:pPr>
        <w:pageBreakBefore w:val="0"/>
        <w:kinsoku/>
        <w:wordWrap w:val="0"/>
        <w:bidi w:val="0"/>
        <w:spacing w:line="400" w:lineRule="atLeast"/>
        <w:ind w:firstLine="470" w:firstLineChars="196"/>
        <w:outlineLvl w:val="9"/>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17.5.1</w:t>
      </w:r>
      <w:r>
        <w:rPr>
          <w:rFonts w:hint="default" w:ascii="Times New Roman" w:hAnsi="Times New Roman" w:eastAsia="黑体" w:cs="Times New Roman"/>
          <w:color w:val="auto"/>
          <w:sz w:val="24"/>
          <w:highlight w:val="none"/>
        </w:rPr>
        <w:t>交工付款申请单</w:t>
      </w:r>
    </w:p>
    <w:p w14:paraId="051856AF">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本项（1）目约定为：</w:t>
      </w:r>
    </w:p>
    <w:p w14:paraId="045CAD7F">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承包人向监理人提交交工付款申请单（包括相关证明材料）的份数在项目专用合同条款数据表中约定；期限：交工验收证书签发后42天内。</w:t>
      </w:r>
    </w:p>
    <w:p w14:paraId="4B2AD39D">
      <w:pPr>
        <w:pageBreakBefore w:val="0"/>
        <w:kinsoku/>
        <w:wordWrap w:val="0"/>
        <w:bidi w:val="0"/>
        <w:spacing w:line="400" w:lineRule="atLeast"/>
        <w:ind w:firstLine="470" w:firstLineChars="196"/>
        <w:outlineLvl w:val="9"/>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17.5.2</w:t>
      </w:r>
      <w:r>
        <w:rPr>
          <w:rFonts w:hint="default" w:ascii="Times New Roman" w:hAnsi="Times New Roman" w:eastAsia="黑体" w:cs="Times New Roman"/>
          <w:color w:val="auto"/>
          <w:sz w:val="24"/>
          <w:highlight w:val="none"/>
        </w:rPr>
        <w:t>交工付款证书及支付时间</w:t>
      </w:r>
    </w:p>
    <w:p w14:paraId="3A93A77F">
      <w:pPr>
        <w:pageBreakBefore w:val="0"/>
        <w:kinsoku/>
        <w:wordWrap w:val="0"/>
        <w:bidi w:val="0"/>
        <w:spacing w:line="400" w:lineRule="atLeast"/>
        <w:ind w:firstLine="470" w:firstLineChars="196"/>
        <w:outlineLvl w:val="9"/>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本项（2）目细化为：</w:t>
      </w:r>
    </w:p>
    <w:p w14:paraId="04324365">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发包人应在监理人出具交工付款证书且承包人提交了合格的增值税专用发票后的14天内，将应支付款支付给承包人。发包人不按期支付的，按第17.3.3（2）</w:t>
      </w:r>
      <w:r>
        <w:rPr>
          <w:rFonts w:hint="eastAsia" w:cs="Times New Roman"/>
          <w:color w:val="auto"/>
          <w:sz w:val="24"/>
          <w:highlight w:val="none"/>
          <w:lang w:val="en-US" w:eastAsia="zh-CN"/>
        </w:rPr>
        <w:t>项的目</w:t>
      </w:r>
      <w:r>
        <w:rPr>
          <w:rFonts w:hint="default" w:ascii="Times New Roman" w:hAnsi="Times New Roman" w:cs="Times New Roman"/>
          <w:color w:val="auto"/>
          <w:sz w:val="24"/>
          <w:highlight w:val="none"/>
        </w:rPr>
        <w:t>的约定，将逾期付款违约金支付给承包人。</w:t>
      </w:r>
    </w:p>
    <w:p w14:paraId="34ECFB80">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338" w:name="_Toc11156"/>
      <w:bookmarkStart w:id="1339" w:name="_Toc19025"/>
      <w:bookmarkStart w:id="1340" w:name="_Toc234833193"/>
      <w:bookmarkStart w:id="1341" w:name="_Toc11950"/>
      <w:r>
        <w:rPr>
          <w:rFonts w:hint="default" w:ascii="Times New Roman" w:hAnsi="Times New Roman" w:eastAsia="黑体" w:cs="Times New Roman"/>
          <w:b w:val="0"/>
          <w:color w:val="auto"/>
          <w:sz w:val="24"/>
          <w:szCs w:val="24"/>
          <w:highlight w:val="none"/>
        </w:rPr>
        <w:t>17.6最终结清</w:t>
      </w:r>
      <w:bookmarkEnd w:id="1338"/>
      <w:bookmarkEnd w:id="1339"/>
      <w:bookmarkEnd w:id="1340"/>
      <w:bookmarkEnd w:id="1341"/>
    </w:p>
    <w:p w14:paraId="3759AEEC">
      <w:pPr>
        <w:pageBreakBefore w:val="0"/>
        <w:kinsoku/>
        <w:wordWrap w:val="0"/>
        <w:bidi w:val="0"/>
        <w:spacing w:line="400" w:lineRule="atLeast"/>
        <w:ind w:firstLine="470" w:firstLineChars="196"/>
        <w:outlineLvl w:val="9"/>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17.6.1</w:t>
      </w:r>
      <w:r>
        <w:rPr>
          <w:rFonts w:hint="default" w:ascii="Times New Roman" w:hAnsi="Times New Roman" w:eastAsia="黑体" w:cs="Times New Roman"/>
          <w:color w:val="auto"/>
          <w:sz w:val="24"/>
          <w:highlight w:val="none"/>
        </w:rPr>
        <w:t>最终结清申请单</w:t>
      </w:r>
    </w:p>
    <w:p w14:paraId="75C4810F">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本项（1）目约定为：</w:t>
      </w:r>
    </w:p>
    <w:p w14:paraId="7680AC51">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承包人向监理人提交最终结清申请单（包括相关证明材料）的份数在项目专用合同条款数据表中约定；期限：缺陷责任期终止证书签发后28天内。</w:t>
      </w:r>
    </w:p>
    <w:p w14:paraId="2919EF61">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最终结清申请单中的总金额应认为是代表了根据合同规定应付给承包人的全部款项的最后结算。</w:t>
      </w:r>
    </w:p>
    <w:p w14:paraId="492D0D36">
      <w:pPr>
        <w:pageBreakBefore w:val="0"/>
        <w:kinsoku/>
        <w:wordWrap w:val="0"/>
        <w:bidi w:val="0"/>
        <w:spacing w:line="400" w:lineRule="atLeast"/>
        <w:ind w:firstLine="470" w:firstLineChars="196"/>
        <w:outlineLvl w:val="9"/>
        <w:rPr>
          <w:rFonts w:hint="eastAsia" w:ascii="Times New Roman" w:hAnsi="Times New Roman" w:eastAsia="黑体" w:cs="Times New Roman"/>
          <w:color w:val="auto"/>
          <w:sz w:val="24"/>
          <w:highlight w:val="none"/>
          <w:lang w:eastAsia="zh-CN"/>
        </w:rPr>
      </w:pPr>
      <w:r>
        <w:rPr>
          <w:rFonts w:hint="default" w:ascii="Times New Roman" w:hAnsi="Times New Roman" w:cs="Times New Roman"/>
          <w:color w:val="auto"/>
          <w:sz w:val="24"/>
          <w:highlight w:val="none"/>
        </w:rPr>
        <w:t>17.6.2</w:t>
      </w:r>
      <w:r>
        <w:rPr>
          <w:rFonts w:hint="default" w:ascii="Times New Roman" w:hAnsi="Times New Roman" w:eastAsia="黑体" w:cs="Times New Roman"/>
          <w:color w:val="auto"/>
          <w:sz w:val="24"/>
          <w:highlight w:val="none"/>
        </w:rPr>
        <w:t>最终结清证书和支付时间</w:t>
      </w:r>
    </w:p>
    <w:p w14:paraId="77D86694">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本项（2）目细化为：</w:t>
      </w:r>
    </w:p>
    <w:p w14:paraId="258F7BC5">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（2）发包人应在监理人出具最终结清证书且承包人提交了合格的增值税专用发票后的14天内，将应支付款支付给承包人。发包人不按期支付的，按第17.3.3（2）目的约定，将逾期付款违约金支付给承包人。</w:t>
      </w:r>
    </w:p>
    <w:p w14:paraId="736CDE97">
      <w:pPr>
        <w:pageBreakBefore w:val="0"/>
        <w:kinsoku/>
        <w:wordWrap w:val="0"/>
        <w:bidi w:val="0"/>
        <w:spacing w:before="480" w:after="240" w:line="380" w:lineRule="atLeast"/>
        <w:outlineLvl w:val="9"/>
        <w:rPr>
          <w:rFonts w:hint="default" w:ascii="Times New Roman" w:hAnsi="Times New Roman" w:eastAsia="黑体" w:cs="Times New Roman"/>
          <w:b w:val="0"/>
          <w:color w:val="auto"/>
          <w:sz w:val="28"/>
          <w:szCs w:val="28"/>
          <w:highlight w:val="none"/>
        </w:rPr>
      </w:pPr>
      <w:bookmarkStart w:id="1342" w:name="_Toc12621"/>
      <w:bookmarkStart w:id="1343" w:name="_Toc24563"/>
      <w:bookmarkStart w:id="1344" w:name="_Toc234833194"/>
      <w:bookmarkStart w:id="1345" w:name="_Toc22331"/>
      <w:r>
        <w:rPr>
          <w:rFonts w:hint="default" w:ascii="Times New Roman" w:hAnsi="Times New Roman" w:eastAsia="黑体" w:cs="Times New Roman"/>
          <w:b w:val="0"/>
          <w:color w:val="auto"/>
          <w:sz w:val="28"/>
          <w:szCs w:val="28"/>
          <w:highlight w:val="none"/>
        </w:rPr>
        <w:t>18.交工验收</w:t>
      </w:r>
      <w:bookmarkEnd w:id="1342"/>
      <w:bookmarkEnd w:id="1343"/>
      <w:bookmarkEnd w:id="1344"/>
      <w:bookmarkEnd w:id="1345"/>
    </w:p>
    <w:p w14:paraId="146A4D9D">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346" w:name="_Toc13694"/>
      <w:bookmarkStart w:id="1347" w:name="_Toc234833195"/>
      <w:bookmarkStart w:id="1348" w:name="_Toc14002"/>
      <w:bookmarkStart w:id="1349" w:name="_Toc29033"/>
      <w:r>
        <w:rPr>
          <w:rFonts w:hint="default" w:ascii="Times New Roman" w:hAnsi="Times New Roman" w:eastAsia="黑体" w:cs="Times New Roman"/>
          <w:b w:val="0"/>
          <w:color w:val="auto"/>
          <w:sz w:val="24"/>
          <w:szCs w:val="24"/>
          <w:highlight w:val="none"/>
        </w:rPr>
        <w:t>18.2交工验收申请报告</w:t>
      </w:r>
      <w:bookmarkEnd w:id="1346"/>
      <w:bookmarkEnd w:id="1347"/>
      <w:bookmarkEnd w:id="1348"/>
      <w:bookmarkEnd w:id="1349"/>
    </w:p>
    <w:p w14:paraId="0B0C0C24">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本款第（2）项约定为：</w:t>
      </w:r>
    </w:p>
    <w:p w14:paraId="1CDB8EAF">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竣工资料的内容：承包人应按照《公路工程竣（交）工验收办法》和相关规定编制竣工资料。</w:t>
      </w:r>
    </w:p>
    <w:p w14:paraId="37D9FC7B">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竣工资料的份数在项目专用合同条款数据表中约定。</w:t>
      </w:r>
    </w:p>
    <w:p w14:paraId="1381CEB1">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350" w:name="_Toc2589"/>
      <w:bookmarkStart w:id="1351" w:name="_Toc4025"/>
      <w:bookmarkStart w:id="1352" w:name="_Toc234833196"/>
      <w:bookmarkStart w:id="1353" w:name="_Toc11830"/>
      <w:r>
        <w:rPr>
          <w:rFonts w:hint="default" w:ascii="Times New Roman" w:hAnsi="Times New Roman" w:eastAsia="黑体" w:cs="Times New Roman"/>
          <w:b w:val="0"/>
          <w:color w:val="auto"/>
          <w:sz w:val="24"/>
          <w:szCs w:val="24"/>
          <w:highlight w:val="none"/>
        </w:rPr>
        <w:t>18.3验收</w:t>
      </w:r>
      <w:bookmarkEnd w:id="1350"/>
      <w:bookmarkEnd w:id="1351"/>
      <w:bookmarkEnd w:id="1352"/>
      <w:bookmarkEnd w:id="1353"/>
    </w:p>
    <w:p w14:paraId="2329F658">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第18.3.2项补充：</w:t>
      </w:r>
    </w:p>
    <w:p w14:paraId="07E7A908">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交工验收由发包人主持，由发包人、监理人、质监、设计、施工、运营、管理养护等有关部门代表组成交工验收小组，对本项目的工程质量进行评定，并写出交工验收报告报交通运输主管部门备案。承包人应按发包人的要求提交竣工资料，完成交工验收准备工作。</w:t>
      </w:r>
    </w:p>
    <w:p w14:paraId="1C93B410">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第18.3.5项约定为：</w:t>
      </w:r>
    </w:p>
    <w:p w14:paraId="47800D48">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经验收合格工程的实际交工日期，以最终提交交工验收申请报告的日期为准，并在交工验收证书中写明。</w:t>
      </w:r>
    </w:p>
    <w:p w14:paraId="212ECE48">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本款补充第18.3.7项：</w:t>
      </w:r>
    </w:p>
    <w:p w14:paraId="76E61B6A">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组织办理交工验收和签发交工验收证书的费用由发包人承担。但按照第18.3.4项规定达不到合格标准的交工验收费用由承包人承担。</w:t>
      </w:r>
    </w:p>
    <w:p w14:paraId="50F0951B">
      <w:pPr>
        <w:pageBreakBefore w:val="0"/>
        <w:kinsoku/>
        <w:wordWrap w:val="0"/>
        <w:bidi w:val="0"/>
        <w:spacing w:before="240" w:beforeLines="100" w:line="400" w:lineRule="atLeast"/>
        <w:outlineLvl w:val="9"/>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本条补充第18.9款：</w:t>
      </w:r>
    </w:p>
    <w:p w14:paraId="5A96256A">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354" w:name="_Toc25110"/>
      <w:bookmarkStart w:id="1355" w:name="_Toc3682"/>
      <w:bookmarkStart w:id="1356" w:name="_Toc21991"/>
      <w:bookmarkStart w:id="1357" w:name="_Toc234833197"/>
      <w:r>
        <w:rPr>
          <w:rFonts w:hint="default" w:ascii="Times New Roman" w:hAnsi="Times New Roman" w:eastAsia="黑体" w:cs="Times New Roman"/>
          <w:b w:val="0"/>
          <w:color w:val="auto"/>
          <w:sz w:val="24"/>
          <w:szCs w:val="24"/>
          <w:highlight w:val="none"/>
        </w:rPr>
        <w:t>18.9竣工文件</w:t>
      </w:r>
      <w:bookmarkEnd w:id="1354"/>
      <w:bookmarkEnd w:id="1355"/>
      <w:bookmarkEnd w:id="1356"/>
      <w:bookmarkEnd w:id="1357"/>
    </w:p>
    <w:p w14:paraId="43FAED0E">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承包人应按照《公路工程竣（交）工验收办法》的相关规定，在缺陷责任期内为竣工验收补充竣工资料，并在签发缺陷责任期终止证书之前提交。</w:t>
      </w:r>
    </w:p>
    <w:p w14:paraId="4F8F2C02">
      <w:pPr>
        <w:pageBreakBefore w:val="0"/>
        <w:kinsoku/>
        <w:wordWrap w:val="0"/>
        <w:bidi w:val="0"/>
        <w:spacing w:before="480" w:after="240" w:line="380" w:lineRule="atLeast"/>
        <w:outlineLvl w:val="9"/>
        <w:rPr>
          <w:rFonts w:hint="default" w:ascii="Times New Roman" w:hAnsi="Times New Roman" w:eastAsia="黑体" w:cs="Times New Roman"/>
          <w:b w:val="0"/>
          <w:color w:val="auto"/>
          <w:sz w:val="28"/>
          <w:szCs w:val="28"/>
          <w:highlight w:val="none"/>
        </w:rPr>
      </w:pPr>
      <w:bookmarkStart w:id="1358" w:name="_Toc5229"/>
      <w:bookmarkStart w:id="1359" w:name="_Toc16481"/>
      <w:bookmarkStart w:id="1360" w:name="_Toc234833198"/>
      <w:bookmarkStart w:id="1361" w:name="_Toc11360"/>
      <w:r>
        <w:rPr>
          <w:rFonts w:hint="default" w:ascii="Times New Roman" w:hAnsi="Times New Roman" w:eastAsia="黑体" w:cs="Times New Roman"/>
          <w:b w:val="0"/>
          <w:color w:val="auto"/>
          <w:sz w:val="28"/>
          <w:szCs w:val="28"/>
          <w:highlight w:val="none"/>
        </w:rPr>
        <w:t>19.缺陷责任与保修责任</w:t>
      </w:r>
      <w:bookmarkEnd w:id="1358"/>
      <w:bookmarkEnd w:id="1359"/>
      <w:bookmarkEnd w:id="1360"/>
      <w:bookmarkEnd w:id="1361"/>
    </w:p>
    <w:p w14:paraId="2E2732B2">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362" w:name="_Toc32462"/>
      <w:bookmarkStart w:id="1363" w:name="_Toc28049"/>
      <w:bookmarkStart w:id="1364" w:name="_Toc234833199"/>
      <w:bookmarkStart w:id="1365" w:name="_Toc13979"/>
      <w:r>
        <w:rPr>
          <w:rFonts w:hint="default" w:ascii="Times New Roman" w:hAnsi="Times New Roman" w:eastAsia="黑体" w:cs="Times New Roman"/>
          <w:b w:val="0"/>
          <w:color w:val="auto"/>
          <w:sz w:val="24"/>
          <w:szCs w:val="24"/>
          <w:highlight w:val="none"/>
        </w:rPr>
        <w:t>19.2缺陷责任</w:t>
      </w:r>
      <w:bookmarkEnd w:id="1362"/>
      <w:bookmarkEnd w:id="1363"/>
      <w:bookmarkEnd w:id="1364"/>
      <w:bookmarkEnd w:id="1365"/>
    </w:p>
    <w:p w14:paraId="24B3593A">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第19.2.2项补充：</w:t>
      </w:r>
    </w:p>
    <w:p w14:paraId="459305A4">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在缺陷责任期内，承包人应尽快完成在交工验收证书中写明的未完成工作，并完成对本工程缺陷的修复或监理人指令的修补工作。</w:t>
      </w:r>
    </w:p>
    <w:p w14:paraId="4CEAACEB">
      <w:pPr>
        <w:pageBreakBefore w:val="0"/>
        <w:kinsoku/>
        <w:wordWrap w:val="0"/>
        <w:bidi w:val="0"/>
        <w:spacing w:before="240" w:after="240" w:line="380" w:lineRule="atLeast"/>
        <w:outlineLvl w:val="9"/>
        <w:rPr>
          <w:rFonts w:hint="eastAsia" w:ascii="Times New Roman" w:hAnsi="Times New Roman" w:eastAsia="黑体" w:cs="Times New Roman"/>
          <w:b w:val="0"/>
          <w:color w:val="auto"/>
          <w:sz w:val="24"/>
          <w:szCs w:val="24"/>
          <w:highlight w:val="none"/>
          <w:lang w:eastAsia="zh-CN"/>
        </w:rPr>
      </w:pPr>
      <w:bookmarkStart w:id="1366" w:name="_Toc8826"/>
      <w:bookmarkStart w:id="1367" w:name="_Toc17405"/>
      <w:bookmarkStart w:id="1368" w:name="_Toc17860"/>
      <w:bookmarkStart w:id="1369" w:name="_Toc234833200"/>
      <w:r>
        <w:rPr>
          <w:rFonts w:hint="default" w:ascii="Times New Roman" w:hAnsi="Times New Roman" w:eastAsia="黑体" w:cs="Times New Roman"/>
          <w:b w:val="0"/>
          <w:color w:val="auto"/>
          <w:sz w:val="24"/>
          <w:szCs w:val="24"/>
          <w:highlight w:val="none"/>
        </w:rPr>
        <w:t>19.5承包人的进入权</w:t>
      </w:r>
      <w:bookmarkEnd w:id="1366"/>
      <w:bookmarkEnd w:id="1367"/>
      <w:bookmarkEnd w:id="1368"/>
      <w:bookmarkEnd w:id="1369"/>
    </w:p>
    <w:p w14:paraId="17CB4C14">
      <w:pPr>
        <w:pageBreakBefore w:val="0"/>
        <w:kinsoku/>
        <w:wordWrap w:val="0"/>
        <w:bidi w:val="0"/>
        <w:spacing w:line="400" w:lineRule="atLeast"/>
        <w:ind w:firstLine="480" w:firstLineChars="200"/>
        <w:outlineLvl w:val="9"/>
        <w:rPr>
          <w:rFonts w:hint="eastAsia"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本款补充</w:t>
      </w:r>
      <w:r>
        <w:rPr>
          <w:rFonts w:hint="eastAsia" w:cs="Times New Roman"/>
          <w:color w:val="auto"/>
          <w:sz w:val="24"/>
          <w:highlight w:val="none"/>
          <w:lang w:val="en-US" w:eastAsia="zh-CN"/>
        </w:rPr>
        <w:t>如下：</w:t>
      </w:r>
    </w:p>
    <w:p w14:paraId="6537BEEE">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承包人在缺陷修复施工过程中，应服从管养单位的有关安全管理规定，由于承包人自身原因造成的人员伤亡、设备和材料的损毁及罚款等责任由承包人自负。</w:t>
      </w:r>
    </w:p>
    <w:p w14:paraId="5A15E0C5">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370" w:name="_Toc22662"/>
      <w:bookmarkStart w:id="1371" w:name="_Toc13835"/>
      <w:bookmarkStart w:id="1372" w:name="_Toc17931"/>
      <w:bookmarkStart w:id="1373" w:name="_Toc234833201"/>
      <w:r>
        <w:rPr>
          <w:rFonts w:hint="default" w:ascii="Times New Roman" w:hAnsi="Times New Roman" w:eastAsia="黑体" w:cs="Times New Roman"/>
          <w:b w:val="0"/>
          <w:color w:val="auto"/>
          <w:sz w:val="24"/>
          <w:szCs w:val="24"/>
          <w:highlight w:val="none"/>
        </w:rPr>
        <w:t>19.7保修责任</w:t>
      </w:r>
      <w:bookmarkEnd w:id="1370"/>
      <w:bookmarkEnd w:id="1371"/>
      <w:bookmarkEnd w:id="1372"/>
      <w:bookmarkEnd w:id="1373"/>
    </w:p>
    <w:p w14:paraId="208ED5F7">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本款细化为：</w:t>
      </w:r>
    </w:p>
    <w:p w14:paraId="2E46AC01">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保修期自实际交工日期起计算，具体期限在项目专用合同条款数据表中约定。保修期与缺陷责任期重叠的期间内，承包人的保修责任同缺陷责任。在缺陷责任期满后的保修期内，承包人可不在工地留有办事人员和机械设备，但必须随时与发包人保持联系，在保修期内承包人应对由于施工质量原因造成的损坏自费进行修复。</w:t>
      </w:r>
    </w:p>
    <w:p w14:paraId="1E309C51">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（2）在全部工程交工验收前，已经发包人提前验收的单位工程，其保修期的起算日期相应提前。</w:t>
      </w:r>
    </w:p>
    <w:p w14:paraId="01E467A7">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（3）工程保修期终止后28天内，监理人签发保修期终止证书。</w:t>
      </w:r>
    </w:p>
    <w:p w14:paraId="47845095">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（4）若承包人不履行保修义务和责任，则承包人应承担由于违约造成的法律后果，并由发包人将其违约行为上报省级交通运输主管部门，作为不良记录纳入</w:t>
      </w:r>
      <w:r>
        <w:rPr>
          <w:rFonts w:hint="eastAsia" w:cs="Times New Roman"/>
          <w:color w:val="auto"/>
          <w:sz w:val="24"/>
          <w:highlight w:val="none"/>
          <w:lang w:eastAsia="zh-CN"/>
        </w:rPr>
        <w:t>全国公路建设市场监督管理系统</w:t>
      </w:r>
      <w:r>
        <w:rPr>
          <w:rFonts w:hint="default" w:ascii="Times New Roman" w:hAnsi="Times New Roman" w:cs="Times New Roman"/>
          <w:color w:val="auto"/>
          <w:sz w:val="24"/>
          <w:highlight w:val="none"/>
        </w:rPr>
        <w:t>。</w:t>
      </w:r>
    </w:p>
    <w:p w14:paraId="047ABAE6">
      <w:pPr>
        <w:pageBreakBefore w:val="0"/>
        <w:kinsoku/>
        <w:wordWrap w:val="0"/>
        <w:bidi w:val="0"/>
        <w:spacing w:before="480" w:after="240" w:line="380" w:lineRule="atLeast"/>
        <w:outlineLvl w:val="9"/>
        <w:rPr>
          <w:rFonts w:hint="default" w:ascii="Times New Roman" w:hAnsi="Times New Roman" w:eastAsia="黑体" w:cs="Times New Roman"/>
          <w:b w:val="0"/>
          <w:color w:val="auto"/>
          <w:sz w:val="28"/>
          <w:szCs w:val="28"/>
          <w:highlight w:val="none"/>
        </w:rPr>
      </w:pPr>
      <w:bookmarkStart w:id="1374" w:name="_Toc27979"/>
      <w:bookmarkStart w:id="1375" w:name="_Toc234833202"/>
      <w:bookmarkStart w:id="1376" w:name="_Toc22022"/>
      <w:bookmarkStart w:id="1377" w:name="_Toc23441"/>
      <w:r>
        <w:rPr>
          <w:rFonts w:hint="default" w:ascii="Times New Roman" w:hAnsi="Times New Roman" w:eastAsia="黑体" w:cs="Times New Roman"/>
          <w:b w:val="0"/>
          <w:color w:val="auto"/>
          <w:sz w:val="28"/>
          <w:szCs w:val="28"/>
          <w:highlight w:val="none"/>
        </w:rPr>
        <w:t>20.保险</w:t>
      </w:r>
      <w:bookmarkEnd w:id="1374"/>
      <w:bookmarkEnd w:id="1375"/>
      <w:bookmarkEnd w:id="1376"/>
      <w:bookmarkEnd w:id="1377"/>
    </w:p>
    <w:p w14:paraId="43F31E37">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378" w:name="_Toc27757"/>
      <w:bookmarkStart w:id="1379" w:name="_Toc18588"/>
      <w:bookmarkStart w:id="1380" w:name="_Toc234833203"/>
      <w:bookmarkStart w:id="1381" w:name="_Toc20820"/>
      <w:r>
        <w:rPr>
          <w:rFonts w:hint="default" w:ascii="Times New Roman" w:hAnsi="Times New Roman" w:eastAsia="黑体" w:cs="Times New Roman"/>
          <w:b w:val="0"/>
          <w:color w:val="auto"/>
          <w:sz w:val="24"/>
          <w:szCs w:val="24"/>
          <w:highlight w:val="none"/>
        </w:rPr>
        <w:t>20.1工程保险</w:t>
      </w:r>
      <w:bookmarkEnd w:id="1378"/>
      <w:bookmarkEnd w:id="1379"/>
      <w:bookmarkEnd w:id="1380"/>
      <w:bookmarkEnd w:id="1381"/>
    </w:p>
    <w:p w14:paraId="79447EA1">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本款约定为：</w:t>
      </w:r>
    </w:p>
    <w:p w14:paraId="14DD5403">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建筑工程一切险的投保内容：为本合同工程的永久工程、临时工程和设备及已运至施工工地用于永久工程的材料和设备所投的保险。</w:t>
      </w:r>
    </w:p>
    <w:p w14:paraId="39A02A1B">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保险金额：工程量清单第100章（不含建筑工程一切险及第三者责任险的保险费）至第700章的合计金额。</w:t>
      </w:r>
    </w:p>
    <w:p w14:paraId="084FD06D">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保险费率：在项目专用合同条款数据表中约定。</w:t>
      </w:r>
    </w:p>
    <w:p w14:paraId="2762967E">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保险期限：开工日起直至本合同工程签发缺陷责任期终止证书止（即合同工期＋缺陷责任期）。</w:t>
      </w:r>
    </w:p>
    <w:p w14:paraId="36899840">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承包人应以发包人和承包人的共同名义投保建筑工程一切险。建筑工程一切险的保险费由承包人报价时列入工程量清单第100章内。发包人在接到保险单后，将按照保险单的费用直接向承包人支付。</w:t>
      </w:r>
    </w:p>
    <w:p w14:paraId="2C981B83">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382" w:name="_Toc1174"/>
      <w:bookmarkStart w:id="1383" w:name="_Toc234833204"/>
      <w:bookmarkStart w:id="1384" w:name="_Toc28327"/>
      <w:bookmarkStart w:id="1385" w:name="_Toc6160"/>
      <w:r>
        <w:rPr>
          <w:rFonts w:hint="default" w:ascii="Times New Roman" w:hAnsi="Times New Roman" w:eastAsia="黑体" w:cs="Times New Roman"/>
          <w:b w:val="0"/>
          <w:color w:val="auto"/>
          <w:sz w:val="24"/>
          <w:szCs w:val="24"/>
          <w:highlight w:val="none"/>
        </w:rPr>
        <w:t>20.4第三者责任险</w:t>
      </w:r>
      <w:bookmarkEnd w:id="1382"/>
      <w:bookmarkEnd w:id="1383"/>
      <w:bookmarkEnd w:id="1384"/>
      <w:bookmarkEnd w:id="1385"/>
    </w:p>
    <w:p w14:paraId="1F0C4997">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第20.4.2项补充：</w:t>
      </w:r>
    </w:p>
    <w:p w14:paraId="21C5A1AE">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第三者责任险的保险费由承包人报价时列入工程量清单第100章内。发包人在接到保险单后，将按照保险单的费用直接向承包人支付。</w:t>
      </w:r>
    </w:p>
    <w:p w14:paraId="4D86244C">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386" w:name="_Toc234833205"/>
      <w:bookmarkStart w:id="1387" w:name="_Toc5754"/>
      <w:bookmarkStart w:id="1388" w:name="_Toc4864"/>
      <w:bookmarkStart w:id="1389" w:name="_Toc13808"/>
      <w:r>
        <w:rPr>
          <w:rFonts w:hint="default" w:ascii="Times New Roman" w:hAnsi="Times New Roman" w:eastAsia="黑体" w:cs="Times New Roman"/>
          <w:b w:val="0"/>
          <w:color w:val="auto"/>
          <w:sz w:val="24"/>
          <w:szCs w:val="24"/>
          <w:highlight w:val="none"/>
        </w:rPr>
        <w:t>20.5其他保险</w:t>
      </w:r>
      <w:bookmarkEnd w:id="1386"/>
      <w:bookmarkEnd w:id="1387"/>
      <w:bookmarkEnd w:id="1388"/>
      <w:bookmarkEnd w:id="1389"/>
    </w:p>
    <w:p w14:paraId="076A5618">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本款约定为：</w:t>
      </w:r>
    </w:p>
    <w:p w14:paraId="383A3476">
      <w:pPr>
        <w:pageBreakBefore w:val="0"/>
        <w:kinsoku/>
        <w:wordWrap w:val="0"/>
        <w:bidi w:val="0"/>
        <w:spacing w:line="400" w:lineRule="atLeast"/>
        <w:ind w:firstLine="42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承包人应为其施工设备等办理保险，其投保金额应足以现场重置。办理本款保险的一切费用均由承包人承担，并包括在工程量清单的单价及总额价中，发包人不单独支付。</w:t>
      </w:r>
    </w:p>
    <w:p w14:paraId="609ECFF5">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390" w:name="_Toc22712"/>
      <w:bookmarkStart w:id="1391" w:name="_Toc234833206"/>
      <w:bookmarkStart w:id="1392" w:name="_Toc19524"/>
      <w:bookmarkStart w:id="1393" w:name="_Toc1959"/>
      <w:r>
        <w:rPr>
          <w:rFonts w:hint="default" w:ascii="Times New Roman" w:hAnsi="Times New Roman" w:eastAsia="黑体" w:cs="Times New Roman"/>
          <w:b w:val="0"/>
          <w:color w:val="auto"/>
          <w:sz w:val="24"/>
          <w:szCs w:val="24"/>
          <w:highlight w:val="none"/>
        </w:rPr>
        <w:t>20.6对各项保险的一般要求</w:t>
      </w:r>
      <w:bookmarkEnd w:id="1390"/>
      <w:bookmarkEnd w:id="1391"/>
      <w:bookmarkEnd w:id="1392"/>
      <w:bookmarkEnd w:id="1393"/>
    </w:p>
    <w:p w14:paraId="1F1CEB6F">
      <w:pPr>
        <w:pageBreakBefore w:val="0"/>
        <w:kinsoku/>
        <w:wordWrap w:val="0"/>
        <w:bidi w:val="0"/>
        <w:spacing w:line="400" w:lineRule="atLeast"/>
        <w:ind w:firstLine="390"/>
        <w:outlineLvl w:val="9"/>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20.6.1保险凭证</w:t>
      </w:r>
    </w:p>
    <w:p w14:paraId="0BC62785">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本项约定为：</w:t>
      </w:r>
    </w:p>
    <w:p w14:paraId="4B97522E">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承包人向发包人提交各项保险生效的证据和保险单副本的期限：开工后56天内。</w:t>
      </w:r>
    </w:p>
    <w:p w14:paraId="6CAFCB7A">
      <w:pPr>
        <w:pageBreakBefore w:val="0"/>
        <w:kinsoku/>
        <w:wordWrap w:val="0"/>
        <w:bidi w:val="0"/>
        <w:spacing w:line="400" w:lineRule="atLeast"/>
        <w:ind w:firstLine="390"/>
        <w:outlineLvl w:val="9"/>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20.6.3持续保险</w:t>
      </w:r>
    </w:p>
    <w:p w14:paraId="6A128308">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本项补充：</w:t>
      </w:r>
    </w:p>
    <w:p w14:paraId="23105372">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在整个合同期内，承包人应按合同条款规定保证足够的保险额。</w:t>
      </w:r>
    </w:p>
    <w:p w14:paraId="2C3C9975">
      <w:pPr>
        <w:pageBreakBefore w:val="0"/>
        <w:kinsoku/>
        <w:wordWrap w:val="0"/>
        <w:bidi w:val="0"/>
        <w:spacing w:line="400" w:lineRule="atLeast"/>
        <w:ind w:firstLine="390"/>
        <w:outlineLvl w:val="9"/>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20.6.4保险金不足的补偿</w:t>
      </w:r>
    </w:p>
    <w:p w14:paraId="3636171D">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本项细化为：</w:t>
      </w:r>
    </w:p>
    <w:p w14:paraId="7FBA3AB8">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保险金不足以补偿损失的（包括免赔额和超过赔偿限额的部分），应由承包人和（或）发包人按合同约定负责补偿。</w:t>
      </w:r>
    </w:p>
    <w:p w14:paraId="179501D2">
      <w:pPr>
        <w:pageBreakBefore w:val="0"/>
        <w:kinsoku/>
        <w:wordWrap w:val="0"/>
        <w:bidi w:val="0"/>
        <w:spacing w:line="400" w:lineRule="atLeast"/>
        <w:ind w:firstLine="390"/>
        <w:outlineLvl w:val="9"/>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20.6.5未按约定投保的补救</w:t>
      </w:r>
    </w:p>
    <w:p w14:paraId="2ED1BBF3">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本项（2）目细化为：</w:t>
      </w:r>
    </w:p>
    <w:p w14:paraId="2C91A35A">
      <w:pPr>
        <w:pageBreakBefore w:val="0"/>
        <w:kinsoku/>
        <w:wordWrap w:val="0"/>
        <w:bidi w:val="0"/>
        <w:spacing w:line="400" w:lineRule="atLeast"/>
        <w:ind w:firstLine="39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由于负有投保义务的一方当事人未按合同约定办理某项保险，或未按保险单规定的条件和期限及时向保险人报告事故情况，或未按要求的保险期限进行投保，或未按要求投保足够的保险金额，导致受益人未能或未能全部得到保险人的赔偿，原应从该项保险得到的保险金应由负有投保义务的一方当事人支付。</w:t>
      </w:r>
    </w:p>
    <w:p w14:paraId="2A7A79F8">
      <w:pPr>
        <w:pageBreakBefore w:val="0"/>
        <w:kinsoku/>
        <w:wordWrap w:val="0"/>
        <w:bidi w:val="0"/>
        <w:spacing w:before="480" w:after="240" w:line="380" w:lineRule="atLeast"/>
        <w:outlineLvl w:val="9"/>
        <w:rPr>
          <w:rFonts w:hint="default" w:ascii="Times New Roman" w:hAnsi="Times New Roman" w:eastAsia="黑体" w:cs="Times New Roman"/>
          <w:b w:val="0"/>
          <w:color w:val="auto"/>
          <w:sz w:val="28"/>
          <w:szCs w:val="28"/>
          <w:highlight w:val="none"/>
        </w:rPr>
      </w:pPr>
      <w:bookmarkStart w:id="1394" w:name="_Toc234833207"/>
      <w:bookmarkStart w:id="1395" w:name="_Toc10087"/>
      <w:bookmarkStart w:id="1396" w:name="_Toc25592"/>
      <w:bookmarkStart w:id="1397" w:name="_Toc23861"/>
      <w:r>
        <w:rPr>
          <w:rFonts w:hint="default" w:ascii="Times New Roman" w:hAnsi="Times New Roman" w:eastAsia="黑体" w:cs="Times New Roman"/>
          <w:b w:val="0"/>
          <w:color w:val="auto"/>
          <w:sz w:val="28"/>
          <w:szCs w:val="28"/>
          <w:highlight w:val="none"/>
        </w:rPr>
        <w:t>21.不可抗力</w:t>
      </w:r>
      <w:bookmarkEnd w:id="1394"/>
      <w:bookmarkEnd w:id="1395"/>
      <w:bookmarkEnd w:id="1396"/>
      <w:bookmarkEnd w:id="1397"/>
    </w:p>
    <w:p w14:paraId="6841AAAB">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398" w:name="_Toc25698"/>
      <w:bookmarkStart w:id="1399" w:name="_Toc1192"/>
      <w:bookmarkStart w:id="1400" w:name="_Toc30052"/>
      <w:bookmarkStart w:id="1401" w:name="_Toc234833208"/>
      <w:r>
        <w:rPr>
          <w:rFonts w:hint="default" w:ascii="Times New Roman" w:hAnsi="Times New Roman" w:eastAsia="黑体" w:cs="Times New Roman"/>
          <w:b w:val="0"/>
          <w:color w:val="auto"/>
          <w:sz w:val="24"/>
          <w:szCs w:val="24"/>
          <w:highlight w:val="none"/>
        </w:rPr>
        <w:t>21.1不可抗力的确认</w:t>
      </w:r>
      <w:bookmarkEnd w:id="1398"/>
      <w:bookmarkEnd w:id="1399"/>
      <w:bookmarkEnd w:id="1400"/>
      <w:bookmarkEnd w:id="1401"/>
    </w:p>
    <w:p w14:paraId="2FD56359">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第21.1.1项细化为：</w:t>
      </w:r>
    </w:p>
    <w:p w14:paraId="115751DF">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不可抗力是指承包人和发包人在订立合同时不可预见，在工程施工过程中不可避免发生并不能克服的自然灾害和社会性突发事件。包括但不限于：</w:t>
      </w:r>
    </w:p>
    <w:p w14:paraId="71DE94BF">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（1）地震、海啸、火山爆发、泥石流、暴雨（雪）、台风、龙卷风、水灾等自然灾害；</w:t>
      </w:r>
    </w:p>
    <w:p w14:paraId="4EC45177">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（2）战争、骚乱、暴动，但纯属承包人或其分包人派遣与雇用的人员由于本合同工程施工原因引起者除外；</w:t>
      </w:r>
    </w:p>
    <w:p w14:paraId="23877B8D">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（3）核反应、辐射或放射性污染；</w:t>
      </w:r>
    </w:p>
    <w:p w14:paraId="58C0EDF4">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（4）空中飞行物体坠落或非发包人或承包人责任造成的爆炸、火灾；</w:t>
      </w:r>
    </w:p>
    <w:p w14:paraId="4B2C1473">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（5）瘟疫；</w:t>
      </w:r>
    </w:p>
    <w:p w14:paraId="77C22B4C">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（6）项目专用合同条款约定的其他情形。</w:t>
      </w:r>
    </w:p>
    <w:p w14:paraId="4CB125FA">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402" w:name="_Toc30802"/>
      <w:bookmarkStart w:id="1403" w:name="_Toc234833209"/>
      <w:bookmarkStart w:id="1404" w:name="_Toc26115"/>
      <w:bookmarkStart w:id="1405" w:name="_Toc1492"/>
      <w:r>
        <w:rPr>
          <w:rFonts w:hint="default" w:ascii="Times New Roman" w:hAnsi="Times New Roman" w:eastAsia="黑体" w:cs="Times New Roman"/>
          <w:b w:val="0"/>
          <w:color w:val="auto"/>
          <w:sz w:val="24"/>
          <w:szCs w:val="24"/>
          <w:highlight w:val="none"/>
        </w:rPr>
        <w:t>21.3不可抗力后果及其处理</w:t>
      </w:r>
      <w:bookmarkEnd w:id="1402"/>
      <w:bookmarkEnd w:id="1403"/>
      <w:bookmarkEnd w:id="1404"/>
      <w:bookmarkEnd w:id="1405"/>
    </w:p>
    <w:p w14:paraId="7279F875">
      <w:pPr>
        <w:pageBreakBefore w:val="0"/>
        <w:kinsoku/>
        <w:wordWrap w:val="0"/>
        <w:bidi w:val="0"/>
        <w:spacing w:line="400" w:lineRule="atLeast"/>
        <w:ind w:firstLine="470" w:firstLineChars="196"/>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21.3.4</w:t>
      </w:r>
      <w:r>
        <w:rPr>
          <w:rFonts w:hint="default" w:ascii="Times New Roman" w:hAnsi="Times New Roman" w:eastAsia="黑体" w:cs="Times New Roman"/>
          <w:color w:val="auto"/>
          <w:sz w:val="24"/>
          <w:highlight w:val="none"/>
        </w:rPr>
        <w:t>因不可抗力解除合同</w:t>
      </w:r>
    </w:p>
    <w:p w14:paraId="79911E29">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本项细化为：</w:t>
      </w:r>
    </w:p>
    <w:p w14:paraId="61F0B321">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合同一方当事人因不可抗力不能履行合同的，应当及时通知对方解除合同。合同解除后，承包人应按照第22.2.5项约定撤离施工场地。已经订货的材料、设备由订货方负责退货或解除订货合同，不能退还的货款和因退货、解除订货合同发生的费用，由发包人承担，因未及时退货造成的损失由责任方承担。合同解除后的付款，参照第22.2.4项约定，由监理人按第3.5款商定或确定，但由于解除合同应赔偿的承包人损失不予考虑。</w:t>
      </w:r>
    </w:p>
    <w:p w14:paraId="4C086585">
      <w:pPr>
        <w:pageBreakBefore w:val="0"/>
        <w:kinsoku/>
        <w:wordWrap w:val="0"/>
        <w:bidi w:val="0"/>
        <w:spacing w:before="480" w:after="240" w:line="380" w:lineRule="atLeast"/>
        <w:outlineLvl w:val="9"/>
        <w:rPr>
          <w:rFonts w:hint="default" w:ascii="Times New Roman" w:hAnsi="Times New Roman" w:eastAsia="黑体" w:cs="Times New Roman"/>
          <w:b w:val="0"/>
          <w:color w:val="auto"/>
          <w:sz w:val="28"/>
          <w:szCs w:val="28"/>
          <w:highlight w:val="none"/>
        </w:rPr>
      </w:pPr>
      <w:bookmarkStart w:id="1406" w:name="_Toc23055"/>
      <w:bookmarkStart w:id="1407" w:name="_Toc234833210"/>
      <w:bookmarkStart w:id="1408" w:name="_Toc3129"/>
      <w:bookmarkStart w:id="1409" w:name="_Toc18919"/>
      <w:r>
        <w:rPr>
          <w:rFonts w:hint="default" w:ascii="Times New Roman" w:hAnsi="Times New Roman" w:eastAsia="黑体" w:cs="Times New Roman"/>
          <w:b w:val="0"/>
          <w:color w:val="auto"/>
          <w:sz w:val="28"/>
          <w:szCs w:val="28"/>
          <w:highlight w:val="none"/>
        </w:rPr>
        <w:t>22.违约</w:t>
      </w:r>
      <w:bookmarkEnd w:id="1406"/>
      <w:bookmarkEnd w:id="1407"/>
      <w:bookmarkEnd w:id="1408"/>
      <w:bookmarkEnd w:id="1409"/>
    </w:p>
    <w:p w14:paraId="5F17014D">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410" w:name="_Toc234833211"/>
      <w:bookmarkStart w:id="1411" w:name="_Toc7490"/>
      <w:bookmarkStart w:id="1412" w:name="_Toc6115"/>
      <w:bookmarkStart w:id="1413" w:name="_Toc1580"/>
      <w:r>
        <w:rPr>
          <w:rFonts w:hint="default" w:ascii="Times New Roman" w:hAnsi="Times New Roman" w:eastAsia="黑体" w:cs="Times New Roman"/>
          <w:b w:val="0"/>
          <w:color w:val="auto"/>
          <w:sz w:val="24"/>
          <w:szCs w:val="24"/>
          <w:highlight w:val="none"/>
        </w:rPr>
        <w:t>22.1承包人违约</w:t>
      </w:r>
      <w:bookmarkEnd w:id="1410"/>
      <w:bookmarkEnd w:id="1411"/>
      <w:bookmarkEnd w:id="1412"/>
      <w:bookmarkEnd w:id="1413"/>
    </w:p>
    <w:p w14:paraId="58B35304">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22.1.1</w:t>
      </w:r>
      <w:r>
        <w:rPr>
          <w:rFonts w:hint="default" w:ascii="Times New Roman" w:hAnsi="Times New Roman" w:eastAsia="黑体" w:cs="Times New Roman"/>
          <w:color w:val="auto"/>
          <w:sz w:val="24"/>
          <w:highlight w:val="none"/>
        </w:rPr>
        <w:t>承包人违约的情形</w:t>
      </w:r>
    </w:p>
    <w:p w14:paraId="4D6E8834">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本项（2）目细化为：</w:t>
      </w:r>
    </w:p>
    <w:p w14:paraId="5884F1B6">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（2）承包人违反第5.3款或第6.4款的约定，未经监理人批准，私自将已按合同约定进入施工场地的施工设备、临时设施、材料或工程设备撤离施工场地；</w:t>
      </w:r>
    </w:p>
    <w:p w14:paraId="57F8FEB1">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本项（7）目细化为：</w:t>
      </w:r>
    </w:p>
    <w:p w14:paraId="7AAA2DC5">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（7）承包人未能按期开工；</w:t>
      </w:r>
    </w:p>
    <w:p w14:paraId="0689926E">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（8）承包人违反第4.6款或第6.3款的规定，未按承诺或未按监理人的要求及时配备称职的主要管理人员、技术骨干或关键施工设备；</w:t>
      </w:r>
    </w:p>
    <w:p w14:paraId="08157AAE">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（9）经监理人和发包人检查，发现承包人有安全问题或有违反安全管理规章制度的情况；</w:t>
      </w:r>
    </w:p>
    <w:p w14:paraId="1C7E36BA">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（10）承包人不按合同约定履行义务的其他情况。</w:t>
      </w:r>
    </w:p>
    <w:p w14:paraId="09E635F8">
      <w:pPr>
        <w:pageBreakBefore w:val="0"/>
        <w:kinsoku/>
        <w:wordWrap w:val="0"/>
        <w:bidi w:val="0"/>
        <w:spacing w:line="400" w:lineRule="atLeast"/>
        <w:ind w:firstLine="470" w:firstLineChars="196"/>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22.1.2</w:t>
      </w:r>
      <w:r>
        <w:rPr>
          <w:rFonts w:hint="default" w:ascii="Times New Roman" w:hAnsi="Times New Roman" w:eastAsia="黑体" w:cs="Times New Roman"/>
          <w:color w:val="auto"/>
          <w:sz w:val="24"/>
          <w:highlight w:val="none"/>
        </w:rPr>
        <w:t>对承包人违约的处理</w:t>
      </w:r>
    </w:p>
    <w:p w14:paraId="16719A99">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本项补充：</w:t>
      </w:r>
    </w:p>
    <w:p w14:paraId="1490A976">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（4）承包人发生第22.1.1项约定的违约情况时，无论发包人是否解除合同，发包人均有权向承包人课以项目专用合同条款中规定的违约金，并由发包人将其违约行为上报省级交通运输主管部门，作为不良记录纳入</w:t>
      </w:r>
      <w:r>
        <w:rPr>
          <w:rFonts w:hint="eastAsia" w:cs="Times New Roman"/>
          <w:color w:val="auto"/>
          <w:sz w:val="24"/>
          <w:highlight w:val="none"/>
          <w:lang w:eastAsia="zh-CN"/>
        </w:rPr>
        <w:t>全国公路建设市场监督管理系统</w:t>
      </w:r>
      <w:r>
        <w:rPr>
          <w:rFonts w:hint="default" w:ascii="Times New Roman" w:hAnsi="Times New Roman" w:cs="Times New Roman"/>
          <w:color w:val="auto"/>
          <w:sz w:val="24"/>
          <w:highlight w:val="none"/>
        </w:rPr>
        <w:t>。</w:t>
      </w:r>
    </w:p>
    <w:p w14:paraId="2E7CFADC">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414" w:name="_Toc30636"/>
      <w:bookmarkStart w:id="1415" w:name="_Toc234833212"/>
      <w:bookmarkStart w:id="1416" w:name="_Toc29380"/>
      <w:bookmarkStart w:id="1417" w:name="_Toc3432"/>
      <w:r>
        <w:rPr>
          <w:rFonts w:hint="default" w:ascii="Times New Roman" w:hAnsi="Times New Roman" w:eastAsia="黑体" w:cs="Times New Roman"/>
          <w:b w:val="0"/>
          <w:color w:val="auto"/>
          <w:sz w:val="24"/>
          <w:szCs w:val="24"/>
          <w:highlight w:val="none"/>
        </w:rPr>
        <w:t>22.2发包人违约</w:t>
      </w:r>
      <w:bookmarkEnd w:id="1414"/>
      <w:bookmarkEnd w:id="1415"/>
      <w:bookmarkEnd w:id="1416"/>
      <w:bookmarkEnd w:id="1417"/>
    </w:p>
    <w:p w14:paraId="42ED34D4">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22.2.1</w:t>
      </w:r>
      <w:r>
        <w:rPr>
          <w:rFonts w:hint="default" w:ascii="Times New Roman" w:hAnsi="Times New Roman" w:eastAsia="黑体" w:cs="Times New Roman"/>
          <w:color w:val="auto"/>
          <w:sz w:val="24"/>
          <w:highlight w:val="none"/>
        </w:rPr>
        <w:t>发包人违约的情形</w:t>
      </w:r>
    </w:p>
    <w:p w14:paraId="0ABC4E73">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本项（5）目细化为：</w:t>
      </w:r>
    </w:p>
    <w:p w14:paraId="198BEF54">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（5）发包人无正当理由不按时返还履约保证金、质量保证金或农民工工资保证金的；</w:t>
      </w:r>
    </w:p>
    <w:p w14:paraId="2954846B">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（6）发包人不履行合同约定其他义务的。</w:t>
      </w:r>
    </w:p>
    <w:p w14:paraId="06C28B51">
      <w:pPr>
        <w:pageBreakBefore w:val="0"/>
        <w:kinsoku/>
        <w:wordWrap w:val="0"/>
        <w:bidi w:val="0"/>
        <w:spacing w:line="400" w:lineRule="atLeast"/>
        <w:ind w:firstLine="470" w:firstLineChars="196"/>
        <w:outlineLvl w:val="9"/>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22.2.2</w:t>
      </w:r>
      <w:r>
        <w:rPr>
          <w:rFonts w:hint="default" w:ascii="Times New Roman" w:hAnsi="Times New Roman" w:eastAsia="黑体" w:cs="Times New Roman"/>
          <w:color w:val="auto"/>
          <w:sz w:val="24"/>
          <w:highlight w:val="none"/>
        </w:rPr>
        <w:t>承包人有权暂停施工</w:t>
      </w:r>
    </w:p>
    <w:p w14:paraId="3C18A02B">
      <w:pPr>
        <w:pageBreakBefore w:val="0"/>
        <w:kinsoku/>
        <w:wordWrap w:val="0"/>
        <w:bidi w:val="0"/>
        <w:spacing w:line="400" w:lineRule="atLeast"/>
        <w:ind w:firstLine="470" w:firstLineChars="196"/>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本项细化为：</w:t>
      </w:r>
    </w:p>
    <w:p w14:paraId="43A8EB10">
      <w:pPr>
        <w:pageBreakBefore w:val="0"/>
        <w:kinsoku/>
        <w:wordWrap w:val="0"/>
        <w:bidi w:val="0"/>
        <w:spacing w:line="400" w:lineRule="atLeast"/>
        <w:ind w:firstLine="470" w:firstLineChars="196"/>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发包人发生除第22.2.1（4）、（5）目以外的违约情况时，承包人可向发包人发出通知，要求发包人采取有效措施纠正违约行为。发包人收到承包人通知后的28天内仍不履行合同义务，承包人有权暂停施工，并通知监理人，发包人应承担由此增加的费用和（或）工期延误，并支付承包人合理利润。</w:t>
      </w:r>
    </w:p>
    <w:p w14:paraId="0D9D9F4D">
      <w:pPr>
        <w:pageBreakBefore w:val="0"/>
        <w:kinsoku/>
        <w:wordWrap w:val="0"/>
        <w:bidi w:val="0"/>
        <w:spacing w:line="400" w:lineRule="atLeast"/>
        <w:ind w:firstLine="470" w:firstLineChars="196"/>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发包人发生第22.2.1（5）目的违约情况时，承包人可向发包人发出通知，要求发包人采取有效措施纠正违约行为。发包人收到承包人通知后的28天内仍不返还履约保证金、质量保证金或农民工工资保证金的，发包人应按项目专用合同条款的约定向承包人支付逾期返还保证金的违约金。</w:t>
      </w:r>
    </w:p>
    <w:p w14:paraId="450B1937">
      <w:pPr>
        <w:pageBreakBefore w:val="0"/>
        <w:kinsoku/>
        <w:wordWrap w:val="0"/>
        <w:bidi w:val="0"/>
        <w:spacing w:line="400" w:lineRule="atLeast"/>
        <w:ind w:firstLine="470" w:firstLineChars="196"/>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22.2.4</w:t>
      </w:r>
      <w:r>
        <w:rPr>
          <w:rFonts w:hint="default" w:ascii="Times New Roman" w:hAnsi="Times New Roman" w:eastAsia="黑体" w:cs="Times New Roman"/>
          <w:color w:val="auto"/>
          <w:sz w:val="24"/>
          <w:highlight w:val="none"/>
        </w:rPr>
        <w:t>解除合同后的付款</w:t>
      </w:r>
    </w:p>
    <w:p w14:paraId="5D7510E0">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本项（2）目细化为：</w:t>
      </w:r>
    </w:p>
    <w:p w14:paraId="2196FF7C">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（2）承包人为该工程施工订购并已付款的材料、工程设备和其他物品的金额。发包人付款后，该材料、工程设备和其他物品归发包人所有；</w:t>
      </w:r>
    </w:p>
    <w:p w14:paraId="5CC9B63B">
      <w:pPr>
        <w:pageBreakBefore w:val="0"/>
        <w:kinsoku/>
        <w:wordWrap w:val="0"/>
        <w:bidi w:val="0"/>
        <w:spacing w:before="480" w:after="240" w:line="380" w:lineRule="atLeast"/>
        <w:outlineLvl w:val="9"/>
        <w:rPr>
          <w:rFonts w:hint="default" w:ascii="Times New Roman" w:hAnsi="Times New Roman" w:eastAsia="黑体" w:cs="Times New Roman"/>
          <w:b w:val="0"/>
          <w:color w:val="auto"/>
          <w:sz w:val="28"/>
          <w:szCs w:val="28"/>
          <w:highlight w:val="none"/>
        </w:rPr>
      </w:pPr>
      <w:bookmarkStart w:id="1418" w:name="_Toc4428"/>
      <w:bookmarkStart w:id="1419" w:name="_Toc26887"/>
      <w:bookmarkStart w:id="1420" w:name="_Toc234833213"/>
      <w:bookmarkStart w:id="1421" w:name="_Toc27505"/>
      <w:r>
        <w:rPr>
          <w:rFonts w:hint="default" w:ascii="Times New Roman" w:hAnsi="Times New Roman" w:eastAsia="黑体" w:cs="Times New Roman"/>
          <w:b w:val="0"/>
          <w:color w:val="auto"/>
          <w:sz w:val="28"/>
          <w:szCs w:val="28"/>
          <w:highlight w:val="none"/>
        </w:rPr>
        <w:t>23.索赔</w:t>
      </w:r>
      <w:bookmarkEnd w:id="1418"/>
      <w:bookmarkEnd w:id="1419"/>
      <w:bookmarkEnd w:id="1420"/>
      <w:bookmarkEnd w:id="1421"/>
    </w:p>
    <w:p w14:paraId="0181996D">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422" w:name="_Toc1551"/>
      <w:bookmarkStart w:id="1423" w:name="_Toc234833214"/>
      <w:bookmarkStart w:id="1424" w:name="_Toc7676"/>
      <w:bookmarkStart w:id="1425" w:name="_Toc5503"/>
      <w:r>
        <w:rPr>
          <w:rFonts w:hint="default" w:ascii="Times New Roman" w:hAnsi="Times New Roman" w:eastAsia="黑体" w:cs="Times New Roman"/>
          <w:b w:val="0"/>
          <w:color w:val="auto"/>
          <w:sz w:val="24"/>
          <w:szCs w:val="24"/>
          <w:highlight w:val="none"/>
        </w:rPr>
        <w:t>23.1承包人索赔的提出</w:t>
      </w:r>
      <w:bookmarkEnd w:id="1422"/>
      <w:bookmarkEnd w:id="1423"/>
      <w:bookmarkEnd w:id="1424"/>
      <w:bookmarkEnd w:id="1425"/>
    </w:p>
    <w:p w14:paraId="5AB34CE5">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本款第（4）项细化为：</w:t>
      </w:r>
    </w:p>
    <w:p w14:paraId="4BC7FD55">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（4）在索赔事件影响结束后的28天内，承包人应向监理人递交最终索赔通知书，说明最终要求索赔的追加付款金额和（或）延长的工期，并附必要的记录和证明材料。</w:t>
      </w:r>
    </w:p>
    <w:p w14:paraId="731A134C">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426" w:name="_Toc12793"/>
      <w:bookmarkStart w:id="1427" w:name="_Toc26842"/>
      <w:bookmarkStart w:id="1428" w:name="_Toc29342"/>
      <w:bookmarkStart w:id="1429" w:name="_Toc234833215"/>
      <w:r>
        <w:rPr>
          <w:rFonts w:hint="default" w:ascii="Times New Roman" w:hAnsi="Times New Roman" w:eastAsia="黑体" w:cs="Times New Roman"/>
          <w:b w:val="0"/>
          <w:color w:val="auto"/>
          <w:sz w:val="24"/>
          <w:szCs w:val="24"/>
          <w:highlight w:val="none"/>
        </w:rPr>
        <w:t>23.2承包人索赔处理程序</w:t>
      </w:r>
      <w:bookmarkEnd w:id="1426"/>
      <w:bookmarkEnd w:id="1427"/>
      <w:bookmarkEnd w:id="1428"/>
      <w:bookmarkEnd w:id="1429"/>
    </w:p>
    <w:p w14:paraId="1A18CBA9">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本款第（2）项细化为：</w:t>
      </w:r>
    </w:p>
    <w:p w14:paraId="38E6B5DA">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监理人应按第3.5款商定或确定追加的付款和（或）延长的工期，并在收到上述索赔通知书或有关索赔的进一步证明材料后的42天内，将索赔处理结果报发包人批准后答复承包人。如果承包人提出的索赔要求未能遵守第23.1（2）~（4）项的规定，则承包人只限于索赔由监理人按当时记录予以核实的那部分款额和（或）工期延长天数。</w:t>
      </w:r>
    </w:p>
    <w:p w14:paraId="089D9D99">
      <w:pPr>
        <w:pageBreakBefore w:val="0"/>
        <w:kinsoku/>
        <w:wordWrap w:val="0"/>
        <w:bidi w:val="0"/>
        <w:spacing w:before="480" w:after="240" w:line="380" w:lineRule="atLeast"/>
        <w:outlineLvl w:val="9"/>
        <w:rPr>
          <w:rFonts w:hint="default" w:ascii="Times New Roman" w:hAnsi="Times New Roman" w:eastAsia="黑体" w:cs="Times New Roman"/>
          <w:b w:val="0"/>
          <w:color w:val="auto"/>
          <w:sz w:val="28"/>
          <w:szCs w:val="28"/>
          <w:highlight w:val="none"/>
        </w:rPr>
      </w:pPr>
      <w:bookmarkStart w:id="1430" w:name="_Toc30770"/>
      <w:bookmarkStart w:id="1431" w:name="_Toc18247"/>
      <w:bookmarkStart w:id="1432" w:name="_Toc234833216"/>
      <w:bookmarkStart w:id="1433" w:name="_Toc11561"/>
      <w:r>
        <w:rPr>
          <w:rFonts w:hint="default" w:ascii="Times New Roman" w:hAnsi="Times New Roman" w:eastAsia="黑体" w:cs="Times New Roman"/>
          <w:b w:val="0"/>
          <w:color w:val="auto"/>
          <w:sz w:val="28"/>
          <w:szCs w:val="28"/>
          <w:highlight w:val="none"/>
        </w:rPr>
        <w:t>24.争议的解决</w:t>
      </w:r>
      <w:bookmarkEnd w:id="1430"/>
      <w:bookmarkEnd w:id="1431"/>
      <w:bookmarkEnd w:id="1432"/>
      <w:bookmarkEnd w:id="1433"/>
    </w:p>
    <w:p w14:paraId="7F6C5E21">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434" w:name="_Toc18858"/>
      <w:bookmarkStart w:id="1435" w:name="_Toc26371"/>
      <w:bookmarkStart w:id="1436" w:name="_Toc29697"/>
      <w:bookmarkStart w:id="1437" w:name="_Toc234833217"/>
      <w:r>
        <w:rPr>
          <w:rFonts w:hint="default" w:ascii="Times New Roman" w:hAnsi="Times New Roman" w:eastAsia="黑体" w:cs="Times New Roman"/>
          <w:b w:val="0"/>
          <w:color w:val="auto"/>
          <w:sz w:val="24"/>
          <w:szCs w:val="24"/>
          <w:highlight w:val="none"/>
        </w:rPr>
        <w:t>24.3争议评审</w:t>
      </w:r>
      <w:bookmarkEnd w:id="1434"/>
      <w:bookmarkEnd w:id="1435"/>
      <w:bookmarkEnd w:id="1436"/>
      <w:bookmarkEnd w:id="1437"/>
    </w:p>
    <w:p w14:paraId="0037B1CD">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第24.3.1项补充：</w:t>
      </w:r>
    </w:p>
    <w:p w14:paraId="3E455683">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争议评审组由3人或5人组成，专家的聘请方法可由发包人和承包人共同协商确定，亦可请政府主管部门推荐或通过合同争议调解机构聘请，并经双方认同。争议评审组成员应与合同双方均无利害关系。争议评审组的各项费用由发包人和承包人平均分担。</w:t>
      </w:r>
    </w:p>
    <w:p w14:paraId="36202AFE">
      <w:pPr>
        <w:pageBreakBefore w:val="0"/>
        <w:kinsoku/>
        <w:wordWrap w:val="0"/>
        <w:bidi w:val="0"/>
        <w:spacing w:before="240" w:beforeLines="100" w:line="400" w:lineRule="atLeast"/>
        <w:outlineLvl w:val="9"/>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本条补充第24.4款、第24.5款（适用于采用仲裁方式最终解决争议的项目）：</w:t>
      </w:r>
    </w:p>
    <w:p w14:paraId="4E65CEB5">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438" w:name="_Toc13339"/>
      <w:bookmarkStart w:id="1439" w:name="_Toc32419"/>
      <w:bookmarkStart w:id="1440" w:name="_Toc234833218"/>
      <w:bookmarkStart w:id="1441" w:name="_Toc22012"/>
      <w:r>
        <w:rPr>
          <w:rFonts w:hint="default" w:ascii="Times New Roman" w:hAnsi="Times New Roman" w:eastAsia="黑体" w:cs="Times New Roman"/>
          <w:b w:val="0"/>
          <w:color w:val="auto"/>
          <w:sz w:val="24"/>
          <w:szCs w:val="24"/>
          <w:highlight w:val="none"/>
        </w:rPr>
        <w:t>24.4仲裁</w:t>
      </w:r>
      <w:bookmarkEnd w:id="1438"/>
      <w:bookmarkEnd w:id="1439"/>
      <w:bookmarkEnd w:id="1440"/>
      <w:bookmarkEnd w:id="1441"/>
    </w:p>
    <w:p w14:paraId="5B5974E7">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（1）对于未能友好解决或未能通过争议评审解决的争议，发包人或承包人任一方均有权提交给第24.1款约定的仲裁委员会仲裁。</w:t>
      </w:r>
    </w:p>
    <w:p w14:paraId="367967CD">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仲裁可在交工之前或之后进行，但发包人、监理人和承包人各自的义务不得因在工程实施期间进行仲裁而有所改变。如果仲裁是在终止合同的情况下进行，则对合同工程应采取保护措施，措施费由败诉方承担。</w:t>
      </w:r>
    </w:p>
    <w:p w14:paraId="060B0B08">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（3）仲裁裁决是终局性的并对发包人和承包人双方具有约束力。</w:t>
      </w:r>
    </w:p>
    <w:p w14:paraId="2B88787C">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（4）全部仲裁费用应由败诉方承担；或按仲裁委员会裁决的比例分担。</w:t>
      </w:r>
    </w:p>
    <w:p w14:paraId="3540E756">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442" w:name="_Toc30469"/>
      <w:bookmarkStart w:id="1443" w:name="_Toc234833219"/>
      <w:bookmarkStart w:id="1444" w:name="_Toc20967"/>
      <w:bookmarkStart w:id="1445" w:name="_Toc2028"/>
      <w:r>
        <w:rPr>
          <w:rFonts w:hint="default" w:ascii="Times New Roman" w:hAnsi="Times New Roman" w:eastAsia="黑体" w:cs="Times New Roman"/>
          <w:b w:val="0"/>
          <w:color w:val="auto"/>
          <w:sz w:val="24"/>
          <w:szCs w:val="24"/>
          <w:highlight w:val="none"/>
        </w:rPr>
        <w:t>24.5仲裁的执行</w:t>
      </w:r>
      <w:bookmarkEnd w:id="1442"/>
      <w:bookmarkEnd w:id="1443"/>
      <w:bookmarkEnd w:id="1444"/>
      <w:bookmarkEnd w:id="1445"/>
    </w:p>
    <w:p w14:paraId="1BBF0813">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（1）任何一方不履行仲裁机构的裁决的，对方可以向有管辖权的人民法院申请执行。</w:t>
      </w:r>
    </w:p>
    <w:p w14:paraId="261738E0">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任何一方提出证据证明裁决有《中华人民共和国仲裁法》第五十八条规定情形之一的，可以向仲裁委员会所在地的中级人民法院申请撤销裁决。人民法院认定执行该裁决违背社会公共利益的，裁定不予执行。仲裁裁决被人民法院裁定不予执行的，当事人可以根据双方达成的书面仲裁协议重新申请仲裁，也可以向人民法院起诉。</w:t>
      </w:r>
    </w:p>
    <w:p w14:paraId="0BF159E0">
      <w:pPr>
        <w:pageBreakBefore w:val="0"/>
        <w:kinsoku/>
        <w:wordWrap w:val="0"/>
        <w:bidi w:val="0"/>
        <w:spacing w:before="240" w:after="240" w:line="380" w:lineRule="atLeast"/>
        <w:jc w:val="center"/>
        <w:outlineLvl w:val="3"/>
        <w:rPr>
          <w:rFonts w:hint="default" w:ascii="Times New Roman" w:hAnsi="Times New Roman" w:eastAsia="黑体" w:cs="Times New Roman"/>
          <w:b w:val="0"/>
          <w:color w:val="auto"/>
          <w:sz w:val="32"/>
          <w:szCs w:val="32"/>
          <w:highlight w:val="none"/>
        </w:rPr>
      </w:pPr>
      <w:r>
        <w:rPr>
          <w:rFonts w:hint="default" w:ascii="Times New Roman" w:hAnsi="Times New Roman" w:eastAsia="黑体" w:cs="Times New Roman"/>
          <w:color w:val="auto"/>
          <w:sz w:val="24"/>
          <w:highlight w:val="none"/>
        </w:rPr>
        <w:br w:type="page"/>
      </w:r>
      <w:bookmarkStart w:id="1446" w:name="_Toc234833220"/>
      <w:bookmarkStart w:id="1447" w:name="_Toc10610"/>
      <w:bookmarkStart w:id="1448" w:name="_Toc3230"/>
      <w:r>
        <w:rPr>
          <w:rFonts w:hint="default" w:ascii="Times New Roman" w:hAnsi="Times New Roman" w:eastAsia="黑体" w:cs="Times New Roman"/>
          <w:b w:val="0"/>
          <w:color w:val="auto"/>
          <w:sz w:val="32"/>
          <w:szCs w:val="32"/>
          <w:highlight w:val="none"/>
        </w:rPr>
        <w:t>B.项目专用合同条款</w:t>
      </w:r>
      <w:bookmarkEnd w:id="1446"/>
      <w:bookmarkEnd w:id="1447"/>
      <w:bookmarkEnd w:id="1448"/>
    </w:p>
    <w:p w14:paraId="46251C5F">
      <w:pPr>
        <w:pageBreakBefore w:val="0"/>
        <w:kinsoku/>
        <w:wordWrap w:val="0"/>
        <w:bidi w:val="0"/>
        <w:spacing w:line="440" w:lineRule="exact"/>
        <w:rPr>
          <w:rFonts w:hint="default" w:ascii="Times New Roman" w:hAnsi="Times New Roman" w:eastAsia="黑体" w:cs="Times New Roman"/>
          <w:color w:val="auto"/>
          <w:sz w:val="27"/>
          <w:szCs w:val="27"/>
          <w:highlight w:val="none"/>
        </w:rPr>
      </w:pPr>
    </w:p>
    <w:p w14:paraId="73610985">
      <w:pPr>
        <w:pStyle w:val="18"/>
        <w:pageBreakBefore w:val="0"/>
        <w:kinsoku/>
        <w:wordWrap w:val="0"/>
        <w:bidi w:val="0"/>
        <w:snapToGrid w:val="0"/>
        <w:spacing w:line="400" w:lineRule="atLeast"/>
        <w:ind w:left="0" w:leftChars="0"/>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说明：</w:t>
      </w:r>
    </w:p>
    <w:p w14:paraId="45FEAB90">
      <w:pPr>
        <w:pStyle w:val="18"/>
        <w:pageBreakBefore w:val="0"/>
        <w:kinsoku/>
        <w:wordWrap w:val="0"/>
        <w:bidi w:val="0"/>
        <w:snapToGrid w:val="0"/>
        <w:spacing w:line="400" w:lineRule="atLeast"/>
        <w:ind w:left="0" w:leftChars="0" w:firstLine="720" w:firstLineChars="300"/>
        <w:rPr>
          <w:rFonts w:hint="eastAsia" w:ascii="宋体" w:hAnsi="宋体" w:eastAsia="宋体" w:cs="宋体"/>
          <w:color w:val="auto"/>
          <w:sz w:val="24"/>
          <w:highlight w:val="none"/>
        </w:rPr>
      </w:pPr>
      <w:r>
        <w:rPr>
          <w:rFonts w:hint="eastAsia" w:ascii="宋体" w:hAnsi="宋体" w:eastAsia="宋体" w:cs="宋体"/>
          <w:color w:val="auto"/>
          <w:sz w:val="24"/>
          <w:highlight w:val="none"/>
        </w:rPr>
        <w:t>1.招标人在根据《</w:t>
      </w:r>
      <w:r>
        <w:rPr>
          <w:rFonts w:hint="eastAsia" w:ascii="宋体" w:hAnsi="宋体" w:eastAsia="宋体" w:cs="宋体"/>
          <w:color w:val="auto"/>
          <w:sz w:val="24"/>
          <w:highlight w:val="none"/>
          <w:lang w:val="en-US" w:eastAsia="zh-CN"/>
        </w:rPr>
        <w:t>标准文件</w:t>
      </w:r>
      <w:r>
        <w:rPr>
          <w:rFonts w:hint="eastAsia" w:ascii="宋体" w:hAnsi="宋体" w:eastAsia="宋体" w:cs="宋体"/>
          <w:color w:val="auto"/>
          <w:sz w:val="24"/>
          <w:highlight w:val="none"/>
        </w:rPr>
        <w:t>》编制项目招标文件中的“项目专用合同条款”时，可根据招标项目的具体特点和实际需要，对“通用合同条款”及“公路工程专用合同条款”进行补充和细化，除“通用合同条款”明确“专用合同条款”可作出不同约定以及“公路工程专用合同条款”明确“项目专用合同条款”可作出不同约定外，补充和细化的内容不得与“通用合同条款”及“公路工程专用合同条款”强制性规定相抵触。补充、细化或约定的内容，不得违反法律、行政法规的强制性规定和平等、自愿、公平和诚实信用原则。</w:t>
      </w:r>
    </w:p>
    <w:p w14:paraId="6D6AA819">
      <w:pPr>
        <w:pStyle w:val="18"/>
        <w:pageBreakBefore w:val="0"/>
        <w:kinsoku/>
        <w:wordWrap w:val="0"/>
        <w:bidi w:val="0"/>
        <w:snapToGrid w:val="0"/>
        <w:spacing w:line="400" w:lineRule="atLeast"/>
        <w:ind w:left="0" w:leftChars="0" w:firstLine="720" w:firstLineChars="300"/>
        <w:rPr>
          <w:rFonts w:hint="eastAsia" w:ascii="宋体" w:hAnsi="宋体" w:eastAsia="宋体" w:cs="宋体"/>
          <w:color w:val="auto"/>
          <w:sz w:val="24"/>
          <w:highlight w:val="none"/>
        </w:rPr>
      </w:pPr>
      <w:r>
        <w:rPr>
          <w:rFonts w:hint="eastAsia" w:ascii="宋体" w:hAnsi="宋体" w:eastAsia="宋体" w:cs="宋体"/>
          <w:color w:val="auto"/>
          <w:sz w:val="24"/>
          <w:highlight w:val="none"/>
        </w:rPr>
        <w:t>2.项目专用合同条款的编号应与通用合同条款和公路工程专用合同条款一致。</w:t>
      </w:r>
    </w:p>
    <w:p w14:paraId="65AD9544">
      <w:pPr>
        <w:pStyle w:val="18"/>
        <w:pageBreakBefore w:val="0"/>
        <w:kinsoku/>
        <w:wordWrap w:val="0"/>
        <w:bidi w:val="0"/>
        <w:snapToGrid w:val="0"/>
        <w:spacing w:line="400" w:lineRule="atLeast"/>
        <w:ind w:left="0" w:leftChars="0" w:firstLine="720" w:firstLineChars="3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3.项目专用合同条款可对下列内容进行补充和细化：</w:t>
      </w:r>
    </w:p>
    <w:p w14:paraId="1A7E34E9">
      <w:pPr>
        <w:pStyle w:val="18"/>
        <w:pageBreakBefore w:val="0"/>
        <w:kinsoku/>
        <w:wordWrap w:val="0"/>
        <w:bidi w:val="0"/>
        <w:snapToGrid w:val="0"/>
        <w:spacing w:line="400" w:lineRule="atLeast"/>
        <w:ind w:left="0" w:leftChars="0" w:firstLine="720" w:firstLineChars="300"/>
        <w:rPr>
          <w:rFonts w:hint="eastAsia" w:ascii="宋体" w:hAnsi="宋体" w:eastAsia="宋体" w:cs="宋体"/>
          <w:color w:val="auto"/>
          <w:sz w:val="24"/>
          <w:highlight w:val="none"/>
        </w:rPr>
      </w:pPr>
      <w:r>
        <w:rPr>
          <w:rFonts w:hint="eastAsia" w:ascii="宋体" w:hAnsi="宋体" w:eastAsia="宋体" w:cs="宋体"/>
          <w:color w:val="auto"/>
          <w:sz w:val="24"/>
          <w:highlight w:val="none"/>
        </w:rPr>
        <w:t>（1）“通用合同条款”中明确指出“专用合同条款”可对“通用合同条款”进行修改的内容（在“通用合同条款”中用“应按合同约定”“应按专用合同条款约定”“除合同另有约定外”“除专用合同条款另有约定外”“在专用合同条款中约定”等多种文字形式表达）；</w:t>
      </w:r>
    </w:p>
    <w:p w14:paraId="67FEB3E0">
      <w:pPr>
        <w:pStyle w:val="18"/>
        <w:pageBreakBefore w:val="0"/>
        <w:kinsoku/>
        <w:wordWrap w:val="0"/>
        <w:bidi w:val="0"/>
        <w:snapToGrid w:val="0"/>
        <w:spacing w:line="400" w:lineRule="atLeast"/>
        <w:ind w:left="0" w:leftChars="0" w:firstLine="720" w:firstLineChars="300"/>
        <w:rPr>
          <w:rFonts w:hint="eastAsia" w:ascii="宋体" w:hAnsi="宋体" w:eastAsia="宋体" w:cs="宋体"/>
          <w:color w:val="auto"/>
          <w:sz w:val="24"/>
          <w:highlight w:val="none"/>
        </w:rPr>
      </w:pPr>
      <w:r>
        <w:rPr>
          <w:rFonts w:hint="eastAsia" w:ascii="宋体" w:hAnsi="宋体" w:eastAsia="宋体" w:cs="宋体"/>
          <w:color w:val="auto"/>
          <w:sz w:val="24"/>
          <w:highlight w:val="none"/>
        </w:rPr>
        <w:t>（2）“公路工程专用合同条款”中明确指出“项目专用合同条款”可对“公路工程专用合同条款”进行修改的内容（在“公路工程专用合同条款”中用“除项目专用合同条款另有约定外”“项目专用合同条款可能约定的”“项目专用合同条款约定的其他情形”等多种文字形式表达）。</w:t>
      </w:r>
    </w:p>
    <w:p w14:paraId="227A4894">
      <w:pPr>
        <w:pStyle w:val="18"/>
        <w:pageBreakBefore w:val="0"/>
        <w:kinsoku/>
        <w:wordWrap w:val="0"/>
        <w:bidi w:val="0"/>
        <w:snapToGrid w:val="0"/>
        <w:spacing w:line="400" w:lineRule="atLeast"/>
        <w:ind w:left="0" w:leftChars="0" w:firstLine="720" w:firstLineChars="300"/>
        <w:rPr>
          <w:rFonts w:hint="eastAsia" w:ascii="宋体" w:hAnsi="宋体" w:eastAsia="宋体" w:cs="宋体"/>
          <w:color w:val="auto"/>
          <w:sz w:val="24"/>
          <w:highlight w:val="none"/>
        </w:rPr>
      </w:pPr>
      <w:r>
        <w:rPr>
          <w:rFonts w:hint="eastAsia" w:ascii="宋体" w:hAnsi="宋体" w:eastAsia="宋体" w:cs="宋体"/>
          <w:color w:val="auto"/>
          <w:sz w:val="24"/>
          <w:highlight w:val="none"/>
        </w:rPr>
        <w:t>（3）其他需要补充、细化的内容。</w:t>
      </w:r>
    </w:p>
    <w:p w14:paraId="7E75D16B">
      <w:pPr>
        <w:pStyle w:val="18"/>
        <w:pageBreakBefore w:val="0"/>
        <w:kinsoku/>
        <w:wordWrap w:val="0"/>
        <w:bidi w:val="0"/>
        <w:snapToGrid w:val="0"/>
        <w:spacing w:line="400" w:lineRule="atLeast"/>
        <w:ind w:left="0" w:leftChars="0" w:firstLine="720" w:firstLineChars="300"/>
        <w:rPr>
          <w:rFonts w:hint="default" w:ascii="Times New Roman" w:hAnsi="Times New Roman" w:eastAsia="黑体" w:cs="Times New Roman"/>
          <w:color w:val="auto"/>
          <w:sz w:val="24"/>
          <w:highlight w:val="none"/>
        </w:rPr>
      </w:pPr>
    </w:p>
    <w:p w14:paraId="2002AAE2">
      <w:pPr>
        <w:pageBreakBefore w:val="0"/>
        <w:kinsoku/>
        <w:wordWrap w:val="0"/>
        <w:bidi w:val="0"/>
        <w:spacing w:before="240" w:after="240" w:line="380" w:lineRule="atLeast"/>
        <w:jc w:val="center"/>
        <w:outlineLvl w:val="3"/>
        <w:rPr>
          <w:rFonts w:hint="default" w:ascii="Times New Roman" w:hAnsi="Times New Roman" w:eastAsia="黑体" w:cs="Times New Roman"/>
          <w:b w:val="0"/>
          <w:color w:val="auto"/>
          <w:sz w:val="32"/>
          <w:szCs w:val="32"/>
          <w:highlight w:val="none"/>
        </w:rPr>
      </w:pPr>
      <w:r>
        <w:rPr>
          <w:rFonts w:hint="default" w:ascii="Times New Roman" w:hAnsi="Times New Roman" w:eastAsia="黑体" w:cs="Times New Roman"/>
          <w:color w:val="auto"/>
          <w:sz w:val="28"/>
          <w:highlight w:val="none"/>
        </w:rPr>
        <w:br w:type="page"/>
      </w:r>
      <w:bookmarkStart w:id="1449" w:name="_Toc30237"/>
      <w:bookmarkStart w:id="1450" w:name="_Toc7284"/>
      <w:bookmarkStart w:id="1451" w:name="_Toc21057"/>
      <w:bookmarkStart w:id="1452" w:name="_Toc234833221"/>
      <w:r>
        <w:rPr>
          <w:rFonts w:hint="default" w:ascii="Times New Roman" w:hAnsi="Times New Roman" w:eastAsia="黑体" w:cs="Times New Roman"/>
          <w:b w:val="0"/>
          <w:color w:val="auto"/>
          <w:sz w:val="32"/>
          <w:szCs w:val="32"/>
          <w:highlight w:val="none"/>
        </w:rPr>
        <w:t>项目专用合同条款数据表</w:t>
      </w:r>
      <w:bookmarkEnd w:id="1449"/>
      <w:bookmarkEnd w:id="1450"/>
      <w:bookmarkEnd w:id="1451"/>
      <w:bookmarkEnd w:id="1452"/>
    </w:p>
    <w:p w14:paraId="5F56DA33">
      <w:pPr>
        <w:pStyle w:val="18"/>
        <w:pageBreakBefore w:val="0"/>
        <w:kinsoku/>
        <w:wordWrap w:val="0"/>
        <w:bidi w:val="0"/>
        <w:snapToGrid w:val="0"/>
        <w:spacing w:after="0" w:line="400" w:lineRule="atLeast"/>
        <w:ind w:left="660" w:leftChars="0" w:hanging="660" w:hangingChars="275"/>
        <w:rPr>
          <w:rFonts w:hint="default" w:ascii="Times New Roman" w:hAnsi="Times New Roman" w:cs="Times New Roman"/>
          <w:color w:val="auto"/>
          <w:sz w:val="24"/>
          <w:highlight w:val="none"/>
        </w:rPr>
      </w:pPr>
      <w:r>
        <w:rPr>
          <w:rFonts w:hint="default" w:ascii="Times New Roman" w:hAnsi="Times New Roman" w:eastAsia="黑体" w:cs="Times New Roman"/>
          <w:color w:val="auto"/>
          <w:sz w:val="24"/>
          <w:highlight w:val="none"/>
        </w:rPr>
        <w:t>说明：</w:t>
      </w:r>
      <w:r>
        <w:rPr>
          <w:rFonts w:hint="eastAsia" w:ascii="宋体" w:hAnsi="宋体" w:eastAsia="宋体" w:cs="宋体"/>
          <w:color w:val="auto"/>
          <w:sz w:val="24"/>
          <w:highlight w:val="none"/>
        </w:rPr>
        <w:t>本数据表是项目专用合同条款中适用于本项目的信息和数据的归纳与提示，是项目专用合同条款的组成部分。第九章“投标文件格式”的投标函附录中的数据（供投标人确认）与本表所列有重复。编写招标文件的单位应仔细校核，不使数据出现差错或不一致。</w:t>
      </w:r>
    </w:p>
    <w:p w14:paraId="0B8EC5F7">
      <w:pPr>
        <w:pStyle w:val="18"/>
        <w:pageBreakBefore w:val="0"/>
        <w:kinsoku/>
        <w:wordWrap w:val="0"/>
        <w:bidi w:val="0"/>
        <w:snapToGrid w:val="0"/>
        <w:spacing w:after="0" w:line="400" w:lineRule="atLeast"/>
        <w:ind w:left="660" w:leftChars="0" w:hanging="660" w:hangingChars="275"/>
        <w:rPr>
          <w:rFonts w:hint="default" w:ascii="Times New Roman" w:hAnsi="Times New Roman" w:cs="Times New Roman"/>
          <w:color w:val="auto"/>
          <w:sz w:val="24"/>
          <w:highlight w:val="none"/>
        </w:rPr>
      </w:pPr>
    </w:p>
    <w:tbl>
      <w:tblPr>
        <w:tblStyle w:val="94"/>
        <w:tblW w:w="906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384"/>
        <w:gridCol w:w="7054"/>
      </w:tblGrid>
      <w:tr w14:paraId="02CBC6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0" w:hRule="atLeast"/>
          <w:tblHeader/>
          <w:jc w:val="center"/>
        </w:trPr>
        <w:tc>
          <w:tcPr>
            <w:tcW w:w="624" w:type="dxa"/>
            <w:tcBorders>
              <w:left w:val="single" w:color="000000" w:sz="6" w:space="0"/>
            </w:tcBorders>
            <w:vAlign w:val="center"/>
          </w:tcPr>
          <w:p w14:paraId="21262F8F">
            <w:pPr>
              <w:keepLines w:val="0"/>
              <w:pageBreakBefore w:val="0"/>
              <w:widowControl w:val="0"/>
              <w:kinsoku/>
              <w:overflowPunct/>
              <w:topLinePunct w:val="0"/>
              <w:autoSpaceDE/>
              <w:autoSpaceDN/>
              <w:bidi w:val="0"/>
              <w:snapToGrid w:val="0"/>
              <w:spacing w:before="134" w:line="240" w:lineRule="auto"/>
              <w:ind w:left="105" w:leftChars="50" w:right="283" w:rightChars="0" w:firstLine="0" w:firstLineChars="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pacing w:val="5"/>
                <w:sz w:val="21"/>
                <w:szCs w:val="21"/>
                <w:highlight w:val="none"/>
              </w:rPr>
              <w:t>序</w:t>
            </w:r>
            <w:r>
              <w:rPr>
                <w:rFonts w:hint="eastAsia" w:ascii="宋体" w:hAnsi="宋体" w:eastAsia="宋体" w:cs="宋体"/>
                <w:b/>
                <w:color w:val="auto"/>
                <w:spacing w:val="4"/>
                <w:sz w:val="21"/>
                <w:szCs w:val="21"/>
                <w:highlight w:val="none"/>
              </w:rPr>
              <w:t>号</w:t>
            </w:r>
          </w:p>
        </w:tc>
        <w:tc>
          <w:tcPr>
            <w:tcW w:w="1384" w:type="dxa"/>
            <w:vAlign w:val="center"/>
          </w:tcPr>
          <w:p w14:paraId="1720952B">
            <w:pPr>
              <w:keepLines w:val="0"/>
              <w:pageBreakBefore w:val="0"/>
              <w:widowControl w:val="0"/>
              <w:kinsoku/>
              <w:overflowPunct/>
              <w:topLinePunct w:val="0"/>
              <w:autoSpaceDE/>
              <w:autoSpaceDN/>
              <w:bidi w:val="0"/>
              <w:snapToGrid w:val="0"/>
              <w:spacing w:before="134" w:line="240" w:lineRule="auto"/>
              <w:ind w:left="105" w:leftChars="50" w:right="283" w:rightChars="0" w:firstLine="0" w:firstLineChars="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pacing w:val="7"/>
                <w:sz w:val="21"/>
                <w:szCs w:val="21"/>
                <w:highlight w:val="none"/>
              </w:rPr>
              <w:t>条</w:t>
            </w:r>
            <w:r>
              <w:rPr>
                <w:rFonts w:hint="eastAsia" w:ascii="宋体" w:hAnsi="宋体" w:eastAsia="宋体" w:cs="宋体"/>
                <w:b/>
                <w:color w:val="auto"/>
                <w:spacing w:val="6"/>
                <w:sz w:val="21"/>
                <w:szCs w:val="21"/>
                <w:highlight w:val="none"/>
              </w:rPr>
              <w:t>目号</w:t>
            </w:r>
          </w:p>
        </w:tc>
        <w:tc>
          <w:tcPr>
            <w:tcW w:w="7054" w:type="dxa"/>
            <w:tcBorders>
              <w:right w:val="single" w:color="000000" w:sz="6" w:space="0"/>
            </w:tcBorders>
            <w:vAlign w:val="center"/>
          </w:tcPr>
          <w:p w14:paraId="4BFCAB44">
            <w:pPr>
              <w:keepLines w:val="0"/>
              <w:pageBreakBefore w:val="0"/>
              <w:widowControl w:val="0"/>
              <w:kinsoku/>
              <w:overflowPunct/>
              <w:topLinePunct w:val="0"/>
              <w:autoSpaceDE/>
              <w:autoSpaceDN/>
              <w:bidi w:val="0"/>
              <w:snapToGrid w:val="0"/>
              <w:spacing w:before="134" w:line="240" w:lineRule="auto"/>
              <w:ind w:left="105" w:leftChars="50" w:right="283" w:rightChars="0" w:firstLine="0" w:firstLineChars="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pacing w:val="8"/>
                <w:sz w:val="21"/>
                <w:szCs w:val="21"/>
                <w:highlight w:val="none"/>
              </w:rPr>
              <w:t>信息或数据</w:t>
            </w:r>
          </w:p>
        </w:tc>
      </w:tr>
      <w:tr w14:paraId="43B517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24" w:type="dxa"/>
            <w:tcBorders>
              <w:left w:val="single" w:color="000000" w:sz="6" w:space="0"/>
            </w:tcBorders>
            <w:vAlign w:val="center"/>
          </w:tcPr>
          <w:p w14:paraId="7D4E7892">
            <w:pPr>
              <w:keepLines w:val="0"/>
              <w:pageBreakBefore w:val="0"/>
              <w:widowControl w:val="0"/>
              <w:kinsoku/>
              <w:overflowPunct/>
              <w:topLinePunct w:val="0"/>
              <w:autoSpaceDE/>
              <w:autoSpaceDN/>
              <w:bidi w:val="0"/>
              <w:snapToGrid w:val="0"/>
              <w:spacing w:before="57" w:line="240" w:lineRule="auto"/>
              <w:ind w:left="105" w:leftChars="50" w:right="283" w:righ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384" w:type="dxa"/>
            <w:vAlign w:val="center"/>
          </w:tcPr>
          <w:p w14:paraId="404D0480">
            <w:pPr>
              <w:keepLines w:val="0"/>
              <w:pageBreakBefore w:val="0"/>
              <w:widowControl w:val="0"/>
              <w:kinsoku/>
              <w:overflowPunct/>
              <w:topLinePunct w:val="0"/>
              <w:autoSpaceDE/>
              <w:autoSpaceDN/>
              <w:bidi w:val="0"/>
              <w:snapToGrid w:val="0"/>
              <w:spacing w:before="57" w:line="240" w:lineRule="auto"/>
              <w:ind w:left="105" w:leftChars="50" w:right="283" w:righ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w:t>
            </w:r>
            <w:r>
              <w:rPr>
                <w:rFonts w:hint="eastAsia" w:ascii="宋体" w:hAnsi="宋体" w:eastAsia="宋体" w:cs="宋体"/>
                <w:color w:val="auto"/>
                <w:sz w:val="21"/>
                <w:szCs w:val="21"/>
                <w:highlight w:val="none"/>
              </w:rPr>
              <w:t>1.2.2</w:t>
            </w:r>
          </w:p>
        </w:tc>
        <w:tc>
          <w:tcPr>
            <w:tcW w:w="7054" w:type="dxa"/>
            <w:tcBorders>
              <w:right w:val="single" w:color="000000" w:sz="6" w:space="0"/>
            </w:tcBorders>
            <w:vAlign w:val="center"/>
          </w:tcPr>
          <w:p w14:paraId="5D3D6762">
            <w:pPr>
              <w:keepLines w:val="0"/>
              <w:pageBreakBefore w:val="0"/>
              <w:widowControl w:val="0"/>
              <w:kinsoku/>
              <w:overflowPunct/>
              <w:topLinePunct w:val="0"/>
              <w:autoSpaceDE/>
              <w:autoSpaceDN/>
              <w:bidi w:val="0"/>
              <w:snapToGrid w:val="0"/>
              <w:spacing w:before="138"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6"/>
                <w:sz w:val="21"/>
                <w:szCs w:val="21"/>
                <w:highlight w:val="none"/>
              </w:rPr>
              <w:t>发</w:t>
            </w:r>
            <w:r>
              <w:rPr>
                <w:rFonts w:hint="eastAsia" w:ascii="宋体" w:hAnsi="宋体" w:eastAsia="宋体" w:cs="宋体"/>
                <w:color w:val="auto"/>
                <w:spacing w:val="8"/>
                <w:sz w:val="21"/>
                <w:szCs w:val="21"/>
                <w:highlight w:val="none"/>
              </w:rPr>
              <w:t>包人：</w:t>
            </w:r>
            <w:r>
              <w:rPr>
                <w:rFonts w:hint="eastAsia" w:ascii="宋体" w:hAnsi="宋体" w:cs="宋体"/>
                <w:color w:val="auto"/>
                <w:spacing w:val="8"/>
                <w:sz w:val="21"/>
                <w:szCs w:val="21"/>
                <w:highlight w:val="none"/>
                <w:u w:val="single" w:color="auto"/>
                <w:lang w:eastAsia="zh-CN"/>
              </w:rPr>
              <w:t>盖州市财政局</w:t>
            </w:r>
          </w:p>
          <w:p w14:paraId="3678A9E1">
            <w:pPr>
              <w:keepLines w:val="0"/>
              <w:pageBreakBefore w:val="0"/>
              <w:widowControl w:val="0"/>
              <w:kinsoku/>
              <w:overflowPunct/>
              <w:topLinePunct w:val="0"/>
              <w:autoSpaceDE/>
              <w:autoSpaceDN/>
              <w:bidi w:val="0"/>
              <w:snapToGrid w:val="0"/>
              <w:spacing w:before="153"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rPr>
              <w:t>地</w:t>
            </w:r>
            <w:r>
              <w:rPr>
                <w:rFonts w:hint="eastAsia" w:ascii="宋体" w:hAnsi="宋体" w:eastAsia="宋体" w:cs="宋体"/>
                <w:color w:val="auto"/>
                <w:spacing w:val="5"/>
                <w:sz w:val="21"/>
                <w:szCs w:val="21"/>
                <w:highlight w:val="none"/>
              </w:rPr>
              <w:t>址：</w:t>
            </w:r>
            <w:r>
              <w:rPr>
                <w:rFonts w:hint="eastAsia" w:ascii="宋体" w:hAnsi="宋体" w:eastAsia="宋体" w:cs="宋体"/>
                <w:color w:val="auto"/>
                <w:spacing w:val="5"/>
                <w:sz w:val="21"/>
                <w:szCs w:val="21"/>
                <w:highlight w:val="none"/>
                <w:u w:val="single" w:color="auto"/>
                <w:lang w:val="en-US" w:eastAsia="zh-CN"/>
              </w:rPr>
              <w:t>盖州市市府大街12号</w:t>
            </w:r>
          </w:p>
        </w:tc>
      </w:tr>
      <w:tr w14:paraId="1F6009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24" w:type="dxa"/>
            <w:tcBorders>
              <w:left w:val="single" w:color="000000" w:sz="6" w:space="0"/>
            </w:tcBorders>
            <w:vAlign w:val="center"/>
          </w:tcPr>
          <w:p w14:paraId="69040CEF">
            <w:pPr>
              <w:keepLines w:val="0"/>
              <w:pageBreakBefore w:val="0"/>
              <w:widowControl w:val="0"/>
              <w:kinsoku/>
              <w:overflowPunct/>
              <w:topLinePunct w:val="0"/>
              <w:autoSpaceDE/>
              <w:autoSpaceDN/>
              <w:bidi w:val="0"/>
              <w:snapToGrid w:val="0"/>
              <w:spacing w:before="57" w:line="240" w:lineRule="auto"/>
              <w:ind w:left="105" w:leftChars="50" w:right="283" w:righ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384" w:type="dxa"/>
            <w:vAlign w:val="center"/>
          </w:tcPr>
          <w:p w14:paraId="383B7085">
            <w:pPr>
              <w:keepLines w:val="0"/>
              <w:pageBreakBefore w:val="0"/>
              <w:widowControl w:val="0"/>
              <w:kinsoku/>
              <w:overflowPunct/>
              <w:topLinePunct w:val="0"/>
              <w:autoSpaceDE/>
              <w:autoSpaceDN/>
              <w:bidi w:val="0"/>
              <w:snapToGrid w:val="0"/>
              <w:spacing w:before="57" w:line="240" w:lineRule="auto"/>
              <w:ind w:left="105" w:leftChars="50" w:right="283" w:righ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w:t>
            </w:r>
            <w:r>
              <w:rPr>
                <w:rFonts w:hint="eastAsia" w:ascii="宋体" w:hAnsi="宋体" w:eastAsia="宋体" w:cs="宋体"/>
                <w:color w:val="auto"/>
                <w:sz w:val="21"/>
                <w:szCs w:val="21"/>
                <w:highlight w:val="none"/>
              </w:rPr>
              <w:t>1.2.6</w:t>
            </w:r>
          </w:p>
        </w:tc>
        <w:tc>
          <w:tcPr>
            <w:tcW w:w="7054" w:type="dxa"/>
            <w:tcBorders>
              <w:right w:val="single" w:color="000000" w:sz="6" w:space="0"/>
            </w:tcBorders>
            <w:vAlign w:val="center"/>
          </w:tcPr>
          <w:p w14:paraId="361689BC">
            <w:pPr>
              <w:keepLines w:val="0"/>
              <w:pageBreakBefore w:val="0"/>
              <w:widowControl w:val="0"/>
              <w:kinsoku/>
              <w:overflowPunct/>
              <w:topLinePunct w:val="0"/>
              <w:autoSpaceDE/>
              <w:autoSpaceDN/>
              <w:bidi w:val="0"/>
              <w:snapToGrid w:val="0"/>
              <w:spacing w:before="137"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监</w:t>
            </w:r>
            <w:r>
              <w:rPr>
                <w:rFonts w:hint="eastAsia" w:ascii="宋体" w:hAnsi="宋体" w:eastAsia="宋体" w:cs="宋体"/>
                <w:color w:val="auto"/>
                <w:spacing w:val="5"/>
                <w:sz w:val="21"/>
                <w:szCs w:val="21"/>
                <w:highlight w:val="none"/>
              </w:rPr>
              <w:t>理人：</w:t>
            </w:r>
          </w:p>
          <w:p w14:paraId="79013F11">
            <w:pPr>
              <w:keepLines w:val="0"/>
              <w:pageBreakBefore w:val="0"/>
              <w:widowControl w:val="0"/>
              <w:kinsoku/>
              <w:overflowPunct/>
              <w:topLinePunct w:val="0"/>
              <w:autoSpaceDE/>
              <w:autoSpaceDN/>
              <w:bidi w:val="0"/>
              <w:snapToGrid w:val="0"/>
              <w:spacing w:before="150"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地址：</w:t>
            </w:r>
            <w:r>
              <w:rPr>
                <w:rFonts w:hint="eastAsia" w:ascii="宋体" w:hAnsi="宋体" w:cs="宋体"/>
                <w:color w:val="auto"/>
                <w:spacing w:val="-1"/>
                <w:sz w:val="21"/>
                <w:szCs w:val="21"/>
                <w:highlight w:val="none"/>
                <w:lang w:val="en-US" w:eastAsia="zh-CN"/>
              </w:rPr>
              <w:t xml:space="preserve">                </w:t>
            </w:r>
            <w:r>
              <w:rPr>
                <w:rFonts w:hint="eastAsia" w:ascii="宋体" w:hAnsi="宋体" w:eastAsia="宋体" w:cs="宋体"/>
                <w:color w:val="auto"/>
                <w:sz w:val="21"/>
                <w:szCs w:val="21"/>
                <w:highlight w:val="none"/>
              </w:rPr>
              <w:t>邮政编码：</w:t>
            </w:r>
          </w:p>
          <w:p w14:paraId="107630B9">
            <w:pPr>
              <w:keepLines w:val="0"/>
              <w:pageBreakBefore w:val="0"/>
              <w:widowControl w:val="0"/>
              <w:kinsoku/>
              <w:overflowPunct/>
              <w:topLinePunct w:val="0"/>
              <w:autoSpaceDE/>
              <w:autoSpaceDN/>
              <w:bidi w:val="0"/>
              <w:snapToGrid w:val="0"/>
              <w:spacing w:before="154"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4"/>
                <w:sz w:val="21"/>
                <w:szCs w:val="21"/>
                <w:highlight w:val="none"/>
              </w:rPr>
              <w:t>(</w:t>
            </w:r>
            <w:r>
              <w:rPr>
                <w:rFonts w:hint="eastAsia" w:ascii="宋体" w:hAnsi="宋体" w:eastAsia="宋体" w:cs="宋体"/>
                <w:color w:val="auto"/>
                <w:spacing w:val="14"/>
                <w:sz w:val="21"/>
                <w:szCs w:val="21"/>
                <w:highlight w:val="none"/>
              </w:rPr>
              <w:t>发</w:t>
            </w:r>
            <w:r>
              <w:rPr>
                <w:rFonts w:hint="eastAsia" w:ascii="宋体" w:hAnsi="宋体" w:eastAsia="宋体" w:cs="宋体"/>
                <w:color w:val="auto"/>
                <w:spacing w:val="12"/>
                <w:sz w:val="21"/>
                <w:szCs w:val="21"/>
                <w:highlight w:val="none"/>
              </w:rPr>
              <w:t>包人将在签订合同协议书后，将上述信息书面通知承包人)</w:t>
            </w:r>
          </w:p>
        </w:tc>
      </w:tr>
      <w:tr w14:paraId="2806C7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24" w:type="dxa"/>
            <w:tcBorders>
              <w:left w:val="single" w:color="000000" w:sz="6" w:space="0"/>
            </w:tcBorders>
            <w:vAlign w:val="center"/>
          </w:tcPr>
          <w:p w14:paraId="1BBAAC06">
            <w:pPr>
              <w:keepLines w:val="0"/>
              <w:pageBreakBefore w:val="0"/>
              <w:widowControl w:val="0"/>
              <w:kinsoku/>
              <w:overflowPunct/>
              <w:topLinePunct w:val="0"/>
              <w:autoSpaceDE/>
              <w:autoSpaceDN/>
              <w:bidi w:val="0"/>
              <w:snapToGrid w:val="0"/>
              <w:spacing w:before="131" w:line="240" w:lineRule="auto"/>
              <w:ind w:left="105" w:leftChars="50" w:right="283" w:righ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384" w:type="dxa"/>
            <w:vAlign w:val="center"/>
          </w:tcPr>
          <w:p w14:paraId="5AE8D278">
            <w:pPr>
              <w:keepLines w:val="0"/>
              <w:pageBreakBefore w:val="0"/>
              <w:widowControl w:val="0"/>
              <w:kinsoku/>
              <w:overflowPunct/>
              <w:topLinePunct w:val="0"/>
              <w:autoSpaceDE/>
              <w:autoSpaceDN/>
              <w:bidi w:val="0"/>
              <w:snapToGrid w:val="0"/>
              <w:spacing w:before="131" w:line="240" w:lineRule="auto"/>
              <w:ind w:left="105" w:leftChars="50" w:right="283" w:righ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1.1.3.14</w:t>
            </w:r>
          </w:p>
        </w:tc>
        <w:tc>
          <w:tcPr>
            <w:tcW w:w="7054" w:type="dxa"/>
            <w:tcBorders>
              <w:right w:val="single" w:color="000000" w:sz="6" w:space="0"/>
            </w:tcBorders>
            <w:vAlign w:val="center"/>
          </w:tcPr>
          <w:p w14:paraId="3DEF7AD2">
            <w:pPr>
              <w:keepLines w:val="0"/>
              <w:pageBreakBefore w:val="0"/>
              <w:widowControl w:val="0"/>
              <w:kinsoku/>
              <w:overflowPunct/>
              <w:topLinePunct w:val="0"/>
              <w:autoSpaceDE/>
              <w:autoSpaceDN/>
              <w:bidi w:val="0"/>
              <w:snapToGrid w:val="0"/>
              <w:spacing w:before="138"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0"/>
                <w:sz w:val="21"/>
                <w:szCs w:val="21"/>
                <w:highlight w:val="none"/>
              </w:rPr>
              <w:t>本</w:t>
            </w:r>
            <w:r>
              <w:rPr>
                <w:rFonts w:hint="eastAsia" w:ascii="宋体" w:hAnsi="宋体" w:eastAsia="宋体" w:cs="宋体"/>
                <w:color w:val="auto"/>
                <w:spacing w:val="10"/>
                <w:sz w:val="21"/>
                <w:szCs w:val="21"/>
                <w:highlight w:val="none"/>
              </w:rPr>
              <w:t>工程的主体和关键性工作是指：</w:t>
            </w:r>
            <w:r>
              <w:rPr>
                <w:rFonts w:hint="eastAsia" w:ascii="宋体" w:hAnsi="宋体" w:eastAsia="宋体" w:cs="宋体"/>
                <w:color w:val="auto"/>
                <w:spacing w:val="10"/>
                <w:sz w:val="21"/>
                <w:szCs w:val="21"/>
                <w:highlight w:val="none"/>
                <w:u w:val="single"/>
                <w:lang w:eastAsia="zh-CN"/>
              </w:rPr>
              <w:t>村内道路维修改造</w:t>
            </w:r>
            <w:r>
              <w:rPr>
                <w:rFonts w:hint="eastAsia" w:ascii="宋体" w:hAnsi="宋体" w:cs="宋体"/>
                <w:color w:val="auto"/>
                <w:spacing w:val="10"/>
                <w:sz w:val="21"/>
                <w:szCs w:val="21"/>
                <w:highlight w:val="none"/>
                <w:u w:val="single"/>
                <w:lang w:val="en-US" w:eastAsia="zh-CN"/>
              </w:rPr>
              <w:t>工程</w:t>
            </w:r>
            <w:r>
              <w:rPr>
                <w:rFonts w:hint="eastAsia" w:ascii="宋体" w:hAnsi="宋体" w:eastAsia="宋体" w:cs="宋体"/>
                <w:color w:val="auto"/>
                <w:spacing w:val="10"/>
                <w:sz w:val="21"/>
                <w:szCs w:val="21"/>
                <w:highlight w:val="none"/>
                <w:u w:val="single" w:color="auto"/>
              </w:rPr>
              <w:t>。</w:t>
            </w:r>
          </w:p>
        </w:tc>
      </w:tr>
      <w:tr w14:paraId="4E0374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24" w:type="dxa"/>
            <w:tcBorders>
              <w:left w:val="single" w:color="000000" w:sz="6" w:space="0"/>
            </w:tcBorders>
            <w:vAlign w:val="center"/>
          </w:tcPr>
          <w:p w14:paraId="0755531E">
            <w:pPr>
              <w:keepLines w:val="0"/>
              <w:pageBreakBefore w:val="0"/>
              <w:widowControl w:val="0"/>
              <w:kinsoku/>
              <w:overflowPunct/>
              <w:topLinePunct w:val="0"/>
              <w:autoSpaceDE/>
              <w:autoSpaceDN/>
              <w:bidi w:val="0"/>
              <w:snapToGrid w:val="0"/>
              <w:spacing w:before="129" w:line="240" w:lineRule="auto"/>
              <w:ind w:left="105" w:leftChars="50" w:right="283" w:righ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w:t>
            </w:r>
          </w:p>
        </w:tc>
        <w:tc>
          <w:tcPr>
            <w:tcW w:w="1384" w:type="dxa"/>
            <w:vAlign w:val="center"/>
          </w:tcPr>
          <w:p w14:paraId="76110DD6">
            <w:pPr>
              <w:keepLines w:val="0"/>
              <w:pageBreakBefore w:val="0"/>
              <w:widowControl w:val="0"/>
              <w:kinsoku/>
              <w:overflowPunct/>
              <w:topLinePunct w:val="0"/>
              <w:autoSpaceDE/>
              <w:autoSpaceDN/>
              <w:bidi w:val="0"/>
              <w:snapToGrid w:val="0"/>
              <w:spacing w:before="129" w:line="240" w:lineRule="auto"/>
              <w:ind w:left="105" w:leftChars="50" w:right="283" w:righ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w:t>
            </w:r>
            <w:r>
              <w:rPr>
                <w:rFonts w:hint="eastAsia" w:ascii="宋体" w:hAnsi="宋体" w:eastAsia="宋体" w:cs="宋体"/>
                <w:color w:val="auto"/>
                <w:sz w:val="21"/>
                <w:szCs w:val="21"/>
                <w:highlight w:val="none"/>
              </w:rPr>
              <w:t>1.4.5</w:t>
            </w:r>
          </w:p>
        </w:tc>
        <w:tc>
          <w:tcPr>
            <w:tcW w:w="7054" w:type="dxa"/>
            <w:tcBorders>
              <w:right w:val="single" w:color="000000" w:sz="6" w:space="0"/>
            </w:tcBorders>
            <w:vAlign w:val="center"/>
          </w:tcPr>
          <w:p w14:paraId="705EBBE5">
            <w:pPr>
              <w:keepLines w:val="0"/>
              <w:pageBreakBefore w:val="0"/>
              <w:widowControl w:val="0"/>
              <w:kinsoku/>
              <w:overflowPunct/>
              <w:topLinePunct w:val="0"/>
              <w:autoSpaceDE/>
              <w:autoSpaceDN/>
              <w:bidi w:val="0"/>
              <w:snapToGrid w:val="0"/>
              <w:spacing w:before="139"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缺陷责任</w:t>
            </w:r>
            <w:r>
              <w:rPr>
                <w:rFonts w:hint="eastAsia" w:ascii="宋体" w:hAnsi="宋体" w:eastAsia="宋体" w:cs="宋体"/>
                <w:color w:val="auto"/>
                <w:spacing w:val="5"/>
                <w:sz w:val="21"/>
                <w:szCs w:val="21"/>
                <w:highlight w:val="none"/>
              </w:rPr>
              <w:t>期</w:t>
            </w:r>
            <w:r>
              <w:rPr>
                <w:rFonts w:hint="eastAsia" w:ascii="宋体" w:hAnsi="宋体" w:eastAsia="宋体" w:cs="宋体"/>
                <w:color w:val="auto"/>
                <w:spacing w:val="4"/>
                <w:sz w:val="21"/>
                <w:szCs w:val="21"/>
                <w:highlight w:val="none"/>
              </w:rPr>
              <w:t>：自实际交工验收合格之日起</w:t>
            </w:r>
            <w:r>
              <w:rPr>
                <w:rFonts w:hint="eastAsia" w:ascii="宋体" w:hAnsi="宋体" w:eastAsia="宋体" w:cs="宋体"/>
                <w:color w:val="auto"/>
                <w:sz w:val="21"/>
                <w:szCs w:val="21"/>
                <w:highlight w:val="none"/>
              </w:rPr>
              <w:t>计算</w:t>
            </w:r>
            <w:r>
              <w:rPr>
                <w:rFonts w:hint="eastAsia" w:ascii="宋体" w:hAnsi="宋体" w:cs="宋体"/>
                <w:color w:val="auto"/>
                <w:sz w:val="21"/>
                <w:szCs w:val="21"/>
                <w:highlight w:val="none"/>
                <w:u w:val="single"/>
                <w:lang w:val="en-US" w:eastAsia="zh-CN"/>
              </w:rPr>
              <w:t xml:space="preserve"> 2 </w:t>
            </w:r>
            <w:r>
              <w:rPr>
                <w:rFonts w:hint="eastAsia" w:ascii="宋体" w:hAnsi="宋体" w:eastAsia="宋体" w:cs="宋体"/>
                <w:color w:val="auto"/>
                <w:sz w:val="21"/>
                <w:szCs w:val="21"/>
                <w:highlight w:val="none"/>
              </w:rPr>
              <w:t>年</w:t>
            </w:r>
            <w:r>
              <w:rPr>
                <w:rStyle w:val="48"/>
                <w:rFonts w:hint="eastAsia" w:ascii="宋体" w:hAnsi="宋体" w:eastAsia="宋体" w:cs="宋体"/>
                <w:color w:val="auto"/>
                <w:sz w:val="21"/>
                <w:szCs w:val="21"/>
                <w:highlight w:val="none"/>
              </w:rPr>
              <w:footnoteReference w:id="33"/>
            </w:r>
          </w:p>
        </w:tc>
      </w:tr>
      <w:tr w14:paraId="582C08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24" w:type="dxa"/>
            <w:tcBorders>
              <w:left w:val="single" w:color="000000" w:sz="6" w:space="0"/>
            </w:tcBorders>
            <w:vAlign w:val="center"/>
          </w:tcPr>
          <w:p w14:paraId="3C04F79A">
            <w:pPr>
              <w:keepLines w:val="0"/>
              <w:pageBreakBefore w:val="0"/>
              <w:widowControl w:val="0"/>
              <w:kinsoku/>
              <w:overflowPunct/>
              <w:topLinePunct w:val="0"/>
              <w:autoSpaceDE/>
              <w:autoSpaceDN/>
              <w:bidi w:val="0"/>
              <w:snapToGrid w:val="0"/>
              <w:spacing w:before="57" w:line="240" w:lineRule="auto"/>
              <w:ind w:left="105" w:leftChars="50" w:right="283" w:righ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384" w:type="dxa"/>
            <w:vAlign w:val="center"/>
          </w:tcPr>
          <w:p w14:paraId="501C6CEB">
            <w:pPr>
              <w:keepLines w:val="0"/>
              <w:pageBreakBefore w:val="0"/>
              <w:widowControl w:val="0"/>
              <w:kinsoku/>
              <w:overflowPunct/>
              <w:topLinePunct w:val="0"/>
              <w:autoSpaceDE/>
              <w:autoSpaceDN/>
              <w:bidi w:val="0"/>
              <w:snapToGrid w:val="0"/>
              <w:spacing w:before="57" w:line="240" w:lineRule="auto"/>
              <w:ind w:left="105" w:leftChars="50" w:right="283" w:righ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1"/>
                <w:sz w:val="21"/>
                <w:szCs w:val="21"/>
                <w:highlight w:val="none"/>
              </w:rPr>
              <w:t>.6.3</w:t>
            </w:r>
          </w:p>
        </w:tc>
        <w:tc>
          <w:tcPr>
            <w:tcW w:w="7054" w:type="dxa"/>
            <w:tcBorders>
              <w:right w:val="single" w:color="000000" w:sz="6" w:space="0"/>
            </w:tcBorders>
            <w:vAlign w:val="center"/>
          </w:tcPr>
          <w:p w14:paraId="02B0CBAC">
            <w:pPr>
              <w:keepLines w:val="0"/>
              <w:pageBreakBefore w:val="0"/>
              <w:widowControl w:val="0"/>
              <w:kinsoku/>
              <w:overflowPunct/>
              <w:topLinePunct w:val="0"/>
              <w:autoSpaceDE/>
              <w:autoSpaceDN/>
              <w:bidi w:val="0"/>
              <w:snapToGrid w:val="0"/>
              <w:spacing w:before="159"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2"/>
                <w:sz w:val="21"/>
                <w:szCs w:val="21"/>
                <w:highlight w:val="none"/>
              </w:rPr>
              <w:t>图</w:t>
            </w:r>
            <w:r>
              <w:rPr>
                <w:rFonts w:hint="eastAsia" w:ascii="宋体" w:hAnsi="宋体" w:eastAsia="宋体" w:cs="宋体"/>
                <w:color w:val="auto"/>
                <w:spacing w:val="16"/>
                <w:sz w:val="21"/>
                <w:szCs w:val="21"/>
                <w:highlight w:val="none"/>
              </w:rPr>
              <w:t>纸</w:t>
            </w:r>
            <w:r>
              <w:rPr>
                <w:rFonts w:hint="eastAsia" w:ascii="宋体" w:hAnsi="宋体" w:eastAsia="宋体" w:cs="宋体"/>
                <w:color w:val="auto"/>
                <w:spacing w:val="11"/>
                <w:sz w:val="21"/>
                <w:szCs w:val="21"/>
                <w:highlight w:val="none"/>
              </w:rPr>
              <w:t>需要修改和补充的，应由监理人取得发包人同意后，在该工程或工程相应</w:t>
            </w:r>
            <w:r>
              <w:rPr>
                <w:rFonts w:hint="eastAsia" w:ascii="宋体" w:hAnsi="宋体" w:eastAsia="宋体" w:cs="宋体"/>
                <w:color w:val="auto"/>
                <w:spacing w:val="12"/>
                <w:sz w:val="21"/>
                <w:szCs w:val="21"/>
                <w:highlight w:val="none"/>
              </w:rPr>
              <w:t>部</w:t>
            </w:r>
            <w:r>
              <w:rPr>
                <w:rFonts w:hint="eastAsia" w:ascii="宋体" w:hAnsi="宋体" w:eastAsia="宋体" w:cs="宋体"/>
                <w:color w:val="auto"/>
                <w:spacing w:val="6"/>
                <w:sz w:val="21"/>
                <w:szCs w:val="21"/>
                <w:highlight w:val="none"/>
              </w:rPr>
              <w:t>位施工前</w:t>
            </w:r>
            <w:r>
              <w:rPr>
                <w:rFonts w:hint="eastAsia" w:ascii="宋体" w:hAnsi="宋体" w:cs="宋体"/>
                <w:color w:val="auto"/>
                <w:spacing w:val="6"/>
                <w:sz w:val="21"/>
                <w:szCs w:val="21"/>
                <w:highlight w:val="none"/>
                <w:u w:val="single"/>
                <w:lang w:val="en-US" w:eastAsia="zh-CN"/>
              </w:rPr>
              <w:t xml:space="preserve"> </w:t>
            </w:r>
            <w:r>
              <w:rPr>
                <w:rFonts w:hint="eastAsia" w:ascii="宋体" w:hAnsi="宋体" w:eastAsia="宋体" w:cs="宋体"/>
                <w:color w:val="auto"/>
                <w:spacing w:val="6"/>
                <w:sz w:val="21"/>
                <w:szCs w:val="21"/>
                <w:highlight w:val="none"/>
                <w:u w:val="single" w:color="auto"/>
              </w:rPr>
              <w:t>7</w:t>
            </w:r>
            <w:r>
              <w:rPr>
                <w:rFonts w:hint="eastAsia" w:ascii="宋体" w:hAnsi="宋体" w:cs="宋体"/>
                <w:color w:val="auto"/>
                <w:spacing w:val="6"/>
                <w:sz w:val="21"/>
                <w:szCs w:val="21"/>
                <w:highlight w:val="none"/>
                <w:u w:val="single" w:color="auto"/>
                <w:lang w:val="en-US" w:eastAsia="zh-CN"/>
              </w:rPr>
              <w:t xml:space="preserve"> </w:t>
            </w:r>
            <w:r>
              <w:rPr>
                <w:rFonts w:hint="eastAsia" w:ascii="宋体" w:hAnsi="宋体" w:eastAsia="宋体" w:cs="宋体"/>
                <w:color w:val="auto"/>
                <w:spacing w:val="6"/>
                <w:sz w:val="21"/>
                <w:szCs w:val="21"/>
                <w:highlight w:val="none"/>
              </w:rPr>
              <w:t>天签发图纸修改图给承包人。承包人应按修改或补充(新增减工</w:t>
            </w:r>
            <w:r>
              <w:rPr>
                <w:rFonts w:hint="eastAsia" w:ascii="宋体" w:hAnsi="宋体" w:eastAsia="宋体" w:cs="宋体"/>
                <w:color w:val="auto"/>
                <w:spacing w:val="7"/>
                <w:sz w:val="21"/>
                <w:szCs w:val="21"/>
                <w:highlight w:val="none"/>
              </w:rPr>
              <w:t>程)后的图纸施工。</w:t>
            </w:r>
          </w:p>
          <w:p w14:paraId="44582A52">
            <w:pPr>
              <w:keepLines w:val="0"/>
              <w:pageBreakBefore w:val="0"/>
              <w:widowControl w:val="0"/>
              <w:kinsoku/>
              <w:overflowPunct/>
              <w:topLinePunct w:val="0"/>
              <w:autoSpaceDE/>
              <w:autoSpaceDN/>
              <w:bidi w:val="0"/>
              <w:snapToGrid w:val="0"/>
              <w:spacing w:before="1"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在</w:t>
            </w:r>
            <w:r>
              <w:rPr>
                <w:rFonts w:hint="eastAsia" w:ascii="宋体" w:hAnsi="宋体" w:eastAsia="宋体" w:cs="宋体"/>
                <w:color w:val="auto"/>
                <w:spacing w:val="12"/>
                <w:sz w:val="21"/>
                <w:szCs w:val="21"/>
                <w:highlight w:val="none"/>
              </w:rPr>
              <w:t>没有发包人及监理人共同批准的前提下，承包人不得对施工图的任何部分进行修改，否则按承包人违约处理，并由承包人承担由此产生的一切后果和经济</w:t>
            </w:r>
            <w:r>
              <w:rPr>
                <w:rFonts w:hint="eastAsia" w:ascii="宋体" w:hAnsi="宋体" w:eastAsia="宋体" w:cs="宋体"/>
                <w:color w:val="auto"/>
                <w:spacing w:val="10"/>
                <w:sz w:val="21"/>
                <w:szCs w:val="21"/>
                <w:highlight w:val="none"/>
              </w:rPr>
              <w:t>责</w:t>
            </w:r>
            <w:r>
              <w:rPr>
                <w:rFonts w:hint="eastAsia" w:ascii="宋体" w:hAnsi="宋体" w:eastAsia="宋体" w:cs="宋体"/>
                <w:color w:val="auto"/>
                <w:spacing w:val="1"/>
                <w:sz w:val="21"/>
                <w:szCs w:val="21"/>
                <w:highlight w:val="none"/>
              </w:rPr>
              <w:t>任</w:t>
            </w:r>
            <w:r>
              <w:rPr>
                <w:rFonts w:hint="eastAsia" w:ascii="宋体" w:hAnsi="宋体" w:eastAsia="宋体" w:cs="宋体"/>
                <w:color w:val="auto"/>
                <w:sz w:val="21"/>
                <w:szCs w:val="21"/>
                <w:highlight w:val="none"/>
              </w:rPr>
              <w:t>。</w:t>
            </w:r>
          </w:p>
        </w:tc>
      </w:tr>
      <w:tr w14:paraId="17CF16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24" w:type="dxa"/>
            <w:tcBorders>
              <w:left w:val="single" w:color="000000" w:sz="6" w:space="0"/>
            </w:tcBorders>
            <w:vAlign w:val="center"/>
          </w:tcPr>
          <w:p w14:paraId="6E894A95">
            <w:pPr>
              <w:keepLines w:val="0"/>
              <w:pageBreakBefore w:val="0"/>
              <w:widowControl w:val="0"/>
              <w:kinsoku/>
              <w:overflowPunct/>
              <w:topLinePunct w:val="0"/>
              <w:autoSpaceDE/>
              <w:autoSpaceDN/>
              <w:bidi w:val="0"/>
              <w:snapToGrid w:val="0"/>
              <w:spacing w:before="131" w:line="240" w:lineRule="auto"/>
              <w:ind w:left="105" w:leftChars="50" w:right="283" w:righ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384" w:type="dxa"/>
            <w:vAlign w:val="center"/>
          </w:tcPr>
          <w:p w14:paraId="278F167B">
            <w:pPr>
              <w:keepLines w:val="0"/>
              <w:pageBreakBefore w:val="0"/>
              <w:widowControl w:val="0"/>
              <w:kinsoku/>
              <w:overflowPunct/>
              <w:topLinePunct w:val="0"/>
              <w:autoSpaceDE/>
              <w:autoSpaceDN/>
              <w:bidi w:val="0"/>
              <w:snapToGrid w:val="0"/>
              <w:spacing w:before="131" w:line="240" w:lineRule="auto"/>
              <w:ind w:left="105" w:leftChars="50" w:right="283" w:righ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1"/>
                <w:sz w:val="21"/>
                <w:szCs w:val="21"/>
                <w:highlight w:val="none"/>
              </w:rPr>
              <w:t>.7.2</w:t>
            </w:r>
          </w:p>
        </w:tc>
        <w:tc>
          <w:tcPr>
            <w:tcW w:w="7054" w:type="dxa"/>
            <w:tcBorders>
              <w:right w:val="single" w:color="000000" w:sz="6" w:space="0"/>
            </w:tcBorders>
            <w:vAlign w:val="center"/>
          </w:tcPr>
          <w:p w14:paraId="36CCE454">
            <w:pPr>
              <w:keepLines w:val="0"/>
              <w:pageBreakBefore w:val="0"/>
              <w:widowControl w:val="0"/>
              <w:kinsoku/>
              <w:overflowPunct/>
              <w:topLinePunct w:val="0"/>
              <w:autoSpaceDE/>
              <w:autoSpaceDN/>
              <w:bidi w:val="0"/>
              <w:snapToGrid w:val="0"/>
              <w:spacing w:before="141"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6"/>
                <w:sz w:val="21"/>
                <w:szCs w:val="21"/>
                <w:highlight w:val="none"/>
              </w:rPr>
              <w:t>来往函件送达的期限：</w:t>
            </w:r>
            <w:r>
              <w:rPr>
                <w:rFonts w:hint="eastAsia" w:ascii="宋体" w:hAnsi="宋体" w:eastAsia="宋体" w:cs="宋体"/>
                <w:color w:val="auto"/>
                <w:spacing w:val="6"/>
                <w:sz w:val="21"/>
                <w:szCs w:val="21"/>
                <w:highlight w:val="none"/>
                <w:u w:val="single" w:color="auto"/>
              </w:rPr>
              <w:t>函件发出24小时</w:t>
            </w:r>
            <w:r>
              <w:rPr>
                <w:rFonts w:hint="eastAsia" w:ascii="宋体" w:hAnsi="宋体" w:eastAsia="宋体" w:cs="宋体"/>
                <w:color w:val="auto"/>
                <w:spacing w:val="3"/>
                <w:sz w:val="21"/>
                <w:szCs w:val="21"/>
                <w:highlight w:val="none"/>
                <w:u w:val="single" w:color="auto"/>
              </w:rPr>
              <w:t>内</w:t>
            </w:r>
          </w:p>
        </w:tc>
      </w:tr>
      <w:tr w14:paraId="1CF64E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24" w:type="dxa"/>
            <w:tcBorders>
              <w:left w:val="single" w:color="000000" w:sz="6" w:space="0"/>
            </w:tcBorders>
            <w:vAlign w:val="center"/>
          </w:tcPr>
          <w:p w14:paraId="6CB55419">
            <w:pPr>
              <w:keepLines w:val="0"/>
              <w:pageBreakBefore w:val="0"/>
              <w:widowControl w:val="0"/>
              <w:kinsoku/>
              <w:overflowPunct/>
              <w:topLinePunct w:val="0"/>
              <w:autoSpaceDE/>
              <w:autoSpaceDN/>
              <w:bidi w:val="0"/>
              <w:snapToGrid w:val="0"/>
              <w:spacing w:before="135" w:line="240" w:lineRule="auto"/>
              <w:ind w:left="105" w:leftChars="50" w:right="283" w:righ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1384" w:type="dxa"/>
            <w:vAlign w:val="center"/>
          </w:tcPr>
          <w:p w14:paraId="28CFF5B6">
            <w:pPr>
              <w:keepLines w:val="0"/>
              <w:pageBreakBefore w:val="0"/>
              <w:widowControl w:val="0"/>
              <w:kinsoku/>
              <w:overflowPunct/>
              <w:topLinePunct w:val="0"/>
              <w:autoSpaceDE/>
              <w:autoSpaceDN/>
              <w:bidi w:val="0"/>
              <w:snapToGrid w:val="0"/>
              <w:spacing w:before="132" w:line="240" w:lineRule="auto"/>
              <w:ind w:left="105" w:leftChars="50" w:right="283" w:righ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2.6</w:t>
            </w:r>
          </w:p>
        </w:tc>
        <w:tc>
          <w:tcPr>
            <w:tcW w:w="7054" w:type="dxa"/>
            <w:tcBorders>
              <w:right w:val="single" w:color="000000" w:sz="6" w:space="0"/>
            </w:tcBorders>
            <w:vAlign w:val="center"/>
          </w:tcPr>
          <w:p w14:paraId="6F4CC32F">
            <w:pPr>
              <w:keepLines w:val="0"/>
              <w:pageBreakBefore w:val="0"/>
              <w:widowControl w:val="0"/>
              <w:kinsoku/>
              <w:overflowPunct/>
              <w:topLinePunct w:val="0"/>
              <w:autoSpaceDE/>
              <w:autoSpaceDN/>
              <w:bidi w:val="0"/>
              <w:snapToGrid w:val="0"/>
              <w:spacing w:before="142"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9"/>
                <w:sz w:val="21"/>
                <w:szCs w:val="21"/>
                <w:highlight w:val="none"/>
              </w:rPr>
              <w:t>本工程资金来源</w:t>
            </w:r>
            <w:r>
              <w:rPr>
                <w:rFonts w:hint="eastAsia" w:ascii="宋体" w:hAnsi="宋体" w:cs="宋体"/>
                <w:color w:val="auto"/>
                <w:spacing w:val="9"/>
                <w:sz w:val="21"/>
                <w:szCs w:val="21"/>
                <w:highlight w:val="none"/>
                <w:lang w:eastAsia="zh-CN"/>
              </w:rPr>
              <w:t>：</w:t>
            </w:r>
            <w:r>
              <w:rPr>
                <w:rFonts w:hint="eastAsia" w:ascii="宋体" w:hAnsi="宋体" w:cs="宋体"/>
                <w:color w:val="auto"/>
                <w:spacing w:val="9"/>
                <w:sz w:val="21"/>
                <w:szCs w:val="21"/>
                <w:highlight w:val="none"/>
                <w:u w:val="single"/>
                <w:shd w:val="clear"/>
                <w:lang w:val="en-US" w:eastAsia="zh-CN"/>
              </w:rPr>
              <w:t xml:space="preserve"> 省级专项资金</w:t>
            </w:r>
            <w:r>
              <w:rPr>
                <w:rFonts w:hint="eastAsia" w:ascii="宋体" w:hAnsi="宋体" w:eastAsia="宋体" w:cs="宋体"/>
                <w:color w:val="auto"/>
                <w:spacing w:val="8"/>
                <w:sz w:val="21"/>
                <w:szCs w:val="21"/>
                <w:highlight w:val="none"/>
                <w:u w:val="single"/>
                <w:shd w:val="clear"/>
              </w:rPr>
              <w:t>。</w:t>
            </w:r>
            <w:r>
              <w:rPr>
                <w:rFonts w:hint="eastAsia" w:ascii="宋体" w:hAnsi="宋体" w:cs="宋体"/>
                <w:color w:val="auto"/>
                <w:spacing w:val="8"/>
                <w:sz w:val="21"/>
                <w:szCs w:val="21"/>
                <w:highlight w:val="none"/>
                <w:u w:val="single"/>
                <w:shd w:val="clear"/>
                <w:lang w:val="en-US" w:eastAsia="zh-CN"/>
              </w:rPr>
              <w:t xml:space="preserve"> </w:t>
            </w:r>
          </w:p>
        </w:tc>
      </w:tr>
      <w:tr w14:paraId="75D2CE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24" w:type="dxa"/>
            <w:tcBorders>
              <w:left w:val="single" w:color="000000" w:sz="6" w:space="0"/>
            </w:tcBorders>
            <w:vAlign w:val="center"/>
          </w:tcPr>
          <w:p w14:paraId="3FE9BAE0">
            <w:pPr>
              <w:keepLines w:val="0"/>
              <w:pageBreakBefore w:val="0"/>
              <w:widowControl w:val="0"/>
              <w:kinsoku/>
              <w:overflowPunct/>
              <w:topLinePunct w:val="0"/>
              <w:autoSpaceDE/>
              <w:autoSpaceDN/>
              <w:bidi w:val="0"/>
              <w:snapToGrid w:val="0"/>
              <w:spacing w:before="58" w:line="240" w:lineRule="auto"/>
              <w:ind w:left="105" w:leftChars="50" w:right="283" w:righ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p>
        </w:tc>
        <w:tc>
          <w:tcPr>
            <w:tcW w:w="1384" w:type="dxa"/>
            <w:vAlign w:val="center"/>
          </w:tcPr>
          <w:p w14:paraId="0B69FE96">
            <w:pPr>
              <w:keepLines w:val="0"/>
              <w:pageBreakBefore w:val="0"/>
              <w:widowControl w:val="0"/>
              <w:kinsoku/>
              <w:overflowPunct/>
              <w:topLinePunct w:val="0"/>
              <w:autoSpaceDE/>
              <w:autoSpaceDN/>
              <w:bidi w:val="0"/>
              <w:snapToGrid w:val="0"/>
              <w:spacing w:before="57" w:line="240" w:lineRule="auto"/>
              <w:ind w:left="105" w:leftChars="50" w:right="283" w:righ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3.1.1</w:t>
            </w:r>
          </w:p>
        </w:tc>
        <w:tc>
          <w:tcPr>
            <w:tcW w:w="7054" w:type="dxa"/>
            <w:tcBorders>
              <w:right w:val="single" w:color="000000" w:sz="6" w:space="0"/>
            </w:tcBorders>
            <w:vAlign w:val="center"/>
          </w:tcPr>
          <w:p w14:paraId="66312A43">
            <w:pPr>
              <w:keepLines w:val="0"/>
              <w:pageBreakBefore w:val="0"/>
              <w:widowControl w:val="0"/>
              <w:kinsoku/>
              <w:overflowPunct/>
              <w:topLinePunct w:val="0"/>
              <w:autoSpaceDE/>
              <w:autoSpaceDN/>
              <w:bidi w:val="0"/>
              <w:snapToGrid w:val="0"/>
              <w:spacing w:before="139"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监</w:t>
            </w:r>
            <w:r>
              <w:rPr>
                <w:rFonts w:hint="eastAsia" w:ascii="宋体" w:hAnsi="宋体" w:eastAsia="宋体" w:cs="宋体"/>
                <w:color w:val="auto"/>
                <w:spacing w:val="9"/>
                <w:sz w:val="21"/>
                <w:szCs w:val="21"/>
                <w:highlight w:val="none"/>
              </w:rPr>
              <w:t>理人在行使下列权力前需要经发包人事先批准：</w:t>
            </w:r>
          </w:p>
          <w:p w14:paraId="792129D8">
            <w:pPr>
              <w:keepLines w:val="0"/>
              <w:pageBreakBefore w:val="0"/>
              <w:widowControl w:val="0"/>
              <w:kinsoku/>
              <w:overflowPunct/>
              <w:topLinePunct w:val="0"/>
              <w:autoSpaceDE/>
              <w:autoSpaceDN/>
              <w:bidi w:val="0"/>
              <w:snapToGrid w:val="0"/>
              <w:spacing w:before="153"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(6</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4"/>
                <w:sz w:val="21"/>
                <w:szCs w:val="21"/>
                <w:highlight w:val="none"/>
              </w:rPr>
              <w:t>监理人在行使根据第15.3款发出的变更指示前需要经发包人事先批准。</w:t>
            </w:r>
          </w:p>
        </w:tc>
      </w:tr>
      <w:tr w14:paraId="12D0AA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24" w:type="dxa"/>
            <w:tcBorders>
              <w:left w:val="single" w:color="000000" w:sz="6" w:space="0"/>
            </w:tcBorders>
            <w:vAlign w:val="center"/>
          </w:tcPr>
          <w:p w14:paraId="02BB40B2">
            <w:pPr>
              <w:keepLines w:val="0"/>
              <w:pageBreakBefore w:val="0"/>
              <w:widowControl w:val="0"/>
              <w:kinsoku/>
              <w:overflowPunct/>
              <w:topLinePunct w:val="0"/>
              <w:autoSpaceDE/>
              <w:autoSpaceDN/>
              <w:bidi w:val="0"/>
              <w:snapToGrid w:val="0"/>
              <w:spacing w:before="57" w:line="240" w:lineRule="auto"/>
              <w:ind w:left="105" w:leftChars="50" w:right="283" w:righ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p>
        </w:tc>
        <w:tc>
          <w:tcPr>
            <w:tcW w:w="1384" w:type="dxa"/>
            <w:vAlign w:val="center"/>
          </w:tcPr>
          <w:p w14:paraId="4D384DB2">
            <w:pPr>
              <w:keepLines w:val="0"/>
              <w:pageBreakBefore w:val="0"/>
              <w:widowControl w:val="0"/>
              <w:kinsoku/>
              <w:overflowPunct/>
              <w:topLinePunct w:val="0"/>
              <w:autoSpaceDE/>
              <w:autoSpaceDN/>
              <w:bidi w:val="0"/>
              <w:snapToGrid w:val="0"/>
              <w:spacing w:before="65" w:line="240" w:lineRule="auto"/>
              <w:ind w:left="105" w:leftChars="50" w:right="283" w:righ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4</w:t>
            </w:r>
            <w:r>
              <w:rPr>
                <w:rFonts w:hint="eastAsia" w:ascii="宋体" w:hAnsi="宋体" w:eastAsia="宋体" w:cs="宋体"/>
                <w:color w:val="auto"/>
                <w:spacing w:val="-5"/>
                <w:sz w:val="21"/>
                <w:szCs w:val="21"/>
                <w:highlight w:val="none"/>
              </w:rPr>
              <w:t>.1.10(1)</w:t>
            </w:r>
          </w:p>
        </w:tc>
        <w:tc>
          <w:tcPr>
            <w:tcW w:w="7054" w:type="dxa"/>
            <w:tcBorders>
              <w:right w:val="single" w:color="000000" w:sz="6" w:space="0"/>
            </w:tcBorders>
            <w:vAlign w:val="center"/>
          </w:tcPr>
          <w:p w14:paraId="58428753">
            <w:pPr>
              <w:keepLines w:val="0"/>
              <w:pageBreakBefore w:val="0"/>
              <w:widowControl w:val="0"/>
              <w:kinsoku/>
              <w:overflowPunct/>
              <w:topLinePunct w:val="0"/>
              <w:autoSpaceDE/>
              <w:autoSpaceDN/>
              <w:bidi w:val="0"/>
              <w:snapToGrid w:val="0"/>
              <w:spacing w:before="142"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rPr>
              <w:t>临</w:t>
            </w:r>
            <w:r>
              <w:rPr>
                <w:rFonts w:hint="eastAsia" w:ascii="宋体" w:hAnsi="宋体" w:eastAsia="宋体" w:cs="宋体"/>
                <w:color w:val="auto"/>
                <w:spacing w:val="4"/>
                <w:sz w:val="21"/>
                <w:szCs w:val="21"/>
                <w:highlight w:val="none"/>
              </w:rPr>
              <w:t>时占地的租地费用实行总额包干，列入工程量清单第100章中由承包人按总额</w:t>
            </w:r>
            <w:r>
              <w:rPr>
                <w:rFonts w:hint="eastAsia" w:ascii="宋体" w:hAnsi="宋体" w:eastAsia="宋体" w:cs="宋体"/>
                <w:color w:val="auto"/>
                <w:spacing w:val="6"/>
                <w:sz w:val="21"/>
                <w:szCs w:val="21"/>
                <w:highlight w:val="none"/>
              </w:rPr>
              <w:t>报价。</w:t>
            </w:r>
            <w:r>
              <w:rPr>
                <w:rFonts w:hint="eastAsia" w:ascii="宋体" w:hAnsi="宋体" w:eastAsia="宋体" w:cs="宋体"/>
                <w:color w:val="auto"/>
                <w:spacing w:val="3"/>
                <w:sz w:val="21"/>
                <w:szCs w:val="21"/>
                <w:highlight w:val="none"/>
              </w:rPr>
              <w:t>临时占地费用计算方式：</w:t>
            </w:r>
            <w:r>
              <w:rPr>
                <w:rFonts w:hint="eastAsia" w:ascii="宋体" w:hAnsi="宋体" w:eastAsia="宋体" w:cs="宋体"/>
                <w:color w:val="auto"/>
                <w:spacing w:val="3"/>
                <w:sz w:val="21"/>
                <w:szCs w:val="21"/>
                <w:highlight w:val="none"/>
                <w:u w:val="single" w:color="auto"/>
              </w:rPr>
              <w:t>参考《关于实施征地区片综合地价的通知》(辽</w:t>
            </w:r>
            <w:r>
              <w:rPr>
                <w:rFonts w:hint="eastAsia" w:ascii="宋体" w:hAnsi="宋体" w:eastAsia="宋体" w:cs="宋体"/>
                <w:color w:val="auto"/>
                <w:spacing w:val="12"/>
                <w:sz w:val="21"/>
                <w:szCs w:val="21"/>
                <w:highlight w:val="none"/>
                <w:u w:val="single" w:color="auto"/>
              </w:rPr>
              <w:t>国土资发〔</w:t>
            </w:r>
            <w:r>
              <w:rPr>
                <w:rFonts w:hint="eastAsia" w:ascii="宋体" w:hAnsi="宋体" w:eastAsia="宋体" w:cs="宋体"/>
                <w:color w:val="auto"/>
                <w:spacing w:val="6"/>
                <w:sz w:val="21"/>
                <w:szCs w:val="21"/>
                <w:highlight w:val="none"/>
                <w:u w:val="single" w:color="auto"/>
              </w:rPr>
              <w:t>2015〕339号)以及项目所在地市县区政府公布的区片综合地价标准进</w:t>
            </w:r>
            <w:r>
              <w:rPr>
                <w:rFonts w:hint="eastAsia" w:ascii="宋体" w:hAnsi="宋体" w:eastAsia="宋体" w:cs="宋体"/>
                <w:color w:val="auto"/>
                <w:spacing w:val="2"/>
                <w:sz w:val="21"/>
                <w:szCs w:val="21"/>
                <w:highlight w:val="none"/>
                <w:u w:val="single" w:color="auto"/>
              </w:rPr>
              <w:t>行测算</w:t>
            </w:r>
            <w:r>
              <w:rPr>
                <w:rFonts w:hint="eastAsia" w:ascii="宋体" w:hAnsi="宋体" w:eastAsia="宋体" w:cs="宋体"/>
                <w:color w:val="auto"/>
                <w:spacing w:val="1"/>
                <w:sz w:val="21"/>
                <w:szCs w:val="21"/>
                <w:highlight w:val="none"/>
                <w:u w:val="single" w:color="auto"/>
              </w:rPr>
              <w:t>。</w:t>
            </w:r>
          </w:p>
        </w:tc>
      </w:tr>
      <w:tr w14:paraId="732E34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24" w:type="dxa"/>
            <w:tcBorders>
              <w:left w:val="single" w:color="000000" w:sz="6" w:space="0"/>
            </w:tcBorders>
            <w:vAlign w:val="center"/>
          </w:tcPr>
          <w:p w14:paraId="57D928A1">
            <w:pPr>
              <w:keepLines w:val="0"/>
              <w:pageBreakBefore w:val="0"/>
              <w:widowControl w:val="0"/>
              <w:kinsoku/>
              <w:overflowPunct/>
              <w:topLinePunct w:val="0"/>
              <w:autoSpaceDE/>
              <w:autoSpaceDN/>
              <w:bidi w:val="0"/>
              <w:snapToGrid w:val="0"/>
              <w:spacing w:before="57" w:line="240" w:lineRule="auto"/>
              <w:ind w:left="105" w:leftChars="50" w:right="283" w:righ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w:t>
            </w:r>
            <w:r>
              <w:rPr>
                <w:rFonts w:hint="eastAsia" w:ascii="宋体" w:hAnsi="宋体" w:eastAsia="宋体" w:cs="宋体"/>
                <w:color w:val="auto"/>
                <w:spacing w:val="-7"/>
                <w:sz w:val="21"/>
                <w:szCs w:val="21"/>
                <w:highlight w:val="none"/>
              </w:rPr>
              <w:t>0</w:t>
            </w:r>
          </w:p>
        </w:tc>
        <w:tc>
          <w:tcPr>
            <w:tcW w:w="1384" w:type="dxa"/>
            <w:vAlign w:val="center"/>
          </w:tcPr>
          <w:p w14:paraId="2637097A">
            <w:pPr>
              <w:keepLines w:val="0"/>
              <w:pageBreakBefore w:val="0"/>
              <w:widowControl w:val="0"/>
              <w:kinsoku/>
              <w:overflowPunct/>
              <w:topLinePunct w:val="0"/>
              <w:autoSpaceDE/>
              <w:autoSpaceDN/>
              <w:bidi w:val="0"/>
              <w:snapToGrid w:val="0"/>
              <w:spacing w:before="65" w:line="240" w:lineRule="auto"/>
              <w:ind w:left="105" w:leftChars="50" w:right="283" w:righ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4</w:t>
            </w:r>
            <w:r>
              <w:rPr>
                <w:rFonts w:hint="eastAsia" w:ascii="宋体" w:hAnsi="宋体" w:eastAsia="宋体" w:cs="宋体"/>
                <w:color w:val="auto"/>
                <w:spacing w:val="-5"/>
                <w:sz w:val="21"/>
                <w:szCs w:val="21"/>
                <w:highlight w:val="none"/>
              </w:rPr>
              <w:t>.1.10(3)</w:t>
            </w:r>
          </w:p>
        </w:tc>
        <w:tc>
          <w:tcPr>
            <w:tcW w:w="7054" w:type="dxa"/>
            <w:tcBorders>
              <w:right w:val="single" w:color="000000" w:sz="6" w:space="0"/>
            </w:tcBorders>
            <w:vAlign w:val="center"/>
          </w:tcPr>
          <w:p w14:paraId="4993F056">
            <w:pPr>
              <w:keepLines w:val="0"/>
              <w:pageBreakBefore w:val="0"/>
              <w:widowControl w:val="0"/>
              <w:kinsoku/>
              <w:overflowPunct/>
              <w:topLinePunct w:val="0"/>
              <w:autoSpaceDE/>
              <w:autoSpaceDN/>
              <w:bidi w:val="0"/>
              <w:snapToGrid w:val="0"/>
              <w:spacing w:before="144"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承包人</w:t>
            </w:r>
            <w:r>
              <w:rPr>
                <w:rFonts w:hint="eastAsia" w:ascii="宋体" w:hAnsi="宋体" w:eastAsia="宋体" w:cs="宋体"/>
                <w:color w:val="auto"/>
                <w:spacing w:val="3"/>
                <w:sz w:val="21"/>
                <w:szCs w:val="21"/>
                <w:highlight w:val="none"/>
              </w:rPr>
              <w:t>对于农民工工资的发放应严格遵守《保障农民工工资支付条例》(国务院</w:t>
            </w:r>
            <w:r>
              <w:rPr>
                <w:rFonts w:hint="eastAsia" w:ascii="宋体" w:hAnsi="宋体" w:eastAsia="宋体" w:cs="宋体"/>
                <w:color w:val="auto"/>
                <w:spacing w:val="1"/>
                <w:sz w:val="21"/>
                <w:szCs w:val="21"/>
                <w:highlight w:val="none"/>
              </w:rPr>
              <w:t>令第724号</w:t>
            </w:r>
            <w:r>
              <w:rPr>
                <w:rFonts w:hint="eastAsia" w:ascii="宋体" w:hAnsi="宋体" w:eastAsia="宋体" w:cs="宋体"/>
                <w:color w:val="auto"/>
                <w:sz w:val="21"/>
                <w:szCs w:val="21"/>
                <w:highlight w:val="none"/>
              </w:rPr>
              <w:t>)、《工程建设领域农民工工资保证金规定》(人社部发〔2021〕65号)</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3"/>
                <w:sz w:val="21"/>
                <w:szCs w:val="21"/>
                <w:highlight w:val="none"/>
              </w:rPr>
              <w:t>辽宁省公路水运工程建设领域农民工工资支付管理办法》(辽交公水规〔2020〕1</w:t>
            </w:r>
            <w:r>
              <w:rPr>
                <w:rFonts w:hint="eastAsia" w:ascii="宋体" w:hAnsi="宋体" w:eastAsia="宋体" w:cs="宋体"/>
                <w:color w:val="auto"/>
                <w:spacing w:val="8"/>
                <w:sz w:val="21"/>
                <w:szCs w:val="21"/>
                <w:highlight w:val="none"/>
              </w:rPr>
              <w:t>号)</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4"/>
                <w:sz w:val="21"/>
                <w:szCs w:val="21"/>
                <w:highlight w:val="none"/>
              </w:rPr>
              <w:t>《辽宁省建设领域农民工工资支付管理办法》(辽人社规〔2018〕3号)、</w:t>
            </w:r>
            <w:r>
              <w:rPr>
                <w:rFonts w:hint="eastAsia" w:ascii="宋体" w:hAnsi="宋体" w:eastAsia="宋体" w:cs="宋体"/>
                <w:color w:val="auto"/>
                <w:spacing w:val="8"/>
                <w:sz w:val="21"/>
                <w:szCs w:val="21"/>
                <w:highlight w:val="none"/>
              </w:rPr>
              <w:t>《关于建</w:t>
            </w:r>
            <w:r>
              <w:rPr>
                <w:rFonts w:hint="eastAsia" w:ascii="宋体" w:hAnsi="宋体" w:eastAsia="宋体" w:cs="宋体"/>
                <w:color w:val="auto"/>
                <w:spacing w:val="7"/>
                <w:sz w:val="21"/>
                <w:szCs w:val="21"/>
                <w:highlight w:val="none"/>
              </w:rPr>
              <w:t>立</w:t>
            </w:r>
            <w:r>
              <w:rPr>
                <w:rFonts w:hint="eastAsia" w:ascii="宋体" w:hAnsi="宋体" w:eastAsia="宋体" w:cs="宋体"/>
                <w:color w:val="auto"/>
                <w:spacing w:val="4"/>
                <w:sz w:val="21"/>
                <w:szCs w:val="21"/>
                <w:highlight w:val="none"/>
              </w:rPr>
              <w:t>建设领域农民工工资保证金制度的通知》(辽人社规〔2018〕4号)、</w:t>
            </w:r>
            <w:r>
              <w:rPr>
                <w:rFonts w:hint="eastAsia" w:ascii="宋体" w:hAnsi="宋体" w:eastAsia="宋体" w:cs="宋体"/>
                <w:color w:val="auto"/>
                <w:spacing w:val="-1"/>
                <w:sz w:val="21"/>
                <w:szCs w:val="21"/>
                <w:highlight w:val="none"/>
              </w:rPr>
              <w:t>《辽宁省工程建设领域农民</w:t>
            </w:r>
            <w:r>
              <w:rPr>
                <w:rFonts w:hint="eastAsia" w:ascii="宋体" w:hAnsi="宋体" w:eastAsia="宋体" w:cs="宋体"/>
                <w:color w:val="auto"/>
                <w:sz w:val="21"/>
                <w:szCs w:val="21"/>
                <w:highlight w:val="none"/>
              </w:rPr>
              <w:t>工工资专用账户管理暂行办法实施细则》(辽人社〔2021〕</w:t>
            </w:r>
          </w:p>
          <w:p w14:paraId="5685124E">
            <w:pPr>
              <w:keepLines w:val="0"/>
              <w:pageBreakBefore w:val="0"/>
              <w:widowControl w:val="0"/>
              <w:kinsoku/>
              <w:overflowPunct/>
              <w:topLinePunct w:val="0"/>
              <w:autoSpaceDE/>
              <w:autoSpaceDN/>
              <w:bidi w:val="0"/>
              <w:snapToGrid w:val="0"/>
              <w:spacing w:before="138"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3</w:t>
            </w:r>
            <w:r>
              <w:rPr>
                <w:rFonts w:hint="eastAsia" w:ascii="宋体" w:hAnsi="宋体" w:eastAsia="宋体" w:cs="宋体"/>
                <w:color w:val="auto"/>
                <w:spacing w:val="6"/>
                <w:sz w:val="21"/>
                <w:szCs w:val="21"/>
                <w:highlight w:val="none"/>
              </w:rPr>
              <w:t>1</w:t>
            </w:r>
            <w:r>
              <w:rPr>
                <w:rFonts w:hint="eastAsia" w:ascii="宋体" w:hAnsi="宋体" w:eastAsia="宋体" w:cs="宋体"/>
                <w:color w:val="auto"/>
                <w:spacing w:val="4"/>
                <w:sz w:val="21"/>
                <w:szCs w:val="21"/>
                <w:highlight w:val="none"/>
              </w:rPr>
              <w:t>号)、《辽宁省工程建设领域农民工工资保证金实施办法》(辽人社〔2022〕5</w:t>
            </w:r>
            <w:r>
              <w:rPr>
                <w:rFonts w:hint="eastAsia" w:ascii="宋体" w:hAnsi="宋体" w:eastAsia="宋体" w:cs="宋体"/>
                <w:color w:val="auto"/>
                <w:spacing w:val="10"/>
                <w:sz w:val="21"/>
                <w:szCs w:val="21"/>
                <w:highlight w:val="none"/>
              </w:rPr>
              <w:t>号</w:t>
            </w:r>
            <w:r>
              <w:rPr>
                <w:rFonts w:hint="eastAsia" w:ascii="宋体" w:hAnsi="宋体" w:eastAsia="宋体" w:cs="宋体"/>
                <w:color w:val="auto"/>
                <w:spacing w:val="7"/>
                <w:sz w:val="21"/>
                <w:szCs w:val="21"/>
                <w:highlight w:val="none"/>
              </w:rPr>
              <w:t>)</w:t>
            </w:r>
            <w:r>
              <w:rPr>
                <w:rFonts w:hint="eastAsia" w:ascii="宋体" w:hAnsi="宋体" w:eastAsia="宋体" w:cs="宋体"/>
                <w:color w:val="auto"/>
                <w:spacing w:val="5"/>
                <w:sz w:val="21"/>
                <w:szCs w:val="21"/>
                <w:highlight w:val="none"/>
              </w:rPr>
              <w:t>等国家和项目所在省、市相关主管部门施行的规定，主要包括：</w:t>
            </w:r>
          </w:p>
          <w:p w14:paraId="72734DA9">
            <w:pPr>
              <w:keepLines w:val="0"/>
              <w:pageBreakBefore w:val="0"/>
              <w:widowControl w:val="0"/>
              <w:kinsoku/>
              <w:overflowPunct/>
              <w:topLinePunct w:val="0"/>
              <w:autoSpaceDE/>
              <w:autoSpaceDN/>
              <w:bidi w:val="0"/>
              <w:snapToGrid w:val="0"/>
              <w:spacing w:before="152"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w:t>
            </w:r>
            <w:r>
              <w:rPr>
                <w:rFonts w:hint="eastAsia" w:ascii="宋体" w:hAnsi="宋体" w:eastAsia="宋体" w:cs="宋体"/>
                <w:color w:val="auto"/>
                <w:spacing w:val="6"/>
                <w:sz w:val="21"/>
                <w:szCs w:val="21"/>
                <w:highlight w:val="none"/>
              </w:rPr>
              <w:t>、承包人(</w:t>
            </w:r>
            <w:r>
              <w:rPr>
                <w:rFonts w:hint="eastAsia" w:ascii="宋体" w:hAnsi="宋体" w:eastAsia="宋体" w:cs="宋体"/>
                <w:color w:val="auto"/>
                <w:spacing w:val="4"/>
                <w:sz w:val="21"/>
                <w:szCs w:val="21"/>
                <w:highlight w:val="none"/>
              </w:rPr>
              <w:t>包</w:t>
            </w:r>
            <w:r>
              <w:rPr>
                <w:rFonts w:hint="eastAsia" w:ascii="宋体" w:hAnsi="宋体" w:eastAsia="宋体" w:cs="宋体"/>
                <w:color w:val="auto"/>
                <w:spacing w:val="3"/>
                <w:sz w:val="21"/>
                <w:szCs w:val="21"/>
                <w:highlight w:val="none"/>
              </w:rPr>
              <w:t>括其分包人)应实行农民工劳动用工实名制管理，与招用的农民工</w:t>
            </w:r>
            <w:r>
              <w:rPr>
                <w:rFonts w:hint="eastAsia" w:ascii="宋体" w:hAnsi="宋体" w:eastAsia="宋体" w:cs="宋体"/>
                <w:color w:val="auto"/>
                <w:spacing w:val="10"/>
                <w:sz w:val="21"/>
                <w:szCs w:val="21"/>
                <w:highlight w:val="none"/>
              </w:rPr>
              <w:t>书</w:t>
            </w:r>
            <w:r>
              <w:rPr>
                <w:rFonts w:hint="eastAsia" w:ascii="宋体" w:hAnsi="宋体" w:eastAsia="宋体" w:cs="宋体"/>
                <w:color w:val="auto"/>
                <w:spacing w:val="6"/>
                <w:sz w:val="21"/>
                <w:szCs w:val="21"/>
                <w:highlight w:val="none"/>
              </w:rPr>
              <w:t>面约定或者通过依法制定的规章制度规定工资支付标准、支付时间、支付方式等</w:t>
            </w:r>
            <w:r>
              <w:rPr>
                <w:rFonts w:hint="eastAsia" w:ascii="宋体" w:hAnsi="宋体" w:eastAsia="宋体" w:cs="宋体"/>
                <w:color w:val="auto"/>
                <w:spacing w:val="10"/>
                <w:sz w:val="21"/>
                <w:szCs w:val="21"/>
                <w:highlight w:val="none"/>
              </w:rPr>
              <w:t>内容。承包人</w:t>
            </w:r>
            <w:r>
              <w:rPr>
                <w:rFonts w:hint="eastAsia" w:ascii="宋体" w:hAnsi="宋体" w:eastAsia="宋体" w:cs="宋体"/>
                <w:color w:val="auto"/>
                <w:spacing w:val="5"/>
                <w:sz w:val="21"/>
                <w:szCs w:val="21"/>
                <w:highlight w:val="none"/>
              </w:rPr>
              <w:t>(包括其分包人)应按照与农民工订立的劳动合同中约定的工资支付</w:t>
            </w:r>
          </w:p>
          <w:p w14:paraId="3C5D6E23">
            <w:pPr>
              <w:keepLines w:val="0"/>
              <w:pageBreakBefore w:val="0"/>
              <w:widowControl w:val="0"/>
              <w:kinsoku/>
              <w:overflowPunct/>
              <w:topLinePunct w:val="0"/>
              <w:autoSpaceDE/>
              <w:autoSpaceDN/>
              <w:bidi w:val="0"/>
              <w:snapToGrid w:val="0"/>
              <w:spacing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周</w:t>
            </w:r>
            <w:r>
              <w:rPr>
                <w:rFonts w:hint="eastAsia" w:ascii="宋体" w:hAnsi="宋体" w:eastAsia="宋体" w:cs="宋体"/>
                <w:color w:val="auto"/>
                <w:spacing w:val="5"/>
                <w:sz w:val="21"/>
                <w:szCs w:val="21"/>
                <w:highlight w:val="none"/>
              </w:rPr>
              <w:t>期和具体支付日期足额支付工资。</w:t>
            </w:r>
          </w:p>
          <w:p w14:paraId="42E4813B">
            <w:pPr>
              <w:keepLines w:val="0"/>
              <w:pageBreakBefore w:val="0"/>
              <w:widowControl w:val="0"/>
              <w:kinsoku/>
              <w:overflowPunct/>
              <w:topLinePunct w:val="0"/>
              <w:autoSpaceDE/>
              <w:autoSpaceDN/>
              <w:bidi w:val="0"/>
              <w:snapToGrid w:val="0"/>
              <w:spacing w:before="118"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w:t>
            </w:r>
            <w:r>
              <w:rPr>
                <w:rFonts w:hint="eastAsia" w:ascii="宋体" w:hAnsi="宋体" w:eastAsia="宋体" w:cs="宋体"/>
                <w:color w:val="auto"/>
                <w:spacing w:val="6"/>
                <w:sz w:val="21"/>
                <w:szCs w:val="21"/>
                <w:highlight w:val="none"/>
              </w:rPr>
              <w:t>、农民工工资应</w:t>
            </w:r>
            <w:r>
              <w:rPr>
                <w:rFonts w:hint="eastAsia" w:ascii="宋体" w:hAnsi="宋体" w:eastAsia="宋体" w:cs="宋体"/>
                <w:color w:val="auto"/>
                <w:spacing w:val="3"/>
                <w:sz w:val="21"/>
                <w:szCs w:val="21"/>
                <w:highlight w:val="none"/>
              </w:rPr>
              <w:t>当以货币形式，通过银行转账或者现金支付给农民工本人，不得</w:t>
            </w:r>
            <w:r>
              <w:rPr>
                <w:rFonts w:hint="eastAsia" w:ascii="宋体" w:hAnsi="宋体" w:eastAsia="宋体" w:cs="宋体"/>
                <w:color w:val="auto"/>
                <w:spacing w:val="4"/>
                <w:sz w:val="21"/>
                <w:szCs w:val="21"/>
                <w:highlight w:val="none"/>
              </w:rPr>
              <w:t>以实物或者有价证券等其他形式替代</w:t>
            </w:r>
            <w:r>
              <w:rPr>
                <w:rFonts w:hint="eastAsia" w:ascii="宋体" w:hAnsi="宋体" w:eastAsia="宋体" w:cs="宋体"/>
                <w:color w:val="auto"/>
                <w:spacing w:val="1"/>
                <w:sz w:val="21"/>
                <w:szCs w:val="21"/>
                <w:highlight w:val="none"/>
              </w:rPr>
              <w:t>。</w:t>
            </w:r>
          </w:p>
          <w:p w14:paraId="0BE2972A">
            <w:pPr>
              <w:keepLines w:val="0"/>
              <w:pageBreakBefore w:val="0"/>
              <w:widowControl w:val="0"/>
              <w:kinsoku/>
              <w:overflowPunct/>
              <w:topLinePunct w:val="0"/>
              <w:autoSpaceDE/>
              <w:autoSpaceDN/>
              <w:bidi w:val="0"/>
              <w:snapToGrid w:val="0"/>
              <w:spacing w:before="14"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position w:val="17"/>
                <w:sz w:val="21"/>
                <w:szCs w:val="21"/>
                <w:highlight w:val="none"/>
              </w:rPr>
              <w:t>c</w:t>
            </w:r>
            <w:r>
              <w:rPr>
                <w:rFonts w:hint="eastAsia" w:ascii="宋体" w:hAnsi="宋体" w:eastAsia="宋体" w:cs="宋体"/>
                <w:color w:val="auto"/>
                <w:spacing w:val="6"/>
                <w:position w:val="17"/>
                <w:sz w:val="21"/>
                <w:szCs w:val="21"/>
                <w:highlight w:val="none"/>
              </w:rPr>
              <w:t>、承包人在每次申</w:t>
            </w:r>
            <w:r>
              <w:rPr>
                <w:rFonts w:hint="eastAsia" w:ascii="宋体" w:hAnsi="宋体" w:eastAsia="宋体" w:cs="宋体"/>
                <w:color w:val="auto"/>
                <w:spacing w:val="4"/>
                <w:position w:val="17"/>
                <w:sz w:val="21"/>
                <w:szCs w:val="21"/>
                <w:highlight w:val="none"/>
              </w:rPr>
              <w:t>报</w:t>
            </w:r>
            <w:r>
              <w:rPr>
                <w:rFonts w:hint="eastAsia" w:ascii="宋体" w:hAnsi="宋体" w:eastAsia="宋体" w:cs="宋体"/>
                <w:color w:val="auto"/>
                <w:spacing w:val="3"/>
                <w:position w:val="17"/>
                <w:sz w:val="21"/>
                <w:szCs w:val="21"/>
                <w:highlight w:val="none"/>
              </w:rPr>
              <w:t>计量支付时，应将农民工工资款单独列项，项目管理法人将</w:t>
            </w:r>
          </w:p>
          <w:p w14:paraId="68EE1D5B">
            <w:pPr>
              <w:keepLines w:val="0"/>
              <w:pageBreakBefore w:val="0"/>
              <w:widowControl w:val="0"/>
              <w:kinsoku/>
              <w:overflowPunct/>
              <w:topLinePunct w:val="0"/>
              <w:autoSpaceDE/>
              <w:autoSpaceDN/>
              <w:bidi w:val="0"/>
              <w:snapToGrid w:val="0"/>
              <w:spacing w:before="1"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按照经</w:t>
            </w:r>
            <w:r>
              <w:rPr>
                <w:rFonts w:hint="eastAsia" w:ascii="宋体" w:hAnsi="宋体" w:eastAsia="宋体" w:cs="宋体"/>
                <w:color w:val="auto"/>
                <w:spacing w:val="8"/>
                <w:sz w:val="21"/>
                <w:szCs w:val="21"/>
                <w:highlight w:val="none"/>
              </w:rPr>
              <w:t>审</w:t>
            </w:r>
            <w:r>
              <w:rPr>
                <w:rFonts w:hint="eastAsia" w:ascii="宋体" w:hAnsi="宋体" w:eastAsia="宋体" w:cs="宋体"/>
                <w:color w:val="auto"/>
                <w:spacing w:val="5"/>
                <w:sz w:val="21"/>
                <w:szCs w:val="21"/>
                <w:highlight w:val="none"/>
              </w:rPr>
              <w:t>核后的数额将农民工工资拨付至承包人的农民工工资专用账户。</w:t>
            </w:r>
          </w:p>
          <w:p w14:paraId="3802A743">
            <w:pPr>
              <w:keepLines w:val="0"/>
              <w:pageBreakBefore w:val="0"/>
              <w:widowControl w:val="0"/>
              <w:kinsoku/>
              <w:overflowPunct/>
              <w:topLinePunct w:val="0"/>
              <w:autoSpaceDE/>
              <w:autoSpaceDN/>
              <w:bidi w:val="0"/>
              <w:snapToGrid w:val="0"/>
              <w:spacing w:before="118"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d</w:t>
            </w:r>
            <w:r>
              <w:rPr>
                <w:rFonts w:hint="eastAsia" w:ascii="宋体" w:hAnsi="宋体" w:eastAsia="宋体" w:cs="宋体"/>
                <w:color w:val="auto"/>
                <w:spacing w:val="2"/>
                <w:sz w:val="21"/>
                <w:szCs w:val="21"/>
                <w:highlight w:val="none"/>
              </w:rPr>
              <w:t>、承包人应当按照工资支付周期编制书面工资支付台账，并至少保存3年</w:t>
            </w:r>
            <w:r>
              <w:rPr>
                <w:rFonts w:hint="eastAsia" w:ascii="宋体" w:hAnsi="宋体" w:eastAsia="宋体" w:cs="宋体"/>
                <w:color w:val="auto"/>
                <w:spacing w:val="1"/>
                <w:sz w:val="21"/>
                <w:szCs w:val="21"/>
                <w:highlight w:val="none"/>
              </w:rPr>
              <w:t>。</w:t>
            </w:r>
            <w:r>
              <w:rPr>
                <w:rFonts w:hint="eastAsia" w:ascii="宋体" w:hAnsi="宋体" w:eastAsia="宋体" w:cs="宋体"/>
                <w:color w:val="auto"/>
                <w:sz w:val="21"/>
                <w:szCs w:val="21"/>
                <w:highlight w:val="none"/>
              </w:rPr>
              <w:t>书面</w:t>
            </w:r>
            <w:r>
              <w:rPr>
                <w:rFonts w:hint="eastAsia" w:ascii="宋体" w:hAnsi="宋体" w:eastAsia="宋体" w:cs="宋体"/>
                <w:color w:val="auto"/>
                <w:spacing w:val="12"/>
                <w:sz w:val="21"/>
                <w:szCs w:val="21"/>
                <w:highlight w:val="none"/>
              </w:rPr>
              <w:t>工</w:t>
            </w:r>
            <w:r>
              <w:rPr>
                <w:rFonts w:hint="eastAsia" w:ascii="宋体" w:hAnsi="宋体" w:eastAsia="宋体" w:cs="宋体"/>
                <w:color w:val="auto"/>
                <w:spacing w:val="8"/>
                <w:sz w:val="21"/>
                <w:szCs w:val="21"/>
                <w:highlight w:val="none"/>
              </w:rPr>
              <w:t>资</w:t>
            </w:r>
            <w:r>
              <w:rPr>
                <w:rFonts w:hint="eastAsia" w:ascii="宋体" w:hAnsi="宋体" w:eastAsia="宋体" w:cs="宋体"/>
                <w:color w:val="auto"/>
                <w:spacing w:val="6"/>
                <w:sz w:val="21"/>
                <w:szCs w:val="21"/>
                <w:highlight w:val="none"/>
              </w:rPr>
              <w:t>支付台账应当包括用人单位名称，支付周期，支付日期，支付对象姓名、身份</w:t>
            </w:r>
            <w:r>
              <w:rPr>
                <w:rFonts w:hint="eastAsia" w:ascii="宋体" w:hAnsi="宋体" w:eastAsia="宋体" w:cs="宋体"/>
                <w:color w:val="auto"/>
                <w:spacing w:val="12"/>
                <w:sz w:val="21"/>
                <w:szCs w:val="21"/>
                <w:highlight w:val="none"/>
              </w:rPr>
              <w:t>证</w:t>
            </w:r>
            <w:r>
              <w:rPr>
                <w:rFonts w:hint="eastAsia" w:ascii="宋体" w:hAnsi="宋体" w:eastAsia="宋体" w:cs="宋体"/>
                <w:color w:val="auto"/>
                <w:spacing w:val="8"/>
                <w:sz w:val="21"/>
                <w:szCs w:val="21"/>
                <w:highlight w:val="none"/>
              </w:rPr>
              <w:t>号</w:t>
            </w:r>
            <w:r>
              <w:rPr>
                <w:rFonts w:hint="eastAsia" w:ascii="宋体" w:hAnsi="宋体" w:eastAsia="宋体" w:cs="宋体"/>
                <w:color w:val="auto"/>
                <w:spacing w:val="6"/>
                <w:sz w:val="21"/>
                <w:szCs w:val="21"/>
                <w:highlight w:val="none"/>
              </w:rPr>
              <w:t>码、联系方式，工作时间，应发工资项目及数额，代扣、代缴、扣除项目和数</w:t>
            </w:r>
            <w:r>
              <w:rPr>
                <w:rFonts w:hint="eastAsia" w:ascii="宋体" w:hAnsi="宋体" w:eastAsia="宋体" w:cs="宋体"/>
                <w:color w:val="auto"/>
                <w:spacing w:val="12"/>
                <w:sz w:val="21"/>
                <w:szCs w:val="21"/>
                <w:highlight w:val="none"/>
              </w:rPr>
              <w:t>额</w:t>
            </w:r>
            <w:r>
              <w:rPr>
                <w:rFonts w:hint="eastAsia" w:ascii="宋体" w:hAnsi="宋体" w:eastAsia="宋体" w:cs="宋体"/>
                <w:color w:val="auto"/>
                <w:spacing w:val="8"/>
                <w:sz w:val="21"/>
                <w:szCs w:val="21"/>
                <w:highlight w:val="none"/>
              </w:rPr>
              <w:t>，</w:t>
            </w:r>
            <w:r>
              <w:rPr>
                <w:rFonts w:hint="eastAsia" w:ascii="宋体" w:hAnsi="宋体" w:eastAsia="宋体" w:cs="宋体"/>
                <w:color w:val="auto"/>
                <w:spacing w:val="6"/>
                <w:sz w:val="21"/>
                <w:szCs w:val="21"/>
                <w:highlight w:val="none"/>
              </w:rPr>
              <w:t>实发工资数额，银行代发工资凭证或者农民工签字等内容。用人单位向农民工</w:t>
            </w:r>
            <w:r>
              <w:rPr>
                <w:rFonts w:hint="eastAsia" w:ascii="宋体" w:hAnsi="宋体" w:eastAsia="宋体" w:cs="宋体"/>
                <w:color w:val="auto"/>
                <w:spacing w:val="10"/>
                <w:sz w:val="21"/>
                <w:szCs w:val="21"/>
                <w:highlight w:val="none"/>
              </w:rPr>
              <w:t>支付</w:t>
            </w:r>
            <w:r>
              <w:rPr>
                <w:rFonts w:hint="eastAsia" w:ascii="宋体" w:hAnsi="宋体" w:eastAsia="宋体" w:cs="宋体"/>
                <w:color w:val="auto"/>
                <w:spacing w:val="5"/>
                <w:sz w:val="21"/>
                <w:szCs w:val="21"/>
                <w:highlight w:val="none"/>
              </w:rPr>
              <w:t>工资时，应当提供农民工本人的工资清单。</w:t>
            </w:r>
          </w:p>
          <w:p w14:paraId="2973A984">
            <w:pPr>
              <w:keepLines w:val="0"/>
              <w:pageBreakBefore w:val="0"/>
              <w:widowControl w:val="0"/>
              <w:kinsoku/>
              <w:overflowPunct/>
              <w:topLinePunct w:val="0"/>
              <w:autoSpaceDE/>
              <w:autoSpaceDN/>
              <w:bidi w:val="0"/>
              <w:snapToGrid w:val="0"/>
              <w:spacing w:before="2"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e</w:t>
            </w:r>
            <w:r>
              <w:rPr>
                <w:rFonts w:hint="eastAsia" w:ascii="宋体" w:hAnsi="宋体" w:eastAsia="宋体" w:cs="宋体"/>
                <w:color w:val="auto"/>
                <w:spacing w:val="5"/>
                <w:sz w:val="21"/>
                <w:szCs w:val="21"/>
                <w:highlight w:val="none"/>
              </w:rPr>
              <w:t>、承包人应分解工程价款中的人工费用，在本合同签订后15日内按照有关规</w:t>
            </w:r>
            <w:r>
              <w:rPr>
                <w:rFonts w:hint="eastAsia" w:ascii="宋体" w:hAnsi="宋体" w:eastAsia="宋体" w:cs="宋体"/>
                <w:color w:val="auto"/>
                <w:sz w:val="21"/>
                <w:szCs w:val="21"/>
                <w:highlight w:val="none"/>
              </w:rPr>
              <w:t>定</w:t>
            </w:r>
            <w:r>
              <w:rPr>
                <w:rFonts w:hint="eastAsia" w:ascii="宋体" w:hAnsi="宋体" w:eastAsia="宋体" w:cs="宋体"/>
                <w:color w:val="auto"/>
                <w:spacing w:val="12"/>
                <w:sz w:val="21"/>
                <w:szCs w:val="21"/>
                <w:highlight w:val="none"/>
              </w:rPr>
              <w:t>开</w:t>
            </w:r>
            <w:r>
              <w:rPr>
                <w:rFonts w:hint="eastAsia" w:ascii="宋体" w:hAnsi="宋体" w:eastAsia="宋体" w:cs="宋体"/>
                <w:color w:val="auto"/>
                <w:spacing w:val="7"/>
                <w:sz w:val="21"/>
                <w:szCs w:val="21"/>
                <w:highlight w:val="none"/>
              </w:rPr>
              <w:t>设</w:t>
            </w:r>
            <w:r>
              <w:rPr>
                <w:rFonts w:hint="eastAsia" w:ascii="宋体" w:hAnsi="宋体" w:eastAsia="宋体" w:cs="宋体"/>
                <w:color w:val="auto"/>
                <w:spacing w:val="6"/>
                <w:sz w:val="21"/>
                <w:szCs w:val="21"/>
                <w:highlight w:val="none"/>
              </w:rPr>
              <w:t>农民工工资专用账户，专项用于支付本工程项目的农民工工资。开设、使用农</w:t>
            </w:r>
            <w:r>
              <w:rPr>
                <w:rFonts w:hint="eastAsia" w:ascii="宋体" w:hAnsi="宋体" w:eastAsia="宋体" w:cs="宋体"/>
                <w:color w:val="auto"/>
                <w:spacing w:val="12"/>
                <w:sz w:val="21"/>
                <w:szCs w:val="21"/>
                <w:highlight w:val="none"/>
              </w:rPr>
              <w:t>民</w:t>
            </w:r>
            <w:r>
              <w:rPr>
                <w:rFonts w:hint="eastAsia" w:ascii="宋体" w:hAnsi="宋体" w:eastAsia="宋体" w:cs="宋体"/>
                <w:color w:val="auto"/>
                <w:spacing w:val="7"/>
                <w:sz w:val="21"/>
                <w:szCs w:val="21"/>
                <w:highlight w:val="none"/>
              </w:rPr>
              <w:t>工</w:t>
            </w:r>
            <w:r>
              <w:rPr>
                <w:rFonts w:hint="eastAsia" w:ascii="宋体" w:hAnsi="宋体" w:eastAsia="宋体" w:cs="宋体"/>
                <w:color w:val="auto"/>
                <w:spacing w:val="6"/>
                <w:sz w:val="21"/>
                <w:szCs w:val="21"/>
                <w:highlight w:val="none"/>
              </w:rPr>
              <w:t>工资专用账户有关资料应当由承包人妥善保存备查。工程完工且未拖欠农民工</w:t>
            </w:r>
            <w:r>
              <w:rPr>
                <w:rFonts w:hint="eastAsia" w:ascii="宋体" w:hAnsi="宋体" w:eastAsia="宋体" w:cs="宋体"/>
                <w:color w:val="auto"/>
                <w:spacing w:val="2"/>
                <w:sz w:val="21"/>
                <w:szCs w:val="21"/>
                <w:highlight w:val="none"/>
              </w:rPr>
              <w:t>工资的，承包人公示30日后，可以申请注销农民工工资专用账户，账户内余</w:t>
            </w:r>
            <w:r>
              <w:rPr>
                <w:rFonts w:hint="eastAsia" w:ascii="宋体" w:hAnsi="宋体" w:eastAsia="宋体" w:cs="宋体"/>
                <w:color w:val="auto"/>
                <w:spacing w:val="1"/>
                <w:sz w:val="21"/>
                <w:szCs w:val="21"/>
                <w:highlight w:val="none"/>
              </w:rPr>
              <w:t>额</w:t>
            </w:r>
            <w:r>
              <w:rPr>
                <w:rFonts w:hint="eastAsia" w:ascii="宋体" w:hAnsi="宋体" w:eastAsia="宋体" w:cs="宋体"/>
                <w:color w:val="auto"/>
                <w:sz w:val="21"/>
                <w:szCs w:val="21"/>
                <w:highlight w:val="none"/>
              </w:rPr>
              <w:t>归承</w:t>
            </w:r>
          </w:p>
          <w:p w14:paraId="32C34AA2">
            <w:pPr>
              <w:keepLines w:val="0"/>
              <w:pageBreakBefore w:val="0"/>
              <w:widowControl w:val="0"/>
              <w:kinsoku/>
              <w:overflowPunct/>
              <w:topLinePunct w:val="0"/>
              <w:autoSpaceDE/>
              <w:autoSpaceDN/>
              <w:bidi w:val="0"/>
              <w:snapToGrid w:val="0"/>
              <w:spacing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包</w:t>
            </w:r>
            <w:r>
              <w:rPr>
                <w:rFonts w:hint="eastAsia" w:ascii="宋体" w:hAnsi="宋体" w:eastAsia="宋体" w:cs="宋体"/>
                <w:color w:val="auto"/>
                <w:spacing w:val="3"/>
                <w:sz w:val="21"/>
                <w:szCs w:val="21"/>
                <w:highlight w:val="none"/>
              </w:rPr>
              <w:t>人所有。</w:t>
            </w:r>
          </w:p>
          <w:p w14:paraId="03A11E25">
            <w:pPr>
              <w:keepLines w:val="0"/>
              <w:pageBreakBefore w:val="0"/>
              <w:widowControl w:val="0"/>
              <w:kinsoku/>
              <w:overflowPunct/>
              <w:topLinePunct w:val="0"/>
              <w:autoSpaceDE/>
              <w:autoSpaceDN/>
              <w:bidi w:val="0"/>
              <w:snapToGrid w:val="0"/>
              <w:spacing w:before="111"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f</w:t>
            </w:r>
            <w:r>
              <w:rPr>
                <w:rFonts w:hint="eastAsia" w:ascii="宋体" w:hAnsi="宋体" w:eastAsia="宋体" w:cs="宋体"/>
                <w:color w:val="auto"/>
                <w:spacing w:val="7"/>
                <w:sz w:val="21"/>
                <w:szCs w:val="21"/>
                <w:highlight w:val="none"/>
              </w:rPr>
              <w:t>、</w:t>
            </w:r>
            <w:r>
              <w:rPr>
                <w:rFonts w:hint="eastAsia" w:ascii="宋体" w:hAnsi="宋体" w:eastAsia="宋体" w:cs="宋体"/>
                <w:color w:val="auto"/>
                <w:spacing w:val="4"/>
                <w:sz w:val="21"/>
                <w:szCs w:val="21"/>
                <w:highlight w:val="none"/>
              </w:rPr>
              <w:t>承包人(包括其分包人)应当依法与所招用的农民工订立劳动合同并进行用工</w:t>
            </w:r>
            <w:r>
              <w:rPr>
                <w:rFonts w:hint="eastAsia" w:ascii="宋体" w:hAnsi="宋体" w:eastAsia="宋体" w:cs="宋体"/>
                <w:color w:val="auto"/>
                <w:spacing w:val="9"/>
                <w:sz w:val="21"/>
                <w:szCs w:val="21"/>
                <w:highlight w:val="none"/>
              </w:rPr>
              <w:t>实</w:t>
            </w:r>
            <w:r>
              <w:rPr>
                <w:rFonts w:hint="eastAsia" w:ascii="宋体" w:hAnsi="宋体" w:eastAsia="宋体" w:cs="宋体"/>
                <w:color w:val="auto"/>
                <w:spacing w:val="6"/>
                <w:sz w:val="21"/>
                <w:szCs w:val="21"/>
                <w:highlight w:val="none"/>
              </w:rPr>
              <w:t>名登记，通过相应的管理服务信息平台(如辽宁省建筑工人实名制信息管理服务平台、辽宁省欠薪预警信息系统)进行用工实名登记、管理。未与承包人(包括</w:t>
            </w:r>
            <w:r>
              <w:rPr>
                <w:rFonts w:hint="eastAsia" w:ascii="宋体" w:hAnsi="宋体" w:eastAsia="宋体" w:cs="宋体"/>
                <w:color w:val="auto"/>
                <w:spacing w:val="3"/>
                <w:sz w:val="21"/>
                <w:szCs w:val="21"/>
                <w:highlight w:val="none"/>
              </w:rPr>
              <w:t>其</w:t>
            </w:r>
            <w:r>
              <w:rPr>
                <w:rFonts w:hint="eastAsia" w:ascii="宋体" w:hAnsi="宋体" w:eastAsia="宋体" w:cs="宋体"/>
                <w:color w:val="auto"/>
                <w:spacing w:val="9"/>
                <w:sz w:val="21"/>
                <w:szCs w:val="21"/>
                <w:highlight w:val="none"/>
              </w:rPr>
              <w:t>分</w:t>
            </w:r>
            <w:r>
              <w:rPr>
                <w:rFonts w:hint="eastAsia" w:ascii="宋体" w:hAnsi="宋体" w:eastAsia="宋体" w:cs="宋体"/>
                <w:color w:val="auto"/>
                <w:spacing w:val="6"/>
                <w:sz w:val="21"/>
                <w:szCs w:val="21"/>
                <w:highlight w:val="none"/>
              </w:rPr>
              <w:t>包人)订立劳动合同并进行用工实名登记的人员，不得进入项目现场施工。承包</w:t>
            </w:r>
            <w:r>
              <w:rPr>
                <w:rFonts w:hint="eastAsia" w:ascii="宋体" w:hAnsi="宋体" w:eastAsia="宋体" w:cs="宋体"/>
                <w:color w:val="auto"/>
                <w:spacing w:val="12"/>
                <w:sz w:val="21"/>
                <w:szCs w:val="21"/>
                <w:highlight w:val="none"/>
              </w:rPr>
              <w:t>人</w:t>
            </w:r>
            <w:r>
              <w:rPr>
                <w:rFonts w:hint="eastAsia" w:ascii="宋体" w:hAnsi="宋体" w:eastAsia="宋体" w:cs="宋体"/>
                <w:color w:val="auto"/>
                <w:spacing w:val="9"/>
                <w:sz w:val="21"/>
                <w:szCs w:val="21"/>
                <w:highlight w:val="none"/>
              </w:rPr>
              <w:t>对</w:t>
            </w:r>
            <w:r>
              <w:rPr>
                <w:rFonts w:hint="eastAsia" w:ascii="宋体" w:hAnsi="宋体" w:eastAsia="宋体" w:cs="宋体"/>
                <w:color w:val="auto"/>
                <w:spacing w:val="6"/>
                <w:sz w:val="21"/>
                <w:szCs w:val="21"/>
                <w:highlight w:val="none"/>
              </w:rPr>
              <w:t>工程进行分包的，应在工程项目部配备劳资专管员，对分包人劳动用工实施监</w:t>
            </w:r>
            <w:r>
              <w:rPr>
                <w:rFonts w:hint="eastAsia" w:ascii="宋体" w:hAnsi="宋体" w:eastAsia="宋体" w:cs="宋体"/>
                <w:color w:val="auto"/>
                <w:spacing w:val="12"/>
                <w:sz w:val="21"/>
                <w:szCs w:val="21"/>
                <w:highlight w:val="none"/>
              </w:rPr>
              <w:t>督</w:t>
            </w:r>
            <w:r>
              <w:rPr>
                <w:rFonts w:hint="eastAsia" w:ascii="宋体" w:hAnsi="宋体" w:eastAsia="宋体" w:cs="宋体"/>
                <w:color w:val="auto"/>
                <w:spacing w:val="9"/>
                <w:sz w:val="21"/>
                <w:szCs w:val="21"/>
                <w:highlight w:val="none"/>
              </w:rPr>
              <w:t>管</w:t>
            </w:r>
            <w:r>
              <w:rPr>
                <w:rFonts w:hint="eastAsia" w:ascii="宋体" w:hAnsi="宋体" w:eastAsia="宋体" w:cs="宋体"/>
                <w:color w:val="auto"/>
                <w:spacing w:val="6"/>
                <w:sz w:val="21"/>
                <w:szCs w:val="21"/>
                <w:highlight w:val="none"/>
              </w:rPr>
              <w:t>理，掌握施工现场用工、考勤、工资支付等情况，审核分包人编制的农民工工</w:t>
            </w:r>
            <w:r>
              <w:rPr>
                <w:rFonts w:hint="eastAsia" w:ascii="宋体" w:hAnsi="宋体" w:eastAsia="宋体" w:cs="宋体"/>
                <w:color w:val="auto"/>
                <w:spacing w:val="12"/>
                <w:sz w:val="21"/>
                <w:szCs w:val="21"/>
                <w:highlight w:val="none"/>
              </w:rPr>
              <w:t>资</w:t>
            </w:r>
            <w:r>
              <w:rPr>
                <w:rFonts w:hint="eastAsia" w:ascii="宋体" w:hAnsi="宋体" w:eastAsia="宋体" w:cs="宋体"/>
                <w:color w:val="auto"/>
                <w:spacing w:val="9"/>
                <w:sz w:val="21"/>
                <w:szCs w:val="21"/>
                <w:highlight w:val="none"/>
              </w:rPr>
              <w:t>支</w:t>
            </w:r>
            <w:r>
              <w:rPr>
                <w:rFonts w:hint="eastAsia" w:ascii="宋体" w:hAnsi="宋体" w:eastAsia="宋体" w:cs="宋体"/>
                <w:color w:val="auto"/>
                <w:spacing w:val="6"/>
                <w:sz w:val="21"/>
                <w:szCs w:val="21"/>
                <w:highlight w:val="none"/>
              </w:rPr>
              <w:t>付表。承包人应当建立用工管理台账，并保存至工程完工且工资全部结清后至</w:t>
            </w:r>
            <w:r>
              <w:rPr>
                <w:rFonts w:hint="eastAsia" w:ascii="宋体" w:hAnsi="宋体" w:eastAsia="宋体" w:cs="宋体"/>
                <w:color w:val="auto"/>
                <w:spacing w:val="-8"/>
                <w:sz w:val="21"/>
                <w:szCs w:val="21"/>
                <w:highlight w:val="none"/>
              </w:rPr>
              <w:t>少</w:t>
            </w:r>
            <w:r>
              <w:rPr>
                <w:rFonts w:hint="eastAsia" w:ascii="宋体" w:hAnsi="宋体" w:eastAsia="宋体" w:cs="宋体"/>
                <w:color w:val="auto"/>
                <w:spacing w:val="-6"/>
                <w:sz w:val="21"/>
                <w:szCs w:val="21"/>
                <w:highlight w:val="none"/>
              </w:rPr>
              <w:t>3年。</w:t>
            </w:r>
          </w:p>
          <w:p w14:paraId="389B0676">
            <w:pPr>
              <w:keepLines w:val="0"/>
              <w:pageBreakBefore w:val="0"/>
              <w:widowControl w:val="0"/>
              <w:kinsoku/>
              <w:overflowPunct/>
              <w:topLinePunct w:val="0"/>
              <w:autoSpaceDE/>
              <w:autoSpaceDN/>
              <w:bidi w:val="0"/>
              <w:snapToGrid w:val="0"/>
              <w:spacing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position w:val="15"/>
                <w:sz w:val="21"/>
                <w:szCs w:val="21"/>
                <w:highlight w:val="none"/>
              </w:rPr>
              <w:t>g</w:t>
            </w:r>
            <w:r>
              <w:rPr>
                <w:rFonts w:hint="eastAsia" w:ascii="宋体" w:hAnsi="宋体" w:eastAsia="宋体" w:cs="宋体"/>
                <w:color w:val="auto"/>
                <w:spacing w:val="6"/>
                <w:position w:val="15"/>
                <w:sz w:val="21"/>
                <w:szCs w:val="21"/>
                <w:highlight w:val="none"/>
              </w:rPr>
              <w:t>、分包人(如有</w:t>
            </w:r>
            <w:r>
              <w:rPr>
                <w:rFonts w:hint="eastAsia" w:ascii="宋体" w:hAnsi="宋体" w:eastAsia="宋体" w:cs="宋体"/>
                <w:color w:val="auto"/>
                <w:spacing w:val="3"/>
                <w:position w:val="15"/>
                <w:sz w:val="21"/>
                <w:szCs w:val="21"/>
                <w:highlight w:val="none"/>
              </w:rPr>
              <w:t>)拖欠农民工工资的，由承包人先行清偿，再依法进行追偿。</w:t>
            </w:r>
          </w:p>
          <w:p w14:paraId="4ACC3999">
            <w:pPr>
              <w:keepLines w:val="0"/>
              <w:pageBreakBefore w:val="0"/>
              <w:widowControl w:val="0"/>
              <w:kinsoku/>
              <w:overflowPunct/>
              <w:topLinePunct w:val="0"/>
              <w:autoSpaceDE/>
              <w:autoSpaceDN/>
              <w:bidi w:val="0"/>
              <w:snapToGrid w:val="0"/>
              <w:spacing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cs="宋体"/>
                <w:color w:val="auto"/>
                <w:spacing w:val="10"/>
                <w:sz w:val="21"/>
                <w:szCs w:val="21"/>
                <w:highlight w:val="none"/>
                <w:lang w:val="en-US" w:eastAsia="zh-CN"/>
              </w:rPr>
              <w:t>因</w:t>
            </w:r>
            <w:r>
              <w:rPr>
                <w:rFonts w:hint="eastAsia" w:ascii="宋体" w:hAnsi="宋体" w:eastAsia="宋体" w:cs="宋体"/>
                <w:color w:val="auto"/>
                <w:spacing w:val="10"/>
                <w:sz w:val="21"/>
                <w:szCs w:val="21"/>
                <w:highlight w:val="none"/>
              </w:rPr>
              <w:t>承包人转</w:t>
            </w:r>
            <w:r>
              <w:rPr>
                <w:rFonts w:hint="eastAsia" w:ascii="宋体" w:hAnsi="宋体" w:eastAsia="宋体" w:cs="宋体"/>
                <w:color w:val="auto"/>
                <w:spacing w:val="7"/>
                <w:sz w:val="21"/>
                <w:szCs w:val="21"/>
                <w:highlight w:val="none"/>
              </w:rPr>
              <w:t>包</w:t>
            </w:r>
            <w:r>
              <w:rPr>
                <w:rFonts w:hint="eastAsia" w:ascii="宋体" w:hAnsi="宋体" w:eastAsia="宋体" w:cs="宋体"/>
                <w:color w:val="auto"/>
                <w:spacing w:val="5"/>
                <w:sz w:val="21"/>
                <w:szCs w:val="21"/>
                <w:highlight w:val="none"/>
              </w:rPr>
              <w:t>导致拖欠农民工工资的，由承包人先行清偿，再依法进行追偿。</w:t>
            </w:r>
          </w:p>
          <w:p w14:paraId="2C8BD028">
            <w:pPr>
              <w:keepLines w:val="0"/>
              <w:pageBreakBefore w:val="0"/>
              <w:widowControl w:val="0"/>
              <w:kinsoku/>
              <w:overflowPunct/>
              <w:topLinePunct w:val="0"/>
              <w:autoSpaceDE/>
              <w:autoSpaceDN/>
              <w:bidi w:val="0"/>
              <w:snapToGrid w:val="0"/>
              <w:spacing w:before="118"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h</w:t>
            </w:r>
            <w:r>
              <w:rPr>
                <w:rFonts w:hint="eastAsia" w:ascii="宋体" w:hAnsi="宋体" w:eastAsia="宋体" w:cs="宋体"/>
                <w:color w:val="auto"/>
                <w:spacing w:val="6"/>
                <w:sz w:val="21"/>
                <w:szCs w:val="21"/>
                <w:highlight w:val="none"/>
              </w:rPr>
              <w:t>、承包人应当</w:t>
            </w:r>
            <w:r>
              <w:rPr>
                <w:rFonts w:hint="eastAsia" w:ascii="宋体" w:hAnsi="宋体" w:eastAsia="宋体" w:cs="宋体"/>
                <w:color w:val="auto"/>
                <w:spacing w:val="5"/>
                <w:sz w:val="21"/>
                <w:szCs w:val="21"/>
                <w:highlight w:val="none"/>
              </w:rPr>
              <w:t>按</w:t>
            </w:r>
            <w:r>
              <w:rPr>
                <w:rFonts w:hint="eastAsia" w:ascii="宋体" w:hAnsi="宋体" w:eastAsia="宋体" w:cs="宋体"/>
                <w:color w:val="auto"/>
                <w:spacing w:val="3"/>
                <w:sz w:val="21"/>
                <w:szCs w:val="21"/>
                <w:highlight w:val="none"/>
              </w:rPr>
              <w:t>照项目所在省、市的人力资源社会保障行政部门、交通运输主管</w:t>
            </w:r>
            <w:r>
              <w:rPr>
                <w:rFonts w:hint="eastAsia" w:ascii="宋体" w:hAnsi="宋体" w:eastAsia="宋体" w:cs="宋体"/>
                <w:color w:val="auto"/>
                <w:spacing w:val="8"/>
                <w:sz w:val="21"/>
                <w:szCs w:val="21"/>
                <w:highlight w:val="none"/>
              </w:rPr>
              <w:t>部</w:t>
            </w:r>
            <w:r>
              <w:rPr>
                <w:rFonts w:hint="eastAsia" w:ascii="宋体" w:hAnsi="宋体" w:eastAsia="宋体" w:cs="宋体"/>
                <w:color w:val="auto"/>
                <w:spacing w:val="5"/>
                <w:sz w:val="21"/>
                <w:szCs w:val="21"/>
                <w:highlight w:val="none"/>
              </w:rPr>
              <w:t>门等的有关规定存储工资保证金。</w:t>
            </w:r>
          </w:p>
          <w:p w14:paraId="7431BDC1">
            <w:pPr>
              <w:keepLines w:val="0"/>
              <w:pageBreakBefore w:val="0"/>
              <w:widowControl w:val="0"/>
              <w:kinsoku/>
              <w:overflowPunct/>
              <w:topLinePunct w:val="0"/>
              <w:autoSpaceDE/>
              <w:autoSpaceDN/>
              <w:bidi w:val="0"/>
              <w:snapToGrid w:val="0"/>
              <w:spacing w:before="1"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i</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3"/>
                <w:sz w:val="21"/>
                <w:szCs w:val="21"/>
                <w:highlight w:val="none"/>
              </w:rPr>
              <w:t>承包人应当在施工现场醒目位置设立维权信息告示牌，明示下列事项：①发包</w:t>
            </w:r>
            <w:r>
              <w:rPr>
                <w:rFonts w:hint="eastAsia" w:ascii="宋体" w:hAnsi="宋体" w:eastAsia="宋体" w:cs="宋体"/>
                <w:color w:val="auto"/>
                <w:spacing w:val="12"/>
                <w:sz w:val="21"/>
                <w:szCs w:val="21"/>
                <w:highlight w:val="none"/>
              </w:rPr>
              <w:t>人</w:t>
            </w:r>
            <w:r>
              <w:rPr>
                <w:rFonts w:hint="eastAsia" w:ascii="宋体" w:hAnsi="宋体" w:eastAsia="宋体" w:cs="宋体"/>
                <w:color w:val="auto"/>
                <w:spacing w:val="6"/>
                <w:sz w:val="21"/>
                <w:szCs w:val="21"/>
                <w:highlight w:val="none"/>
              </w:rPr>
              <w:t>、承包人及所在项目部、分包单位、相关行业工程建设主管部门、劳资专管员等</w:t>
            </w:r>
          </w:p>
          <w:p w14:paraId="35E63D56">
            <w:pPr>
              <w:keepLines w:val="0"/>
              <w:pageBreakBefore w:val="0"/>
              <w:widowControl w:val="0"/>
              <w:kinsoku/>
              <w:overflowPunct/>
              <w:topLinePunct w:val="0"/>
              <w:autoSpaceDE/>
              <w:autoSpaceDN/>
              <w:bidi w:val="0"/>
              <w:snapToGrid w:val="0"/>
              <w:spacing w:before="138"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基</w:t>
            </w:r>
            <w:r>
              <w:rPr>
                <w:rFonts w:hint="eastAsia" w:ascii="宋体" w:hAnsi="宋体" w:eastAsia="宋体" w:cs="宋体"/>
                <w:color w:val="auto"/>
                <w:spacing w:val="8"/>
                <w:sz w:val="21"/>
                <w:szCs w:val="21"/>
                <w:highlight w:val="none"/>
              </w:rPr>
              <w:t>本</w:t>
            </w:r>
            <w:r>
              <w:rPr>
                <w:rFonts w:hint="eastAsia" w:ascii="宋体" w:hAnsi="宋体" w:eastAsia="宋体" w:cs="宋体"/>
                <w:color w:val="auto"/>
                <w:spacing w:val="6"/>
                <w:sz w:val="21"/>
                <w:szCs w:val="21"/>
                <w:highlight w:val="none"/>
              </w:rPr>
              <w:t>信息；②当地最低工资标准、工资支付日期等基本信息；③交通运输主管部门</w:t>
            </w:r>
            <w:r>
              <w:rPr>
                <w:rFonts w:hint="eastAsia" w:ascii="宋体" w:hAnsi="宋体" w:eastAsia="宋体" w:cs="宋体"/>
                <w:color w:val="auto"/>
                <w:spacing w:val="10"/>
                <w:sz w:val="21"/>
                <w:szCs w:val="21"/>
                <w:highlight w:val="none"/>
              </w:rPr>
              <w:t>和</w:t>
            </w:r>
            <w:r>
              <w:rPr>
                <w:rFonts w:hint="eastAsia" w:ascii="宋体" w:hAnsi="宋体" w:eastAsia="宋体" w:cs="宋体"/>
                <w:color w:val="auto"/>
                <w:spacing w:val="8"/>
                <w:sz w:val="21"/>
                <w:szCs w:val="21"/>
                <w:highlight w:val="none"/>
              </w:rPr>
              <w:t>劳</w:t>
            </w:r>
            <w:r>
              <w:rPr>
                <w:rFonts w:hint="eastAsia" w:ascii="宋体" w:hAnsi="宋体" w:eastAsia="宋体" w:cs="宋体"/>
                <w:color w:val="auto"/>
                <w:spacing w:val="5"/>
                <w:sz w:val="21"/>
                <w:szCs w:val="21"/>
                <w:highlight w:val="none"/>
              </w:rPr>
              <w:t>动保障监察投诉举报电话、劳动争议调解仲裁申请渠道、法律援助申请渠道、</w:t>
            </w:r>
            <w:r>
              <w:rPr>
                <w:rFonts w:hint="eastAsia" w:ascii="宋体" w:hAnsi="宋体" w:eastAsia="宋体" w:cs="宋体"/>
                <w:color w:val="auto"/>
                <w:spacing w:val="8"/>
                <w:sz w:val="21"/>
                <w:szCs w:val="21"/>
                <w:highlight w:val="none"/>
              </w:rPr>
              <w:t>公</w:t>
            </w:r>
            <w:r>
              <w:rPr>
                <w:rFonts w:hint="eastAsia" w:ascii="宋体" w:hAnsi="宋体" w:eastAsia="宋体" w:cs="宋体"/>
                <w:color w:val="auto"/>
                <w:spacing w:val="5"/>
                <w:sz w:val="21"/>
                <w:szCs w:val="21"/>
                <w:highlight w:val="none"/>
              </w:rPr>
              <w:t>共</w:t>
            </w:r>
            <w:r>
              <w:rPr>
                <w:rFonts w:hint="eastAsia" w:ascii="宋体" w:hAnsi="宋体" w:eastAsia="宋体" w:cs="宋体"/>
                <w:color w:val="auto"/>
                <w:spacing w:val="4"/>
                <w:sz w:val="21"/>
                <w:szCs w:val="21"/>
                <w:highlight w:val="none"/>
              </w:rPr>
              <w:t>法律服务热线等信息。</w:t>
            </w:r>
          </w:p>
          <w:p w14:paraId="5642B3D9">
            <w:pPr>
              <w:keepLines w:val="0"/>
              <w:pageBreakBefore w:val="0"/>
              <w:widowControl w:val="0"/>
              <w:kinsoku/>
              <w:overflowPunct/>
              <w:topLinePunct w:val="0"/>
              <w:autoSpaceDE/>
              <w:autoSpaceDN/>
              <w:bidi w:val="0"/>
              <w:snapToGrid w:val="0"/>
              <w:spacing w:before="1"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承</w:t>
            </w:r>
            <w:r>
              <w:rPr>
                <w:rFonts w:hint="eastAsia" w:ascii="宋体" w:hAnsi="宋体" w:eastAsia="宋体" w:cs="宋体"/>
                <w:color w:val="auto"/>
                <w:spacing w:val="10"/>
                <w:sz w:val="21"/>
                <w:szCs w:val="21"/>
                <w:highlight w:val="none"/>
              </w:rPr>
              <w:t>包</w:t>
            </w:r>
            <w:r>
              <w:rPr>
                <w:rFonts w:hint="eastAsia" w:ascii="宋体" w:hAnsi="宋体" w:eastAsia="宋体" w:cs="宋体"/>
                <w:color w:val="auto"/>
                <w:spacing w:val="6"/>
                <w:sz w:val="21"/>
                <w:szCs w:val="21"/>
                <w:highlight w:val="none"/>
              </w:rPr>
              <w:t>人在履行合同过程中出现拖欠或克扣农民工工资或与本工程有关的债务而导</w:t>
            </w:r>
            <w:r>
              <w:rPr>
                <w:rFonts w:hint="eastAsia" w:ascii="宋体" w:hAnsi="宋体" w:eastAsia="宋体" w:cs="宋体"/>
                <w:color w:val="auto"/>
                <w:spacing w:val="12"/>
                <w:sz w:val="21"/>
                <w:szCs w:val="21"/>
                <w:highlight w:val="none"/>
              </w:rPr>
              <w:t>致</w:t>
            </w:r>
            <w:r>
              <w:rPr>
                <w:rFonts w:hint="eastAsia" w:ascii="宋体" w:hAnsi="宋体" w:eastAsia="宋体" w:cs="宋体"/>
                <w:color w:val="auto"/>
                <w:spacing w:val="8"/>
                <w:sz w:val="21"/>
                <w:szCs w:val="21"/>
                <w:highlight w:val="none"/>
              </w:rPr>
              <w:t>阻</w:t>
            </w:r>
            <w:r>
              <w:rPr>
                <w:rFonts w:hint="eastAsia" w:ascii="宋体" w:hAnsi="宋体" w:eastAsia="宋体" w:cs="宋体"/>
                <w:color w:val="auto"/>
                <w:spacing w:val="6"/>
                <w:sz w:val="21"/>
                <w:szCs w:val="21"/>
                <w:highlight w:val="none"/>
              </w:rPr>
              <w:t>工、上访，经发包人、监理人及政府相关部门确认后，项目管理法人将停止对</w:t>
            </w:r>
            <w:r>
              <w:rPr>
                <w:rFonts w:hint="eastAsia" w:ascii="宋体" w:hAnsi="宋体" w:eastAsia="宋体" w:cs="宋体"/>
                <w:color w:val="auto"/>
                <w:spacing w:val="9"/>
                <w:sz w:val="21"/>
                <w:szCs w:val="21"/>
                <w:highlight w:val="none"/>
              </w:rPr>
              <w:t>承</w:t>
            </w:r>
            <w:r>
              <w:rPr>
                <w:rFonts w:hint="eastAsia" w:ascii="宋体" w:hAnsi="宋体" w:eastAsia="宋体" w:cs="宋体"/>
                <w:color w:val="auto"/>
                <w:spacing w:val="5"/>
                <w:sz w:val="21"/>
                <w:szCs w:val="21"/>
                <w:highlight w:val="none"/>
              </w:rPr>
              <w:t>包人的支付，直到其妥善处理为止。</w:t>
            </w:r>
          </w:p>
        </w:tc>
      </w:tr>
      <w:tr w14:paraId="11CC7D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24" w:type="dxa"/>
            <w:tcBorders>
              <w:left w:val="single" w:color="000000" w:sz="6" w:space="0"/>
            </w:tcBorders>
            <w:vAlign w:val="center"/>
          </w:tcPr>
          <w:p w14:paraId="719D6080">
            <w:pPr>
              <w:keepLines w:val="0"/>
              <w:pageBreakBefore w:val="0"/>
              <w:widowControl w:val="0"/>
              <w:kinsoku/>
              <w:overflowPunct/>
              <w:topLinePunct w:val="0"/>
              <w:autoSpaceDE/>
              <w:autoSpaceDN/>
              <w:bidi w:val="0"/>
              <w:snapToGrid w:val="0"/>
              <w:spacing w:before="57" w:line="240" w:lineRule="auto"/>
              <w:ind w:left="105" w:leftChars="50" w:right="283" w:rightChars="0" w:firstLine="0" w:firstLineChars="0"/>
              <w:jc w:val="center"/>
              <w:textAlignment w:val="auto"/>
              <w:rPr>
                <w:rFonts w:hint="eastAsia" w:ascii="宋体" w:hAnsi="宋体" w:eastAsia="宋体" w:cs="宋体"/>
                <w:color w:val="auto"/>
                <w:spacing w:val="-8"/>
                <w:sz w:val="21"/>
                <w:szCs w:val="21"/>
                <w:highlight w:val="none"/>
              </w:rPr>
            </w:pPr>
            <w:r>
              <w:rPr>
                <w:rFonts w:hint="eastAsia" w:ascii="宋体" w:hAnsi="宋体" w:eastAsia="宋体" w:cs="宋体"/>
                <w:color w:val="auto"/>
                <w:spacing w:val="-11"/>
                <w:sz w:val="21"/>
                <w:szCs w:val="21"/>
                <w:highlight w:val="none"/>
              </w:rPr>
              <w:t>1</w:t>
            </w:r>
            <w:r>
              <w:rPr>
                <w:rFonts w:hint="eastAsia" w:ascii="宋体" w:hAnsi="宋体" w:eastAsia="宋体" w:cs="宋体"/>
                <w:color w:val="auto"/>
                <w:spacing w:val="-9"/>
                <w:sz w:val="21"/>
                <w:szCs w:val="21"/>
                <w:highlight w:val="none"/>
              </w:rPr>
              <w:t>1</w:t>
            </w:r>
          </w:p>
        </w:tc>
        <w:tc>
          <w:tcPr>
            <w:tcW w:w="1384" w:type="dxa"/>
            <w:vAlign w:val="center"/>
          </w:tcPr>
          <w:p w14:paraId="1F6436BE">
            <w:pPr>
              <w:keepLines w:val="0"/>
              <w:pageBreakBefore w:val="0"/>
              <w:widowControl w:val="0"/>
              <w:kinsoku/>
              <w:overflowPunct/>
              <w:topLinePunct w:val="0"/>
              <w:autoSpaceDE/>
              <w:autoSpaceDN/>
              <w:bidi w:val="0"/>
              <w:snapToGrid w:val="0"/>
              <w:spacing w:before="58" w:line="240" w:lineRule="auto"/>
              <w:ind w:left="105" w:leftChars="50" w:right="283" w:rightChars="0" w:firstLine="0" w:firstLineChars="0"/>
              <w:jc w:val="center"/>
              <w:textAlignment w:val="auto"/>
              <w:rPr>
                <w:rFonts w:hint="eastAsia" w:ascii="宋体" w:hAnsi="宋体" w:eastAsia="宋体" w:cs="宋体"/>
                <w:color w:val="auto"/>
                <w:spacing w:val="-6"/>
                <w:sz w:val="21"/>
                <w:szCs w:val="21"/>
                <w:highlight w:val="none"/>
              </w:rPr>
            </w:pPr>
            <w:r>
              <w:rPr>
                <w:rFonts w:hint="eastAsia" w:ascii="宋体" w:hAnsi="宋体" w:eastAsia="宋体" w:cs="宋体"/>
                <w:color w:val="auto"/>
                <w:spacing w:val="3"/>
                <w:sz w:val="21"/>
                <w:szCs w:val="21"/>
                <w:highlight w:val="none"/>
              </w:rPr>
              <w:t>4.2</w:t>
            </w:r>
          </w:p>
        </w:tc>
        <w:tc>
          <w:tcPr>
            <w:tcW w:w="7054" w:type="dxa"/>
            <w:tcBorders>
              <w:right w:val="single" w:color="000000" w:sz="6" w:space="0"/>
            </w:tcBorders>
            <w:vAlign w:val="center"/>
          </w:tcPr>
          <w:p w14:paraId="02B84BD0">
            <w:pPr>
              <w:keepLines w:val="0"/>
              <w:pageBreakBefore w:val="0"/>
              <w:widowControl w:val="0"/>
              <w:kinsoku/>
              <w:overflowPunct/>
              <w:topLinePunct w:val="0"/>
              <w:autoSpaceDE/>
              <w:autoSpaceDN/>
              <w:bidi w:val="0"/>
              <w:snapToGrid w:val="0"/>
              <w:spacing w:before="101"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6"/>
                <w:sz w:val="21"/>
                <w:szCs w:val="21"/>
                <w:highlight w:val="none"/>
              </w:rPr>
              <w:t>履约保证金</w:t>
            </w:r>
            <w:r>
              <w:rPr>
                <w:rFonts w:hint="eastAsia" w:ascii="宋体" w:hAnsi="宋体" w:eastAsia="宋体" w:cs="宋体"/>
                <w:color w:val="auto"/>
                <w:spacing w:val="4"/>
                <w:sz w:val="21"/>
                <w:szCs w:val="21"/>
                <w:highlight w:val="none"/>
              </w:rPr>
              <w:t>额</w:t>
            </w:r>
            <w:r>
              <w:rPr>
                <w:rFonts w:hint="eastAsia" w:ascii="宋体" w:hAnsi="宋体" w:eastAsia="宋体" w:cs="宋体"/>
                <w:color w:val="auto"/>
                <w:spacing w:val="3"/>
                <w:sz w:val="21"/>
                <w:szCs w:val="21"/>
                <w:highlight w:val="none"/>
              </w:rPr>
              <w:t>度为</w:t>
            </w:r>
            <w:r>
              <w:rPr>
                <w:rFonts w:hint="eastAsia" w:ascii="宋体" w:hAnsi="宋体" w:eastAsia="宋体" w:cs="宋体"/>
                <w:color w:val="auto"/>
                <w:spacing w:val="3"/>
                <w:sz w:val="21"/>
                <w:szCs w:val="21"/>
                <w:highlight w:val="none"/>
                <w:u w:val="single" w:color="auto"/>
              </w:rPr>
              <w:t>签约合同价的5%</w:t>
            </w:r>
            <w:r>
              <w:rPr>
                <w:rFonts w:hint="eastAsia" w:ascii="宋体" w:hAnsi="宋体" w:eastAsia="宋体" w:cs="宋体"/>
                <w:color w:val="auto"/>
                <w:spacing w:val="3"/>
                <w:sz w:val="21"/>
                <w:szCs w:val="21"/>
                <w:highlight w:val="none"/>
              </w:rPr>
              <w:t>。</w:t>
            </w:r>
            <w:r>
              <w:rPr>
                <w:rFonts w:hint="eastAsia" w:ascii="宋体" w:hAnsi="宋体" w:cs="宋体"/>
                <w:b/>
                <w:bCs/>
                <w:color w:val="auto"/>
                <w:spacing w:val="3"/>
                <w:sz w:val="21"/>
                <w:szCs w:val="21"/>
                <w:highlight w:val="none"/>
                <w:lang w:eastAsia="zh-CN"/>
              </w:rPr>
              <w:t>（</w:t>
            </w:r>
            <w:r>
              <w:rPr>
                <w:rFonts w:hint="eastAsia" w:ascii="宋体" w:hAnsi="宋体" w:cs="宋体"/>
                <w:b/>
                <w:bCs/>
                <w:color w:val="auto"/>
                <w:spacing w:val="3"/>
                <w:sz w:val="21"/>
                <w:szCs w:val="21"/>
                <w:highlight w:val="none"/>
                <w:lang w:val="en-US" w:eastAsia="zh-CN"/>
              </w:rPr>
              <w:t>本项目不收取履约保证金</w:t>
            </w:r>
            <w:r>
              <w:rPr>
                <w:rFonts w:hint="eastAsia" w:ascii="宋体" w:hAnsi="宋体" w:cs="宋体"/>
                <w:b/>
                <w:bCs/>
                <w:color w:val="auto"/>
                <w:spacing w:val="3"/>
                <w:sz w:val="21"/>
                <w:szCs w:val="21"/>
                <w:highlight w:val="none"/>
                <w:lang w:eastAsia="zh-CN"/>
              </w:rPr>
              <w:t>）</w:t>
            </w:r>
          </w:p>
          <w:p w14:paraId="10AD4EF1">
            <w:pPr>
              <w:keepLines w:val="0"/>
              <w:pageBreakBefore w:val="0"/>
              <w:widowControl w:val="0"/>
              <w:kinsoku/>
              <w:overflowPunct/>
              <w:topLinePunct w:val="0"/>
              <w:autoSpaceDE/>
              <w:autoSpaceDN/>
              <w:bidi w:val="0"/>
              <w:snapToGrid w:val="0"/>
              <w:spacing w:before="121"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承</w:t>
            </w:r>
            <w:r>
              <w:rPr>
                <w:rFonts w:hint="eastAsia" w:ascii="宋体" w:hAnsi="宋体" w:eastAsia="宋体" w:cs="宋体"/>
                <w:color w:val="auto"/>
                <w:spacing w:val="10"/>
                <w:sz w:val="21"/>
                <w:szCs w:val="21"/>
                <w:highlight w:val="none"/>
              </w:rPr>
              <w:t>包</w:t>
            </w:r>
            <w:r>
              <w:rPr>
                <w:rFonts w:hint="eastAsia" w:ascii="宋体" w:hAnsi="宋体" w:eastAsia="宋体" w:cs="宋体"/>
                <w:color w:val="auto"/>
                <w:spacing w:val="6"/>
                <w:sz w:val="21"/>
                <w:szCs w:val="21"/>
                <w:highlight w:val="none"/>
              </w:rPr>
              <w:t>人应保证其履约保证金在发包人签发工程交工验收证书且承包人按照合同约</w:t>
            </w:r>
            <w:r>
              <w:rPr>
                <w:rFonts w:hint="eastAsia" w:ascii="宋体" w:hAnsi="宋体" w:eastAsia="宋体" w:cs="宋体"/>
                <w:color w:val="auto"/>
                <w:spacing w:val="2"/>
                <w:sz w:val="21"/>
                <w:szCs w:val="21"/>
                <w:highlight w:val="none"/>
              </w:rPr>
              <w:t>定缴纳质量保证金前一直有效。发包人应在收到承包人缴纳的质量保证金后28天</w:t>
            </w:r>
            <w:r>
              <w:rPr>
                <w:rFonts w:hint="eastAsia" w:ascii="宋体" w:hAnsi="宋体" w:eastAsia="宋体" w:cs="宋体"/>
                <w:color w:val="auto"/>
                <w:sz w:val="21"/>
                <w:szCs w:val="21"/>
                <w:highlight w:val="none"/>
              </w:rPr>
              <w:t>内</w:t>
            </w:r>
            <w:r>
              <w:rPr>
                <w:rFonts w:hint="eastAsia" w:ascii="宋体" w:hAnsi="宋体" w:eastAsia="宋体" w:cs="宋体"/>
                <w:color w:val="auto"/>
                <w:spacing w:val="8"/>
                <w:sz w:val="21"/>
                <w:szCs w:val="21"/>
                <w:highlight w:val="none"/>
              </w:rPr>
              <w:t>将</w:t>
            </w:r>
            <w:r>
              <w:rPr>
                <w:rFonts w:hint="eastAsia" w:ascii="宋体" w:hAnsi="宋体" w:eastAsia="宋体" w:cs="宋体"/>
                <w:color w:val="auto"/>
                <w:spacing w:val="5"/>
                <w:sz w:val="21"/>
                <w:szCs w:val="21"/>
                <w:highlight w:val="none"/>
              </w:rPr>
              <w:t>履约保证金退还给承包人。</w:t>
            </w:r>
          </w:p>
          <w:p w14:paraId="14745049">
            <w:pPr>
              <w:keepLines w:val="0"/>
              <w:pageBreakBefore w:val="0"/>
              <w:widowControl w:val="0"/>
              <w:kinsoku/>
              <w:overflowPunct/>
              <w:topLinePunct w:val="0"/>
              <w:autoSpaceDE/>
              <w:autoSpaceDN/>
              <w:bidi w:val="0"/>
              <w:snapToGrid w:val="0"/>
              <w:spacing w:before="1"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承</w:t>
            </w:r>
            <w:r>
              <w:rPr>
                <w:rFonts w:hint="eastAsia" w:ascii="宋体" w:hAnsi="宋体" w:eastAsia="宋体" w:cs="宋体"/>
                <w:color w:val="auto"/>
                <w:spacing w:val="10"/>
                <w:sz w:val="21"/>
                <w:szCs w:val="21"/>
                <w:highlight w:val="none"/>
              </w:rPr>
              <w:t>包</w:t>
            </w:r>
            <w:r>
              <w:rPr>
                <w:rFonts w:hint="eastAsia" w:ascii="宋体" w:hAnsi="宋体" w:eastAsia="宋体" w:cs="宋体"/>
                <w:color w:val="auto"/>
                <w:spacing w:val="6"/>
                <w:sz w:val="21"/>
                <w:szCs w:val="21"/>
                <w:highlight w:val="none"/>
              </w:rPr>
              <w:t>人拒绝按照本合同约定缴纳质量保证金的，发包人有权从应付工程款中扣留</w:t>
            </w:r>
            <w:r>
              <w:rPr>
                <w:rFonts w:hint="eastAsia" w:ascii="宋体" w:hAnsi="宋体" w:eastAsia="宋体" w:cs="宋体"/>
                <w:color w:val="auto"/>
                <w:spacing w:val="12"/>
                <w:sz w:val="21"/>
                <w:szCs w:val="21"/>
                <w:highlight w:val="none"/>
              </w:rPr>
              <w:t>相</w:t>
            </w:r>
            <w:r>
              <w:rPr>
                <w:rFonts w:hint="eastAsia" w:ascii="宋体" w:hAnsi="宋体" w:eastAsia="宋体" w:cs="宋体"/>
                <w:color w:val="auto"/>
                <w:spacing w:val="8"/>
                <w:sz w:val="21"/>
                <w:szCs w:val="21"/>
                <w:highlight w:val="none"/>
              </w:rPr>
              <w:t>应</w:t>
            </w:r>
            <w:r>
              <w:rPr>
                <w:rFonts w:hint="eastAsia" w:ascii="宋体" w:hAnsi="宋体" w:eastAsia="宋体" w:cs="宋体"/>
                <w:color w:val="auto"/>
                <w:spacing w:val="6"/>
                <w:sz w:val="21"/>
                <w:szCs w:val="21"/>
                <w:highlight w:val="none"/>
              </w:rPr>
              <w:t>金额作为质量保证金，或者直接将履约保证金金额用于保证承包人在缺陷责任</w:t>
            </w:r>
          </w:p>
          <w:p w14:paraId="5AF38A2F">
            <w:pPr>
              <w:keepLines w:val="0"/>
              <w:pageBreakBefore w:val="0"/>
              <w:widowControl w:val="0"/>
              <w:kinsoku/>
              <w:overflowPunct/>
              <w:topLinePunct w:val="0"/>
              <w:autoSpaceDE/>
              <w:autoSpaceDN/>
              <w:bidi w:val="0"/>
              <w:snapToGrid w:val="0"/>
              <w:spacing w:line="240" w:lineRule="auto"/>
              <w:ind w:left="105" w:leftChars="50" w:right="283" w:rightChars="0" w:firstLine="0" w:firstLineChars="0"/>
              <w:jc w:val="left"/>
              <w:textAlignment w:val="auto"/>
              <w:rPr>
                <w:rFonts w:hint="eastAsia" w:ascii="宋体" w:hAnsi="宋体" w:eastAsia="宋体" w:cs="宋体"/>
                <w:color w:val="auto"/>
                <w:spacing w:val="9"/>
                <w:sz w:val="21"/>
                <w:szCs w:val="21"/>
                <w:highlight w:val="none"/>
              </w:rPr>
            </w:pPr>
            <w:r>
              <w:rPr>
                <w:rFonts w:hint="eastAsia" w:ascii="宋体" w:hAnsi="宋体" w:eastAsia="宋体" w:cs="宋体"/>
                <w:color w:val="auto"/>
                <w:spacing w:val="8"/>
                <w:sz w:val="21"/>
                <w:szCs w:val="21"/>
                <w:highlight w:val="none"/>
              </w:rPr>
              <w:t>期</w:t>
            </w:r>
            <w:r>
              <w:rPr>
                <w:rFonts w:hint="eastAsia" w:ascii="宋体" w:hAnsi="宋体" w:eastAsia="宋体" w:cs="宋体"/>
                <w:color w:val="auto"/>
                <w:spacing w:val="7"/>
                <w:sz w:val="21"/>
                <w:szCs w:val="21"/>
                <w:highlight w:val="none"/>
              </w:rPr>
              <w:t>内</w:t>
            </w:r>
            <w:r>
              <w:rPr>
                <w:rFonts w:hint="eastAsia" w:ascii="宋体" w:hAnsi="宋体" w:eastAsia="宋体" w:cs="宋体"/>
                <w:color w:val="auto"/>
                <w:spacing w:val="4"/>
                <w:sz w:val="21"/>
                <w:szCs w:val="21"/>
                <w:highlight w:val="none"/>
              </w:rPr>
              <w:t>履行缺陷修复义务。</w:t>
            </w:r>
          </w:p>
        </w:tc>
      </w:tr>
      <w:tr w14:paraId="6E6672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24" w:type="dxa"/>
            <w:tcBorders>
              <w:left w:val="single" w:color="000000" w:sz="6" w:space="0"/>
            </w:tcBorders>
            <w:vAlign w:val="center"/>
          </w:tcPr>
          <w:p w14:paraId="042079BC">
            <w:pPr>
              <w:keepLines w:val="0"/>
              <w:pageBreakBefore w:val="0"/>
              <w:widowControl w:val="0"/>
              <w:kinsoku/>
              <w:overflowPunct/>
              <w:topLinePunct w:val="0"/>
              <w:autoSpaceDE/>
              <w:autoSpaceDN/>
              <w:bidi w:val="0"/>
              <w:snapToGrid w:val="0"/>
              <w:spacing w:before="57" w:line="240" w:lineRule="auto"/>
              <w:ind w:left="105" w:leftChars="50" w:right="283" w:rightChars="0" w:firstLine="0" w:firstLineChars="0"/>
              <w:jc w:val="center"/>
              <w:textAlignment w:val="auto"/>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1</w:t>
            </w:r>
            <w:r>
              <w:rPr>
                <w:rFonts w:hint="eastAsia" w:ascii="宋体" w:hAnsi="宋体" w:eastAsia="宋体" w:cs="宋体"/>
                <w:color w:val="auto"/>
                <w:spacing w:val="-7"/>
                <w:sz w:val="21"/>
                <w:szCs w:val="21"/>
                <w:highlight w:val="none"/>
              </w:rPr>
              <w:t>2</w:t>
            </w:r>
          </w:p>
        </w:tc>
        <w:tc>
          <w:tcPr>
            <w:tcW w:w="1384" w:type="dxa"/>
            <w:vAlign w:val="center"/>
          </w:tcPr>
          <w:p w14:paraId="2AB78202">
            <w:pPr>
              <w:keepLines w:val="0"/>
              <w:pageBreakBefore w:val="0"/>
              <w:widowControl w:val="0"/>
              <w:kinsoku/>
              <w:overflowPunct/>
              <w:topLinePunct w:val="0"/>
              <w:autoSpaceDE/>
              <w:autoSpaceDN/>
              <w:bidi w:val="0"/>
              <w:snapToGrid w:val="0"/>
              <w:spacing w:before="58" w:line="240" w:lineRule="auto"/>
              <w:ind w:left="105" w:leftChars="50" w:right="283" w:rightChars="0" w:firstLine="0" w:firstLineChars="0"/>
              <w:jc w:val="center"/>
              <w:textAlignment w:val="auto"/>
              <w:rPr>
                <w:rFonts w:hint="eastAsia" w:ascii="宋体" w:hAnsi="宋体" w:eastAsia="宋体" w:cs="宋体"/>
                <w:color w:val="auto"/>
                <w:spacing w:val="-6"/>
                <w:sz w:val="21"/>
                <w:szCs w:val="21"/>
                <w:highlight w:val="none"/>
              </w:rPr>
            </w:pPr>
            <w:r>
              <w:rPr>
                <w:rFonts w:hint="eastAsia" w:ascii="宋体" w:hAnsi="宋体" w:eastAsia="宋体" w:cs="宋体"/>
                <w:color w:val="auto"/>
                <w:spacing w:val="3"/>
                <w:sz w:val="21"/>
                <w:szCs w:val="21"/>
                <w:highlight w:val="none"/>
              </w:rPr>
              <w:t>4.3.4</w:t>
            </w:r>
          </w:p>
        </w:tc>
        <w:tc>
          <w:tcPr>
            <w:tcW w:w="7054" w:type="dxa"/>
            <w:tcBorders>
              <w:right w:val="single" w:color="000000" w:sz="6" w:space="0"/>
            </w:tcBorders>
            <w:vAlign w:val="center"/>
          </w:tcPr>
          <w:p w14:paraId="099E8EDA">
            <w:pPr>
              <w:keepLines w:val="0"/>
              <w:pageBreakBefore w:val="0"/>
              <w:widowControl w:val="0"/>
              <w:kinsoku/>
              <w:overflowPunct/>
              <w:topLinePunct w:val="0"/>
              <w:autoSpaceDE/>
              <w:autoSpaceDN/>
              <w:bidi w:val="0"/>
              <w:snapToGrid w:val="0"/>
              <w:spacing w:before="140"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4.3.4劳务分</w:t>
            </w:r>
            <w:r>
              <w:rPr>
                <w:rFonts w:hint="eastAsia" w:ascii="宋体" w:hAnsi="宋体" w:eastAsia="宋体" w:cs="宋体"/>
                <w:color w:val="auto"/>
                <w:spacing w:val="1"/>
                <w:sz w:val="21"/>
                <w:szCs w:val="21"/>
                <w:highlight w:val="none"/>
              </w:rPr>
              <w:t>包</w:t>
            </w:r>
          </w:p>
          <w:p w14:paraId="712DBF63">
            <w:pPr>
              <w:keepLines w:val="0"/>
              <w:pageBreakBefore w:val="0"/>
              <w:widowControl w:val="0"/>
              <w:kinsoku/>
              <w:overflowPunct/>
              <w:topLinePunct w:val="0"/>
              <w:autoSpaceDE/>
              <w:autoSpaceDN/>
              <w:bidi w:val="0"/>
              <w:snapToGrid w:val="0"/>
              <w:spacing w:before="121" w:line="240" w:lineRule="auto"/>
              <w:ind w:left="105" w:leftChars="50" w:right="283" w:rightChars="0" w:firstLine="0" w:firstLineChars="0"/>
              <w:jc w:val="left"/>
              <w:textAlignment w:val="auto"/>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本项补充：</w:t>
            </w:r>
          </w:p>
          <w:p w14:paraId="440C31DE">
            <w:pPr>
              <w:keepLines w:val="0"/>
              <w:pageBreakBefore w:val="0"/>
              <w:widowControl w:val="0"/>
              <w:kinsoku/>
              <w:overflowPunct/>
              <w:topLinePunct w:val="0"/>
              <w:autoSpaceDE/>
              <w:autoSpaceDN/>
              <w:bidi w:val="0"/>
              <w:snapToGrid w:val="0"/>
              <w:spacing w:before="121" w:line="240" w:lineRule="auto"/>
              <w:ind w:left="105" w:leftChars="50" w:right="283" w:rightChars="0" w:firstLine="0" w:firstLineChars="0"/>
              <w:jc w:val="left"/>
              <w:textAlignment w:val="auto"/>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(5)劳务分包合同应当包括以下内容：劳务合同期限、工作内容和工作时间、劳动保护和劳动条件、劳务报酬(在劳动合同中要明确工资以货币形式按月支付，并约定支付的时间、标准和支付方式)、劳动纪律(在劳动合同中明确要求农民工遵守的用人单位依法制定的有关规章制度，用人单位应当在签订劳动合同前告知农民工)、违反劳务合同的责任(劳务合同中应当约定违约责任，一方违反劳务合同给对方造成经济损失的，要按《劳动法》等有关法律规定承担赔偿责任)。</w:t>
            </w:r>
          </w:p>
          <w:p w14:paraId="16EA4D20">
            <w:pPr>
              <w:keepLines w:val="0"/>
              <w:pageBreakBefore w:val="0"/>
              <w:widowControl w:val="0"/>
              <w:kinsoku/>
              <w:overflowPunct/>
              <w:topLinePunct w:val="0"/>
              <w:autoSpaceDE/>
              <w:autoSpaceDN/>
              <w:bidi w:val="0"/>
              <w:snapToGrid w:val="0"/>
              <w:spacing w:before="121" w:line="240" w:lineRule="auto"/>
              <w:ind w:left="105" w:leftChars="50" w:right="283" w:rightChars="0" w:firstLine="0" w:firstLineChars="0"/>
              <w:jc w:val="left"/>
              <w:textAlignment w:val="auto"/>
              <w:rPr>
                <w:rFonts w:hint="eastAsia" w:ascii="宋体" w:hAnsi="宋体" w:eastAsia="宋体" w:cs="宋体"/>
                <w:color w:val="auto"/>
                <w:spacing w:val="9"/>
                <w:sz w:val="21"/>
                <w:szCs w:val="21"/>
                <w:highlight w:val="none"/>
              </w:rPr>
            </w:pPr>
            <w:r>
              <w:rPr>
                <w:rFonts w:hint="eastAsia" w:ascii="宋体" w:hAnsi="宋体" w:eastAsia="宋体" w:cs="宋体"/>
                <w:color w:val="auto"/>
                <w:spacing w:val="6"/>
                <w:sz w:val="21"/>
                <w:szCs w:val="21"/>
                <w:highlight w:val="none"/>
              </w:rPr>
              <w:t>(6)发包人批准的劳务分包并不免除本合同规定的承包人的任何责任或义</w:t>
            </w:r>
            <w:r>
              <w:rPr>
                <w:rFonts w:hint="eastAsia" w:ascii="宋体" w:hAnsi="宋体" w:eastAsia="宋体" w:cs="宋体"/>
                <w:color w:val="auto"/>
                <w:spacing w:val="6"/>
                <w:sz w:val="21"/>
                <w:szCs w:val="21"/>
                <w:highlight w:val="none"/>
                <w:lang w:val="en-US" w:eastAsia="zh-CN"/>
              </w:rPr>
              <w:t>务，发</w:t>
            </w:r>
            <w:r>
              <w:rPr>
                <w:rFonts w:hint="eastAsia" w:ascii="宋体" w:hAnsi="宋体" w:eastAsia="宋体" w:cs="宋体"/>
                <w:color w:val="auto"/>
                <w:spacing w:val="6"/>
                <w:sz w:val="21"/>
                <w:szCs w:val="21"/>
                <w:highlight w:val="none"/>
              </w:rPr>
              <w:t>包人对承包人与劳务分包人之间的法律与经济纠纷不承担任何责任和义务。</w:t>
            </w:r>
          </w:p>
        </w:tc>
      </w:tr>
      <w:tr w14:paraId="2B2280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24" w:type="dxa"/>
            <w:tcBorders>
              <w:left w:val="single" w:color="000000" w:sz="6" w:space="0"/>
            </w:tcBorders>
            <w:vAlign w:val="center"/>
          </w:tcPr>
          <w:p w14:paraId="4D296BCC">
            <w:pPr>
              <w:keepLines w:val="0"/>
              <w:pageBreakBefore w:val="0"/>
              <w:widowControl w:val="0"/>
              <w:kinsoku/>
              <w:overflowPunct/>
              <w:topLinePunct w:val="0"/>
              <w:autoSpaceDE/>
              <w:autoSpaceDN/>
              <w:bidi w:val="0"/>
              <w:snapToGrid w:val="0"/>
              <w:spacing w:before="57" w:line="240" w:lineRule="auto"/>
              <w:ind w:left="105" w:leftChars="50" w:right="283" w:rightChars="0" w:firstLine="0" w:firstLineChars="0"/>
              <w:jc w:val="center"/>
              <w:textAlignment w:val="auto"/>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1</w:t>
            </w:r>
            <w:r>
              <w:rPr>
                <w:rFonts w:hint="eastAsia" w:ascii="宋体" w:hAnsi="宋体" w:eastAsia="宋体" w:cs="宋体"/>
                <w:color w:val="auto"/>
                <w:spacing w:val="-7"/>
                <w:sz w:val="21"/>
                <w:szCs w:val="21"/>
                <w:highlight w:val="none"/>
              </w:rPr>
              <w:t>3</w:t>
            </w:r>
          </w:p>
        </w:tc>
        <w:tc>
          <w:tcPr>
            <w:tcW w:w="1384" w:type="dxa"/>
            <w:vAlign w:val="center"/>
          </w:tcPr>
          <w:p w14:paraId="31A8741C">
            <w:pPr>
              <w:keepLines w:val="0"/>
              <w:pageBreakBefore w:val="0"/>
              <w:widowControl w:val="0"/>
              <w:kinsoku/>
              <w:overflowPunct/>
              <w:topLinePunct w:val="0"/>
              <w:autoSpaceDE/>
              <w:autoSpaceDN/>
              <w:bidi w:val="0"/>
              <w:snapToGrid w:val="0"/>
              <w:spacing w:before="57" w:line="240" w:lineRule="auto"/>
              <w:ind w:left="105" w:leftChars="50" w:right="283" w:rightChars="0" w:firstLine="0" w:firstLineChars="0"/>
              <w:jc w:val="center"/>
              <w:textAlignment w:val="auto"/>
              <w:rPr>
                <w:rFonts w:hint="eastAsia" w:ascii="宋体" w:hAnsi="宋体" w:eastAsia="宋体" w:cs="宋体"/>
                <w:color w:val="auto"/>
                <w:spacing w:val="-6"/>
                <w:sz w:val="21"/>
                <w:szCs w:val="21"/>
                <w:highlight w:val="none"/>
              </w:rPr>
            </w:pPr>
            <w:r>
              <w:rPr>
                <w:rFonts w:hint="eastAsia" w:ascii="宋体" w:hAnsi="宋体" w:eastAsia="宋体" w:cs="宋体"/>
                <w:color w:val="auto"/>
                <w:spacing w:val="5"/>
                <w:sz w:val="21"/>
                <w:szCs w:val="21"/>
                <w:highlight w:val="none"/>
              </w:rPr>
              <w:t>4</w:t>
            </w:r>
            <w:r>
              <w:rPr>
                <w:rFonts w:hint="eastAsia" w:ascii="宋体" w:hAnsi="宋体" w:eastAsia="宋体" w:cs="宋体"/>
                <w:color w:val="auto"/>
                <w:spacing w:val="3"/>
                <w:sz w:val="21"/>
                <w:szCs w:val="21"/>
                <w:highlight w:val="none"/>
              </w:rPr>
              <w:t>.3</w:t>
            </w:r>
          </w:p>
        </w:tc>
        <w:tc>
          <w:tcPr>
            <w:tcW w:w="7054" w:type="dxa"/>
            <w:tcBorders>
              <w:right w:val="single" w:color="000000" w:sz="6" w:space="0"/>
            </w:tcBorders>
            <w:vAlign w:val="center"/>
          </w:tcPr>
          <w:p w14:paraId="0A8A4781">
            <w:pPr>
              <w:keepLines w:val="0"/>
              <w:pageBreakBefore w:val="0"/>
              <w:widowControl w:val="0"/>
              <w:kinsoku/>
              <w:overflowPunct/>
              <w:topLinePunct w:val="0"/>
              <w:autoSpaceDE/>
              <w:autoSpaceDN/>
              <w:bidi w:val="0"/>
              <w:snapToGrid w:val="0"/>
              <w:spacing w:before="142"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本</w:t>
            </w:r>
            <w:r>
              <w:rPr>
                <w:rFonts w:hint="eastAsia" w:ascii="宋体" w:hAnsi="宋体" w:eastAsia="宋体" w:cs="宋体"/>
                <w:color w:val="auto"/>
                <w:spacing w:val="3"/>
                <w:sz w:val="21"/>
                <w:szCs w:val="21"/>
                <w:highlight w:val="none"/>
              </w:rPr>
              <w:t>款补充：</w:t>
            </w:r>
          </w:p>
          <w:p w14:paraId="20CCCB93">
            <w:pPr>
              <w:keepLines w:val="0"/>
              <w:pageBreakBefore w:val="0"/>
              <w:widowControl w:val="0"/>
              <w:kinsoku/>
              <w:overflowPunct/>
              <w:topLinePunct w:val="0"/>
              <w:autoSpaceDE/>
              <w:autoSpaceDN/>
              <w:bidi w:val="0"/>
              <w:snapToGrid w:val="0"/>
              <w:spacing w:before="153"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4</w:t>
            </w:r>
            <w:r>
              <w:rPr>
                <w:rFonts w:hint="eastAsia" w:ascii="宋体" w:hAnsi="宋体" w:eastAsia="宋体" w:cs="宋体"/>
                <w:color w:val="auto"/>
                <w:spacing w:val="3"/>
                <w:sz w:val="21"/>
                <w:szCs w:val="21"/>
                <w:highlight w:val="none"/>
              </w:rPr>
              <w:t>.3.8本项目的分包合同及劳动合同应按照发包人的要求，按照住房和城乡建设部</w:t>
            </w:r>
            <w:r>
              <w:rPr>
                <w:rFonts w:hint="eastAsia" w:ascii="宋体" w:hAnsi="宋体" w:eastAsia="宋体" w:cs="宋体"/>
                <w:color w:val="auto"/>
                <w:spacing w:val="12"/>
                <w:sz w:val="21"/>
                <w:szCs w:val="21"/>
                <w:highlight w:val="none"/>
              </w:rPr>
              <w:t>和</w:t>
            </w:r>
            <w:r>
              <w:rPr>
                <w:rFonts w:hint="eastAsia" w:ascii="宋体" w:hAnsi="宋体" w:eastAsia="宋体" w:cs="宋体"/>
                <w:color w:val="auto"/>
                <w:spacing w:val="7"/>
                <w:sz w:val="21"/>
                <w:szCs w:val="21"/>
                <w:highlight w:val="none"/>
              </w:rPr>
              <w:t>劳</w:t>
            </w:r>
            <w:r>
              <w:rPr>
                <w:rFonts w:hint="eastAsia" w:ascii="宋体" w:hAnsi="宋体" w:eastAsia="宋体" w:cs="宋体"/>
                <w:color w:val="auto"/>
                <w:spacing w:val="6"/>
                <w:sz w:val="21"/>
                <w:szCs w:val="21"/>
                <w:highlight w:val="none"/>
              </w:rPr>
              <w:t>动社会保障部的示范合同文本，或交通运输主管部门颁发的示范合同文本编制</w:t>
            </w:r>
            <w:r>
              <w:rPr>
                <w:rFonts w:hint="eastAsia" w:ascii="宋体" w:hAnsi="宋体" w:eastAsia="宋体" w:cs="宋体"/>
                <w:color w:val="auto"/>
                <w:spacing w:val="3"/>
                <w:sz w:val="21"/>
                <w:szCs w:val="21"/>
                <w:highlight w:val="none"/>
              </w:rPr>
              <w:t>并签订。</w:t>
            </w:r>
          </w:p>
          <w:p w14:paraId="2577715B">
            <w:pPr>
              <w:keepLines w:val="0"/>
              <w:pageBreakBefore w:val="0"/>
              <w:widowControl w:val="0"/>
              <w:kinsoku/>
              <w:overflowPunct/>
              <w:topLinePunct w:val="0"/>
              <w:autoSpaceDE/>
              <w:autoSpaceDN/>
              <w:bidi w:val="0"/>
              <w:snapToGrid w:val="0"/>
              <w:spacing w:line="240" w:lineRule="auto"/>
              <w:ind w:left="105" w:leftChars="50" w:right="283" w:rightChars="0" w:firstLine="0" w:firstLineChars="0"/>
              <w:jc w:val="left"/>
              <w:textAlignment w:val="auto"/>
              <w:rPr>
                <w:rFonts w:hint="eastAsia" w:ascii="宋体" w:hAnsi="宋体" w:eastAsia="宋体" w:cs="宋体"/>
                <w:color w:val="auto"/>
                <w:spacing w:val="9"/>
                <w:sz w:val="21"/>
                <w:szCs w:val="21"/>
                <w:highlight w:val="none"/>
              </w:rPr>
            </w:pPr>
            <w:r>
              <w:rPr>
                <w:rFonts w:hint="eastAsia" w:ascii="宋体" w:hAnsi="宋体" w:eastAsia="宋体" w:cs="宋体"/>
                <w:color w:val="auto"/>
                <w:spacing w:val="4"/>
                <w:position w:val="14"/>
                <w:sz w:val="21"/>
                <w:szCs w:val="21"/>
                <w:highlight w:val="none"/>
              </w:rPr>
              <w:t>4.3.9承包人的分包应符合本项目招标文件第二章“投标人须知”第1.11款的</w:t>
            </w:r>
            <w:r>
              <w:rPr>
                <w:rFonts w:hint="eastAsia" w:ascii="宋体" w:hAnsi="宋体" w:eastAsia="宋体" w:cs="宋体"/>
                <w:color w:val="auto"/>
                <w:spacing w:val="1"/>
                <w:position w:val="14"/>
                <w:sz w:val="21"/>
                <w:szCs w:val="21"/>
                <w:highlight w:val="none"/>
              </w:rPr>
              <w:t>规</w:t>
            </w:r>
            <w:r>
              <w:rPr>
                <w:rFonts w:hint="eastAsia" w:ascii="宋体" w:hAnsi="宋体" w:cs="宋体"/>
                <w:color w:val="auto"/>
                <w:spacing w:val="1"/>
                <w:position w:val="14"/>
                <w:sz w:val="21"/>
                <w:szCs w:val="21"/>
                <w:highlight w:val="none"/>
                <w:lang w:val="en-US" w:eastAsia="zh-CN"/>
              </w:rPr>
              <w:t>定。</w:t>
            </w:r>
          </w:p>
        </w:tc>
      </w:tr>
      <w:tr w14:paraId="2EE505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24" w:type="dxa"/>
            <w:tcBorders>
              <w:left w:val="single" w:color="000000" w:sz="6" w:space="0"/>
            </w:tcBorders>
            <w:vAlign w:val="center"/>
          </w:tcPr>
          <w:p w14:paraId="664B6866">
            <w:pPr>
              <w:keepLines w:val="0"/>
              <w:pageBreakBefore w:val="0"/>
              <w:widowControl w:val="0"/>
              <w:kinsoku/>
              <w:overflowPunct/>
              <w:topLinePunct w:val="0"/>
              <w:autoSpaceDE/>
              <w:autoSpaceDN/>
              <w:bidi w:val="0"/>
              <w:snapToGrid w:val="0"/>
              <w:spacing w:before="58" w:line="240" w:lineRule="auto"/>
              <w:ind w:left="105" w:leftChars="50" w:right="283" w:rightChars="0" w:firstLine="0" w:firstLineChars="0"/>
              <w:jc w:val="center"/>
              <w:textAlignment w:val="auto"/>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1</w:t>
            </w:r>
            <w:r>
              <w:rPr>
                <w:rFonts w:hint="eastAsia" w:ascii="宋体" w:hAnsi="宋体" w:eastAsia="宋体" w:cs="宋体"/>
                <w:color w:val="auto"/>
                <w:spacing w:val="-7"/>
                <w:sz w:val="21"/>
                <w:szCs w:val="21"/>
                <w:highlight w:val="none"/>
              </w:rPr>
              <w:t>4</w:t>
            </w:r>
          </w:p>
        </w:tc>
        <w:tc>
          <w:tcPr>
            <w:tcW w:w="1384" w:type="dxa"/>
            <w:vAlign w:val="center"/>
          </w:tcPr>
          <w:p w14:paraId="1D4CF663">
            <w:pPr>
              <w:keepLines w:val="0"/>
              <w:pageBreakBefore w:val="0"/>
              <w:widowControl w:val="0"/>
              <w:kinsoku/>
              <w:overflowPunct/>
              <w:topLinePunct w:val="0"/>
              <w:autoSpaceDE/>
              <w:autoSpaceDN/>
              <w:bidi w:val="0"/>
              <w:snapToGrid w:val="0"/>
              <w:spacing w:before="58" w:line="240" w:lineRule="auto"/>
              <w:ind w:left="105" w:leftChars="50" w:right="283" w:rightChars="0" w:firstLine="0" w:firstLineChars="0"/>
              <w:jc w:val="center"/>
              <w:textAlignment w:val="auto"/>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4</w:t>
            </w:r>
            <w:r>
              <w:rPr>
                <w:rFonts w:hint="eastAsia" w:ascii="宋体" w:hAnsi="宋体" w:eastAsia="宋体" w:cs="宋体"/>
                <w:color w:val="auto"/>
                <w:spacing w:val="4"/>
                <w:sz w:val="21"/>
                <w:szCs w:val="21"/>
                <w:highlight w:val="none"/>
              </w:rPr>
              <w:t>.9</w:t>
            </w:r>
          </w:p>
        </w:tc>
        <w:tc>
          <w:tcPr>
            <w:tcW w:w="7054" w:type="dxa"/>
            <w:tcBorders>
              <w:right w:val="single" w:color="000000" w:sz="6" w:space="0"/>
            </w:tcBorders>
            <w:vAlign w:val="center"/>
          </w:tcPr>
          <w:p w14:paraId="6A1DE2C6">
            <w:pPr>
              <w:keepLines w:val="0"/>
              <w:pageBreakBefore w:val="0"/>
              <w:widowControl w:val="0"/>
              <w:kinsoku/>
              <w:overflowPunct/>
              <w:topLinePunct w:val="0"/>
              <w:autoSpaceDE/>
              <w:autoSpaceDN/>
              <w:bidi w:val="0"/>
              <w:snapToGrid w:val="0"/>
              <w:spacing w:before="142" w:line="240" w:lineRule="auto"/>
              <w:ind w:left="105" w:leftChars="50" w:right="283" w:rightChars="0" w:firstLine="0" w:firstLineChars="0"/>
              <w:jc w:val="left"/>
              <w:textAlignment w:val="auto"/>
              <w:rPr>
                <w:rFonts w:hint="eastAsia" w:ascii="宋体" w:hAnsi="宋体" w:eastAsia="宋体" w:cs="宋体"/>
                <w:color w:val="auto"/>
                <w:spacing w:val="-3"/>
                <w:sz w:val="21"/>
                <w:szCs w:val="21"/>
                <w:highlight w:val="none"/>
              </w:rPr>
            </w:pPr>
            <w:r>
              <w:rPr>
                <w:rFonts w:hint="eastAsia" w:ascii="宋体" w:hAnsi="宋体" w:eastAsia="宋体" w:cs="宋体"/>
                <w:color w:val="auto"/>
                <w:spacing w:val="12"/>
                <w:sz w:val="21"/>
                <w:szCs w:val="21"/>
                <w:highlight w:val="none"/>
              </w:rPr>
              <w:t>工</w:t>
            </w:r>
            <w:r>
              <w:rPr>
                <w:rFonts w:hint="eastAsia" w:ascii="宋体" w:hAnsi="宋体" w:eastAsia="宋体" w:cs="宋体"/>
                <w:color w:val="auto"/>
                <w:spacing w:val="8"/>
                <w:sz w:val="21"/>
                <w:szCs w:val="21"/>
                <w:highlight w:val="none"/>
              </w:rPr>
              <w:t>程</w:t>
            </w:r>
            <w:r>
              <w:rPr>
                <w:rFonts w:hint="eastAsia" w:ascii="宋体" w:hAnsi="宋体" w:eastAsia="宋体" w:cs="宋体"/>
                <w:color w:val="auto"/>
                <w:spacing w:val="6"/>
                <w:sz w:val="21"/>
                <w:szCs w:val="21"/>
                <w:highlight w:val="none"/>
              </w:rPr>
              <w:t>价款应专款专用：经发包人提出申请后，发包人按合同约定支付给承包人的</w:t>
            </w:r>
            <w:r>
              <w:rPr>
                <w:rFonts w:hint="eastAsia" w:ascii="宋体" w:hAnsi="宋体" w:eastAsia="宋体" w:cs="宋体"/>
                <w:color w:val="auto"/>
                <w:spacing w:val="4"/>
                <w:sz w:val="21"/>
                <w:szCs w:val="21"/>
                <w:highlight w:val="none"/>
              </w:rPr>
              <w:t>各</w:t>
            </w:r>
            <w:r>
              <w:rPr>
                <w:rFonts w:hint="eastAsia" w:ascii="宋体" w:hAnsi="宋体" w:eastAsia="宋体" w:cs="宋体"/>
                <w:color w:val="auto"/>
                <w:spacing w:val="2"/>
                <w:sz w:val="21"/>
                <w:szCs w:val="21"/>
                <w:highlight w:val="none"/>
              </w:rPr>
              <w:t>项价款应专用于合同工程。发包人支付的工程进度款应为本工程的专款专用资金，</w:t>
            </w:r>
            <w:r>
              <w:rPr>
                <w:rFonts w:hint="eastAsia" w:ascii="宋体" w:hAnsi="宋体" w:eastAsia="宋体" w:cs="宋体"/>
                <w:color w:val="auto"/>
                <w:spacing w:val="12"/>
                <w:sz w:val="21"/>
                <w:szCs w:val="21"/>
                <w:highlight w:val="none"/>
              </w:rPr>
              <w:t>不</w:t>
            </w:r>
            <w:r>
              <w:rPr>
                <w:rFonts w:hint="eastAsia" w:ascii="宋体" w:hAnsi="宋体" w:eastAsia="宋体" w:cs="宋体"/>
                <w:color w:val="auto"/>
                <w:spacing w:val="7"/>
                <w:sz w:val="21"/>
                <w:szCs w:val="21"/>
                <w:highlight w:val="none"/>
              </w:rPr>
              <w:t>得</w:t>
            </w:r>
            <w:r>
              <w:rPr>
                <w:rFonts w:hint="eastAsia" w:ascii="宋体" w:hAnsi="宋体" w:eastAsia="宋体" w:cs="宋体"/>
                <w:color w:val="auto"/>
                <w:spacing w:val="6"/>
                <w:sz w:val="21"/>
                <w:szCs w:val="21"/>
                <w:highlight w:val="none"/>
              </w:rPr>
              <w:t>转移或用于其他工程。发包人及其派出机构有权不定期对承包人工程资金使用</w:t>
            </w:r>
            <w:r>
              <w:rPr>
                <w:rFonts w:hint="eastAsia" w:ascii="宋体" w:hAnsi="宋体" w:eastAsia="宋体" w:cs="宋体"/>
                <w:color w:val="auto"/>
                <w:spacing w:val="12"/>
                <w:sz w:val="21"/>
                <w:szCs w:val="21"/>
                <w:highlight w:val="none"/>
              </w:rPr>
              <w:t>情</w:t>
            </w:r>
            <w:r>
              <w:rPr>
                <w:rFonts w:hint="eastAsia" w:ascii="宋体" w:hAnsi="宋体" w:eastAsia="宋体" w:cs="宋体"/>
                <w:color w:val="auto"/>
                <w:spacing w:val="7"/>
                <w:sz w:val="21"/>
                <w:szCs w:val="21"/>
                <w:highlight w:val="none"/>
              </w:rPr>
              <w:t>况</w:t>
            </w:r>
            <w:r>
              <w:rPr>
                <w:rFonts w:hint="eastAsia" w:ascii="宋体" w:hAnsi="宋体" w:eastAsia="宋体" w:cs="宋体"/>
                <w:color w:val="auto"/>
                <w:spacing w:val="6"/>
                <w:sz w:val="21"/>
                <w:szCs w:val="21"/>
                <w:highlight w:val="none"/>
              </w:rPr>
              <w:t>进行检查，发现问题及时责令承包人限期改正，否则，将终止支付，直至承包</w:t>
            </w:r>
            <w:r>
              <w:rPr>
                <w:rFonts w:hint="eastAsia" w:ascii="宋体" w:hAnsi="宋体" w:cs="宋体"/>
                <w:color w:val="auto"/>
                <w:spacing w:val="6"/>
                <w:sz w:val="21"/>
                <w:szCs w:val="21"/>
                <w:highlight w:val="none"/>
                <w:lang w:val="en-US" w:eastAsia="zh-CN"/>
              </w:rPr>
              <w:t>人改正为止。</w:t>
            </w:r>
          </w:p>
        </w:tc>
      </w:tr>
      <w:tr w14:paraId="094387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24" w:type="dxa"/>
            <w:tcBorders>
              <w:left w:val="single" w:color="000000" w:sz="6" w:space="0"/>
            </w:tcBorders>
            <w:vAlign w:val="center"/>
          </w:tcPr>
          <w:p w14:paraId="6F7AC450">
            <w:pPr>
              <w:keepLines w:val="0"/>
              <w:pageBreakBefore w:val="0"/>
              <w:widowControl w:val="0"/>
              <w:kinsoku/>
              <w:overflowPunct/>
              <w:topLinePunct w:val="0"/>
              <w:autoSpaceDE/>
              <w:autoSpaceDN/>
              <w:bidi w:val="0"/>
              <w:snapToGrid w:val="0"/>
              <w:spacing w:before="57" w:line="240" w:lineRule="auto"/>
              <w:ind w:left="105" w:leftChars="50" w:right="283" w:rightChars="0" w:firstLine="0" w:firstLineChars="0"/>
              <w:jc w:val="center"/>
              <w:textAlignment w:val="auto"/>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1</w:t>
            </w:r>
            <w:r>
              <w:rPr>
                <w:rFonts w:hint="eastAsia" w:ascii="宋体" w:hAnsi="宋体" w:eastAsia="宋体" w:cs="宋体"/>
                <w:color w:val="auto"/>
                <w:spacing w:val="-7"/>
                <w:sz w:val="21"/>
                <w:szCs w:val="21"/>
                <w:highlight w:val="none"/>
              </w:rPr>
              <w:t>5</w:t>
            </w:r>
          </w:p>
        </w:tc>
        <w:tc>
          <w:tcPr>
            <w:tcW w:w="1384" w:type="dxa"/>
            <w:vAlign w:val="center"/>
          </w:tcPr>
          <w:p w14:paraId="69BD1B5E">
            <w:pPr>
              <w:keepLines w:val="0"/>
              <w:pageBreakBefore w:val="0"/>
              <w:widowControl w:val="0"/>
              <w:kinsoku/>
              <w:overflowPunct/>
              <w:topLinePunct w:val="0"/>
              <w:autoSpaceDE/>
              <w:autoSpaceDN/>
              <w:bidi w:val="0"/>
              <w:snapToGrid w:val="0"/>
              <w:spacing w:before="57" w:line="240" w:lineRule="auto"/>
              <w:ind w:left="105" w:leftChars="50" w:right="283" w:rightChars="0" w:firstLine="0" w:firstLineChars="0"/>
              <w:jc w:val="center"/>
              <w:textAlignment w:val="auto"/>
              <w:rPr>
                <w:rFonts w:hint="eastAsia" w:ascii="宋体" w:hAnsi="宋体" w:eastAsia="宋体" w:cs="宋体"/>
                <w:color w:val="auto"/>
                <w:spacing w:val="5"/>
                <w:sz w:val="21"/>
                <w:szCs w:val="21"/>
                <w:highlight w:val="none"/>
              </w:rPr>
            </w:pPr>
            <w:r>
              <w:rPr>
                <w:rFonts w:hint="eastAsia" w:ascii="宋体" w:hAnsi="宋体" w:eastAsia="宋体" w:cs="宋体"/>
                <w:color w:val="auto"/>
                <w:spacing w:val="-10"/>
                <w:sz w:val="21"/>
                <w:szCs w:val="21"/>
                <w:highlight w:val="none"/>
              </w:rPr>
              <w:t>4</w:t>
            </w:r>
            <w:r>
              <w:rPr>
                <w:rFonts w:hint="eastAsia" w:ascii="宋体" w:hAnsi="宋体" w:eastAsia="宋体" w:cs="宋体"/>
                <w:color w:val="auto"/>
                <w:spacing w:val="-7"/>
                <w:sz w:val="21"/>
                <w:szCs w:val="21"/>
                <w:highlight w:val="none"/>
              </w:rPr>
              <w:t>.13</w:t>
            </w:r>
          </w:p>
        </w:tc>
        <w:tc>
          <w:tcPr>
            <w:tcW w:w="7054" w:type="dxa"/>
            <w:tcBorders>
              <w:right w:val="single" w:color="000000" w:sz="6" w:space="0"/>
            </w:tcBorders>
            <w:vAlign w:val="center"/>
          </w:tcPr>
          <w:p w14:paraId="1D31B5B8">
            <w:pPr>
              <w:keepLines w:val="0"/>
              <w:pageBreakBefore w:val="0"/>
              <w:widowControl w:val="0"/>
              <w:kinsoku/>
              <w:overflowPunct/>
              <w:topLinePunct w:val="0"/>
              <w:autoSpaceDE/>
              <w:autoSpaceDN/>
              <w:bidi w:val="0"/>
              <w:snapToGrid w:val="0"/>
              <w:spacing w:before="159"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8"/>
                <w:sz w:val="21"/>
                <w:szCs w:val="21"/>
                <w:highlight w:val="none"/>
              </w:rPr>
              <w:t>承</w:t>
            </w:r>
            <w:r>
              <w:rPr>
                <w:rFonts w:hint="eastAsia" w:ascii="宋体" w:hAnsi="宋体" w:eastAsia="宋体" w:cs="宋体"/>
                <w:color w:val="auto"/>
                <w:spacing w:val="12"/>
                <w:sz w:val="21"/>
                <w:szCs w:val="21"/>
                <w:highlight w:val="none"/>
              </w:rPr>
              <w:t>包人为国有控股或参股企业的，承包人应按规定在项目现场设立基层党组</w:t>
            </w:r>
            <w:r>
              <w:rPr>
                <w:rFonts w:hint="eastAsia" w:ascii="宋体" w:hAnsi="宋体" w:eastAsia="宋体" w:cs="宋体"/>
                <w:color w:val="auto"/>
                <w:spacing w:val="14"/>
                <w:sz w:val="21"/>
                <w:szCs w:val="21"/>
                <w:highlight w:val="none"/>
              </w:rPr>
              <w:t>织</w:t>
            </w:r>
            <w:r>
              <w:rPr>
                <w:rFonts w:hint="eastAsia" w:ascii="宋体" w:hAnsi="宋体" w:eastAsia="宋体" w:cs="宋体"/>
                <w:color w:val="auto"/>
                <w:spacing w:val="12"/>
                <w:sz w:val="21"/>
                <w:szCs w:val="21"/>
                <w:highlight w:val="none"/>
              </w:rPr>
              <w:t>。承包人为非国有控股或参股企业的，承包人应创造条件使党员能够参加党组</w:t>
            </w:r>
            <w:r>
              <w:rPr>
                <w:rFonts w:hint="eastAsia" w:ascii="宋体" w:hAnsi="宋体" w:eastAsia="宋体" w:cs="宋体"/>
                <w:color w:val="auto"/>
                <w:spacing w:val="14"/>
                <w:sz w:val="21"/>
                <w:szCs w:val="21"/>
                <w:highlight w:val="none"/>
              </w:rPr>
              <w:t>织</w:t>
            </w:r>
            <w:r>
              <w:rPr>
                <w:rFonts w:hint="eastAsia" w:ascii="宋体" w:hAnsi="宋体" w:eastAsia="宋体" w:cs="宋体"/>
                <w:color w:val="auto"/>
                <w:spacing w:val="12"/>
                <w:sz w:val="21"/>
                <w:szCs w:val="21"/>
                <w:highlight w:val="none"/>
              </w:rPr>
              <w:t>生活并接受相应管理。承包人应在项目现场设立基层党组织，积极组织党员学</w:t>
            </w:r>
            <w:r>
              <w:rPr>
                <w:rFonts w:hint="eastAsia" w:ascii="宋体" w:hAnsi="宋体" w:eastAsia="宋体" w:cs="宋体"/>
                <w:color w:val="auto"/>
                <w:spacing w:val="22"/>
                <w:sz w:val="21"/>
                <w:szCs w:val="21"/>
                <w:highlight w:val="none"/>
              </w:rPr>
              <w:t>习</w:t>
            </w:r>
            <w:r>
              <w:rPr>
                <w:rFonts w:hint="eastAsia" w:ascii="宋体" w:hAnsi="宋体" w:eastAsia="宋体" w:cs="宋体"/>
                <w:color w:val="auto"/>
                <w:spacing w:val="13"/>
                <w:sz w:val="21"/>
                <w:szCs w:val="21"/>
                <w:highlight w:val="none"/>
              </w:rPr>
              <w:t>，</w:t>
            </w:r>
            <w:r>
              <w:rPr>
                <w:rFonts w:hint="eastAsia" w:ascii="宋体" w:hAnsi="宋体" w:eastAsia="宋体" w:cs="宋体"/>
                <w:color w:val="auto"/>
                <w:spacing w:val="11"/>
                <w:sz w:val="21"/>
                <w:szCs w:val="21"/>
                <w:highlight w:val="none"/>
              </w:rPr>
              <w:t>承办党建工作室(党员之家)，建立党建工作制度、明确“两学一做”常态</w:t>
            </w:r>
            <w:r>
              <w:rPr>
                <w:rFonts w:hint="eastAsia" w:ascii="宋体" w:hAnsi="宋体" w:eastAsia="宋体" w:cs="宋体"/>
                <w:color w:val="auto"/>
                <w:spacing w:val="14"/>
                <w:sz w:val="21"/>
                <w:szCs w:val="21"/>
                <w:highlight w:val="none"/>
              </w:rPr>
              <w:t>化</w:t>
            </w:r>
            <w:r>
              <w:rPr>
                <w:rFonts w:hint="eastAsia" w:ascii="宋体" w:hAnsi="宋体" w:eastAsia="宋体" w:cs="宋体"/>
                <w:color w:val="auto"/>
                <w:spacing w:val="12"/>
                <w:sz w:val="21"/>
                <w:szCs w:val="21"/>
                <w:highlight w:val="none"/>
              </w:rPr>
              <w:t>制度化建设目标和任务、明确党组织机构设置、党组织负责人及党务工作人员</w:t>
            </w:r>
            <w:r>
              <w:rPr>
                <w:rFonts w:hint="eastAsia" w:ascii="宋体" w:hAnsi="宋体" w:eastAsia="宋体" w:cs="宋体"/>
                <w:color w:val="auto"/>
                <w:spacing w:val="14"/>
                <w:sz w:val="21"/>
                <w:szCs w:val="21"/>
                <w:highlight w:val="none"/>
              </w:rPr>
              <w:t>配</w:t>
            </w:r>
            <w:r>
              <w:rPr>
                <w:rFonts w:hint="eastAsia" w:ascii="宋体" w:hAnsi="宋体" w:eastAsia="宋体" w:cs="宋体"/>
                <w:color w:val="auto"/>
                <w:spacing w:val="12"/>
                <w:sz w:val="21"/>
                <w:szCs w:val="21"/>
                <w:highlight w:val="none"/>
              </w:rPr>
              <w:t>备情况，编制党务工作开展预案，并按照预案要求在项目实施过程中同步开展</w:t>
            </w:r>
          </w:p>
          <w:p w14:paraId="7BFAF6DE">
            <w:pPr>
              <w:keepLines w:val="0"/>
              <w:pageBreakBefore w:val="0"/>
              <w:widowControl w:val="0"/>
              <w:kinsoku/>
              <w:overflowPunct/>
              <w:topLinePunct w:val="0"/>
              <w:autoSpaceDE/>
              <w:autoSpaceDN/>
              <w:bidi w:val="0"/>
              <w:snapToGrid w:val="0"/>
              <w:spacing w:line="240" w:lineRule="auto"/>
              <w:ind w:left="105" w:leftChars="50" w:right="283" w:rightChars="0" w:firstLine="0" w:firstLineChars="0"/>
              <w:jc w:val="left"/>
              <w:textAlignment w:val="auto"/>
              <w:rPr>
                <w:rFonts w:hint="eastAsia" w:ascii="宋体" w:hAnsi="宋体" w:eastAsia="宋体" w:cs="宋体"/>
                <w:color w:val="auto"/>
                <w:spacing w:val="-3"/>
                <w:sz w:val="21"/>
                <w:szCs w:val="21"/>
                <w:highlight w:val="none"/>
              </w:rPr>
            </w:pPr>
            <w:r>
              <w:rPr>
                <w:rFonts w:hint="eastAsia" w:ascii="宋体" w:hAnsi="宋体" w:eastAsia="宋体" w:cs="宋体"/>
                <w:color w:val="auto"/>
                <w:spacing w:val="12"/>
                <w:sz w:val="21"/>
                <w:szCs w:val="21"/>
                <w:highlight w:val="none"/>
              </w:rPr>
              <w:t>党</w:t>
            </w:r>
            <w:r>
              <w:rPr>
                <w:rFonts w:hint="eastAsia" w:ascii="宋体" w:hAnsi="宋体" w:eastAsia="宋体" w:cs="宋体"/>
                <w:color w:val="auto"/>
                <w:spacing w:val="9"/>
                <w:sz w:val="21"/>
                <w:szCs w:val="21"/>
                <w:highlight w:val="none"/>
              </w:rPr>
              <w:t>务工作，充分发挥基层党组织在项目实施中的作用。</w:t>
            </w:r>
          </w:p>
        </w:tc>
      </w:tr>
      <w:tr w14:paraId="01AAE1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24" w:type="dxa"/>
            <w:tcBorders>
              <w:left w:val="single" w:color="000000" w:sz="6" w:space="0"/>
            </w:tcBorders>
            <w:vAlign w:val="center"/>
          </w:tcPr>
          <w:p w14:paraId="41452875">
            <w:pPr>
              <w:keepLines w:val="0"/>
              <w:pageBreakBefore w:val="0"/>
              <w:widowControl w:val="0"/>
              <w:kinsoku/>
              <w:overflowPunct/>
              <w:topLinePunct w:val="0"/>
              <w:autoSpaceDE/>
              <w:autoSpaceDN/>
              <w:bidi w:val="0"/>
              <w:snapToGrid w:val="0"/>
              <w:spacing w:before="57" w:line="240" w:lineRule="auto"/>
              <w:ind w:left="105" w:leftChars="50" w:right="283" w:rightChars="0" w:firstLine="0" w:firstLineChars="0"/>
              <w:jc w:val="center"/>
              <w:textAlignment w:val="auto"/>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1</w:t>
            </w:r>
            <w:r>
              <w:rPr>
                <w:rFonts w:hint="eastAsia" w:ascii="宋体" w:hAnsi="宋体" w:eastAsia="宋体" w:cs="宋体"/>
                <w:color w:val="auto"/>
                <w:spacing w:val="-7"/>
                <w:sz w:val="21"/>
                <w:szCs w:val="21"/>
                <w:highlight w:val="none"/>
              </w:rPr>
              <w:t>6</w:t>
            </w:r>
          </w:p>
        </w:tc>
        <w:tc>
          <w:tcPr>
            <w:tcW w:w="1384" w:type="dxa"/>
            <w:vAlign w:val="center"/>
          </w:tcPr>
          <w:p w14:paraId="2505E04A">
            <w:pPr>
              <w:keepLines w:val="0"/>
              <w:pageBreakBefore w:val="0"/>
              <w:widowControl w:val="0"/>
              <w:kinsoku/>
              <w:overflowPunct/>
              <w:topLinePunct w:val="0"/>
              <w:autoSpaceDE/>
              <w:autoSpaceDN/>
              <w:bidi w:val="0"/>
              <w:snapToGrid w:val="0"/>
              <w:spacing w:before="58" w:line="240" w:lineRule="auto"/>
              <w:ind w:left="105" w:leftChars="50" w:right="283" w:rightChars="0" w:firstLine="0" w:firstLineChars="0"/>
              <w:jc w:val="center"/>
              <w:textAlignment w:val="auto"/>
              <w:rPr>
                <w:rFonts w:hint="eastAsia" w:ascii="宋体" w:hAnsi="宋体" w:eastAsia="宋体" w:cs="宋体"/>
                <w:color w:val="auto"/>
                <w:spacing w:val="5"/>
                <w:sz w:val="21"/>
                <w:szCs w:val="21"/>
                <w:highlight w:val="none"/>
              </w:rPr>
            </w:pPr>
            <w:r>
              <w:rPr>
                <w:rFonts w:hint="eastAsia" w:ascii="宋体" w:hAnsi="宋体" w:eastAsia="宋体" w:cs="宋体"/>
                <w:color w:val="auto"/>
                <w:spacing w:val="-7"/>
                <w:sz w:val="21"/>
                <w:szCs w:val="21"/>
                <w:highlight w:val="none"/>
              </w:rPr>
              <w:t>5.1.2</w:t>
            </w:r>
          </w:p>
        </w:tc>
        <w:tc>
          <w:tcPr>
            <w:tcW w:w="7054" w:type="dxa"/>
            <w:tcBorders>
              <w:right w:val="single" w:color="000000" w:sz="6" w:space="0"/>
            </w:tcBorders>
            <w:vAlign w:val="center"/>
          </w:tcPr>
          <w:p w14:paraId="69714F4B">
            <w:pPr>
              <w:keepLines w:val="0"/>
              <w:pageBreakBefore w:val="0"/>
              <w:widowControl w:val="0"/>
              <w:kinsoku/>
              <w:overflowPunct/>
              <w:topLinePunct w:val="0"/>
              <w:autoSpaceDE/>
              <w:autoSpaceDN/>
              <w:bidi w:val="0"/>
              <w:snapToGrid w:val="0"/>
              <w:spacing w:before="140"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1、为确保本合同工程的施工质量，在合同履行过程中，发包人将结合国</w:t>
            </w:r>
            <w:r>
              <w:rPr>
                <w:rFonts w:hint="eastAsia" w:ascii="宋体" w:hAnsi="宋体" w:eastAsia="宋体" w:cs="宋体"/>
                <w:color w:val="auto"/>
                <w:spacing w:val="2"/>
                <w:sz w:val="21"/>
                <w:szCs w:val="21"/>
                <w:highlight w:val="none"/>
              </w:rPr>
              <w:t>内</w:t>
            </w:r>
            <w:r>
              <w:rPr>
                <w:rFonts w:hint="eastAsia" w:ascii="宋体" w:hAnsi="宋体" w:eastAsia="宋体" w:cs="宋体"/>
                <w:color w:val="auto"/>
                <w:sz w:val="21"/>
                <w:szCs w:val="21"/>
                <w:highlight w:val="none"/>
              </w:rPr>
              <w:t>工程</w:t>
            </w:r>
            <w:r>
              <w:rPr>
                <w:rFonts w:hint="eastAsia" w:ascii="宋体" w:hAnsi="宋体" w:eastAsia="宋体" w:cs="宋体"/>
                <w:color w:val="auto"/>
                <w:spacing w:val="12"/>
                <w:sz w:val="21"/>
                <w:szCs w:val="21"/>
                <w:highlight w:val="none"/>
              </w:rPr>
              <w:t>施</w:t>
            </w:r>
            <w:r>
              <w:rPr>
                <w:rFonts w:hint="eastAsia" w:ascii="宋体" w:hAnsi="宋体" w:eastAsia="宋体" w:cs="宋体"/>
                <w:color w:val="auto"/>
                <w:spacing w:val="9"/>
                <w:sz w:val="21"/>
                <w:szCs w:val="21"/>
                <w:highlight w:val="none"/>
              </w:rPr>
              <w:t>工</w:t>
            </w:r>
            <w:r>
              <w:rPr>
                <w:rFonts w:hint="eastAsia" w:ascii="宋体" w:hAnsi="宋体" w:eastAsia="宋体" w:cs="宋体"/>
                <w:color w:val="auto"/>
                <w:spacing w:val="6"/>
                <w:sz w:val="21"/>
                <w:szCs w:val="21"/>
                <w:highlight w:val="none"/>
              </w:rPr>
              <w:t>现状，以及工程实际需要，对部分施工流程或工艺等提出特殊的设备要求，承包人应予实施，由此所增加的设备购置费或租赁费用(合同另有约定除外)发包</w:t>
            </w:r>
            <w:r>
              <w:rPr>
                <w:rFonts w:hint="eastAsia" w:ascii="宋体" w:hAnsi="宋体" w:eastAsia="宋体" w:cs="宋体"/>
                <w:color w:val="auto"/>
                <w:spacing w:val="3"/>
                <w:sz w:val="21"/>
                <w:szCs w:val="21"/>
                <w:highlight w:val="none"/>
              </w:rPr>
              <w:t>人</w:t>
            </w:r>
            <w:r>
              <w:rPr>
                <w:rFonts w:hint="eastAsia" w:ascii="宋体" w:hAnsi="宋体" w:eastAsia="宋体" w:cs="宋体"/>
                <w:color w:val="auto"/>
                <w:spacing w:val="4"/>
                <w:sz w:val="21"/>
                <w:szCs w:val="21"/>
                <w:highlight w:val="none"/>
              </w:rPr>
              <w:t>不另行支付。</w:t>
            </w:r>
          </w:p>
          <w:p w14:paraId="64EEDC82">
            <w:pPr>
              <w:keepLines w:val="0"/>
              <w:pageBreakBefore w:val="0"/>
              <w:widowControl w:val="0"/>
              <w:kinsoku/>
              <w:overflowPunct/>
              <w:topLinePunct w:val="0"/>
              <w:autoSpaceDE/>
              <w:autoSpaceDN/>
              <w:bidi w:val="0"/>
              <w:snapToGrid w:val="0"/>
              <w:spacing w:before="1"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2、为保</w:t>
            </w:r>
            <w:r>
              <w:rPr>
                <w:rFonts w:hint="eastAsia" w:ascii="宋体" w:hAnsi="宋体" w:eastAsia="宋体" w:cs="宋体"/>
                <w:color w:val="auto"/>
                <w:spacing w:val="4"/>
                <w:sz w:val="21"/>
                <w:szCs w:val="21"/>
                <w:highlight w:val="none"/>
              </w:rPr>
              <w:t>证</w:t>
            </w:r>
            <w:r>
              <w:rPr>
                <w:rFonts w:hint="eastAsia" w:ascii="宋体" w:hAnsi="宋体" w:eastAsia="宋体" w:cs="宋体"/>
                <w:color w:val="auto"/>
                <w:spacing w:val="3"/>
                <w:sz w:val="21"/>
                <w:szCs w:val="21"/>
                <w:highlight w:val="none"/>
              </w:rPr>
              <w:t>工程质量，对于本项目所需的主要工程材料，承包人应选择信誉良好</w:t>
            </w:r>
            <w:r>
              <w:rPr>
                <w:rFonts w:hint="eastAsia" w:ascii="宋体" w:hAnsi="宋体" w:eastAsia="宋体" w:cs="宋体"/>
                <w:color w:val="auto"/>
                <w:spacing w:val="12"/>
                <w:sz w:val="21"/>
                <w:szCs w:val="21"/>
                <w:highlight w:val="none"/>
              </w:rPr>
              <w:t>的</w:t>
            </w:r>
            <w:r>
              <w:rPr>
                <w:rFonts w:hint="eastAsia" w:ascii="宋体" w:hAnsi="宋体" w:eastAsia="宋体" w:cs="宋体"/>
                <w:color w:val="auto"/>
                <w:spacing w:val="8"/>
                <w:sz w:val="21"/>
                <w:szCs w:val="21"/>
                <w:highlight w:val="none"/>
              </w:rPr>
              <w:t>材</w:t>
            </w:r>
            <w:r>
              <w:rPr>
                <w:rFonts w:hint="eastAsia" w:ascii="宋体" w:hAnsi="宋体" w:eastAsia="宋体" w:cs="宋体"/>
                <w:color w:val="auto"/>
                <w:spacing w:val="6"/>
                <w:sz w:val="21"/>
                <w:szCs w:val="21"/>
                <w:highlight w:val="none"/>
              </w:rPr>
              <w:t>料供应商或制造商或加工生产商。在与主要工程材料供应商或制造商或加工生</w:t>
            </w:r>
            <w:r>
              <w:rPr>
                <w:rFonts w:hint="eastAsia" w:ascii="宋体" w:hAnsi="宋体" w:eastAsia="宋体" w:cs="宋体"/>
                <w:color w:val="auto"/>
                <w:spacing w:val="12"/>
                <w:sz w:val="21"/>
                <w:szCs w:val="21"/>
                <w:highlight w:val="none"/>
              </w:rPr>
              <w:t>产</w:t>
            </w:r>
            <w:r>
              <w:rPr>
                <w:rFonts w:hint="eastAsia" w:ascii="宋体" w:hAnsi="宋体" w:eastAsia="宋体" w:cs="宋体"/>
                <w:color w:val="auto"/>
                <w:spacing w:val="8"/>
                <w:sz w:val="21"/>
                <w:szCs w:val="21"/>
                <w:highlight w:val="none"/>
              </w:rPr>
              <w:t>商</w:t>
            </w:r>
            <w:r>
              <w:rPr>
                <w:rFonts w:hint="eastAsia" w:ascii="宋体" w:hAnsi="宋体" w:eastAsia="宋体" w:cs="宋体"/>
                <w:color w:val="auto"/>
                <w:spacing w:val="6"/>
                <w:sz w:val="21"/>
                <w:szCs w:val="21"/>
                <w:highlight w:val="none"/>
              </w:rPr>
              <w:t>签订供货合同前，承包人必须将供应商或制造商或加工生产商的名单、相应资</w:t>
            </w:r>
            <w:r>
              <w:rPr>
                <w:rFonts w:hint="eastAsia" w:ascii="宋体" w:hAnsi="宋体" w:eastAsia="宋体" w:cs="宋体"/>
                <w:color w:val="auto"/>
                <w:spacing w:val="12"/>
                <w:sz w:val="21"/>
                <w:szCs w:val="21"/>
                <w:highlight w:val="none"/>
              </w:rPr>
              <w:t>格</w:t>
            </w:r>
            <w:r>
              <w:rPr>
                <w:rFonts w:hint="eastAsia" w:ascii="宋体" w:hAnsi="宋体" w:eastAsia="宋体" w:cs="宋体"/>
                <w:color w:val="auto"/>
                <w:spacing w:val="8"/>
                <w:sz w:val="21"/>
                <w:szCs w:val="21"/>
                <w:highlight w:val="none"/>
              </w:rPr>
              <w:t>、</w:t>
            </w:r>
            <w:r>
              <w:rPr>
                <w:rFonts w:hint="eastAsia" w:ascii="宋体" w:hAnsi="宋体" w:eastAsia="宋体" w:cs="宋体"/>
                <w:color w:val="auto"/>
                <w:spacing w:val="6"/>
                <w:sz w:val="21"/>
                <w:szCs w:val="21"/>
                <w:highlight w:val="none"/>
              </w:rPr>
              <w:t>材料品质报告等送发包人审查批准后，方可将主要工程材料用于实体工程，否</w:t>
            </w:r>
            <w:r>
              <w:rPr>
                <w:rFonts w:hint="eastAsia" w:ascii="宋体" w:hAnsi="宋体" w:eastAsia="宋体" w:cs="宋体"/>
                <w:color w:val="auto"/>
                <w:spacing w:val="12"/>
                <w:sz w:val="21"/>
                <w:szCs w:val="21"/>
                <w:highlight w:val="none"/>
              </w:rPr>
              <w:t>则</w:t>
            </w:r>
            <w:r>
              <w:rPr>
                <w:rFonts w:hint="eastAsia" w:ascii="宋体" w:hAnsi="宋体" w:eastAsia="宋体" w:cs="宋体"/>
                <w:color w:val="auto"/>
                <w:spacing w:val="8"/>
                <w:sz w:val="21"/>
                <w:szCs w:val="21"/>
                <w:highlight w:val="none"/>
              </w:rPr>
              <w:t>发</w:t>
            </w:r>
            <w:r>
              <w:rPr>
                <w:rFonts w:hint="eastAsia" w:ascii="宋体" w:hAnsi="宋体" w:eastAsia="宋体" w:cs="宋体"/>
                <w:color w:val="auto"/>
                <w:spacing w:val="6"/>
                <w:sz w:val="21"/>
                <w:szCs w:val="21"/>
                <w:highlight w:val="none"/>
              </w:rPr>
              <w:t>包人将视其为不合格工程并要求承包人返工重作或进行补救处理，由此造成的</w:t>
            </w:r>
            <w:r>
              <w:rPr>
                <w:rFonts w:hint="eastAsia" w:ascii="宋体" w:hAnsi="宋体" w:eastAsia="宋体" w:cs="宋体"/>
                <w:color w:val="auto"/>
                <w:spacing w:val="5"/>
                <w:sz w:val="21"/>
                <w:szCs w:val="21"/>
                <w:highlight w:val="none"/>
              </w:rPr>
              <w:t>费用增加和(或)工期延误由承包人承担</w:t>
            </w:r>
            <w:r>
              <w:rPr>
                <w:rFonts w:hint="eastAsia" w:ascii="宋体" w:hAnsi="宋体" w:eastAsia="宋体" w:cs="宋体"/>
                <w:color w:val="auto"/>
                <w:spacing w:val="2"/>
                <w:sz w:val="21"/>
                <w:szCs w:val="21"/>
                <w:highlight w:val="none"/>
              </w:rPr>
              <w:t>。</w:t>
            </w:r>
          </w:p>
          <w:p w14:paraId="5DB88539">
            <w:pPr>
              <w:keepLines w:val="0"/>
              <w:pageBreakBefore w:val="0"/>
              <w:widowControl w:val="0"/>
              <w:kinsoku/>
              <w:overflowPunct/>
              <w:topLinePunct w:val="0"/>
              <w:autoSpaceDE/>
              <w:autoSpaceDN/>
              <w:bidi w:val="0"/>
              <w:snapToGrid w:val="0"/>
              <w:spacing w:before="1"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承包人应与供</w:t>
            </w:r>
            <w:r>
              <w:rPr>
                <w:rFonts w:hint="eastAsia" w:ascii="宋体" w:hAnsi="宋体" w:eastAsia="宋体" w:cs="宋体"/>
                <w:color w:val="auto"/>
                <w:spacing w:val="7"/>
                <w:sz w:val="21"/>
                <w:szCs w:val="21"/>
                <w:highlight w:val="none"/>
              </w:rPr>
              <w:t>应</w:t>
            </w:r>
            <w:r>
              <w:rPr>
                <w:rFonts w:hint="eastAsia" w:ascii="宋体" w:hAnsi="宋体" w:eastAsia="宋体" w:cs="宋体"/>
                <w:color w:val="auto"/>
                <w:spacing w:val="4"/>
                <w:sz w:val="21"/>
                <w:szCs w:val="21"/>
                <w:highlight w:val="none"/>
              </w:rPr>
              <w:t>商或制造商或加工生产商签订供货合同，明确双方的责权利，</w:t>
            </w:r>
            <w:r>
              <w:rPr>
                <w:rFonts w:hint="eastAsia" w:ascii="宋体" w:hAnsi="宋体" w:eastAsia="宋体" w:cs="宋体"/>
                <w:color w:val="auto"/>
                <w:spacing w:val="8"/>
                <w:sz w:val="21"/>
                <w:szCs w:val="21"/>
                <w:highlight w:val="none"/>
              </w:rPr>
              <w:t>以及供</w:t>
            </w:r>
            <w:r>
              <w:rPr>
                <w:rFonts w:hint="eastAsia" w:ascii="宋体" w:hAnsi="宋体" w:eastAsia="宋体" w:cs="宋体"/>
                <w:color w:val="auto"/>
                <w:spacing w:val="4"/>
                <w:sz w:val="21"/>
                <w:szCs w:val="21"/>
                <w:highlight w:val="none"/>
              </w:rPr>
              <w:t>货方的供货时间与供货质量的保证措施和要求。</w:t>
            </w:r>
          </w:p>
          <w:p w14:paraId="663D2244">
            <w:pPr>
              <w:keepLines w:val="0"/>
              <w:pageBreakBefore w:val="0"/>
              <w:widowControl w:val="0"/>
              <w:kinsoku/>
              <w:overflowPunct/>
              <w:topLinePunct w:val="0"/>
              <w:autoSpaceDE/>
              <w:autoSpaceDN/>
              <w:bidi w:val="0"/>
              <w:snapToGrid w:val="0"/>
              <w:spacing w:before="1" w:line="240" w:lineRule="auto"/>
              <w:ind w:left="105" w:leftChars="50" w:right="283" w:rightChars="0" w:firstLine="0" w:firstLineChars="0"/>
              <w:jc w:val="left"/>
              <w:textAlignment w:val="auto"/>
              <w:rPr>
                <w:rFonts w:hint="eastAsia" w:ascii="宋体" w:hAnsi="宋体" w:eastAsia="宋体" w:cs="宋体"/>
                <w:color w:val="auto"/>
                <w:spacing w:val="-3"/>
                <w:sz w:val="21"/>
                <w:szCs w:val="21"/>
                <w:highlight w:val="none"/>
              </w:rPr>
            </w:pPr>
            <w:r>
              <w:rPr>
                <w:rFonts w:hint="eastAsia" w:ascii="宋体" w:hAnsi="宋体" w:eastAsia="宋体" w:cs="宋体"/>
                <w:color w:val="auto"/>
                <w:spacing w:val="6"/>
                <w:position w:val="15"/>
                <w:sz w:val="21"/>
                <w:szCs w:val="21"/>
                <w:highlight w:val="none"/>
              </w:rPr>
              <w:t>3、</w:t>
            </w:r>
            <w:r>
              <w:rPr>
                <w:rFonts w:hint="eastAsia" w:ascii="宋体" w:hAnsi="宋体" w:eastAsia="宋体" w:cs="宋体"/>
                <w:color w:val="auto"/>
                <w:spacing w:val="5"/>
                <w:position w:val="15"/>
                <w:sz w:val="21"/>
                <w:szCs w:val="21"/>
                <w:highlight w:val="none"/>
              </w:rPr>
              <w:t>经</w:t>
            </w:r>
            <w:r>
              <w:rPr>
                <w:rFonts w:hint="eastAsia" w:ascii="宋体" w:hAnsi="宋体" w:eastAsia="宋体" w:cs="宋体"/>
                <w:color w:val="auto"/>
                <w:spacing w:val="3"/>
                <w:position w:val="15"/>
                <w:sz w:val="21"/>
                <w:szCs w:val="21"/>
                <w:highlight w:val="none"/>
              </w:rPr>
              <w:t>监理人鉴定质量不合格并令其清除出场的材料，其费用均应由承包人自</w:t>
            </w:r>
            <w:r>
              <w:rPr>
                <w:rFonts w:hint="eastAsia" w:ascii="宋体" w:hAnsi="宋体" w:cs="宋体"/>
                <w:color w:val="auto"/>
                <w:spacing w:val="3"/>
                <w:position w:val="15"/>
                <w:sz w:val="21"/>
                <w:szCs w:val="21"/>
                <w:highlight w:val="none"/>
                <w:lang w:val="en-US" w:eastAsia="zh-CN"/>
              </w:rPr>
              <w:t>行负责。</w:t>
            </w:r>
          </w:p>
        </w:tc>
      </w:tr>
      <w:tr w14:paraId="04D39D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24" w:type="dxa"/>
            <w:tcBorders>
              <w:left w:val="single" w:color="000000" w:sz="6" w:space="0"/>
            </w:tcBorders>
            <w:vAlign w:val="center"/>
          </w:tcPr>
          <w:p w14:paraId="34E5B983">
            <w:pPr>
              <w:keepLines w:val="0"/>
              <w:pageBreakBefore w:val="0"/>
              <w:widowControl w:val="0"/>
              <w:kinsoku/>
              <w:overflowPunct/>
              <w:topLinePunct w:val="0"/>
              <w:autoSpaceDE/>
              <w:autoSpaceDN/>
              <w:bidi w:val="0"/>
              <w:snapToGrid w:val="0"/>
              <w:spacing w:before="57" w:line="240" w:lineRule="auto"/>
              <w:ind w:left="105" w:leftChars="50" w:right="283" w:rightChars="0" w:firstLine="0" w:firstLineChars="0"/>
              <w:jc w:val="center"/>
              <w:textAlignment w:val="auto"/>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1</w:t>
            </w:r>
            <w:r>
              <w:rPr>
                <w:rFonts w:hint="eastAsia" w:ascii="宋体" w:hAnsi="宋体" w:eastAsia="宋体" w:cs="宋体"/>
                <w:color w:val="auto"/>
                <w:spacing w:val="-7"/>
                <w:sz w:val="21"/>
                <w:szCs w:val="21"/>
                <w:highlight w:val="none"/>
              </w:rPr>
              <w:t>7</w:t>
            </w:r>
          </w:p>
        </w:tc>
        <w:tc>
          <w:tcPr>
            <w:tcW w:w="1384" w:type="dxa"/>
            <w:vAlign w:val="center"/>
          </w:tcPr>
          <w:p w14:paraId="5EC8B1CA">
            <w:pPr>
              <w:keepLines w:val="0"/>
              <w:pageBreakBefore w:val="0"/>
              <w:widowControl w:val="0"/>
              <w:kinsoku/>
              <w:overflowPunct/>
              <w:topLinePunct w:val="0"/>
              <w:autoSpaceDE/>
              <w:autoSpaceDN/>
              <w:bidi w:val="0"/>
              <w:snapToGrid w:val="0"/>
              <w:spacing w:before="57" w:line="240" w:lineRule="auto"/>
              <w:ind w:left="105" w:leftChars="50" w:right="283" w:rightChars="0" w:firstLine="0" w:firstLineChars="0"/>
              <w:jc w:val="center"/>
              <w:textAlignment w:val="auto"/>
              <w:rPr>
                <w:rFonts w:hint="eastAsia" w:ascii="宋体" w:hAnsi="宋体" w:eastAsia="宋体" w:cs="宋体"/>
                <w:color w:val="auto"/>
                <w:spacing w:val="5"/>
                <w:sz w:val="21"/>
                <w:szCs w:val="21"/>
                <w:highlight w:val="none"/>
              </w:rPr>
            </w:pPr>
            <w:r>
              <w:rPr>
                <w:rFonts w:hint="eastAsia" w:ascii="宋体" w:hAnsi="宋体" w:eastAsia="宋体" w:cs="宋体"/>
                <w:color w:val="auto"/>
                <w:spacing w:val="-6"/>
                <w:sz w:val="21"/>
                <w:szCs w:val="21"/>
                <w:highlight w:val="none"/>
              </w:rPr>
              <w:t>5</w:t>
            </w:r>
            <w:r>
              <w:rPr>
                <w:rFonts w:hint="eastAsia" w:ascii="宋体" w:hAnsi="宋体" w:eastAsia="宋体" w:cs="宋体"/>
                <w:color w:val="auto"/>
                <w:spacing w:val="-4"/>
                <w:sz w:val="21"/>
                <w:szCs w:val="21"/>
                <w:highlight w:val="none"/>
              </w:rPr>
              <w:t>.</w:t>
            </w:r>
            <w:r>
              <w:rPr>
                <w:rFonts w:hint="eastAsia" w:ascii="宋体" w:hAnsi="宋体" w:eastAsia="宋体" w:cs="宋体"/>
                <w:color w:val="auto"/>
                <w:spacing w:val="-3"/>
                <w:sz w:val="21"/>
                <w:szCs w:val="21"/>
                <w:highlight w:val="none"/>
              </w:rPr>
              <w:t>2.1</w:t>
            </w:r>
          </w:p>
        </w:tc>
        <w:tc>
          <w:tcPr>
            <w:tcW w:w="7054" w:type="dxa"/>
            <w:tcBorders>
              <w:right w:val="single" w:color="000000" w:sz="6" w:space="0"/>
            </w:tcBorders>
            <w:vAlign w:val="center"/>
          </w:tcPr>
          <w:p w14:paraId="1CA938F0">
            <w:pPr>
              <w:keepLines w:val="0"/>
              <w:pageBreakBefore w:val="0"/>
              <w:widowControl w:val="0"/>
              <w:kinsoku/>
              <w:overflowPunct/>
              <w:topLinePunct w:val="0"/>
              <w:autoSpaceDE/>
              <w:autoSpaceDN/>
              <w:bidi w:val="0"/>
              <w:snapToGrid w:val="0"/>
              <w:spacing w:before="141"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6"/>
                <w:sz w:val="21"/>
                <w:szCs w:val="21"/>
                <w:highlight w:val="none"/>
              </w:rPr>
              <w:t>发</w:t>
            </w:r>
            <w:r>
              <w:rPr>
                <w:rFonts w:hint="eastAsia" w:ascii="宋体" w:hAnsi="宋体" w:eastAsia="宋体" w:cs="宋体"/>
                <w:color w:val="auto"/>
                <w:spacing w:val="13"/>
                <w:sz w:val="21"/>
                <w:szCs w:val="21"/>
                <w:highlight w:val="none"/>
              </w:rPr>
              <w:t>包</w:t>
            </w:r>
            <w:r>
              <w:rPr>
                <w:rFonts w:hint="eastAsia" w:ascii="宋体" w:hAnsi="宋体" w:eastAsia="宋体" w:cs="宋体"/>
                <w:color w:val="auto"/>
                <w:spacing w:val="8"/>
                <w:sz w:val="21"/>
                <w:szCs w:val="21"/>
                <w:highlight w:val="none"/>
              </w:rPr>
              <w:t>人是否提供材料或工程设备：</w:t>
            </w:r>
            <w:r>
              <w:rPr>
                <w:rFonts w:hint="eastAsia" w:ascii="宋体" w:hAnsi="宋体" w:eastAsia="宋体" w:cs="宋体"/>
                <w:color w:val="auto"/>
                <w:spacing w:val="8"/>
                <w:sz w:val="21"/>
                <w:szCs w:val="21"/>
                <w:highlight w:val="none"/>
                <w:u w:val="single" w:color="auto"/>
              </w:rPr>
              <w:t>否</w:t>
            </w:r>
          </w:p>
          <w:p w14:paraId="5FFA8584">
            <w:pPr>
              <w:keepLines w:val="0"/>
              <w:pageBreakBefore w:val="0"/>
              <w:widowControl w:val="0"/>
              <w:kinsoku/>
              <w:overflowPunct/>
              <w:topLinePunct w:val="0"/>
              <w:autoSpaceDE/>
              <w:autoSpaceDN/>
              <w:bidi w:val="0"/>
              <w:snapToGrid w:val="0"/>
              <w:spacing w:before="117" w:line="240" w:lineRule="auto"/>
              <w:ind w:left="105" w:leftChars="50" w:right="283" w:rightChars="0" w:firstLine="0" w:firstLineChars="0"/>
              <w:jc w:val="left"/>
              <w:textAlignment w:val="auto"/>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10"/>
                <w:position w:val="1"/>
                <w:sz w:val="21"/>
                <w:szCs w:val="21"/>
                <w:highlight w:val="none"/>
              </w:rPr>
              <w:t>如</w:t>
            </w:r>
            <w:r>
              <w:rPr>
                <w:rFonts w:hint="eastAsia" w:ascii="宋体" w:hAnsi="宋体" w:eastAsia="宋体" w:cs="宋体"/>
                <w:color w:val="auto"/>
                <w:spacing w:val="8"/>
                <w:position w:val="1"/>
                <w:sz w:val="21"/>
                <w:szCs w:val="21"/>
                <w:highlight w:val="none"/>
              </w:rPr>
              <w:t>发</w:t>
            </w:r>
            <w:r>
              <w:rPr>
                <w:rFonts w:hint="eastAsia" w:ascii="宋体" w:hAnsi="宋体" w:eastAsia="宋体" w:cs="宋体"/>
                <w:color w:val="auto"/>
                <w:spacing w:val="5"/>
                <w:position w:val="1"/>
                <w:sz w:val="21"/>
                <w:szCs w:val="21"/>
                <w:highlight w:val="none"/>
              </w:rPr>
              <w:t>包人负责提供部分材料或工程设备，相关规定如下：</w:t>
            </w:r>
            <w:r>
              <w:rPr>
                <w:rFonts w:hint="eastAsia" w:ascii="宋体" w:hAnsi="宋体" w:cs="宋体"/>
                <w:color w:val="auto"/>
                <w:spacing w:val="5"/>
                <w:position w:val="1"/>
                <w:sz w:val="21"/>
                <w:szCs w:val="21"/>
                <w:highlight w:val="none"/>
                <w:u w:val="single"/>
                <w:lang w:val="en-US" w:eastAsia="zh-CN"/>
              </w:rPr>
              <w:t xml:space="preserve"> </w:t>
            </w:r>
            <w:r>
              <w:rPr>
                <w:rFonts w:hint="eastAsia" w:ascii="宋体" w:hAnsi="宋体" w:eastAsia="宋体" w:cs="宋体"/>
                <w:color w:val="auto"/>
                <w:spacing w:val="5"/>
                <w:position w:val="1"/>
                <w:sz w:val="21"/>
                <w:szCs w:val="21"/>
                <w:highlight w:val="none"/>
                <w:u w:val="single"/>
              </w:rPr>
              <w:t>/</w:t>
            </w:r>
            <w:r>
              <w:rPr>
                <w:rFonts w:hint="eastAsia" w:ascii="宋体" w:hAnsi="宋体" w:cs="宋体"/>
                <w:color w:val="auto"/>
                <w:spacing w:val="5"/>
                <w:position w:val="1"/>
                <w:sz w:val="21"/>
                <w:szCs w:val="21"/>
                <w:highlight w:val="none"/>
                <w:u w:val="single"/>
                <w:lang w:val="en-US" w:eastAsia="zh-CN"/>
              </w:rPr>
              <w:t xml:space="preserve"> </w:t>
            </w:r>
          </w:p>
        </w:tc>
      </w:tr>
      <w:tr w14:paraId="6C435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24" w:type="dxa"/>
            <w:tcBorders>
              <w:left w:val="single" w:color="000000" w:sz="6" w:space="0"/>
            </w:tcBorders>
            <w:vAlign w:val="center"/>
          </w:tcPr>
          <w:p w14:paraId="50CCFDDC">
            <w:pPr>
              <w:keepLines w:val="0"/>
              <w:pageBreakBefore w:val="0"/>
              <w:widowControl w:val="0"/>
              <w:kinsoku/>
              <w:overflowPunct/>
              <w:topLinePunct w:val="0"/>
              <w:autoSpaceDE/>
              <w:autoSpaceDN/>
              <w:bidi w:val="0"/>
              <w:snapToGrid w:val="0"/>
              <w:spacing w:before="57" w:line="240" w:lineRule="auto"/>
              <w:ind w:left="105" w:leftChars="50" w:right="283" w:rightChars="0" w:firstLine="0" w:firstLineChars="0"/>
              <w:jc w:val="center"/>
              <w:textAlignment w:val="auto"/>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1</w:t>
            </w:r>
            <w:r>
              <w:rPr>
                <w:rFonts w:hint="eastAsia" w:ascii="宋体" w:hAnsi="宋体" w:eastAsia="宋体" w:cs="宋体"/>
                <w:color w:val="auto"/>
                <w:spacing w:val="-7"/>
                <w:sz w:val="21"/>
                <w:szCs w:val="21"/>
                <w:highlight w:val="none"/>
              </w:rPr>
              <w:t>8</w:t>
            </w:r>
          </w:p>
        </w:tc>
        <w:tc>
          <w:tcPr>
            <w:tcW w:w="1384" w:type="dxa"/>
            <w:vAlign w:val="center"/>
          </w:tcPr>
          <w:p w14:paraId="0263D7E4">
            <w:pPr>
              <w:keepLines w:val="0"/>
              <w:pageBreakBefore w:val="0"/>
              <w:widowControl w:val="0"/>
              <w:kinsoku/>
              <w:overflowPunct/>
              <w:topLinePunct w:val="0"/>
              <w:autoSpaceDE/>
              <w:autoSpaceDN/>
              <w:bidi w:val="0"/>
              <w:snapToGrid w:val="0"/>
              <w:spacing w:before="58" w:line="240" w:lineRule="auto"/>
              <w:ind w:left="105" w:leftChars="50" w:right="283" w:rightChars="0" w:firstLine="0" w:firstLineChars="0"/>
              <w:jc w:val="center"/>
              <w:textAlignment w:val="auto"/>
              <w:rPr>
                <w:rFonts w:hint="eastAsia" w:ascii="宋体" w:hAnsi="宋体" w:eastAsia="宋体" w:cs="宋体"/>
                <w:color w:val="auto"/>
                <w:spacing w:val="-6"/>
                <w:sz w:val="21"/>
                <w:szCs w:val="21"/>
                <w:highlight w:val="none"/>
              </w:rPr>
            </w:pPr>
            <w:r>
              <w:rPr>
                <w:rFonts w:hint="eastAsia" w:ascii="宋体" w:hAnsi="宋体" w:eastAsia="宋体" w:cs="宋体"/>
                <w:color w:val="auto"/>
                <w:spacing w:val="1"/>
                <w:sz w:val="21"/>
                <w:szCs w:val="21"/>
                <w:highlight w:val="none"/>
              </w:rPr>
              <w:t>6.2</w:t>
            </w:r>
          </w:p>
        </w:tc>
        <w:tc>
          <w:tcPr>
            <w:tcW w:w="7054" w:type="dxa"/>
            <w:tcBorders>
              <w:right w:val="single" w:color="000000" w:sz="6" w:space="0"/>
            </w:tcBorders>
            <w:vAlign w:val="center"/>
          </w:tcPr>
          <w:p w14:paraId="02C162B9">
            <w:pPr>
              <w:keepLines w:val="0"/>
              <w:pageBreakBefore w:val="0"/>
              <w:widowControl w:val="0"/>
              <w:kinsoku/>
              <w:overflowPunct/>
              <w:topLinePunct w:val="0"/>
              <w:autoSpaceDE/>
              <w:autoSpaceDN/>
              <w:bidi w:val="0"/>
              <w:snapToGrid w:val="0"/>
              <w:spacing w:before="159"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rPr>
              <w:t>发包人是否提供施工设备和临时设施：</w:t>
            </w:r>
            <w:r>
              <w:rPr>
                <w:rFonts w:hint="eastAsia" w:ascii="宋体" w:hAnsi="宋体" w:eastAsia="宋体" w:cs="宋体"/>
                <w:color w:val="auto"/>
                <w:spacing w:val="6"/>
                <w:sz w:val="21"/>
                <w:szCs w:val="21"/>
                <w:highlight w:val="none"/>
                <w:u w:val="single" w:color="auto"/>
              </w:rPr>
              <w:t>否</w:t>
            </w:r>
          </w:p>
          <w:p w14:paraId="64D8F05D">
            <w:pPr>
              <w:keepLines w:val="0"/>
              <w:pageBreakBefore w:val="0"/>
              <w:widowControl w:val="0"/>
              <w:kinsoku/>
              <w:overflowPunct/>
              <w:topLinePunct w:val="0"/>
              <w:autoSpaceDE/>
              <w:autoSpaceDN/>
              <w:bidi w:val="0"/>
              <w:snapToGrid w:val="0"/>
              <w:spacing w:before="117" w:line="240" w:lineRule="auto"/>
              <w:ind w:left="105" w:leftChars="50" w:right="283" w:rightChars="0" w:firstLine="0" w:firstLineChars="0"/>
              <w:jc w:val="left"/>
              <w:textAlignment w:val="auto"/>
              <w:rPr>
                <w:rFonts w:hint="eastAsia" w:ascii="宋体" w:hAnsi="宋体" w:eastAsia="宋体" w:cs="宋体"/>
                <w:color w:val="auto"/>
                <w:spacing w:val="10"/>
                <w:position w:val="1"/>
                <w:sz w:val="21"/>
                <w:szCs w:val="21"/>
                <w:highlight w:val="none"/>
                <w:lang w:val="en-US" w:eastAsia="zh-CN"/>
              </w:rPr>
            </w:pPr>
            <w:r>
              <w:rPr>
                <w:rFonts w:hint="eastAsia" w:ascii="宋体" w:hAnsi="宋体" w:eastAsia="宋体" w:cs="宋体"/>
                <w:color w:val="auto"/>
                <w:spacing w:val="16"/>
                <w:sz w:val="21"/>
                <w:szCs w:val="21"/>
                <w:highlight w:val="none"/>
              </w:rPr>
              <w:t>如</w:t>
            </w:r>
            <w:r>
              <w:rPr>
                <w:rFonts w:hint="eastAsia" w:ascii="宋体" w:hAnsi="宋体" w:eastAsia="宋体" w:cs="宋体"/>
                <w:color w:val="auto"/>
                <w:spacing w:val="15"/>
                <w:sz w:val="21"/>
                <w:szCs w:val="21"/>
                <w:highlight w:val="none"/>
              </w:rPr>
              <w:t>发</w:t>
            </w:r>
            <w:r>
              <w:rPr>
                <w:rFonts w:hint="eastAsia" w:ascii="宋体" w:hAnsi="宋体" w:eastAsia="宋体" w:cs="宋体"/>
                <w:color w:val="auto"/>
                <w:spacing w:val="8"/>
                <w:sz w:val="21"/>
                <w:szCs w:val="21"/>
                <w:highlight w:val="none"/>
              </w:rPr>
              <w:t>包人负责提供部分施工设备和临时设施，相关规定如下：</w:t>
            </w:r>
            <w:r>
              <w:rPr>
                <w:rFonts w:hint="eastAsia" w:ascii="宋体" w:hAnsi="宋体" w:cs="宋体"/>
                <w:color w:val="auto"/>
                <w:spacing w:val="8"/>
                <w:sz w:val="21"/>
                <w:szCs w:val="21"/>
                <w:highlight w:val="none"/>
                <w:u w:val="single"/>
                <w:lang w:val="en-US" w:eastAsia="zh-CN"/>
              </w:rPr>
              <w:t xml:space="preserve"> </w:t>
            </w:r>
            <w:r>
              <w:rPr>
                <w:rFonts w:hint="eastAsia" w:ascii="宋体" w:hAnsi="宋体" w:eastAsia="宋体" w:cs="宋体"/>
                <w:color w:val="auto"/>
                <w:spacing w:val="8"/>
                <w:sz w:val="21"/>
                <w:szCs w:val="21"/>
                <w:highlight w:val="none"/>
                <w:u w:val="single" w:color="auto"/>
              </w:rPr>
              <w:t>/</w:t>
            </w:r>
            <w:r>
              <w:rPr>
                <w:rFonts w:hint="eastAsia" w:ascii="宋体" w:hAnsi="宋体" w:cs="宋体"/>
                <w:color w:val="auto"/>
                <w:spacing w:val="8"/>
                <w:sz w:val="21"/>
                <w:szCs w:val="21"/>
                <w:highlight w:val="none"/>
                <w:u w:val="single" w:color="auto"/>
                <w:lang w:val="en-US" w:eastAsia="zh-CN"/>
              </w:rPr>
              <w:t xml:space="preserve"> </w:t>
            </w:r>
          </w:p>
        </w:tc>
      </w:tr>
      <w:tr w14:paraId="696501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24" w:type="dxa"/>
            <w:tcBorders>
              <w:left w:val="single" w:color="000000" w:sz="6" w:space="0"/>
            </w:tcBorders>
            <w:vAlign w:val="center"/>
          </w:tcPr>
          <w:p w14:paraId="05B3708D">
            <w:pPr>
              <w:keepLines w:val="0"/>
              <w:pageBreakBefore w:val="0"/>
              <w:widowControl w:val="0"/>
              <w:kinsoku/>
              <w:overflowPunct/>
              <w:topLinePunct w:val="0"/>
              <w:autoSpaceDE/>
              <w:autoSpaceDN/>
              <w:bidi w:val="0"/>
              <w:snapToGrid w:val="0"/>
              <w:spacing w:before="57" w:line="240" w:lineRule="auto"/>
              <w:ind w:left="105" w:leftChars="50" w:right="283" w:rightChars="0" w:firstLine="0" w:firstLineChars="0"/>
              <w:jc w:val="center"/>
              <w:textAlignment w:val="auto"/>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1</w:t>
            </w:r>
            <w:r>
              <w:rPr>
                <w:rFonts w:hint="eastAsia" w:ascii="宋体" w:hAnsi="宋体" w:eastAsia="宋体" w:cs="宋体"/>
                <w:color w:val="auto"/>
                <w:spacing w:val="-7"/>
                <w:sz w:val="21"/>
                <w:szCs w:val="21"/>
                <w:highlight w:val="none"/>
              </w:rPr>
              <w:t>9</w:t>
            </w:r>
          </w:p>
        </w:tc>
        <w:tc>
          <w:tcPr>
            <w:tcW w:w="1384" w:type="dxa"/>
            <w:vAlign w:val="center"/>
          </w:tcPr>
          <w:p w14:paraId="0F241314">
            <w:pPr>
              <w:keepLines w:val="0"/>
              <w:pageBreakBefore w:val="0"/>
              <w:widowControl w:val="0"/>
              <w:kinsoku/>
              <w:overflowPunct/>
              <w:topLinePunct w:val="0"/>
              <w:autoSpaceDE/>
              <w:autoSpaceDN/>
              <w:bidi w:val="0"/>
              <w:snapToGrid w:val="0"/>
              <w:spacing w:before="58" w:line="240" w:lineRule="auto"/>
              <w:ind w:left="105" w:leftChars="50" w:right="283" w:rightChars="0" w:firstLine="0" w:firstLineChars="0"/>
              <w:jc w:val="center"/>
              <w:textAlignment w:val="auto"/>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8</w:t>
            </w:r>
            <w:r>
              <w:rPr>
                <w:rFonts w:hint="eastAsia" w:ascii="宋体" w:hAnsi="宋体" w:eastAsia="宋体" w:cs="宋体"/>
                <w:color w:val="auto"/>
                <w:spacing w:val="5"/>
                <w:sz w:val="21"/>
                <w:szCs w:val="21"/>
                <w:highlight w:val="none"/>
              </w:rPr>
              <w:t>.1.1</w:t>
            </w:r>
          </w:p>
        </w:tc>
        <w:tc>
          <w:tcPr>
            <w:tcW w:w="7054" w:type="dxa"/>
            <w:tcBorders>
              <w:right w:val="single" w:color="000000" w:sz="6" w:space="0"/>
            </w:tcBorders>
            <w:vAlign w:val="center"/>
          </w:tcPr>
          <w:p w14:paraId="1E12C45E">
            <w:pPr>
              <w:keepLines w:val="0"/>
              <w:pageBreakBefore w:val="0"/>
              <w:widowControl w:val="0"/>
              <w:kinsoku/>
              <w:overflowPunct/>
              <w:topLinePunct w:val="0"/>
              <w:autoSpaceDE/>
              <w:autoSpaceDN/>
              <w:bidi w:val="0"/>
              <w:snapToGrid w:val="0"/>
              <w:spacing w:before="104" w:line="240" w:lineRule="auto"/>
              <w:ind w:left="105" w:leftChars="50" w:right="283" w:rightChars="0" w:firstLine="0" w:firstLineChars="0"/>
              <w:jc w:val="left"/>
              <w:textAlignment w:val="auto"/>
              <w:rPr>
                <w:rFonts w:hint="eastAsia" w:ascii="宋体" w:hAnsi="宋体" w:eastAsia="宋体" w:cs="宋体"/>
                <w:color w:val="auto"/>
                <w:spacing w:val="8"/>
                <w:sz w:val="21"/>
                <w:szCs w:val="21"/>
                <w:highlight w:val="none"/>
                <w:u w:val="single" w:color="auto"/>
              </w:rPr>
            </w:pPr>
            <w:r>
              <w:rPr>
                <w:rFonts w:hint="eastAsia" w:ascii="宋体" w:hAnsi="宋体" w:eastAsia="宋体" w:cs="宋体"/>
                <w:color w:val="auto"/>
                <w:spacing w:val="8"/>
                <w:sz w:val="21"/>
                <w:szCs w:val="21"/>
                <w:highlight w:val="none"/>
              </w:rPr>
              <w:t>发包人提供测量基准点、基准线和水准点及其书面资料的期限：</w:t>
            </w:r>
            <w:r>
              <w:rPr>
                <w:rFonts w:hint="eastAsia" w:ascii="宋体" w:hAnsi="宋体" w:cs="宋体"/>
                <w:color w:val="auto"/>
                <w:spacing w:val="2"/>
                <w:position w:val="1"/>
                <w:sz w:val="21"/>
                <w:szCs w:val="21"/>
                <w:highlight w:val="none"/>
                <w:u w:val="single"/>
                <w:lang w:val="en-US" w:eastAsia="zh-CN"/>
              </w:rPr>
              <w:t xml:space="preserve"> </w:t>
            </w:r>
            <w:r>
              <w:rPr>
                <w:rFonts w:hint="eastAsia" w:ascii="宋体" w:hAnsi="宋体" w:eastAsia="宋体" w:cs="宋体"/>
                <w:color w:val="auto"/>
                <w:spacing w:val="2"/>
                <w:position w:val="1"/>
                <w:sz w:val="21"/>
                <w:szCs w:val="21"/>
                <w:highlight w:val="none"/>
                <w:u w:val="single"/>
              </w:rPr>
              <w:t>/</w:t>
            </w:r>
            <w:r>
              <w:rPr>
                <w:rFonts w:hint="eastAsia" w:ascii="宋体" w:hAnsi="宋体" w:cs="宋体"/>
                <w:color w:val="auto"/>
                <w:spacing w:val="2"/>
                <w:position w:val="1"/>
                <w:sz w:val="21"/>
                <w:szCs w:val="21"/>
                <w:highlight w:val="none"/>
                <w:u w:val="single"/>
                <w:lang w:val="en-US" w:eastAsia="zh-CN"/>
              </w:rPr>
              <w:t xml:space="preserve"> </w:t>
            </w:r>
          </w:p>
          <w:p w14:paraId="4F10CAB6">
            <w:pPr>
              <w:keepLines w:val="0"/>
              <w:pageBreakBefore w:val="0"/>
              <w:widowControl w:val="0"/>
              <w:kinsoku/>
              <w:overflowPunct/>
              <w:topLinePunct w:val="0"/>
              <w:autoSpaceDE/>
              <w:autoSpaceDN/>
              <w:bidi w:val="0"/>
              <w:snapToGrid w:val="0"/>
              <w:spacing w:before="104" w:line="240" w:lineRule="auto"/>
              <w:ind w:left="105" w:leftChars="50" w:right="283" w:rightChars="0" w:firstLine="0" w:firstLineChars="0"/>
              <w:jc w:val="left"/>
              <w:textAlignment w:val="auto"/>
              <w:rPr>
                <w:rFonts w:hint="eastAsia" w:ascii="宋体" w:hAnsi="宋体" w:eastAsia="宋体" w:cs="宋体"/>
                <w:color w:val="auto"/>
                <w:spacing w:val="10"/>
                <w:position w:val="1"/>
                <w:sz w:val="21"/>
                <w:szCs w:val="21"/>
                <w:highlight w:val="none"/>
                <w:lang w:eastAsia="zh-CN"/>
              </w:rPr>
            </w:pPr>
            <w:r>
              <w:rPr>
                <w:rFonts w:hint="eastAsia" w:ascii="宋体" w:hAnsi="宋体" w:eastAsia="宋体" w:cs="宋体"/>
                <w:color w:val="auto"/>
                <w:spacing w:val="16"/>
                <w:sz w:val="21"/>
                <w:szCs w:val="21"/>
                <w:highlight w:val="none"/>
              </w:rPr>
              <w:t>承</w:t>
            </w:r>
            <w:r>
              <w:rPr>
                <w:rFonts w:hint="eastAsia" w:ascii="宋体" w:hAnsi="宋体" w:eastAsia="宋体" w:cs="宋体"/>
                <w:color w:val="auto"/>
                <w:spacing w:val="10"/>
                <w:sz w:val="21"/>
                <w:szCs w:val="21"/>
                <w:highlight w:val="none"/>
              </w:rPr>
              <w:t>包</w:t>
            </w:r>
            <w:r>
              <w:rPr>
                <w:rFonts w:hint="eastAsia" w:ascii="宋体" w:hAnsi="宋体" w:eastAsia="宋体" w:cs="宋体"/>
                <w:color w:val="auto"/>
                <w:spacing w:val="8"/>
                <w:sz w:val="21"/>
                <w:szCs w:val="21"/>
                <w:highlight w:val="none"/>
              </w:rPr>
              <w:t>人将施工控制网资料报送监理人审批的期限：</w:t>
            </w:r>
            <w:r>
              <w:rPr>
                <w:rFonts w:hint="eastAsia" w:ascii="宋体" w:hAnsi="宋体" w:cs="宋体"/>
                <w:color w:val="auto"/>
                <w:spacing w:val="5"/>
                <w:position w:val="1"/>
                <w:sz w:val="21"/>
                <w:szCs w:val="21"/>
                <w:highlight w:val="none"/>
                <w:u w:val="single"/>
                <w:lang w:val="en-US" w:eastAsia="zh-CN"/>
              </w:rPr>
              <w:t xml:space="preserve"> </w:t>
            </w:r>
            <w:r>
              <w:rPr>
                <w:rFonts w:hint="eastAsia" w:ascii="宋体" w:hAnsi="宋体" w:eastAsia="宋体" w:cs="宋体"/>
                <w:color w:val="auto"/>
                <w:spacing w:val="5"/>
                <w:position w:val="1"/>
                <w:sz w:val="21"/>
                <w:szCs w:val="21"/>
                <w:highlight w:val="none"/>
                <w:u w:val="single"/>
              </w:rPr>
              <w:t>/</w:t>
            </w:r>
            <w:r>
              <w:rPr>
                <w:rFonts w:hint="eastAsia" w:ascii="宋体" w:hAnsi="宋体" w:cs="宋体"/>
                <w:color w:val="auto"/>
                <w:spacing w:val="5"/>
                <w:position w:val="1"/>
                <w:sz w:val="21"/>
                <w:szCs w:val="21"/>
                <w:highlight w:val="none"/>
                <w:u w:val="single"/>
                <w:lang w:val="en-US" w:eastAsia="zh-CN"/>
              </w:rPr>
              <w:t xml:space="preserve"> </w:t>
            </w:r>
          </w:p>
        </w:tc>
      </w:tr>
      <w:tr w14:paraId="72D6CA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24" w:type="dxa"/>
            <w:tcBorders>
              <w:left w:val="single" w:color="000000" w:sz="6" w:space="0"/>
            </w:tcBorders>
            <w:vAlign w:val="center"/>
          </w:tcPr>
          <w:p w14:paraId="4FD361EF">
            <w:pPr>
              <w:keepLines w:val="0"/>
              <w:pageBreakBefore w:val="0"/>
              <w:widowControl w:val="0"/>
              <w:kinsoku/>
              <w:overflowPunct/>
              <w:topLinePunct w:val="0"/>
              <w:autoSpaceDE/>
              <w:autoSpaceDN/>
              <w:bidi w:val="0"/>
              <w:snapToGrid w:val="0"/>
              <w:spacing w:before="132" w:line="240" w:lineRule="auto"/>
              <w:ind w:left="105" w:leftChars="50" w:right="283" w:rightChars="0" w:firstLine="0" w:firstLineChars="0"/>
              <w:jc w:val="center"/>
              <w:textAlignment w:val="auto"/>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2</w:t>
            </w:r>
            <w:r>
              <w:rPr>
                <w:rFonts w:hint="eastAsia" w:ascii="宋体" w:hAnsi="宋体" w:eastAsia="宋体" w:cs="宋体"/>
                <w:color w:val="auto"/>
                <w:spacing w:val="2"/>
                <w:sz w:val="21"/>
                <w:szCs w:val="21"/>
                <w:highlight w:val="none"/>
              </w:rPr>
              <w:t>0</w:t>
            </w:r>
          </w:p>
        </w:tc>
        <w:tc>
          <w:tcPr>
            <w:tcW w:w="1384" w:type="dxa"/>
            <w:vAlign w:val="center"/>
          </w:tcPr>
          <w:p w14:paraId="6BFB490F">
            <w:pPr>
              <w:keepLines w:val="0"/>
              <w:pageBreakBefore w:val="0"/>
              <w:widowControl w:val="0"/>
              <w:kinsoku/>
              <w:overflowPunct/>
              <w:topLinePunct w:val="0"/>
              <w:autoSpaceDE/>
              <w:autoSpaceDN/>
              <w:bidi w:val="0"/>
              <w:snapToGrid w:val="0"/>
              <w:spacing w:before="95" w:line="240" w:lineRule="auto"/>
              <w:ind w:left="105" w:leftChars="50" w:right="283" w:rightChars="0" w:firstLine="0" w:firstLineChars="0"/>
              <w:jc w:val="center"/>
              <w:textAlignment w:val="auto"/>
              <w:rPr>
                <w:rFonts w:hint="eastAsia" w:ascii="宋体" w:hAnsi="宋体" w:eastAsia="宋体" w:cs="宋体"/>
                <w:color w:val="auto"/>
                <w:spacing w:val="-6"/>
                <w:sz w:val="21"/>
                <w:szCs w:val="21"/>
                <w:highlight w:val="none"/>
              </w:rPr>
            </w:pPr>
            <w:r>
              <w:rPr>
                <w:rFonts w:hint="eastAsia" w:ascii="宋体" w:hAnsi="宋体" w:eastAsia="宋体" w:cs="宋体"/>
                <w:color w:val="auto"/>
                <w:spacing w:val="-1"/>
                <w:sz w:val="21"/>
                <w:szCs w:val="21"/>
                <w:highlight w:val="none"/>
              </w:rPr>
              <w:t>11</w:t>
            </w:r>
            <w:r>
              <w:rPr>
                <w:rFonts w:hint="eastAsia" w:ascii="宋体" w:hAnsi="宋体" w:eastAsia="宋体" w:cs="宋体"/>
                <w:color w:val="auto"/>
                <w:sz w:val="21"/>
                <w:szCs w:val="21"/>
                <w:highlight w:val="none"/>
              </w:rPr>
              <w:t>.5(3)</w:t>
            </w:r>
          </w:p>
        </w:tc>
        <w:tc>
          <w:tcPr>
            <w:tcW w:w="7054" w:type="dxa"/>
            <w:tcBorders>
              <w:right w:val="single" w:color="000000" w:sz="6" w:space="0"/>
            </w:tcBorders>
            <w:vAlign w:val="center"/>
          </w:tcPr>
          <w:p w14:paraId="68F0117F">
            <w:pPr>
              <w:keepLines w:val="0"/>
              <w:pageBreakBefore w:val="0"/>
              <w:widowControl w:val="0"/>
              <w:kinsoku/>
              <w:overflowPunct/>
              <w:topLinePunct w:val="0"/>
              <w:autoSpaceDE/>
              <w:autoSpaceDN/>
              <w:bidi w:val="0"/>
              <w:snapToGrid w:val="0"/>
              <w:spacing w:before="104" w:line="240" w:lineRule="auto"/>
              <w:ind w:left="105" w:leftChars="50" w:right="283" w:rightChars="0" w:firstLine="0" w:firstLineChars="0"/>
              <w:jc w:val="left"/>
              <w:textAlignment w:val="auto"/>
              <w:rPr>
                <w:rFonts w:hint="eastAsia" w:ascii="宋体" w:hAnsi="宋体" w:eastAsia="宋体" w:cs="宋体"/>
                <w:color w:val="auto"/>
                <w:spacing w:val="10"/>
                <w:position w:val="1"/>
                <w:sz w:val="21"/>
                <w:szCs w:val="21"/>
                <w:highlight w:val="none"/>
              </w:rPr>
            </w:pPr>
            <w:r>
              <w:rPr>
                <w:rFonts w:hint="eastAsia" w:ascii="宋体" w:hAnsi="宋体" w:eastAsia="宋体" w:cs="宋体"/>
                <w:color w:val="auto"/>
                <w:spacing w:val="12"/>
                <w:sz w:val="21"/>
                <w:szCs w:val="21"/>
                <w:highlight w:val="none"/>
              </w:rPr>
              <w:t>逾期</w:t>
            </w:r>
            <w:r>
              <w:rPr>
                <w:rFonts w:hint="eastAsia" w:ascii="宋体" w:hAnsi="宋体" w:eastAsia="宋体" w:cs="宋体"/>
                <w:color w:val="auto"/>
                <w:spacing w:val="7"/>
                <w:sz w:val="21"/>
                <w:szCs w:val="21"/>
                <w:highlight w:val="none"/>
              </w:rPr>
              <w:t>交</w:t>
            </w:r>
            <w:r>
              <w:rPr>
                <w:rFonts w:hint="eastAsia" w:ascii="宋体" w:hAnsi="宋体" w:eastAsia="宋体" w:cs="宋体"/>
                <w:color w:val="auto"/>
                <w:spacing w:val="6"/>
                <w:sz w:val="21"/>
                <w:szCs w:val="21"/>
                <w:highlight w:val="none"/>
              </w:rPr>
              <w:t>工违约金：</w:t>
            </w:r>
            <w:r>
              <w:rPr>
                <w:rFonts w:hint="eastAsia" w:ascii="宋体" w:hAnsi="宋体" w:eastAsia="宋体" w:cs="宋体"/>
                <w:color w:val="auto"/>
                <w:spacing w:val="6"/>
                <w:sz w:val="21"/>
                <w:szCs w:val="21"/>
                <w:highlight w:val="none"/>
                <w:u w:val="single" w:color="auto"/>
              </w:rPr>
              <w:t>2万</w:t>
            </w:r>
            <w:r>
              <w:rPr>
                <w:rFonts w:hint="eastAsia" w:ascii="宋体" w:hAnsi="宋体" w:eastAsia="宋体" w:cs="宋体"/>
                <w:color w:val="auto"/>
                <w:spacing w:val="6"/>
                <w:sz w:val="21"/>
                <w:szCs w:val="21"/>
                <w:highlight w:val="none"/>
              </w:rPr>
              <w:t>元/天</w:t>
            </w:r>
          </w:p>
        </w:tc>
      </w:tr>
      <w:tr w14:paraId="606072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24" w:type="dxa"/>
            <w:tcBorders>
              <w:left w:val="single" w:color="000000" w:sz="6" w:space="0"/>
            </w:tcBorders>
            <w:vAlign w:val="center"/>
          </w:tcPr>
          <w:p w14:paraId="3E3CCA2D">
            <w:pPr>
              <w:keepLines w:val="0"/>
              <w:pageBreakBefore w:val="0"/>
              <w:widowControl w:val="0"/>
              <w:kinsoku/>
              <w:overflowPunct/>
              <w:topLinePunct w:val="0"/>
              <w:autoSpaceDE/>
              <w:autoSpaceDN/>
              <w:bidi w:val="0"/>
              <w:snapToGrid w:val="0"/>
              <w:spacing w:before="133" w:line="240" w:lineRule="auto"/>
              <w:ind w:left="105" w:leftChars="50" w:right="283" w:rightChars="0" w:firstLine="0" w:firstLineChars="0"/>
              <w:jc w:val="center"/>
              <w:textAlignment w:val="auto"/>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2</w:t>
            </w:r>
            <w:r>
              <w:rPr>
                <w:rFonts w:hint="eastAsia" w:ascii="宋体" w:hAnsi="宋体" w:eastAsia="宋体" w:cs="宋体"/>
                <w:color w:val="auto"/>
                <w:spacing w:val="2"/>
                <w:sz w:val="21"/>
                <w:szCs w:val="21"/>
                <w:highlight w:val="none"/>
              </w:rPr>
              <w:t>1</w:t>
            </w:r>
          </w:p>
        </w:tc>
        <w:tc>
          <w:tcPr>
            <w:tcW w:w="1384" w:type="dxa"/>
            <w:vAlign w:val="center"/>
          </w:tcPr>
          <w:p w14:paraId="2D04DAB0">
            <w:pPr>
              <w:keepLines w:val="0"/>
              <w:pageBreakBefore w:val="0"/>
              <w:widowControl w:val="0"/>
              <w:kinsoku/>
              <w:overflowPunct/>
              <w:topLinePunct w:val="0"/>
              <w:autoSpaceDE/>
              <w:autoSpaceDN/>
              <w:bidi w:val="0"/>
              <w:snapToGrid w:val="0"/>
              <w:spacing w:before="96" w:line="240" w:lineRule="auto"/>
              <w:ind w:left="105" w:leftChars="50" w:right="283" w:rightChars="0" w:firstLine="0" w:firstLineChars="0"/>
              <w:jc w:val="center"/>
              <w:textAlignment w:val="auto"/>
              <w:rPr>
                <w:rFonts w:hint="eastAsia" w:ascii="宋体" w:hAnsi="宋体" w:eastAsia="宋体" w:cs="宋体"/>
                <w:color w:val="auto"/>
                <w:spacing w:val="-6"/>
                <w:sz w:val="21"/>
                <w:szCs w:val="21"/>
                <w:highlight w:val="none"/>
              </w:rPr>
            </w:pPr>
            <w:r>
              <w:rPr>
                <w:rFonts w:hint="eastAsia" w:ascii="宋体" w:hAnsi="宋体" w:eastAsia="宋体" w:cs="宋体"/>
                <w:color w:val="auto"/>
                <w:spacing w:val="-1"/>
                <w:sz w:val="21"/>
                <w:szCs w:val="21"/>
                <w:highlight w:val="none"/>
              </w:rPr>
              <w:t>11</w:t>
            </w:r>
            <w:r>
              <w:rPr>
                <w:rFonts w:hint="eastAsia" w:ascii="宋体" w:hAnsi="宋体" w:eastAsia="宋体" w:cs="宋体"/>
                <w:color w:val="auto"/>
                <w:sz w:val="21"/>
                <w:szCs w:val="21"/>
                <w:highlight w:val="none"/>
              </w:rPr>
              <w:t>.5(3)</w:t>
            </w:r>
          </w:p>
        </w:tc>
        <w:tc>
          <w:tcPr>
            <w:tcW w:w="7054" w:type="dxa"/>
            <w:tcBorders>
              <w:right w:val="single" w:color="000000" w:sz="6" w:space="0"/>
            </w:tcBorders>
            <w:vAlign w:val="center"/>
          </w:tcPr>
          <w:p w14:paraId="44FE3CB5">
            <w:pPr>
              <w:keepLines w:val="0"/>
              <w:pageBreakBefore w:val="0"/>
              <w:widowControl w:val="0"/>
              <w:kinsoku/>
              <w:overflowPunct/>
              <w:topLinePunct w:val="0"/>
              <w:autoSpaceDE/>
              <w:autoSpaceDN/>
              <w:bidi w:val="0"/>
              <w:snapToGrid w:val="0"/>
              <w:spacing w:before="105" w:line="240" w:lineRule="auto"/>
              <w:ind w:left="105" w:leftChars="50" w:right="283" w:rightChars="0" w:firstLine="0" w:firstLineChars="0"/>
              <w:jc w:val="left"/>
              <w:textAlignment w:val="auto"/>
              <w:rPr>
                <w:rFonts w:hint="eastAsia" w:ascii="宋体" w:hAnsi="宋体" w:eastAsia="宋体" w:cs="宋体"/>
                <w:color w:val="auto"/>
                <w:spacing w:val="10"/>
                <w:position w:val="1"/>
                <w:sz w:val="21"/>
                <w:szCs w:val="21"/>
                <w:highlight w:val="none"/>
              </w:rPr>
            </w:pPr>
            <w:r>
              <w:rPr>
                <w:rFonts w:hint="eastAsia" w:ascii="宋体" w:hAnsi="宋体" w:eastAsia="宋体" w:cs="宋体"/>
                <w:color w:val="auto"/>
                <w:spacing w:val="8"/>
                <w:sz w:val="21"/>
                <w:szCs w:val="21"/>
                <w:highlight w:val="none"/>
              </w:rPr>
              <w:t>逾期交工违约金限额：</w:t>
            </w:r>
            <w:r>
              <w:rPr>
                <w:rFonts w:hint="eastAsia" w:ascii="宋体" w:hAnsi="宋体" w:eastAsia="宋体" w:cs="宋体"/>
                <w:color w:val="auto"/>
                <w:spacing w:val="8"/>
                <w:sz w:val="21"/>
                <w:szCs w:val="21"/>
                <w:highlight w:val="none"/>
                <w:u w:val="single" w:color="auto"/>
              </w:rPr>
              <w:t>10</w:t>
            </w:r>
            <w:r>
              <w:rPr>
                <w:rFonts w:hint="eastAsia" w:ascii="宋体" w:hAnsi="宋体" w:cs="宋体"/>
                <w:color w:val="auto"/>
                <w:spacing w:val="8"/>
                <w:sz w:val="21"/>
                <w:szCs w:val="21"/>
                <w:highlight w:val="none"/>
                <w:u w:val="single" w:color="auto"/>
                <w:lang w:val="en-US" w:eastAsia="zh-CN"/>
              </w:rPr>
              <w:t xml:space="preserve"> </w:t>
            </w:r>
            <w:r>
              <w:rPr>
                <w:rFonts w:hint="eastAsia" w:ascii="宋体" w:hAnsi="宋体" w:eastAsia="宋体" w:cs="宋体"/>
                <w:color w:val="auto"/>
                <w:spacing w:val="8"/>
                <w:sz w:val="21"/>
                <w:szCs w:val="21"/>
                <w:highlight w:val="none"/>
              </w:rPr>
              <w:t>%</w:t>
            </w:r>
            <w:r>
              <w:rPr>
                <w:rFonts w:hint="eastAsia" w:ascii="宋体" w:hAnsi="宋体" w:eastAsia="宋体" w:cs="宋体"/>
                <w:color w:val="auto"/>
                <w:sz w:val="21"/>
                <w:szCs w:val="21"/>
                <w:highlight w:val="none"/>
              </w:rPr>
              <w:t>签约合同价</w:t>
            </w:r>
            <w:r>
              <w:rPr>
                <w:rStyle w:val="48"/>
                <w:rFonts w:hint="eastAsia" w:ascii="宋体" w:hAnsi="宋体" w:eastAsia="宋体" w:cs="宋体"/>
                <w:color w:val="auto"/>
                <w:sz w:val="21"/>
                <w:szCs w:val="21"/>
                <w:highlight w:val="none"/>
              </w:rPr>
              <w:footnoteReference w:id="34"/>
            </w:r>
          </w:p>
        </w:tc>
      </w:tr>
      <w:tr w14:paraId="714D65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24" w:type="dxa"/>
            <w:tcBorders>
              <w:left w:val="single" w:color="000000" w:sz="6" w:space="0"/>
            </w:tcBorders>
            <w:vAlign w:val="center"/>
          </w:tcPr>
          <w:p w14:paraId="71E56F9D">
            <w:pPr>
              <w:keepLines w:val="0"/>
              <w:pageBreakBefore w:val="0"/>
              <w:widowControl w:val="0"/>
              <w:kinsoku/>
              <w:overflowPunct/>
              <w:topLinePunct w:val="0"/>
              <w:autoSpaceDE/>
              <w:autoSpaceDN/>
              <w:bidi w:val="0"/>
              <w:snapToGrid w:val="0"/>
              <w:spacing w:before="133" w:line="240" w:lineRule="auto"/>
              <w:ind w:left="105" w:leftChars="50" w:right="283" w:rightChars="0" w:firstLine="0" w:firstLineChars="0"/>
              <w:jc w:val="center"/>
              <w:textAlignment w:val="auto"/>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2</w:t>
            </w:r>
            <w:r>
              <w:rPr>
                <w:rFonts w:hint="eastAsia" w:ascii="宋体" w:hAnsi="宋体" w:eastAsia="宋体" w:cs="宋体"/>
                <w:color w:val="auto"/>
                <w:spacing w:val="2"/>
                <w:sz w:val="21"/>
                <w:szCs w:val="21"/>
                <w:highlight w:val="none"/>
              </w:rPr>
              <w:t>2</w:t>
            </w:r>
          </w:p>
        </w:tc>
        <w:tc>
          <w:tcPr>
            <w:tcW w:w="1384" w:type="dxa"/>
            <w:vAlign w:val="center"/>
          </w:tcPr>
          <w:p w14:paraId="76F9AB1B">
            <w:pPr>
              <w:keepLines w:val="0"/>
              <w:pageBreakBefore w:val="0"/>
              <w:widowControl w:val="0"/>
              <w:kinsoku/>
              <w:overflowPunct/>
              <w:topLinePunct w:val="0"/>
              <w:autoSpaceDE/>
              <w:autoSpaceDN/>
              <w:bidi w:val="0"/>
              <w:snapToGrid w:val="0"/>
              <w:spacing w:before="133" w:line="240" w:lineRule="auto"/>
              <w:ind w:left="105" w:leftChars="50" w:right="283" w:rightChars="0" w:firstLine="0" w:firstLineChars="0"/>
              <w:jc w:val="center"/>
              <w:textAlignment w:val="auto"/>
              <w:rPr>
                <w:rFonts w:hint="eastAsia" w:ascii="宋体" w:hAnsi="宋体" w:eastAsia="宋体" w:cs="宋体"/>
                <w:color w:val="auto"/>
                <w:spacing w:val="-6"/>
                <w:sz w:val="21"/>
                <w:szCs w:val="21"/>
                <w:highlight w:val="none"/>
              </w:rPr>
            </w:pPr>
            <w:r>
              <w:rPr>
                <w:rFonts w:hint="eastAsia" w:ascii="宋体" w:hAnsi="宋体" w:eastAsia="宋体" w:cs="宋体"/>
                <w:color w:val="auto"/>
                <w:spacing w:val="-3"/>
                <w:sz w:val="21"/>
                <w:szCs w:val="21"/>
                <w:highlight w:val="none"/>
              </w:rPr>
              <w:t>1</w:t>
            </w:r>
            <w:r>
              <w:rPr>
                <w:rFonts w:hint="eastAsia" w:ascii="宋体" w:hAnsi="宋体" w:eastAsia="宋体" w:cs="宋体"/>
                <w:color w:val="auto"/>
                <w:spacing w:val="-2"/>
                <w:sz w:val="21"/>
                <w:szCs w:val="21"/>
                <w:highlight w:val="none"/>
              </w:rPr>
              <w:t>1.6</w:t>
            </w:r>
          </w:p>
        </w:tc>
        <w:tc>
          <w:tcPr>
            <w:tcW w:w="7054" w:type="dxa"/>
            <w:tcBorders>
              <w:right w:val="single" w:color="000000" w:sz="6" w:space="0"/>
            </w:tcBorders>
            <w:vAlign w:val="center"/>
          </w:tcPr>
          <w:p w14:paraId="32F29881">
            <w:pPr>
              <w:keepLines w:val="0"/>
              <w:pageBreakBefore w:val="0"/>
              <w:widowControl w:val="0"/>
              <w:kinsoku/>
              <w:overflowPunct/>
              <w:topLinePunct w:val="0"/>
              <w:autoSpaceDE/>
              <w:autoSpaceDN/>
              <w:bidi w:val="0"/>
              <w:snapToGrid w:val="0"/>
              <w:spacing w:before="105" w:line="240" w:lineRule="auto"/>
              <w:ind w:left="105" w:leftChars="50" w:right="283" w:rightChars="0" w:firstLine="0" w:firstLineChars="0"/>
              <w:jc w:val="left"/>
              <w:textAlignment w:val="auto"/>
              <w:rPr>
                <w:rFonts w:hint="eastAsia" w:ascii="宋体" w:hAnsi="宋体" w:eastAsia="宋体" w:cs="宋体"/>
                <w:color w:val="auto"/>
                <w:spacing w:val="10"/>
                <w:position w:val="1"/>
                <w:sz w:val="21"/>
                <w:szCs w:val="21"/>
                <w:highlight w:val="none"/>
              </w:rPr>
            </w:pPr>
            <w:r>
              <w:rPr>
                <w:rFonts w:hint="eastAsia" w:ascii="宋体" w:hAnsi="宋体" w:eastAsia="宋体" w:cs="宋体"/>
                <w:color w:val="auto"/>
                <w:spacing w:val="4"/>
                <w:position w:val="1"/>
                <w:sz w:val="21"/>
                <w:szCs w:val="21"/>
                <w:highlight w:val="none"/>
              </w:rPr>
              <w:t>提前完工</w:t>
            </w:r>
            <w:r>
              <w:rPr>
                <w:rFonts w:hint="eastAsia" w:ascii="宋体" w:hAnsi="宋体" w:eastAsia="宋体" w:cs="宋体"/>
                <w:color w:val="auto"/>
                <w:spacing w:val="3"/>
                <w:position w:val="1"/>
                <w:sz w:val="21"/>
                <w:szCs w:val="21"/>
                <w:highlight w:val="none"/>
              </w:rPr>
              <w:t>的</w:t>
            </w:r>
            <w:r>
              <w:rPr>
                <w:rFonts w:hint="eastAsia" w:ascii="宋体" w:hAnsi="宋体" w:eastAsia="宋体" w:cs="宋体"/>
                <w:color w:val="auto"/>
                <w:spacing w:val="2"/>
                <w:position w:val="1"/>
                <w:sz w:val="21"/>
                <w:szCs w:val="21"/>
                <w:highlight w:val="none"/>
              </w:rPr>
              <w:t>奖金，规定为：</w:t>
            </w:r>
            <w:r>
              <w:rPr>
                <w:rFonts w:hint="eastAsia" w:ascii="宋体" w:hAnsi="宋体" w:cs="宋体"/>
                <w:color w:val="auto"/>
                <w:spacing w:val="2"/>
                <w:position w:val="1"/>
                <w:sz w:val="21"/>
                <w:szCs w:val="21"/>
                <w:highlight w:val="none"/>
                <w:u w:val="single"/>
                <w:lang w:val="en-US" w:eastAsia="zh-CN"/>
              </w:rPr>
              <w:t xml:space="preserve"> </w:t>
            </w:r>
            <w:r>
              <w:rPr>
                <w:rFonts w:hint="eastAsia" w:ascii="宋体" w:hAnsi="宋体" w:eastAsia="宋体" w:cs="宋体"/>
                <w:color w:val="auto"/>
                <w:spacing w:val="2"/>
                <w:position w:val="1"/>
                <w:sz w:val="21"/>
                <w:szCs w:val="21"/>
                <w:highlight w:val="none"/>
                <w:u w:val="single"/>
              </w:rPr>
              <w:t>/</w:t>
            </w:r>
            <w:r>
              <w:rPr>
                <w:rFonts w:hint="eastAsia" w:ascii="宋体" w:hAnsi="宋体" w:cs="宋体"/>
                <w:color w:val="auto"/>
                <w:spacing w:val="2"/>
                <w:position w:val="1"/>
                <w:sz w:val="21"/>
                <w:szCs w:val="21"/>
                <w:highlight w:val="none"/>
                <w:u w:val="single"/>
                <w:lang w:val="en-US" w:eastAsia="zh-CN"/>
              </w:rPr>
              <w:t xml:space="preserve"> </w:t>
            </w:r>
            <w:r>
              <w:rPr>
                <w:rFonts w:hint="eastAsia" w:ascii="宋体" w:hAnsi="宋体" w:eastAsia="宋体" w:cs="宋体"/>
                <w:color w:val="auto"/>
                <w:spacing w:val="2"/>
                <w:position w:val="1"/>
                <w:sz w:val="21"/>
                <w:szCs w:val="21"/>
                <w:highlight w:val="none"/>
              </w:rPr>
              <w:t>元/天</w:t>
            </w:r>
          </w:p>
        </w:tc>
      </w:tr>
      <w:tr w14:paraId="76F8B0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24" w:type="dxa"/>
            <w:tcBorders>
              <w:left w:val="single" w:color="000000" w:sz="6" w:space="0"/>
            </w:tcBorders>
            <w:vAlign w:val="center"/>
          </w:tcPr>
          <w:p w14:paraId="5D1DD4CD">
            <w:pPr>
              <w:keepLines w:val="0"/>
              <w:pageBreakBefore w:val="0"/>
              <w:widowControl w:val="0"/>
              <w:kinsoku/>
              <w:overflowPunct/>
              <w:topLinePunct w:val="0"/>
              <w:autoSpaceDE/>
              <w:autoSpaceDN/>
              <w:bidi w:val="0"/>
              <w:snapToGrid w:val="0"/>
              <w:spacing w:before="153" w:line="240" w:lineRule="auto"/>
              <w:ind w:left="105" w:leftChars="50" w:right="283" w:rightChars="0" w:firstLine="0" w:firstLineChars="0"/>
              <w:jc w:val="center"/>
              <w:textAlignment w:val="auto"/>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2</w:t>
            </w:r>
            <w:r>
              <w:rPr>
                <w:rFonts w:hint="eastAsia" w:ascii="宋体" w:hAnsi="宋体" w:eastAsia="宋体" w:cs="宋体"/>
                <w:color w:val="auto"/>
                <w:spacing w:val="2"/>
                <w:sz w:val="21"/>
                <w:szCs w:val="21"/>
                <w:highlight w:val="none"/>
              </w:rPr>
              <w:t>3</w:t>
            </w:r>
          </w:p>
        </w:tc>
        <w:tc>
          <w:tcPr>
            <w:tcW w:w="1384" w:type="dxa"/>
            <w:vAlign w:val="center"/>
          </w:tcPr>
          <w:p w14:paraId="735B5F20">
            <w:pPr>
              <w:keepLines w:val="0"/>
              <w:pageBreakBefore w:val="0"/>
              <w:widowControl w:val="0"/>
              <w:kinsoku/>
              <w:overflowPunct/>
              <w:topLinePunct w:val="0"/>
              <w:autoSpaceDE/>
              <w:autoSpaceDN/>
              <w:bidi w:val="0"/>
              <w:snapToGrid w:val="0"/>
              <w:spacing w:before="153" w:line="240" w:lineRule="auto"/>
              <w:ind w:left="105" w:leftChars="50" w:right="283" w:rightChars="0" w:firstLine="0" w:firstLineChars="0"/>
              <w:jc w:val="center"/>
              <w:textAlignment w:val="auto"/>
              <w:rPr>
                <w:rFonts w:hint="eastAsia" w:ascii="宋体" w:hAnsi="宋体" w:eastAsia="宋体" w:cs="宋体"/>
                <w:color w:val="auto"/>
                <w:spacing w:val="-6"/>
                <w:sz w:val="21"/>
                <w:szCs w:val="21"/>
                <w:highlight w:val="none"/>
              </w:rPr>
            </w:pPr>
            <w:r>
              <w:rPr>
                <w:rFonts w:hint="eastAsia" w:ascii="宋体" w:hAnsi="宋体" w:eastAsia="宋体" w:cs="宋体"/>
                <w:color w:val="auto"/>
                <w:spacing w:val="-3"/>
                <w:sz w:val="21"/>
                <w:szCs w:val="21"/>
                <w:highlight w:val="none"/>
              </w:rPr>
              <w:t>1</w:t>
            </w:r>
            <w:r>
              <w:rPr>
                <w:rFonts w:hint="eastAsia" w:ascii="宋体" w:hAnsi="宋体" w:eastAsia="宋体" w:cs="宋体"/>
                <w:color w:val="auto"/>
                <w:spacing w:val="-2"/>
                <w:sz w:val="21"/>
                <w:szCs w:val="21"/>
                <w:highlight w:val="none"/>
              </w:rPr>
              <w:t>1.6</w:t>
            </w:r>
          </w:p>
        </w:tc>
        <w:tc>
          <w:tcPr>
            <w:tcW w:w="7054" w:type="dxa"/>
            <w:tcBorders>
              <w:right w:val="single" w:color="000000" w:sz="6" w:space="0"/>
            </w:tcBorders>
            <w:vAlign w:val="center"/>
          </w:tcPr>
          <w:p w14:paraId="09064676">
            <w:pPr>
              <w:keepLines w:val="0"/>
              <w:pageBreakBefore w:val="0"/>
              <w:widowControl w:val="0"/>
              <w:kinsoku/>
              <w:overflowPunct/>
              <w:topLinePunct w:val="0"/>
              <w:autoSpaceDE/>
              <w:autoSpaceDN/>
              <w:bidi w:val="0"/>
              <w:snapToGrid w:val="0"/>
              <w:spacing w:before="122" w:line="240" w:lineRule="auto"/>
              <w:ind w:left="105" w:leftChars="50" w:right="283" w:rightChars="0" w:firstLine="0" w:firstLineChars="0"/>
              <w:jc w:val="left"/>
              <w:textAlignment w:val="auto"/>
              <w:rPr>
                <w:rFonts w:hint="eastAsia" w:ascii="宋体" w:hAnsi="宋体" w:eastAsia="宋体" w:cs="宋体"/>
                <w:color w:val="auto"/>
                <w:spacing w:val="10"/>
                <w:position w:val="1"/>
                <w:sz w:val="21"/>
                <w:szCs w:val="21"/>
                <w:highlight w:val="none"/>
              </w:rPr>
            </w:pPr>
            <w:r>
              <w:rPr>
                <w:rFonts w:hint="eastAsia" w:ascii="宋体" w:hAnsi="宋体" w:eastAsia="宋体" w:cs="宋体"/>
                <w:color w:val="auto"/>
                <w:spacing w:val="4"/>
                <w:position w:val="1"/>
                <w:sz w:val="21"/>
                <w:szCs w:val="21"/>
                <w:highlight w:val="none"/>
              </w:rPr>
              <w:t>提前完工的奖金限额，规定为：</w:t>
            </w:r>
            <w:r>
              <w:rPr>
                <w:rFonts w:hint="eastAsia" w:ascii="宋体" w:hAnsi="宋体" w:cs="宋体"/>
                <w:color w:val="auto"/>
                <w:spacing w:val="2"/>
                <w:position w:val="1"/>
                <w:sz w:val="21"/>
                <w:szCs w:val="21"/>
                <w:highlight w:val="none"/>
                <w:u w:val="single"/>
                <w:lang w:val="en-US" w:eastAsia="zh-CN"/>
              </w:rPr>
              <w:t xml:space="preserve"> </w:t>
            </w:r>
            <w:r>
              <w:rPr>
                <w:rFonts w:hint="eastAsia" w:ascii="宋体" w:hAnsi="宋体" w:eastAsia="宋体" w:cs="宋体"/>
                <w:color w:val="auto"/>
                <w:spacing w:val="2"/>
                <w:position w:val="1"/>
                <w:sz w:val="21"/>
                <w:szCs w:val="21"/>
                <w:highlight w:val="none"/>
                <w:u w:val="single"/>
              </w:rPr>
              <w:t>/</w:t>
            </w:r>
            <w:r>
              <w:rPr>
                <w:rFonts w:hint="eastAsia" w:ascii="宋体" w:hAnsi="宋体" w:cs="宋体"/>
                <w:color w:val="auto"/>
                <w:spacing w:val="2"/>
                <w:position w:val="1"/>
                <w:sz w:val="21"/>
                <w:szCs w:val="21"/>
                <w:highlight w:val="none"/>
                <w:u w:val="single"/>
                <w:lang w:val="en-US" w:eastAsia="zh-CN"/>
              </w:rPr>
              <w:t xml:space="preserve"> </w:t>
            </w:r>
            <w:r>
              <w:rPr>
                <w:rFonts w:hint="eastAsia" w:ascii="宋体" w:hAnsi="宋体" w:eastAsia="宋体" w:cs="宋体"/>
                <w:color w:val="auto"/>
                <w:spacing w:val="4"/>
                <w:position w:val="1"/>
                <w:sz w:val="21"/>
                <w:szCs w:val="21"/>
                <w:highlight w:val="none"/>
              </w:rPr>
              <w:t>%签约合同</w:t>
            </w:r>
            <w:r>
              <w:rPr>
                <w:rFonts w:hint="eastAsia" w:ascii="宋体" w:hAnsi="宋体" w:eastAsia="宋体" w:cs="宋体"/>
                <w:color w:val="auto"/>
                <w:spacing w:val="2"/>
                <w:position w:val="1"/>
                <w:sz w:val="21"/>
                <w:szCs w:val="21"/>
                <w:highlight w:val="none"/>
              </w:rPr>
              <w:t>价</w:t>
            </w:r>
          </w:p>
        </w:tc>
      </w:tr>
      <w:tr w14:paraId="64F0C2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24" w:type="dxa"/>
            <w:tcBorders>
              <w:left w:val="single" w:color="000000" w:sz="6" w:space="0"/>
            </w:tcBorders>
            <w:vAlign w:val="center"/>
          </w:tcPr>
          <w:p w14:paraId="7BE8CBA9">
            <w:pPr>
              <w:keepLines w:val="0"/>
              <w:pageBreakBefore w:val="0"/>
              <w:widowControl w:val="0"/>
              <w:kinsoku/>
              <w:overflowPunct/>
              <w:topLinePunct w:val="0"/>
              <w:autoSpaceDE/>
              <w:autoSpaceDN/>
              <w:bidi w:val="0"/>
              <w:snapToGrid w:val="0"/>
              <w:spacing w:before="58" w:line="240" w:lineRule="auto"/>
              <w:ind w:left="105" w:leftChars="50" w:right="283" w:rightChars="0" w:firstLine="0" w:firstLineChars="0"/>
              <w:jc w:val="center"/>
              <w:textAlignment w:val="auto"/>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2</w:t>
            </w:r>
            <w:r>
              <w:rPr>
                <w:rFonts w:hint="eastAsia" w:ascii="宋体" w:hAnsi="宋体" w:eastAsia="宋体" w:cs="宋体"/>
                <w:color w:val="auto"/>
                <w:spacing w:val="2"/>
                <w:sz w:val="21"/>
                <w:szCs w:val="21"/>
                <w:highlight w:val="none"/>
              </w:rPr>
              <w:t>4</w:t>
            </w:r>
          </w:p>
        </w:tc>
        <w:tc>
          <w:tcPr>
            <w:tcW w:w="1384" w:type="dxa"/>
            <w:vAlign w:val="center"/>
          </w:tcPr>
          <w:p w14:paraId="596ACA97">
            <w:pPr>
              <w:keepLines w:val="0"/>
              <w:pageBreakBefore w:val="0"/>
              <w:widowControl w:val="0"/>
              <w:kinsoku/>
              <w:overflowPunct/>
              <w:topLinePunct w:val="0"/>
              <w:autoSpaceDE/>
              <w:autoSpaceDN/>
              <w:bidi w:val="0"/>
              <w:snapToGrid w:val="0"/>
              <w:spacing w:before="58" w:line="240" w:lineRule="auto"/>
              <w:ind w:left="105" w:leftChars="50" w:right="283" w:rightChars="0" w:firstLine="0" w:firstLineChars="0"/>
              <w:jc w:val="center"/>
              <w:textAlignment w:val="auto"/>
              <w:rPr>
                <w:rFonts w:hint="eastAsia" w:ascii="宋体" w:hAnsi="宋体" w:eastAsia="宋体" w:cs="宋体"/>
                <w:color w:val="auto"/>
                <w:spacing w:val="-6"/>
                <w:sz w:val="21"/>
                <w:szCs w:val="21"/>
                <w:highlight w:val="none"/>
              </w:rPr>
            </w:pPr>
            <w:r>
              <w:rPr>
                <w:rFonts w:hint="eastAsia" w:ascii="宋体" w:hAnsi="宋体" w:eastAsia="宋体" w:cs="宋体"/>
                <w:color w:val="auto"/>
                <w:spacing w:val="-1"/>
                <w:sz w:val="21"/>
                <w:szCs w:val="21"/>
                <w:highlight w:val="none"/>
              </w:rPr>
              <w:t>14.6</w:t>
            </w:r>
          </w:p>
        </w:tc>
        <w:tc>
          <w:tcPr>
            <w:tcW w:w="7054" w:type="dxa"/>
            <w:tcBorders>
              <w:right w:val="single" w:color="000000" w:sz="6" w:space="0"/>
            </w:tcBorders>
            <w:vAlign w:val="center"/>
          </w:tcPr>
          <w:p w14:paraId="01915B9A">
            <w:pPr>
              <w:keepLines w:val="0"/>
              <w:pageBreakBefore w:val="0"/>
              <w:widowControl w:val="0"/>
              <w:kinsoku/>
              <w:overflowPunct/>
              <w:topLinePunct w:val="0"/>
              <w:autoSpaceDE/>
              <w:autoSpaceDN/>
              <w:bidi w:val="0"/>
              <w:snapToGrid w:val="0"/>
              <w:spacing w:before="161" w:line="240" w:lineRule="auto"/>
              <w:ind w:left="105" w:leftChars="50" w:right="283" w:rightChars="0" w:firstLine="0" w:firstLineChars="0"/>
              <w:jc w:val="left"/>
              <w:textAlignment w:val="auto"/>
              <w:rPr>
                <w:rFonts w:hint="eastAsia" w:ascii="宋体" w:hAnsi="宋体" w:eastAsia="宋体" w:cs="宋体"/>
                <w:color w:val="auto"/>
                <w:spacing w:val="10"/>
                <w:position w:val="1"/>
                <w:sz w:val="21"/>
                <w:szCs w:val="21"/>
                <w:highlight w:val="none"/>
              </w:rPr>
            </w:pPr>
            <w:r>
              <w:rPr>
                <w:rFonts w:hint="eastAsia" w:ascii="宋体" w:hAnsi="宋体" w:eastAsia="宋体" w:cs="宋体"/>
                <w:color w:val="auto"/>
                <w:spacing w:val="14"/>
                <w:position w:val="15"/>
                <w:sz w:val="21"/>
                <w:szCs w:val="21"/>
                <w:highlight w:val="none"/>
              </w:rPr>
              <w:t>承</w:t>
            </w:r>
            <w:r>
              <w:rPr>
                <w:rFonts w:hint="eastAsia" w:ascii="宋体" w:hAnsi="宋体" w:eastAsia="宋体" w:cs="宋体"/>
                <w:color w:val="auto"/>
                <w:spacing w:val="12"/>
                <w:position w:val="15"/>
                <w:sz w:val="21"/>
                <w:szCs w:val="21"/>
                <w:highlight w:val="none"/>
              </w:rPr>
              <w:t>包人设立试验室的相关要求：必须满足《辽宁省公路水运工程建设项目工地试验室备案管理标准》(辽交工监市发〔2013〕133号)</w:t>
            </w:r>
            <w:r>
              <w:rPr>
                <w:rFonts w:hint="eastAsia" w:ascii="宋体" w:hAnsi="宋体" w:eastAsia="宋体" w:cs="宋体"/>
                <w:color w:val="auto"/>
                <w:spacing w:val="4"/>
                <w:sz w:val="21"/>
                <w:szCs w:val="21"/>
                <w:highlight w:val="none"/>
              </w:rPr>
              <w:t>。</w:t>
            </w:r>
          </w:p>
        </w:tc>
      </w:tr>
      <w:tr w14:paraId="276336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24" w:type="dxa"/>
            <w:tcBorders>
              <w:left w:val="single" w:color="000000" w:sz="6" w:space="0"/>
            </w:tcBorders>
            <w:vAlign w:val="center"/>
          </w:tcPr>
          <w:p w14:paraId="54B45929">
            <w:pPr>
              <w:keepLines w:val="0"/>
              <w:pageBreakBefore w:val="0"/>
              <w:widowControl w:val="0"/>
              <w:kinsoku/>
              <w:overflowPunct/>
              <w:topLinePunct w:val="0"/>
              <w:autoSpaceDE/>
              <w:autoSpaceDN/>
              <w:bidi w:val="0"/>
              <w:snapToGrid w:val="0"/>
              <w:spacing w:before="57" w:line="240" w:lineRule="auto"/>
              <w:ind w:left="105" w:leftChars="50" w:right="283" w:rightChars="0" w:firstLine="0" w:firstLineChars="0"/>
              <w:jc w:val="center"/>
              <w:textAlignment w:val="auto"/>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2</w:t>
            </w:r>
            <w:r>
              <w:rPr>
                <w:rFonts w:hint="eastAsia" w:ascii="宋体" w:hAnsi="宋体" w:eastAsia="宋体" w:cs="宋体"/>
                <w:color w:val="auto"/>
                <w:spacing w:val="2"/>
                <w:sz w:val="21"/>
                <w:szCs w:val="21"/>
                <w:highlight w:val="none"/>
              </w:rPr>
              <w:t>5</w:t>
            </w:r>
          </w:p>
        </w:tc>
        <w:tc>
          <w:tcPr>
            <w:tcW w:w="1384" w:type="dxa"/>
            <w:vAlign w:val="center"/>
          </w:tcPr>
          <w:p w14:paraId="5F049AB4">
            <w:pPr>
              <w:keepLines w:val="0"/>
              <w:pageBreakBefore w:val="0"/>
              <w:widowControl w:val="0"/>
              <w:kinsoku/>
              <w:overflowPunct/>
              <w:topLinePunct w:val="0"/>
              <w:autoSpaceDE/>
              <w:autoSpaceDN/>
              <w:bidi w:val="0"/>
              <w:snapToGrid w:val="0"/>
              <w:spacing w:before="58" w:line="240" w:lineRule="auto"/>
              <w:ind w:left="105" w:leftChars="50" w:right="283" w:rightChars="0" w:firstLine="0" w:firstLineChars="0"/>
              <w:jc w:val="center"/>
              <w:textAlignment w:val="auto"/>
              <w:rPr>
                <w:rFonts w:hint="eastAsia" w:ascii="宋体" w:hAnsi="宋体" w:eastAsia="宋体" w:cs="宋体"/>
                <w:color w:val="auto"/>
                <w:spacing w:val="-6"/>
                <w:sz w:val="21"/>
                <w:szCs w:val="21"/>
                <w:highlight w:val="none"/>
              </w:rPr>
            </w:pPr>
            <w:r>
              <w:rPr>
                <w:rFonts w:hint="eastAsia" w:ascii="宋体" w:hAnsi="宋体" w:eastAsia="宋体" w:cs="宋体"/>
                <w:color w:val="auto"/>
                <w:spacing w:val="-3"/>
                <w:sz w:val="21"/>
                <w:szCs w:val="21"/>
                <w:highlight w:val="none"/>
              </w:rPr>
              <w:t>1</w:t>
            </w:r>
            <w:r>
              <w:rPr>
                <w:rFonts w:hint="eastAsia" w:ascii="宋体" w:hAnsi="宋体" w:eastAsia="宋体" w:cs="宋体"/>
                <w:color w:val="auto"/>
                <w:spacing w:val="-2"/>
                <w:sz w:val="21"/>
                <w:szCs w:val="21"/>
                <w:highlight w:val="none"/>
              </w:rPr>
              <w:t>5.2</w:t>
            </w:r>
          </w:p>
        </w:tc>
        <w:tc>
          <w:tcPr>
            <w:tcW w:w="7054" w:type="dxa"/>
            <w:tcBorders>
              <w:right w:val="single" w:color="000000" w:sz="6" w:space="0"/>
            </w:tcBorders>
            <w:vAlign w:val="center"/>
          </w:tcPr>
          <w:p w14:paraId="2A5831BB">
            <w:pPr>
              <w:keepLines w:val="0"/>
              <w:pageBreakBefore w:val="0"/>
              <w:widowControl w:val="0"/>
              <w:kinsoku/>
              <w:overflowPunct/>
              <w:topLinePunct w:val="0"/>
              <w:autoSpaceDE/>
              <w:autoSpaceDN/>
              <w:bidi w:val="0"/>
              <w:snapToGrid w:val="0"/>
              <w:spacing w:before="139"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2"/>
                <w:sz w:val="21"/>
                <w:szCs w:val="21"/>
                <w:highlight w:val="none"/>
              </w:rPr>
              <w:t>出</w:t>
            </w:r>
            <w:r>
              <w:rPr>
                <w:rFonts w:hint="eastAsia" w:ascii="宋体" w:hAnsi="宋体" w:eastAsia="宋体" w:cs="宋体"/>
                <w:color w:val="auto"/>
                <w:spacing w:val="18"/>
                <w:sz w:val="21"/>
                <w:szCs w:val="21"/>
                <w:highlight w:val="none"/>
              </w:rPr>
              <w:t>现</w:t>
            </w:r>
            <w:r>
              <w:rPr>
                <w:rFonts w:hint="eastAsia" w:ascii="宋体" w:hAnsi="宋体" w:eastAsia="宋体" w:cs="宋体"/>
                <w:color w:val="auto"/>
                <w:spacing w:val="11"/>
                <w:sz w:val="21"/>
                <w:szCs w:val="21"/>
                <w:highlight w:val="none"/>
              </w:rPr>
              <w:t>施工图设计文件本身存在错误和缺陷，导致施工图设计文件必须修改和补</w:t>
            </w:r>
            <w:r>
              <w:rPr>
                <w:rFonts w:hint="eastAsia" w:ascii="宋体" w:hAnsi="宋体" w:eastAsia="宋体" w:cs="宋体"/>
                <w:color w:val="auto"/>
                <w:spacing w:val="12"/>
                <w:sz w:val="21"/>
                <w:szCs w:val="21"/>
                <w:highlight w:val="none"/>
              </w:rPr>
              <w:t>充所导致的变更，仅当发包人对上述变更批准同意后，方可作为本合同工程的</w:t>
            </w:r>
            <w:r>
              <w:rPr>
                <w:rFonts w:hint="eastAsia" w:ascii="宋体" w:hAnsi="宋体" w:eastAsia="宋体" w:cs="宋体"/>
                <w:color w:val="auto"/>
                <w:spacing w:val="11"/>
                <w:sz w:val="21"/>
                <w:szCs w:val="21"/>
                <w:highlight w:val="none"/>
              </w:rPr>
              <w:t>变</w:t>
            </w:r>
            <w:r>
              <w:rPr>
                <w:rFonts w:hint="eastAsia" w:ascii="宋体" w:hAnsi="宋体" w:eastAsia="宋体" w:cs="宋体"/>
                <w:color w:val="auto"/>
                <w:spacing w:val="6"/>
                <w:sz w:val="21"/>
                <w:szCs w:val="21"/>
                <w:highlight w:val="none"/>
              </w:rPr>
              <w:t>更</w:t>
            </w:r>
            <w:r>
              <w:rPr>
                <w:rFonts w:hint="eastAsia" w:ascii="宋体" w:hAnsi="宋体" w:eastAsia="宋体" w:cs="宋体"/>
                <w:color w:val="auto"/>
                <w:spacing w:val="4"/>
                <w:sz w:val="21"/>
                <w:szCs w:val="21"/>
                <w:highlight w:val="none"/>
              </w:rPr>
              <w:t>情形。</w:t>
            </w:r>
          </w:p>
          <w:p w14:paraId="7911E231">
            <w:pPr>
              <w:keepLines w:val="0"/>
              <w:pageBreakBefore w:val="0"/>
              <w:widowControl w:val="0"/>
              <w:kinsoku/>
              <w:overflowPunct/>
              <w:topLinePunct w:val="0"/>
              <w:autoSpaceDE/>
              <w:autoSpaceDN/>
              <w:bidi w:val="0"/>
              <w:snapToGrid w:val="0"/>
              <w:spacing w:before="1" w:line="240" w:lineRule="auto"/>
              <w:ind w:left="105" w:leftChars="50" w:right="283" w:rightChars="0" w:firstLine="0" w:firstLineChars="0"/>
              <w:jc w:val="left"/>
              <w:textAlignment w:val="auto"/>
              <w:rPr>
                <w:rFonts w:hint="eastAsia" w:ascii="宋体" w:hAnsi="宋体" w:eastAsia="宋体" w:cs="宋体"/>
                <w:color w:val="auto"/>
                <w:spacing w:val="10"/>
                <w:position w:val="1"/>
                <w:sz w:val="21"/>
                <w:szCs w:val="21"/>
                <w:highlight w:val="none"/>
              </w:rPr>
            </w:pPr>
            <w:r>
              <w:rPr>
                <w:rFonts w:hint="eastAsia" w:ascii="宋体" w:hAnsi="宋体" w:eastAsia="宋体" w:cs="宋体"/>
                <w:color w:val="auto"/>
                <w:spacing w:val="15"/>
                <w:sz w:val="21"/>
                <w:szCs w:val="21"/>
                <w:highlight w:val="none"/>
              </w:rPr>
              <w:t>在</w:t>
            </w:r>
            <w:r>
              <w:rPr>
                <w:rFonts w:hint="eastAsia" w:ascii="宋体" w:hAnsi="宋体" w:eastAsia="宋体" w:cs="宋体"/>
                <w:color w:val="auto"/>
                <w:spacing w:val="8"/>
                <w:sz w:val="21"/>
                <w:szCs w:val="21"/>
                <w:highlight w:val="none"/>
              </w:rPr>
              <w:t>履行合同过程中，经发包人同意，监理人可按第15.3款约定的变更程序向承</w:t>
            </w:r>
            <w:r>
              <w:rPr>
                <w:rFonts w:hint="eastAsia" w:ascii="宋体" w:hAnsi="宋体" w:eastAsia="宋体" w:cs="宋体"/>
                <w:color w:val="auto"/>
                <w:spacing w:val="14"/>
                <w:sz w:val="21"/>
                <w:szCs w:val="21"/>
                <w:highlight w:val="none"/>
              </w:rPr>
              <w:t>包</w:t>
            </w:r>
            <w:r>
              <w:rPr>
                <w:rFonts w:hint="eastAsia" w:ascii="宋体" w:hAnsi="宋体" w:eastAsia="宋体" w:cs="宋体"/>
                <w:color w:val="auto"/>
                <w:spacing w:val="12"/>
                <w:sz w:val="21"/>
                <w:szCs w:val="21"/>
                <w:highlight w:val="none"/>
              </w:rPr>
              <w:t>人作出变更指示，承包人应遵照执行。没有监理人的变更指示，承包人不得擅</w:t>
            </w:r>
            <w:r>
              <w:rPr>
                <w:rFonts w:hint="eastAsia" w:ascii="宋体" w:hAnsi="宋体" w:eastAsia="宋体" w:cs="宋体"/>
                <w:color w:val="auto"/>
                <w:spacing w:val="-5"/>
                <w:sz w:val="21"/>
                <w:szCs w:val="21"/>
                <w:highlight w:val="none"/>
              </w:rPr>
              <w:t>自</w:t>
            </w:r>
            <w:r>
              <w:rPr>
                <w:rFonts w:hint="eastAsia" w:ascii="宋体" w:hAnsi="宋体" w:eastAsia="宋体" w:cs="宋体"/>
                <w:color w:val="auto"/>
                <w:spacing w:val="-3"/>
                <w:sz w:val="21"/>
                <w:szCs w:val="21"/>
                <w:highlight w:val="none"/>
              </w:rPr>
              <w:t>变更。</w:t>
            </w:r>
          </w:p>
        </w:tc>
      </w:tr>
      <w:tr w14:paraId="0D5259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24" w:type="dxa"/>
            <w:tcBorders>
              <w:left w:val="single" w:color="000000" w:sz="6" w:space="0"/>
            </w:tcBorders>
            <w:vAlign w:val="center"/>
          </w:tcPr>
          <w:p w14:paraId="7DF828C6">
            <w:pPr>
              <w:keepLines w:val="0"/>
              <w:pageBreakBefore w:val="0"/>
              <w:widowControl w:val="0"/>
              <w:kinsoku/>
              <w:overflowPunct/>
              <w:topLinePunct w:val="0"/>
              <w:autoSpaceDE/>
              <w:autoSpaceDN/>
              <w:bidi w:val="0"/>
              <w:snapToGrid w:val="0"/>
              <w:spacing w:before="57" w:line="240" w:lineRule="auto"/>
              <w:ind w:left="105" w:leftChars="50" w:right="283" w:rightChars="0" w:firstLine="0" w:firstLineChars="0"/>
              <w:jc w:val="center"/>
              <w:textAlignment w:val="auto"/>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2</w:t>
            </w:r>
            <w:r>
              <w:rPr>
                <w:rFonts w:hint="eastAsia" w:ascii="宋体" w:hAnsi="宋体" w:eastAsia="宋体" w:cs="宋体"/>
                <w:color w:val="auto"/>
                <w:spacing w:val="2"/>
                <w:sz w:val="21"/>
                <w:szCs w:val="21"/>
                <w:highlight w:val="none"/>
              </w:rPr>
              <w:t>6</w:t>
            </w:r>
          </w:p>
        </w:tc>
        <w:tc>
          <w:tcPr>
            <w:tcW w:w="1384" w:type="dxa"/>
            <w:vAlign w:val="center"/>
          </w:tcPr>
          <w:p w14:paraId="60F850C0">
            <w:pPr>
              <w:keepLines w:val="0"/>
              <w:pageBreakBefore w:val="0"/>
              <w:widowControl w:val="0"/>
              <w:kinsoku/>
              <w:overflowPunct/>
              <w:topLinePunct w:val="0"/>
              <w:autoSpaceDE/>
              <w:autoSpaceDN/>
              <w:bidi w:val="0"/>
              <w:snapToGrid w:val="0"/>
              <w:spacing w:before="58" w:line="240" w:lineRule="auto"/>
              <w:ind w:left="105" w:leftChars="50" w:right="283" w:rightChars="0" w:firstLine="0" w:firstLineChars="0"/>
              <w:jc w:val="center"/>
              <w:textAlignment w:val="auto"/>
              <w:rPr>
                <w:rFonts w:hint="eastAsia" w:ascii="宋体" w:hAnsi="宋体" w:eastAsia="宋体" w:cs="宋体"/>
                <w:color w:val="auto"/>
                <w:spacing w:val="-6"/>
                <w:sz w:val="21"/>
                <w:szCs w:val="21"/>
                <w:highlight w:val="none"/>
              </w:rPr>
            </w:pPr>
            <w:r>
              <w:rPr>
                <w:rFonts w:hint="eastAsia" w:ascii="宋体" w:hAnsi="宋体" w:eastAsia="宋体" w:cs="宋体"/>
                <w:color w:val="auto"/>
                <w:sz w:val="21"/>
                <w:szCs w:val="21"/>
                <w:highlight w:val="none"/>
              </w:rPr>
              <w:t>15.3.4</w:t>
            </w:r>
          </w:p>
        </w:tc>
        <w:tc>
          <w:tcPr>
            <w:tcW w:w="7054" w:type="dxa"/>
            <w:tcBorders>
              <w:right w:val="single" w:color="000000" w:sz="6" w:space="0"/>
            </w:tcBorders>
            <w:vAlign w:val="center"/>
          </w:tcPr>
          <w:p w14:paraId="55630A09">
            <w:pPr>
              <w:keepLines w:val="0"/>
              <w:pageBreakBefore w:val="0"/>
              <w:widowControl w:val="0"/>
              <w:kinsoku/>
              <w:overflowPunct/>
              <w:topLinePunct w:val="0"/>
              <w:autoSpaceDE/>
              <w:autoSpaceDN/>
              <w:bidi w:val="0"/>
              <w:snapToGrid w:val="0"/>
              <w:spacing w:before="139"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8"/>
                <w:position w:val="14"/>
                <w:sz w:val="21"/>
                <w:szCs w:val="21"/>
                <w:highlight w:val="none"/>
              </w:rPr>
              <w:t>本</w:t>
            </w:r>
            <w:r>
              <w:rPr>
                <w:rFonts w:hint="eastAsia" w:ascii="宋体" w:hAnsi="宋体" w:eastAsia="宋体" w:cs="宋体"/>
                <w:color w:val="auto"/>
                <w:spacing w:val="11"/>
                <w:position w:val="14"/>
                <w:sz w:val="21"/>
                <w:szCs w:val="21"/>
                <w:highlight w:val="none"/>
              </w:rPr>
              <w:t>项</w:t>
            </w:r>
            <w:r>
              <w:rPr>
                <w:rFonts w:hint="eastAsia" w:ascii="宋体" w:hAnsi="宋体" w:eastAsia="宋体" w:cs="宋体"/>
                <w:color w:val="auto"/>
                <w:spacing w:val="9"/>
                <w:position w:val="14"/>
                <w:sz w:val="21"/>
                <w:szCs w:val="21"/>
                <w:highlight w:val="none"/>
              </w:rPr>
              <w:t>目设计变更的程序按行业主管部门、项目管理法人制定的规定执行。</w:t>
            </w:r>
          </w:p>
          <w:p w14:paraId="6B9A0938">
            <w:pPr>
              <w:keepLines w:val="0"/>
              <w:pageBreakBefore w:val="0"/>
              <w:widowControl w:val="0"/>
              <w:kinsoku/>
              <w:overflowPunct/>
              <w:topLinePunct w:val="0"/>
              <w:autoSpaceDE/>
              <w:autoSpaceDN/>
              <w:bidi w:val="0"/>
              <w:snapToGrid w:val="0"/>
              <w:spacing w:line="240" w:lineRule="auto"/>
              <w:ind w:left="105" w:leftChars="50" w:right="283" w:rightChars="0" w:firstLine="0" w:firstLineChars="0"/>
              <w:jc w:val="left"/>
              <w:textAlignment w:val="auto"/>
              <w:rPr>
                <w:rFonts w:hint="eastAsia" w:ascii="宋体" w:hAnsi="宋体" w:eastAsia="宋体" w:cs="宋体"/>
                <w:color w:val="auto"/>
                <w:spacing w:val="10"/>
                <w:position w:val="1"/>
                <w:sz w:val="21"/>
                <w:szCs w:val="21"/>
                <w:highlight w:val="none"/>
              </w:rPr>
            </w:pPr>
            <w:r>
              <w:rPr>
                <w:rFonts w:hint="eastAsia" w:ascii="宋体" w:hAnsi="宋体" w:eastAsia="宋体" w:cs="宋体"/>
                <w:color w:val="auto"/>
                <w:spacing w:val="9"/>
                <w:sz w:val="21"/>
                <w:szCs w:val="21"/>
                <w:highlight w:val="none"/>
              </w:rPr>
              <w:t>除设计变更外，其他合同工程费用增减的审批程序参照上述规定的执行。</w:t>
            </w:r>
          </w:p>
        </w:tc>
      </w:tr>
      <w:tr w14:paraId="58AB31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24" w:type="dxa"/>
            <w:tcBorders>
              <w:left w:val="single" w:color="000000" w:sz="6" w:space="0"/>
            </w:tcBorders>
            <w:vAlign w:val="center"/>
          </w:tcPr>
          <w:p w14:paraId="738315C4">
            <w:pPr>
              <w:keepLines w:val="0"/>
              <w:pageBreakBefore w:val="0"/>
              <w:widowControl w:val="0"/>
              <w:kinsoku/>
              <w:overflowPunct/>
              <w:topLinePunct w:val="0"/>
              <w:autoSpaceDE/>
              <w:autoSpaceDN/>
              <w:bidi w:val="0"/>
              <w:snapToGrid w:val="0"/>
              <w:spacing w:before="58" w:line="240" w:lineRule="auto"/>
              <w:ind w:left="105" w:leftChars="50" w:right="283" w:rightChars="0" w:firstLine="0" w:firstLineChars="0"/>
              <w:jc w:val="center"/>
              <w:textAlignment w:val="auto"/>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2</w:t>
            </w:r>
            <w:r>
              <w:rPr>
                <w:rFonts w:hint="eastAsia" w:ascii="宋体" w:hAnsi="宋体" w:eastAsia="宋体" w:cs="宋体"/>
                <w:color w:val="auto"/>
                <w:spacing w:val="2"/>
                <w:sz w:val="21"/>
                <w:szCs w:val="21"/>
                <w:highlight w:val="none"/>
              </w:rPr>
              <w:t>7</w:t>
            </w:r>
          </w:p>
        </w:tc>
        <w:tc>
          <w:tcPr>
            <w:tcW w:w="1384" w:type="dxa"/>
            <w:vAlign w:val="center"/>
          </w:tcPr>
          <w:p w14:paraId="01DE3935">
            <w:pPr>
              <w:keepLines w:val="0"/>
              <w:pageBreakBefore w:val="0"/>
              <w:widowControl w:val="0"/>
              <w:kinsoku/>
              <w:overflowPunct/>
              <w:topLinePunct w:val="0"/>
              <w:autoSpaceDE/>
              <w:autoSpaceDN/>
              <w:bidi w:val="0"/>
              <w:snapToGrid w:val="0"/>
              <w:spacing w:before="58" w:line="240" w:lineRule="auto"/>
              <w:ind w:left="105" w:leftChars="50" w:right="283" w:rightChars="0" w:firstLine="0" w:firstLineChars="0"/>
              <w:jc w:val="center"/>
              <w:textAlignment w:val="auto"/>
              <w:rPr>
                <w:rFonts w:hint="eastAsia" w:ascii="宋体" w:hAnsi="宋体" w:eastAsia="宋体" w:cs="宋体"/>
                <w:color w:val="auto"/>
                <w:spacing w:val="-6"/>
                <w:sz w:val="21"/>
                <w:szCs w:val="21"/>
                <w:highlight w:val="none"/>
              </w:rPr>
            </w:pPr>
            <w:r>
              <w:rPr>
                <w:rFonts w:hint="eastAsia" w:ascii="宋体" w:hAnsi="宋体" w:eastAsia="宋体" w:cs="宋体"/>
                <w:color w:val="auto"/>
                <w:spacing w:val="-3"/>
                <w:sz w:val="21"/>
                <w:szCs w:val="21"/>
                <w:highlight w:val="none"/>
              </w:rPr>
              <w:t>1</w:t>
            </w:r>
            <w:r>
              <w:rPr>
                <w:rFonts w:hint="eastAsia" w:ascii="宋体" w:hAnsi="宋体" w:eastAsia="宋体" w:cs="宋体"/>
                <w:color w:val="auto"/>
                <w:spacing w:val="-2"/>
                <w:sz w:val="21"/>
                <w:szCs w:val="21"/>
                <w:highlight w:val="none"/>
              </w:rPr>
              <w:t>5.4</w:t>
            </w:r>
          </w:p>
        </w:tc>
        <w:tc>
          <w:tcPr>
            <w:tcW w:w="7054" w:type="dxa"/>
            <w:tcBorders>
              <w:right w:val="single" w:color="000000" w:sz="6" w:space="0"/>
            </w:tcBorders>
            <w:vAlign w:val="center"/>
          </w:tcPr>
          <w:p w14:paraId="09C5C616">
            <w:pPr>
              <w:keepLines w:val="0"/>
              <w:pageBreakBefore w:val="0"/>
              <w:widowControl w:val="0"/>
              <w:kinsoku/>
              <w:overflowPunct/>
              <w:topLinePunct w:val="0"/>
              <w:autoSpaceDE/>
              <w:autoSpaceDN/>
              <w:bidi w:val="0"/>
              <w:snapToGrid w:val="0"/>
              <w:spacing w:before="139"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1</w:t>
            </w:r>
            <w:r>
              <w:rPr>
                <w:rFonts w:hint="eastAsia" w:ascii="宋体" w:hAnsi="宋体" w:eastAsia="宋体" w:cs="宋体"/>
                <w:color w:val="auto"/>
                <w:spacing w:val="5"/>
                <w:sz w:val="21"/>
                <w:szCs w:val="21"/>
                <w:highlight w:val="none"/>
              </w:rPr>
              <w:t>5.4变更的估价原则</w:t>
            </w:r>
          </w:p>
          <w:p w14:paraId="1C526CF3">
            <w:pPr>
              <w:keepLines w:val="0"/>
              <w:pageBreakBefore w:val="0"/>
              <w:widowControl w:val="0"/>
              <w:kinsoku/>
              <w:overflowPunct/>
              <w:topLinePunct w:val="0"/>
              <w:autoSpaceDE/>
              <w:autoSpaceDN/>
              <w:bidi w:val="0"/>
              <w:snapToGrid w:val="0"/>
              <w:spacing w:before="155"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本</w:t>
            </w:r>
            <w:r>
              <w:rPr>
                <w:rFonts w:hint="eastAsia" w:ascii="宋体" w:hAnsi="宋体" w:eastAsia="宋体" w:cs="宋体"/>
                <w:color w:val="auto"/>
                <w:spacing w:val="6"/>
                <w:sz w:val="21"/>
                <w:szCs w:val="21"/>
                <w:highlight w:val="none"/>
              </w:rPr>
              <w:t>款细化为：</w:t>
            </w:r>
          </w:p>
          <w:p w14:paraId="30D46B6A">
            <w:pPr>
              <w:keepLines w:val="0"/>
              <w:pageBreakBefore w:val="0"/>
              <w:widowControl w:val="0"/>
              <w:kinsoku/>
              <w:overflowPunct/>
              <w:topLinePunct w:val="0"/>
              <w:autoSpaceDE/>
              <w:autoSpaceDN/>
              <w:bidi w:val="0"/>
              <w:snapToGrid w:val="0"/>
              <w:spacing w:before="154"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15</w:t>
            </w:r>
            <w:r>
              <w:rPr>
                <w:rFonts w:hint="eastAsia" w:ascii="宋体" w:hAnsi="宋体" w:eastAsia="宋体" w:cs="宋体"/>
                <w:color w:val="auto"/>
                <w:spacing w:val="9"/>
                <w:sz w:val="21"/>
                <w:szCs w:val="21"/>
                <w:highlight w:val="none"/>
              </w:rPr>
              <w:t>.</w:t>
            </w:r>
            <w:r>
              <w:rPr>
                <w:rFonts w:hint="eastAsia" w:ascii="宋体" w:hAnsi="宋体" w:eastAsia="宋体" w:cs="宋体"/>
                <w:color w:val="auto"/>
                <w:spacing w:val="5"/>
                <w:sz w:val="21"/>
                <w:szCs w:val="21"/>
                <w:highlight w:val="none"/>
              </w:rPr>
              <w:t>4.1如果取消某项工作，则该项工作的总额价不予支付。</w:t>
            </w:r>
          </w:p>
          <w:p w14:paraId="68A4817D">
            <w:pPr>
              <w:keepLines w:val="0"/>
              <w:pageBreakBefore w:val="0"/>
              <w:widowControl w:val="0"/>
              <w:kinsoku/>
              <w:overflowPunct/>
              <w:topLinePunct w:val="0"/>
              <w:autoSpaceDE/>
              <w:autoSpaceDN/>
              <w:bidi w:val="0"/>
              <w:snapToGrid w:val="0"/>
              <w:spacing w:before="151"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15.4.2已标价工程量清单中有适用于变更工作的子目的，采用该子目的单价</w:t>
            </w:r>
            <w:r>
              <w:rPr>
                <w:rFonts w:hint="eastAsia" w:ascii="宋体" w:hAnsi="宋体" w:eastAsia="宋体" w:cs="宋体"/>
                <w:color w:val="auto"/>
                <w:sz w:val="21"/>
                <w:szCs w:val="21"/>
                <w:highlight w:val="none"/>
              </w:rPr>
              <w:t>。</w:t>
            </w:r>
          </w:p>
          <w:p w14:paraId="7D7D91F1">
            <w:pPr>
              <w:keepLines w:val="0"/>
              <w:pageBreakBefore w:val="0"/>
              <w:widowControl w:val="0"/>
              <w:kinsoku/>
              <w:overflowPunct/>
              <w:topLinePunct w:val="0"/>
              <w:autoSpaceDE/>
              <w:autoSpaceDN/>
              <w:bidi w:val="0"/>
              <w:snapToGrid w:val="0"/>
              <w:spacing w:before="156"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8"/>
                <w:sz w:val="21"/>
                <w:szCs w:val="21"/>
                <w:highlight w:val="none"/>
              </w:rPr>
              <w:t>1</w:t>
            </w:r>
            <w:r>
              <w:rPr>
                <w:rFonts w:hint="eastAsia" w:ascii="宋体" w:hAnsi="宋体" w:eastAsia="宋体" w:cs="宋体"/>
                <w:color w:val="auto"/>
                <w:spacing w:val="14"/>
                <w:sz w:val="21"/>
                <w:szCs w:val="21"/>
                <w:highlight w:val="none"/>
              </w:rPr>
              <w:t>5</w:t>
            </w:r>
            <w:r>
              <w:rPr>
                <w:rFonts w:hint="eastAsia" w:ascii="宋体" w:hAnsi="宋体" w:eastAsia="宋体" w:cs="宋体"/>
                <w:color w:val="auto"/>
                <w:spacing w:val="9"/>
                <w:sz w:val="21"/>
                <w:szCs w:val="21"/>
                <w:highlight w:val="none"/>
              </w:rPr>
              <w:t>.4.3已标价工程量清单中无适用于变更工作的子目，但有类似子目的，可在</w:t>
            </w:r>
            <w:r>
              <w:rPr>
                <w:rFonts w:hint="eastAsia" w:ascii="宋体" w:hAnsi="宋体" w:eastAsia="宋体" w:cs="宋体"/>
                <w:color w:val="auto"/>
                <w:spacing w:val="15"/>
                <w:sz w:val="21"/>
                <w:szCs w:val="21"/>
                <w:highlight w:val="none"/>
              </w:rPr>
              <w:t>合</w:t>
            </w:r>
            <w:r>
              <w:rPr>
                <w:rFonts w:hint="eastAsia" w:ascii="宋体" w:hAnsi="宋体" w:eastAsia="宋体" w:cs="宋体"/>
                <w:color w:val="auto"/>
                <w:spacing w:val="8"/>
                <w:sz w:val="21"/>
                <w:szCs w:val="21"/>
                <w:highlight w:val="none"/>
              </w:rPr>
              <w:t>理范围内参照类似子目的单价，由监理人按第3.5款商定或确定变更工作的单</w:t>
            </w:r>
            <w:r>
              <w:rPr>
                <w:rFonts w:hint="eastAsia" w:ascii="宋体" w:hAnsi="宋体" w:eastAsia="宋体" w:cs="宋体"/>
                <w:color w:val="auto"/>
                <w:sz w:val="21"/>
                <w:szCs w:val="21"/>
                <w:highlight w:val="none"/>
              </w:rPr>
              <w:t>价。</w:t>
            </w:r>
          </w:p>
          <w:p w14:paraId="0870E032">
            <w:pPr>
              <w:keepLines w:val="0"/>
              <w:pageBreakBefore w:val="0"/>
              <w:widowControl w:val="0"/>
              <w:kinsoku/>
              <w:overflowPunct/>
              <w:topLinePunct w:val="0"/>
              <w:autoSpaceDE/>
              <w:autoSpaceDN/>
              <w:bidi w:val="0"/>
              <w:snapToGrid w:val="0"/>
              <w:spacing w:before="2"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8"/>
                <w:sz w:val="21"/>
                <w:szCs w:val="21"/>
                <w:highlight w:val="none"/>
              </w:rPr>
              <w:t>1</w:t>
            </w:r>
            <w:r>
              <w:rPr>
                <w:rFonts w:hint="eastAsia" w:ascii="宋体" w:hAnsi="宋体" w:eastAsia="宋体" w:cs="宋体"/>
                <w:color w:val="auto"/>
                <w:spacing w:val="14"/>
                <w:sz w:val="21"/>
                <w:szCs w:val="21"/>
                <w:highlight w:val="none"/>
              </w:rPr>
              <w:t>5</w:t>
            </w:r>
            <w:r>
              <w:rPr>
                <w:rFonts w:hint="eastAsia" w:ascii="宋体" w:hAnsi="宋体" w:eastAsia="宋体" w:cs="宋体"/>
                <w:color w:val="auto"/>
                <w:spacing w:val="9"/>
                <w:sz w:val="21"/>
                <w:szCs w:val="21"/>
                <w:highlight w:val="none"/>
              </w:rPr>
              <w:t>.4.4已标价工程量清单中无适用或类似子目的单价，可在综合考虑承包人在</w:t>
            </w:r>
            <w:r>
              <w:rPr>
                <w:rFonts w:hint="eastAsia" w:ascii="宋体" w:hAnsi="宋体" w:eastAsia="宋体" w:cs="宋体"/>
                <w:color w:val="auto"/>
                <w:spacing w:val="13"/>
                <w:sz w:val="21"/>
                <w:szCs w:val="21"/>
                <w:highlight w:val="none"/>
              </w:rPr>
              <w:t>投</w:t>
            </w:r>
            <w:r>
              <w:rPr>
                <w:rFonts w:hint="eastAsia" w:ascii="宋体" w:hAnsi="宋体" w:eastAsia="宋体" w:cs="宋体"/>
                <w:color w:val="auto"/>
                <w:spacing w:val="12"/>
                <w:sz w:val="21"/>
                <w:szCs w:val="21"/>
                <w:highlight w:val="none"/>
              </w:rPr>
              <w:t>标时所提供的单价分析表的基础上，参照《公路工程建设项目概算预算编制办</w:t>
            </w:r>
            <w:r>
              <w:rPr>
                <w:rFonts w:hint="eastAsia" w:ascii="宋体" w:hAnsi="宋体" w:eastAsia="宋体" w:cs="宋体"/>
                <w:color w:val="auto"/>
                <w:spacing w:val="10"/>
                <w:sz w:val="21"/>
                <w:szCs w:val="21"/>
                <w:highlight w:val="none"/>
              </w:rPr>
              <w:t>法》和《</w:t>
            </w:r>
            <w:r>
              <w:rPr>
                <w:rFonts w:hint="eastAsia" w:ascii="宋体" w:hAnsi="宋体" w:eastAsia="宋体" w:cs="宋体"/>
                <w:color w:val="auto"/>
                <w:spacing w:val="9"/>
                <w:sz w:val="21"/>
                <w:szCs w:val="21"/>
                <w:highlight w:val="none"/>
              </w:rPr>
              <w:t>公</w:t>
            </w:r>
            <w:r>
              <w:rPr>
                <w:rFonts w:hint="eastAsia" w:ascii="宋体" w:hAnsi="宋体" w:eastAsia="宋体" w:cs="宋体"/>
                <w:color w:val="auto"/>
                <w:spacing w:val="5"/>
                <w:sz w:val="21"/>
                <w:szCs w:val="21"/>
                <w:highlight w:val="none"/>
              </w:rPr>
              <w:t>路工程预算定额》进行计算，由监理人按第3.5款商定或确定变更工作</w:t>
            </w:r>
            <w:r>
              <w:rPr>
                <w:rFonts w:hint="eastAsia" w:ascii="宋体" w:hAnsi="宋体" w:eastAsia="宋体" w:cs="宋体"/>
                <w:color w:val="auto"/>
                <w:spacing w:val="15"/>
                <w:sz w:val="21"/>
                <w:szCs w:val="21"/>
                <w:highlight w:val="none"/>
              </w:rPr>
              <w:t>的</w:t>
            </w:r>
            <w:r>
              <w:rPr>
                <w:rFonts w:hint="eastAsia" w:ascii="宋体" w:hAnsi="宋体" w:eastAsia="宋体" w:cs="宋体"/>
                <w:color w:val="auto"/>
                <w:spacing w:val="8"/>
                <w:sz w:val="21"/>
                <w:szCs w:val="21"/>
                <w:highlight w:val="none"/>
              </w:rPr>
              <w:t>单价，变更单价不计取利润。</w:t>
            </w:r>
          </w:p>
          <w:p w14:paraId="5FEC3E38">
            <w:pPr>
              <w:keepLines w:val="0"/>
              <w:pageBreakBefore w:val="0"/>
              <w:widowControl w:val="0"/>
              <w:kinsoku/>
              <w:overflowPunct/>
              <w:topLinePunct w:val="0"/>
              <w:autoSpaceDE/>
              <w:autoSpaceDN/>
              <w:bidi w:val="0"/>
              <w:snapToGrid w:val="0"/>
              <w:spacing w:line="240" w:lineRule="auto"/>
              <w:ind w:left="105" w:leftChars="50" w:right="283" w:rightChars="0" w:firstLine="0" w:firstLineChars="0"/>
              <w:jc w:val="left"/>
              <w:textAlignment w:val="auto"/>
              <w:rPr>
                <w:rFonts w:hint="eastAsia" w:ascii="宋体" w:hAnsi="宋体" w:eastAsia="宋体" w:cs="宋体"/>
                <w:color w:val="auto"/>
                <w:spacing w:val="10"/>
                <w:position w:val="1"/>
                <w:sz w:val="21"/>
                <w:szCs w:val="21"/>
                <w:highlight w:val="none"/>
              </w:rPr>
            </w:pPr>
            <w:r>
              <w:rPr>
                <w:rFonts w:hint="eastAsia" w:ascii="宋体" w:hAnsi="宋体" w:eastAsia="宋体" w:cs="宋体"/>
                <w:color w:val="auto"/>
                <w:spacing w:val="18"/>
                <w:position w:val="14"/>
                <w:sz w:val="21"/>
                <w:szCs w:val="21"/>
                <w:highlight w:val="none"/>
              </w:rPr>
              <w:t>1</w:t>
            </w:r>
            <w:r>
              <w:rPr>
                <w:rFonts w:hint="eastAsia" w:ascii="宋体" w:hAnsi="宋体" w:eastAsia="宋体" w:cs="宋体"/>
                <w:color w:val="auto"/>
                <w:spacing w:val="14"/>
                <w:position w:val="14"/>
                <w:sz w:val="21"/>
                <w:szCs w:val="21"/>
                <w:highlight w:val="none"/>
              </w:rPr>
              <w:t>5</w:t>
            </w:r>
            <w:r>
              <w:rPr>
                <w:rFonts w:hint="eastAsia" w:ascii="宋体" w:hAnsi="宋体" w:eastAsia="宋体" w:cs="宋体"/>
                <w:color w:val="auto"/>
                <w:spacing w:val="9"/>
                <w:position w:val="14"/>
                <w:sz w:val="21"/>
                <w:szCs w:val="21"/>
                <w:highlight w:val="none"/>
              </w:rPr>
              <w:t>.4.5如果本工程的变更指示是因承包人过错、承包人违反合同或承包人责任造成的，则这种违约引起的任何额外费用应由承包人承担</w:t>
            </w:r>
          </w:p>
        </w:tc>
      </w:tr>
      <w:tr w14:paraId="6C2D7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24" w:type="dxa"/>
            <w:tcBorders>
              <w:left w:val="single" w:color="000000" w:sz="6" w:space="0"/>
            </w:tcBorders>
            <w:vAlign w:val="center"/>
          </w:tcPr>
          <w:p w14:paraId="2F2057EC">
            <w:pPr>
              <w:keepLines w:val="0"/>
              <w:pageBreakBefore w:val="0"/>
              <w:widowControl w:val="0"/>
              <w:kinsoku/>
              <w:overflowPunct/>
              <w:topLinePunct w:val="0"/>
              <w:autoSpaceDE/>
              <w:autoSpaceDN/>
              <w:bidi w:val="0"/>
              <w:snapToGrid w:val="0"/>
              <w:spacing w:before="57" w:line="240" w:lineRule="auto"/>
              <w:ind w:left="105" w:leftChars="50" w:right="283" w:rightChars="0" w:firstLine="0" w:firstLineChars="0"/>
              <w:jc w:val="center"/>
              <w:textAlignment w:val="auto"/>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2</w:t>
            </w:r>
            <w:r>
              <w:rPr>
                <w:rFonts w:hint="eastAsia" w:ascii="宋体" w:hAnsi="宋体" w:eastAsia="宋体" w:cs="宋体"/>
                <w:color w:val="auto"/>
                <w:spacing w:val="2"/>
                <w:sz w:val="21"/>
                <w:szCs w:val="21"/>
                <w:highlight w:val="none"/>
              </w:rPr>
              <w:t>8</w:t>
            </w:r>
          </w:p>
        </w:tc>
        <w:tc>
          <w:tcPr>
            <w:tcW w:w="1384" w:type="dxa"/>
            <w:vAlign w:val="center"/>
          </w:tcPr>
          <w:p w14:paraId="3422C59B">
            <w:pPr>
              <w:keepLines w:val="0"/>
              <w:pageBreakBefore w:val="0"/>
              <w:widowControl w:val="0"/>
              <w:kinsoku/>
              <w:overflowPunct/>
              <w:topLinePunct w:val="0"/>
              <w:autoSpaceDE/>
              <w:autoSpaceDN/>
              <w:bidi w:val="0"/>
              <w:snapToGrid w:val="0"/>
              <w:spacing w:before="58" w:line="240" w:lineRule="auto"/>
              <w:ind w:left="105" w:leftChars="50" w:right="283" w:rightChars="0" w:firstLine="0" w:firstLineChars="0"/>
              <w:jc w:val="center"/>
              <w:textAlignment w:val="auto"/>
              <w:rPr>
                <w:rFonts w:hint="eastAsia" w:ascii="宋体" w:hAnsi="宋体" w:eastAsia="宋体" w:cs="宋体"/>
                <w:color w:val="auto"/>
                <w:spacing w:val="-6"/>
                <w:sz w:val="21"/>
                <w:szCs w:val="21"/>
                <w:highlight w:val="none"/>
              </w:rPr>
            </w:pPr>
            <w:r>
              <w:rPr>
                <w:rFonts w:hint="eastAsia" w:ascii="宋体" w:hAnsi="宋体" w:eastAsia="宋体" w:cs="宋体"/>
                <w:color w:val="auto"/>
                <w:sz w:val="21"/>
                <w:szCs w:val="21"/>
                <w:highlight w:val="none"/>
              </w:rPr>
              <w:t>15.5.2</w:t>
            </w:r>
          </w:p>
        </w:tc>
        <w:tc>
          <w:tcPr>
            <w:tcW w:w="7054" w:type="dxa"/>
            <w:tcBorders>
              <w:right w:val="single" w:color="000000" w:sz="6" w:space="0"/>
            </w:tcBorders>
            <w:vAlign w:val="center"/>
          </w:tcPr>
          <w:p w14:paraId="1F53DD10">
            <w:pPr>
              <w:keepLines w:val="0"/>
              <w:pageBreakBefore w:val="0"/>
              <w:widowControl w:val="0"/>
              <w:kinsoku/>
              <w:overflowPunct/>
              <w:topLinePunct w:val="0"/>
              <w:autoSpaceDE/>
              <w:autoSpaceDN/>
              <w:bidi w:val="0"/>
              <w:snapToGrid w:val="0"/>
              <w:spacing w:before="141" w:line="240" w:lineRule="auto"/>
              <w:ind w:left="105" w:leftChars="50" w:right="283" w:rightChars="0" w:firstLine="0" w:firstLineChars="0"/>
              <w:jc w:val="left"/>
              <w:textAlignment w:val="auto"/>
              <w:rPr>
                <w:rFonts w:hint="eastAsia" w:ascii="宋体" w:hAnsi="宋体" w:eastAsia="宋体" w:cs="宋体"/>
                <w:color w:val="auto"/>
                <w:spacing w:val="10"/>
                <w:position w:val="1"/>
                <w:sz w:val="21"/>
                <w:szCs w:val="21"/>
                <w:highlight w:val="none"/>
              </w:rPr>
            </w:pPr>
            <w:r>
              <w:rPr>
                <w:rFonts w:hint="eastAsia" w:ascii="宋体" w:hAnsi="宋体" w:eastAsia="宋体" w:cs="宋体"/>
                <w:color w:val="auto"/>
                <w:spacing w:val="14"/>
                <w:sz w:val="21"/>
                <w:szCs w:val="21"/>
                <w:highlight w:val="none"/>
              </w:rPr>
              <w:t>承</w:t>
            </w:r>
            <w:r>
              <w:rPr>
                <w:rFonts w:hint="eastAsia" w:ascii="宋体" w:hAnsi="宋体" w:eastAsia="宋体" w:cs="宋体"/>
                <w:color w:val="auto"/>
                <w:spacing w:val="12"/>
                <w:sz w:val="21"/>
                <w:szCs w:val="21"/>
                <w:highlight w:val="none"/>
              </w:rPr>
              <w:t>包人提出的合理化建议降低了合同价格或者提高了工程经济效益的，发包人按所节</w:t>
            </w:r>
            <w:r>
              <w:rPr>
                <w:rFonts w:hint="eastAsia" w:ascii="宋体" w:hAnsi="宋体" w:eastAsia="宋体" w:cs="宋体"/>
                <w:color w:val="auto"/>
                <w:spacing w:val="8"/>
                <w:sz w:val="21"/>
                <w:szCs w:val="21"/>
                <w:highlight w:val="none"/>
              </w:rPr>
              <w:t>约</w:t>
            </w:r>
            <w:r>
              <w:rPr>
                <w:rFonts w:hint="eastAsia" w:ascii="宋体" w:hAnsi="宋体" w:eastAsia="宋体" w:cs="宋体"/>
                <w:color w:val="auto"/>
                <w:spacing w:val="6"/>
                <w:sz w:val="21"/>
                <w:szCs w:val="21"/>
                <w:highlight w:val="none"/>
              </w:rPr>
              <w:t>成本的</w:t>
            </w:r>
            <w:r>
              <w:rPr>
                <w:rFonts w:hint="eastAsia" w:ascii="宋体" w:hAnsi="宋体" w:cs="宋体"/>
                <w:color w:val="auto"/>
                <w:spacing w:val="2"/>
                <w:position w:val="1"/>
                <w:sz w:val="21"/>
                <w:szCs w:val="21"/>
                <w:highlight w:val="none"/>
                <w:u w:val="single"/>
                <w:lang w:val="en-US" w:eastAsia="zh-CN"/>
              </w:rPr>
              <w:t xml:space="preserve"> </w:t>
            </w:r>
            <w:r>
              <w:rPr>
                <w:rFonts w:hint="eastAsia" w:ascii="宋体" w:hAnsi="宋体" w:eastAsia="宋体" w:cs="宋体"/>
                <w:color w:val="auto"/>
                <w:spacing w:val="2"/>
                <w:position w:val="1"/>
                <w:sz w:val="21"/>
                <w:szCs w:val="21"/>
                <w:highlight w:val="none"/>
                <w:u w:val="single"/>
              </w:rPr>
              <w:t>/</w:t>
            </w:r>
            <w:r>
              <w:rPr>
                <w:rFonts w:hint="eastAsia" w:ascii="宋体" w:hAnsi="宋体" w:cs="宋体"/>
                <w:color w:val="auto"/>
                <w:spacing w:val="2"/>
                <w:position w:val="1"/>
                <w:sz w:val="21"/>
                <w:szCs w:val="21"/>
                <w:highlight w:val="none"/>
                <w:u w:val="single"/>
                <w:lang w:val="en-US" w:eastAsia="zh-CN"/>
              </w:rPr>
              <w:t xml:space="preserve"> </w:t>
            </w:r>
            <w:r>
              <w:rPr>
                <w:rFonts w:hint="eastAsia" w:ascii="宋体" w:hAnsi="宋体" w:eastAsia="宋体" w:cs="宋体"/>
                <w:color w:val="auto"/>
                <w:spacing w:val="6"/>
                <w:sz w:val="21"/>
                <w:szCs w:val="21"/>
                <w:highlight w:val="none"/>
              </w:rPr>
              <w:t>%或增加收益的</w:t>
            </w:r>
            <w:r>
              <w:rPr>
                <w:rFonts w:hint="eastAsia" w:ascii="宋体" w:hAnsi="宋体" w:cs="宋体"/>
                <w:color w:val="auto"/>
                <w:spacing w:val="2"/>
                <w:position w:val="1"/>
                <w:sz w:val="21"/>
                <w:szCs w:val="21"/>
                <w:highlight w:val="none"/>
                <w:u w:val="single"/>
                <w:lang w:val="en-US" w:eastAsia="zh-CN"/>
              </w:rPr>
              <w:t xml:space="preserve"> </w:t>
            </w:r>
            <w:r>
              <w:rPr>
                <w:rFonts w:hint="eastAsia" w:ascii="宋体" w:hAnsi="宋体" w:eastAsia="宋体" w:cs="宋体"/>
                <w:color w:val="auto"/>
                <w:spacing w:val="2"/>
                <w:position w:val="1"/>
                <w:sz w:val="21"/>
                <w:szCs w:val="21"/>
                <w:highlight w:val="none"/>
                <w:u w:val="single"/>
              </w:rPr>
              <w:t>/</w:t>
            </w:r>
            <w:r>
              <w:rPr>
                <w:rFonts w:hint="eastAsia" w:ascii="宋体" w:hAnsi="宋体" w:cs="宋体"/>
                <w:color w:val="auto"/>
                <w:spacing w:val="2"/>
                <w:position w:val="1"/>
                <w:sz w:val="21"/>
                <w:szCs w:val="21"/>
                <w:highlight w:val="none"/>
                <w:u w:val="single"/>
                <w:lang w:val="en-US" w:eastAsia="zh-CN"/>
              </w:rPr>
              <w:t xml:space="preserve"> </w:t>
            </w:r>
            <w:r>
              <w:rPr>
                <w:rFonts w:hint="eastAsia" w:ascii="宋体" w:hAnsi="宋体" w:eastAsia="宋体" w:cs="宋体"/>
                <w:color w:val="auto"/>
                <w:spacing w:val="6"/>
                <w:sz w:val="21"/>
                <w:szCs w:val="21"/>
                <w:highlight w:val="none"/>
              </w:rPr>
              <w:t>%给予奖励</w:t>
            </w:r>
          </w:p>
        </w:tc>
      </w:tr>
      <w:tr w14:paraId="6E6B89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24" w:type="dxa"/>
            <w:tcBorders>
              <w:left w:val="single" w:color="000000" w:sz="6" w:space="0"/>
            </w:tcBorders>
            <w:vAlign w:val="center"/>
          </w:tcPr>
          <w:p w14:paraId="4DD947B1">
            <w:pPr>
              <w:keepLines w:val="0"/>
              <w:pageBreakBefore w:val="0"/>
              <w:widowControl w:val="0"/>
              <w:kinsoku/>
              <w:overflowPunct/>
              <w:topLinePunct w:val="0"/>
              <w:autoSpaceDE/>
              <w:autoSpaceDN/>
              <w:bidi w:val="0"/>
              <w:snapToGrid w:val="0"/>
              <w:spacing w:before="57" w:line="240" w:lineRule="auto"/>
              <w:ind w:left="105" w:leftChars="50" w:right="283" w:rightChars="0" w:firstLine="0" w:firstLineChars="0"/>
              <w:jc w:val="center"/>
              <w:textAlignment w:val="auto"/>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2</w:t>
            </w:r>
            <w:r>
              <w:rPr>
                <w:rFonts w:hint="eastAsia" w:ascii="宋体" w:hAnsi="宋体" w:eastAsia="宋体" w:cs="宋体"/>
                <w:color w:val="auto"/>
                <w:spacing w:val="2"/>
                <w:sz w:val="21"/>
                <w:szCs w:val="21"/>
                <w:highlight w:val="none"/>
              </w:rPr>
              <w:t>9</w:t>
            </w:r>
          </w:p>
        </w:tc>
        <w:tc>
          <w:tcPr>
            <w:tcW w:w="1384" w:type="dxa"/>
            <w:vAlign w:val="center"/>
          </w:tcPr>
          <w:p w14:paraId="2C3ACEFF">
            <w:pPr>
              <w:keepLines w:val="0"/>
              <w:pageBreakBefore w:val="0"/>
              <w:widowControl w:val="0"/>
              <w:kinsoku/>
              <w:overflowPunct/>
              <w:topLinePunct w:val="0"/>
              <w:autoSpaceDE/>
              <w:autoSpaceDN/>
              <w:bidi w:val="0"/>
              <w:snapToGrid w:val="0"/>
              <w:spacing w:before="57" w:line="240" w:lineRule="auto"/>
              <w:ind w:left="105" w:leftChars="50" w:right="283" w:rightChars="0" w:firstLine="0" w:firstLineChars="0"/>
              <w:jc w:val="center"/>
              <w:textAlignment w:val="auto"/>
              <w:rPr>
                <w:rFonts w:hint="eastAsia" w:ascii="宋体" w:hAnsi="宋体" w:eastAsia="宋体" w:cs="宋体"/>
                <w:color w:val="auto"/>
                <w:spacing w:val="-6"/>
                <w:sz w:val="21"/>
                <w:szCs w:val="21"/>
                <w:highlight w:val="none"/>
              </w:rPr>
            </w:pPr>
            <w:r>
              <w:rPr>
                <w:rFonts w:hint="eastAsia" w:ascii="宋体" w:hAnsi="宋体" w:eastAsia="宋体" w:cs="宋体"/>
                <w:color w:val="auto"/>
                <w:spacing w:val="-11"/>
                <w:sz w:val="21"/>
                <w:szCs w:val="21"/>
                <w:highlight w:val="none"/>
              </w:rPr>
              <w:t>1</w:t>
            </w:r>
            <w:r>
              <w:rPr>
                <w:rFonts w:hint="eastAsia" w:ascii="宋体" w:hAnsi="宋体" w:eastAsia="宋体" w:cs="宋体"/>
                <w:color w:val="auto"/>
                <w:spacing w:val="-7"/>
                <w:sz w:val="21"/>
                <w:szCs w:val="21"/>
                <w:highlight w:val="none"/>
              </w:rPr>
              <w:t>6.1</w:t>
            </w:r>
          </w:p>
        </w:tc>
        <w:tc>
          <w:tcPr>
            <w:tcW w:w="7054" w:type="dxa"/>
            <w:tcBorders>
              <w:right w:val="single" w:color="000000" w:sz="6" w:space="0"/>
            </w:tcBorders>
            <w:vAlign w:val="center"/>
          </w:tcPr>
          <w:p w14:paraId="01F3035F">
            <w:pPr>
              <w:keepLines w:val="0"/>
              <w:pageBreakBefore w:val="0"/>
              <w:widowControl w:val="0"/>
              <w:kinsoku/>
              <w:overflowPunct/>
              <w:topLinePunct w:val="0"/>
              <w:autoSpaceDE/>
              <w:autoSpaceDN/>
              <w:bidi w:val="0"/>
              <w:snapToGrid w:val="0"/>
              <w:spacing w:before="121"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u w:val="none" w:color="auto"/>
              </w:rPr>
              <w:sym w:font="Wingdings 2" w:char="00A3"/>
            </w:r>
            <w:r>
              <w:rPr>
                <w:rFonts w:hint="eastAsia" w:ascii="宋体" w:hAnsi="宋体" w:eastAsia="宋体" w:cs="宋体"/>
                <w:color w:val="auto"/>
                <w:spacing w:val="7"/>
                <w:sz w:val="21"/>
                <w:szCs w:val="21"/>
                <w:highlight w:val="none"/>
              </w:rPr>
              <w:t>因物价波动引起的价格调整按照</w:t>
            </w:r>
            <w:r>
              <w:rPr>
                <w:rFonts w:hint="eastAsia" w:ascii="宋体" w:hAnsi="宋体" w:cs="宋体"/>
                <w:color w:val="auto"/>
                <w:spacing w:val="2"/>
                <w:position w:val="1"/>
                <w:sz w:val="21"/>
                <w:szCs w:val="21"/>
                <w:highlight w:val="none"/>
                <w:u w:val="single"/>
                <w:lang w:val="en-US" w:eastAsia="zh-CN"/>
              </w:rPr>
              <w:t xml:space="preserve"> </w:t>
            </w:r>
            <w:r>
              <w:rPr>
                <w:rFonts w:hint="eastAsia" w:ascii="宋体" w:hAnsi="宋体" w:eastAsia="宋体" w:cs="宋体"/>
                <w:color w:val="auto"/>
                <w:spacing w:val="2"/>
                <w:position w:val="1"/>
                <w:sz w:val="21"/>
                <w:szCs w:val="21"/>
                <w:highlight w:val="none"/>
                <w:u w:val="single"/>
              </w:rPr>
              <w:t>/</w:t>
            </w:r>
            <w:r>
              <w:rPr>
                <w:rFonts w:hint="eastAsia" w:ascii="宋体" w:hAnsi="宋体" w:cs="宋体"/>
                <w:color w:val="auto"/>
                <w:spacing w:val="2"/>
                <w:position w:val="1"/>
                <w:sz w:val="21"/>
                <w:szCs w:val="21"/>
                <w:highlight w:val="none"/>
                <w:u w:val="single"/>
                <w:lang w:val="en-US" w:eastAsia="zh-CN"/>
              </w:rPr>
              <w:t xml:space="preserve"> </w:t>
            </w:r>
            <w:r>
              <w:rPr>
                <w:rFonts w:hint="eastAsia" w:ascii="宋体" w:hAnsi="宋体" w:eastAsia="宋体" w:cs="宋体"/>
                <w:color w:val="auto"/>
                <w:spacing w:val="7"/>
                <w:sz w:val="21"/>
                <w:szCs w:val="21"/>
                <w:highlight w:val="none"/>
              </w:rPr>
              <w:t>约定的原则处理</w:t>
            </w:r>
          </w:p>
          <w:p w14:paraId="2646DAEF">
            <w:pPr>
              <w:keepLines w:val="0"/>
              <w:pageBreakBefore w:val="0"/>
              <w:widowControl w:val="0"/>
              <w:kinsoku/>
              <w:overflowPunct/>
              <w:topLinePunct w:val="0"/>
              <w:autoSpaceDE/>
              <w:autoSpaceDN/>
              <w:bidi w:val="0"/>
              <w:snapToGrid w:val="0"/>
              <w:spacing w:before="79"/>
              <w:ind w:left="105" w:leftChars="50" w:right="283" w:rightChars="0" w:firstLine="0" w:firstLineChars="0"/>
              <w:jc w:val="left"/>
              <w:textAlignment w:val="auto"/>
              <w:rPr>
                <w:rFonts w:hint="eastAsia" w:ascii="宋体" w:hAnsi="宋体" w:eastAsia="宋体" w:cs="宋体"/>
                <w:color w:val="auto"/>
                <w:spacing w:val="10"/>
                <w:position w:val="1"/>
                <w:sz w:val="21"/>
                <w:szCs w:val="21"/>
                <w:highlight w:val="none"/>
              </w:rPr>
            </w:pPr>
            <w:r>
              <w:rPr>
                <w:rFonts w:hint="eastAsia" w:ascii="宋体" w:hAnsi="宋体" w:eastAsia="宋体" w:cs="宋体"/>
                <w:b/>
                <w:bCs/>
                <w:color w:val="auto"/>
                <w:spacing w:val="11"/>
                <w:sz w:val="21"/>
                <w:szCs w:val="21"/>
                <w:highlight w:val="none"/>
                <w:u w:val="none" w:color="auto"/>
              </w:rPr>
              <w:sym w:font="Wingdings 2" w:char="0052"/>
            </w:r>
            <w:r>
              <w:rPr>
                <w:rFonts w:hint="eastAsia" w:ascii="宋体" w:hAnsi="宋体" w:eastAsia="宋体" w:cs="宋体"/>
                <w:b/>
                <w:bCs/>
                <w:color w:val="auto"/>
                <w:sz w:val="21"/>
                <w:szCs w:val="21"/>
                <w:highlight w:val="none"/>
              </w:rPr>
              <w:t>合同期内不调价</w:t>
            </w:r>
            <w:r>
              <w:rPr>
                <w:rStyle w:val="48"/>
                <w:rFonts w:hint="eastAsia" w:ascii="宋体" w:hAnsi="宋体" w:eastAsia="宋体" w:cs="宋体"/>
                <w:b/>
                <w:bCs/>
                <w:color w:val="auto"/>
                <w:sz w:val="21"/>
                <w:szCs w:val="21"/>
                <w:highlight w:val="none"/>
              </w:rPr>
              <w:footnoteReference w:id="35"/>
            </w:r>
            <w:r>
              <w:rPr>
                <w:rFonts w:hint="eastAsia" w:ascii="宋体" w:hAnsi="宋体" w:eastAsia="宋体" w:cs="宋体"/>
                <w:b/>
                <w:bCs/>
                <w:color w:val="auto"/>
                <w:spacing w:val="9"/>
                <w:sz w:val="21"/>
                <w:szCs w:val="21"/>
                <w:highlight w:val="none"/>
              </w:rPr>
              <w:t>，因物价波动引起的价格调整本合同不予考虑。</w:t>
            </w:r>
          </w:p>
        </w:tc>
      </w:tr>
      <w:tr w14:paraId="0B3B25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24" w:type="dxa"/>
            <w:tcBorders>
              <w:left w:val="single" w:color="000000" w:sz="6" w:space="0"/>
            </w:tcBorders>
            <w:vAlign w:val="center"/>
          </w:tcPr>
          <w:p w14:paraId="2E18350E">
            <w:pPr>
              <w:keepLines w:val="0"/>
              <w:pageBreakBefore w:val="0"/>
              <w:widowControl w:val="0"/>
              <w:kinsoku/>
              <w:overflowPunct/>
              <w:topLinePunct w:val="0"/>
              <w:autoSpaceDE/>
              <w:autoSpaceDN/>
              <w:bidi w:val="0"/>
              <w:snapToGrid w:val="0"/>
              <w:spacing w:before="58" w:line="240" w:lineRule="auto"/>
              <w:ind w:left="105" w:leftChars="50" w:right="283" w:rightChars="0" w:firstLine="0" w:firstLineChars="0"/>
              <w:jc w:val="center"/>
              <w:textAlignment w:val="auto"/>
              <w:rPr>
                <w:rFonts w:hint="eastAsia" w:ascii="宋体" w:hAnsi="宋体" w:eastAsia="宋体" w:cs="宋体"/>
                <w:color w:val="auto"/>
                <w:spacing w:val="-8"/>
                <w:sz w:val="21"/>
                <w:szCs w:val="21"/>
                <w:highlight w:val="none"/>
              </w:rPr>
            </w:pPr>
            <w:r>
              <w:rPr>
                <w:rFonts w:hint="eastAsia" w:ascii="宋体" w:hAnsi="宋体" w:eastAsia="宋体" w:cs="宋体"/>
                <w:color w:val="auto"/>
                <w:spacing w:val="1"/>
                <w:sz w:val="21"/>
                <w:szCs w:val="21"/>
                <w:highlight w:val="none"/>
              </w:rPr>
              <w:t>3</w:t>
            </w:r>
            <w:r>
              <w:rPr>
                <w:rFonts w:hint="eastAsia" w:ascii="宋体" w:hAnsi="宋体" w:eastAsia="宋体" w:cs="宋体"/>
                <w:color w:val="auto"/>
                <w:sz w:val="21"/>
                <w:szCs w:val="21"/>
                <w:highlight w:val="none"/>
              </w:rPr>
              <w:t>0</w:t>
            </w:r>
          </w:p>
        </w:tc>
        <w:tc>
          <w:tcPr>
            <w:tcW w:w="1384" w:type="dxa"/>
            <w:vAlign w:val="center"/>
          </w:tcPr>
          <w:p w14:paraId="5191ADEA">
            <w:pPr>
              <w:keepLines w:val="0"/>
              <w:pageBreakBefore w:val="0"/>
              <w:widowControl w:val="0"/>
              <w:kinsoku/>
              <w:overflowPunct/>
              <w:topLinePunct w:val="0"/>
              <w:autoSpaceDE/>
              <w:autoSpaceDN/>
              <w:bidi w:val="0"/>
              <w:snapToGrid w:val="0"/>
              <w:spacing w:before="58" w:line="240" w:lineRule="auto"/>
              <w:ind w:left="105" w:leftChars="50" w:right="283" w:rightChars="0" w:firstLine="0" w:firstLineChars="0"/>
              <w:jc w:val="center"/>
              <w:textAlignment w:val="auto"/>
              <w:rPr>
                <w:rFonts w:hint="eastAsia" w:ascii="宋体" w:hAnsi="宋体" w:eastAsia="宋体" w:cs="宋体"/>
                <w:color w:val="auto"/>
                <w:spacing w:val="-6"/>
                <w:sz w:val="21"/>
                <w:szCs w:val="21"/>
                <w:highlight w:val="none"/>
              </w:rPr>
            </w:pPr>
            <w:r>
              <w:rPr>
                <w:rFonts w:hint="eastAsia" w:ascii="宋体" w:hAnsi="宋体" w:eastAsia="宋体" w:cs="宋体"/>
                <w:color w:val="auto"/>
                <w:spacing w:val="-3"/>
                <w:sz w:val="21"/>
                <w:szCs w:val="21"/>
                <w:highlight w:val="none"/>
              </w:rPr>
              <w:t>1</w:t>
            </w:r>
            <w:r>
              <w:rPr>
                <w:rFonts w:hint="eastAsia" w:ascii="宋体" w:hAnsi="宋体" w:eastAsia="宋体" w:cs="宋体"/>
                <w:color w:val="auto"/>
                <w:spacing w:val="-2"/>
                <w:sz w:val="21"/>
                <w:szCs w:val="21"/>
                <w:highlight w:val="none"/>
              </w:rPr>
              <w:t>6.3</w:t>
            </w:r>
          </w:p>
        </w:tc>
        <w:tc>
          <w:tcPr>
            <w:tcW w:w="7054" w:type="dxa"/>
            <w:tcBorders>
              <w:right w:val="single" w:color="000000" w:sz="6" w:space="0"/>
            </w:tcBorders>
            <w:vAlign w:val="center"/>
          </w:tcPr>
          <w:p w14:paraId="3BF2F735">
            <w:pPr>
              <w:keepLines w:val="0"/>
              <w:pageBreakBefore w:val="0"/>
              <w:widowControl w:val="0"/>
              <w:kinsoku/>
              <w:overflowPunct/>
              <w:topLinePunct w:val="0"/>
              <w:autoSpaceDE/>
              <w:autoSpaceDN/>
              <w:bidi w:val="0"/>
              <w:snapToGrid w:val="0"/>
              <w:spacing w:before="148" w:line="240" w:lineRule="auto"/>
              <w:ind w:left="105" w:leftChars="50" w:right="283" w:rightChars="0" w:firstLine="0" w:firstLineChars="0"/>
              <w:jc w:val="left"/>
              <w:textAlignment w:val="auto"/>
              <w:rPr>
                <w:rFonts w:hint="eastAsia" w:ascii="宋体" w:hAnsi="宋体" w:eastAsia="宋体" w:cs="宋体"/>
                <w:color w:val="auto"/>
                <w:spacing w:val="10"/>
                <w:position w:val="1"/>
                <w:sz w:val="21"/>
                <w:szCs w:val="21"/>
                <w:highlight w:val="none"/>
              </w:rPr>
            </w:pPr>
            <w:r>
              <w:rPr>
                <w:rFonts w:hint="eastAsia" w:ascii="宋体" w:hAnsi="宋体" w:eastAsia="宋体" w:cs="宋体"/>
                <w:color w:val="auto"/>
                <w:spacing w:val="22"/>
                <w:sz w:val="21"/>
                <w:szCs w:val="21"/>
                <w:highlight w:val="none"/>
              </w:rPr>
              <w:t>除非</w:t>
            </w:r>
            <w:r>
              <w:rPr>
                <w:rFonts w:hint="eastAsia" w:ascii="宋体" w:hAnsi="宋体" w:eastAsia="宋体" w:cs="宋体"/>
                <w:color w:val="auto"/>
                <w:spacing w:val="13"/>
                <w:sz w:val="21"/>
                <w:szCs w:val="21"/>
                <w:highlight w:val="none"/>
              </w:rPr>
              <w:t>发</w:t>
            </w:r>
            <w:r>
              <w:rPr>
                <w:rFonts w:hint="eastAsia" w:ascii="宋体" w:hAnsi="宋体" w:eastAsia="宋体" w:cs="宋体"/>
                <w:color w:val="auto"/>
                <w:spacing w:val="11"/>
                <w:sz w:val="21"/>
                <w:szCs w:val="21"/>
                <w:highlight w:val="none"/>
              </w:rPr>
              <w:t>包人和监理人专门批准，如果本工程技术规范和图纸标准低于国家和行</w:t>
            </w:r>
            <w:r>
              <w:rPr>
                <w:rFonts w:hint="eastAsia" w:ascii="宋体" w:hAnsi="宋体" w:eastAsia="宋体" w:cs="宋体"/>
                <w:color w:val="auto"/>
                <w:spacing w:val="14"/>
                <w:sz w:val="21"/>
                <w:szCs w:val="21"/>
                <w:highlight w:val="none"/>
              </w:rPr>
              <w:t>业</w:t>
            </w:r>
            <w:r>
              <w:rPr>
                <w:rFonts w:hint="eastAsia" w:ascii="宋体" w:hAnsi="宋体" w:eastAsia="宋体" w:cs="宋体"/>
                <w:color w:val="auto"/>
                <w:spacing w:val="12"/>
                <w:sz w:val="21"/>
                <w:szCs w:val="21"/>
                <w:highlight w:val="none"/>
              </w:rPr>
              <w:t>标准，则应按国家和行业标准执行，承包人由此增加的费用，发包人不另行计</w:t>
            </w:r>
            <w:r>
              <w:rPr>
                <w:rFonts w:hint="eastAsia" w:ascii="宋体" w:hAnsi="宋体" w:eastAsia="宋体" w:cs="宋体"/>
                <w:color w:val="auto"/>
                <w:spacing w:val="5"/>
                <w:sz w:val="21"/>
                <w:szCs w:val="21"/>
                <w:highlight w:val="none"/>
              </w:rPr>
              <w:t>量支付。</w:t>
            </w:r>
          </w:p>
        </w:tc>
      </w:tr>
      <w:tr w14:paraId="40AF51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24" w:type="dxa"/>
            <w:tcBorders>
              <w:left w:val="single" w:color="000000" w:sz="6" w:space="0"/>
            </w:tcBorders>
            <w:vAlign w:val="center"/>
          </w:tcPr>
          <w:p w14:paraId="5582FD90">
            <w:pPr>
              <w:keepLines w:val="0"/>
              <w:pageBreakBefore w:val="0"/>
              <w:widowControl w:val="0"/>
              <w:kinsoku/>
              <w:overflowPunct/>
              <w:topLinePunct w:val="0"/>
              <w:autoSpaceDE/>
              <w:autoSpaceDN/>
              <w:bidi w:val="0"/>
              <w:snapToGrid w:val="0"/>
              <w:spacing w:before="58" w:line="240" w:lineRule="auto"/>
              <w:ind w:left="105" w:leftChars="50" w:right="283" w:rightChars="0" w:firstLine="0" w:firstLineChars="0"/>
              <w:jc w:val="center"/>
              <w:textAlignment w:val="auto"/>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3</w:t>
            </w:r>
            <w:r>
              <w:rPr>
                <w:rFonts w:hint="eastAsia" w:ascii="宋体" w:hAnsi="宋体" w:eastAsia="宋体" w:cs="宋体"/>
                <w:color w:val="auto"/>
                <w:spacing w:val="1"/>
                <w:sz w:val="21"/>
                <w:szCs w:val="21"/>
                <w:highlight w:val="none"/>
                <w:lang w:val="en-US" w:eastAsia="zh-CN"/>
              </w:rPr>
              <w:t>1</w:t>
            </w:r>
          </w:p>
        </w:tc>
        <w:tc>
          <w:tcPr>
            <w:tcW w:w="1384" w:type="dxa"/>
            <w:vAlign w:val="center"/>
          </w:tcPr>
          <w:p w14:paraId="59643150">
            <w:pPr>
              <w:keepLines w:val="0"/>
              <w:pageBreakBefore w:val="0"/>
              <w:widowControl w:val="0"/>
              <w:kinsoku/>
              <w:overflowPunct/>
              <w:topLinePunct w:val="0"/>
              <w:autoSpaceDE/>
              <w:autoSpaceDN/>
              <w:bidi w:val="0"/>
              <w:snapToGrid w:val="0"/>
              <w:spacing w:before="58" w:line="240" w:lineRule="auto"/>
              <w:ind w:left="105" w:leftChars="50" w:right="283" w:rightChars="0" w:firstLine="0" w:firstLineChars="0"/>
              <w:jc w:val="center"/>
              <w:textAlignment w:val="auto"/>
              <w:rPr>
                <w:rFonts w:hint="eastAsia" w:ascii="宋体" w:hAnsi="宋体" w:eastAsia="宋体" w:cs="宋体"/>
                <w:color w:val="auto"/>
                <w:spacing w:val="-3"/>
                <w:sz w:val="21"/>
                <w:szCs w:val="21"/>
                <w:highlight w:val="none"/>
              </w:rPr>
            </w:pPr>
            <w:r>
              <w:rPr>
                <w:rFonts w:hint="eastAsia" w:ascii="宋体" w:hAnsi="宋体" w:eastAsia="宋体" w:cs="宋体"/>
                <w:color w:val="auto"/>
                <w:spacing w:val="-8"/>
                <w:sz w:val="21"/>
                <w:szCs w:val="21"/>
                <w:highlight w:val="none"/>
              </w:rPr>
              <w:t>1</w:t>
            </w:r>
            <w:r>
              <w:rPr>
                <w:rFonts w:hint="eastAsia" w:ascii="宋体" w:hAnsi="宋体" w:eastAsia="宋体" w:cs="宋体"/>
                <w:color w:val="auto"/>
                <w:spacing w:val="-7"/>
                <w:sz w:val="21"/>
                <w:szCs w:val="21"/>
                <w:highlight w:val="none"/>
              </w:rPr>
              <w:t>7.1.3</w:t>
            </w:r>
          </w:p>
        </w:tc>
        <w:tc>
          <w:tcPr>
            <w:tcW w:w="7054" w:type="dxa"/>
            <w:tcBorders>
              <w:right w:val="single" w:color="000000" w:sz="6" w:space="0"/>
            </w:tcBorders>
            <w:vAlign w:val="center"/>
          </w:tcPr>
          <w:p w14:paraId="7D3794B5">
            <w:pPr>
              <w:keepLines w:val="0"/>
              <w:pageBreakBefore w:val="0"/>
              <w:widowControl w:val="0"/>
              <w:kinsoku/>
              <w:overflowPunct/>
              <w:topLinePunct w:val="0"/>
              <w:autoSpaceDE/>
              <w:autoSpaceDN/>
              <w:bidi w:val="0"/>
              <w:snapToGrid w:val="0"/>
              <w:spacing w:before="139" w:line="240" w:lineRule="auto"/>
              <w:ind w:left="105" w:leftChars="50" w:right="283" w:rightChars="0" w:firstLine="0" w:firstLineChars="0"/>
              <w:jc w:val="left"/>
              <w:textAlignment w:val="auto"/>
              <w:rPr>
                <w:rFonts w:hint="eastAsia" w:ascii="宋体" w:hAnsi="宋体" w:eastAsia="宋体" w:cs="宋体"/>
                <w:color w:val="auto"/>
                <w:spacing w:val="22"/>
                <w:sz w:val="21"/>
                <w:szCs w:val="21"/>
                <w:highlight w:val="none"/>
              </w:rPr>
            </w:pPr>
            <w:r>
              <w:rPr>
                <w:rFonts w:hint="eastAsia" w:ascii="宋体" w:hAnsi="宋体" w:eastAsia="宋体" w:cs="宋体"/>
                <w:color w:val="auto"/>
                <w:spacing w:val="14"/>
                <w:position w:val="14"/>
                <w:sz w:val="21"/>
                <w:szCs w:val="21"/>
                <w:highlight w:val="none"/>
              </w:rPr>
              <w:t>单</w:t>
            </w:r>
            <w:r>
              <w:rPr>
                <w:rFonts w:hint="eastAsia" w:ascii="宋体" w:hAnsi="宋体" w:eastAsia="宋体" w:cs="宋体"/>
                <w:color w:val="auto"/>
                <w:spacing w:val="11"/>
                <w:position w:val="14"/>
                <w:sz w:val="21"/>
                <w:szCs w:val="21"/>
                <w:highlight w:val="none"/>
              </w:rPr>
              <w:t>价</w:t>
            </w:r>
            <w:r>
              <w:rPr>
                <w:rFonts w:hint="eastAsia" w:ascii="宋体" w:hAnsi="宋体" w:eastAsia="宋体" w:cs="宋体"/>
                <w:color w:val="auto"/>
                <w:spacing w:val="7"/>
                <w:position w:val="14"/>
                <w:sz w:val="21"/>
                <w:szCs w:val="21"/>
                <w:highlight w:val="none"/>
              </w:rPr>
              <w:t>子目已完成工程量按月计量，总价子目按第17.1.5项(总价子目的计量)计量后，汇入当月计量。</w:t>
            </w:r>
          </w:p>
        </w:tc>
      </w:tr>
      <w:tr w14:paraId="5B3767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24" w:type="dxa"/>
            <w:tcBorders>
              <w:left w:val="single" w:color="000000" w:sz="6" w:space="0"/>
            </w:tcBorders>
            <w:vAlign w:val="center"/>
          </w:tcPr>
          <w:p w14:paraId="5050F2F5">
            <w:pPr>
              <w:keepLines w:val="0"/>
              <w:pageBreakBefore w:val="0"/>
              <w:widowControl w:val="0"/>
              <w:kinsoku/>
              <w:overflowPunct/>
              <w:topLinePunct w:val="0"/>
              <w:autoSpaceDE/>
              <w:autoSpaceDN/>
              <w:bidi w:val="0"/>
              <w:snapToGrid w:val="0"/>
              <w:spacing w:before="57" w:line="240" w:lineRule="auto"/>
              <w:ind w:left="105" w:leftChars="50" w:right="283" w:rightChars="0" w:firstLine="0" w:firstLineChars="0"/>
              <w:jc w:val="center"/>
              <w:textAlignment w:val="auto"/>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3</w:t>
            </w:r>
            <w:r>
              <w:rPr>
                <w:rFonts w:hint="eastAsia" w:ascii="宋体" w:hAnsi="宋体" w:eastAsia="宋体" w:cs="宋体"/>
                <w:color w:val="auto"/>
                <w:sz w:val="21"/>
                <w:szCs w:val="21"/>
                <w:highlight w:val="none"/>
                <w:lang w:val="en-US" w:eastAsia="zh-CN"/>
              </w:rPr>
              <w:t>2</w:t>
            </w:r>
          </w:p>
        </w:tc>
        <w:tc>
          <w:tcPr>
            <w:tcW w:w="1384" w:type="dxa"/>
            <w:vAlign w:val="center"/>
          </w:tcPr>
          <w:p w14:paraId="33675F78">
            <w:pPr>
              <w:keepLines w:val="0"/>
              <w:pageBreakBefore w:val="0"/>
              <w:widowControl w:val="0"/>
              <w:kinsoku/>
              <w:overflowPunct/>
              <w:topLinePunct w:val="0"/>
              <w:autoSpaceDE/>
              <w:autoSpaceDN/>
              <w:bidi w:val="0"/>
              <w:snapToGrid w:val="0"/>
              <w:spacing w:before="57" w:line="240" w:lineRule="auto"/>
              <w:ind w:left="105" w:leftChars="50" w:right="283" w:rightChars="0" w:firstLine="0" w:firstLineChars="0"/>
              <w:jc w:val="center"/>
              <w:textAlignment w:val="auto"/>
              <w:rPr>
                <w:rFonts w:hint="eastAsia" w:ascii="宋体" w:hAnsi="宋体" w:eastAsia="宋体" w:cs="宋体"/>
                <w:color w:val="auto"/>
                <w:spacing w:val="-3"/>
                <w:sz w:val="21"/>
                <w:szCs w:val="21"/>
                <w:highlight w:val="none"/>
              </w:rPr>
            </w:pPr>
            <w:r>
              <w:rPr>
                <w:rFonts w:hint="eastAsia" w:ascii="宋体" w:hAnsi="宋体" w:eastAsia="宋体" w:cs="宋体"/>
                <w:color w:val="auto"/>
                <w:spacing w:val="-8"/>
                <w:sz w:val="21"/>
                <w:szCs w:val="21"/>
                <w:highlight w:val="none"/>
              </w:rPr>
              <w:t>1</w:t>
            </w:r>
            <w:r>
              <w:rPr>
                <w:rFonts w:hint="eastAsia" w:ascii="宋体" w:hAnsi="宋体" w:eastAsia="宋体" w:cs="宋体"/>
                <w:color w:val="auto"/>
                <w:spacing w:val="-7"/>
                <w:sz w:val="21"/>
                <w:szCs w:val="21"/>
                <w:highlight w:val="none"/>
              </w:rPr>
              <w:t>7.1.4</w:t>
            </w:r>
          </w:p>
        </w:tc>
        <w:tc>
          <w:tcPr>
            <w:tcW w:w="7054" w:type="dxa"/>
            <w:tcBorders>
              <w:right w:val="single" w:color="000000" w:sz="6" w:space="0"/>
            </w:tcBorders>
            <w:vAlign w:val="center"/>
          </w:tcPr>
          <w:p w14:paraId="2604CA63">
            <w:pPr>
              <w:keepLines w:val="0"/>
              <w:pageBreakBefore w:val="0"/>
              <w:widowControl w:val="0"/>
              <w:kinsoku/>
              <w:overflowPunct/>
              <w:topLinePunct w:val="0"/>
              <w:autoSpaceDE/>
              <w:autoSpaceDN/>
              <w:bidi w:val="0"/>
              <w:snapToGrid w:val="0"/>
              <w:spacing w:before="141"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17.1.4</w:t>
            </w:r>
            <w:r>
              <w:rPr>
                <w:rFonts w:hint="eastAsia" w:ascii="宋体" w:hAnsi="宋体" w:eastAsia="宋体" w:cs="宋体"/>
                <w:color w:val="auto"/>
                <w:spacing w:val="1"/>
                <w:sz w:val="21"/>
                <w:szCs w:val="21"/>
                <w:highlight w:val="none"/>
              </w:rPr>
              <w:t>单价子目的计量</w:t>
            </w:r>
            <w:r>
              <w:rPr>
                <w:rFonts w:hint="eastAsia" w:ascii="宋体" w:hAnsi="宋体" w:eastAsia="宋体" w:cs="宋体"/>
                <w:color w:val="auto"/>
                <w:spacing w:val="9"/>
                <w:sz w:val="21"/>
                <w:szCs w:val="21"/>
                <w:highlight w:val="none"/>
              </w:rPr>
              <w:t>本</w:t>
            </w:r>
            <w:r>
              <w:rPr>
                <w:rFonts w:hint="eastAsia" w:ascii="宋体" w:hAnsi="宋体" w:eastAsia="宋体" w:cs="宋体"/>
                <w:color w:val="auto"/>
                <w:spacing w:val="6"/>
                <w:sz w:val="21"/>
                <w:szCs w:val="21"/>
                <w:highlight w:val="none"/>
              </w:rPr>
              <w:t>项约定为：</w:t>
            </w:r>
          </w:p>
          <w:p w14:paraId="73085F40">
            <w:pPr>
              <w:keepLines w:val="0"/>
              <w:pageBreakBefore w:val="0"/>
              <w:widowControl w:val="0"/>
              <w:kinsoku/>
              <w:overflowPunct/>
              <w:topLinePunct w:val="0"/>
              <w:autoSpaceDE/>
              <w:autoSpaceDN/>
              <w:bidi w:val="0"/>
              <w:snapToGrid w:val="0"/>
              <w:spacing w:before="154"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6"/>
                <w:sz w:val="21"/>
                <w:szCs w:val="21"/>
                <w:highlight w:val="none"/>
              </w:rPr>
              <w:t>(</w:t>
            </w:r>
            <w:r>
              <w:rPr>
                <w:rFonts w:hint="eastAsia" w:ascii="宋体" w:hAnsi="宋体" w:eastAsia="宋体" w:cs="宋体"/>
                <w:color w:val="auto"/>
                <w:spacing w:val="11"/>
                <w:sz w:val="21"/>
                <w:szCs w:val="21"/>
                <w:highlight w:val="none"/>
              </w:rPr>
              <w:t>1)已标价工程量清单中的单价子目工程量为估算工程量。结算工程量是承包</w:t>
            </w:r>
            <w:r>
              <w:rPr>
                <w:rFonts w:hint="eastAsia" w:ascii="宋体" w:hAnsi="宋体" w:eastAsia="宋体" w:cs="宋体"/>
                <w:color w:val="auto"/>
                <w:spacing w:val="13"/>
                <w:sz w:val="21"/>
                <w:szCs w:val="21"/>
                <w:highlight w:val="none"/>
              </w:rPr>
              <w:t>人</w:t>
            </w:r>
            <w:r>
              <w:rPr>
                <w:rFonts w:hint="eastAsia" w:ascii="宋体" w:hAnsi="宋体" w:eastAsia="宋体" w:cs="宋体"/>
                <w:color w:val="auto"/>
                <w:spacing w:val="9"/>
                <w:sz w:val="21"/>
                <w:szCs w:val="21"/>
                <w:highlight w:val="none"/>
              </w:rPr>
              <w:t>实际完成的，并按合同约定的计量方法进行计量的工程量。</w:t>
            </w:r>
          </w:p>
          <w:p w14:paraId="63D2E7B2">
            <w:pPr>
              <w:keepLines w:val="0"/>
              <w:pageBreakBefore w:val="0"/>
              <w:widowControl w:val="0"/>
              <w:kinsoku/>
              <w:overflowPunct/>
              <w:topLinePunct w:val="0"/>
              <w:autoSpaceDE/>
              <w:autoSpaceDN/>
              <w:bidi w:val="0"/>
              <w:snapToGrid w:val="0"/>
              <w:spacing w:before="2"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6"/>
                <w:sz w:val="21"/>
                <w:szCs w:val="21"/>
                <w:highlight w:val="none"/>
              </w:rPr>
              <w:t>(</w:t>
            </w:r>
            <w:r>
              <w:rPr>
                <w:rFonts w:hint="eastAsia" w:ascii="宋体" w:hAnsi="宋体" w:eastAsia="宋体" w:cs="宋体"/>
                <w:color w:val="auto"/>
                <w:spacing w:val="11"/>
                <w:sz w:val="21"/>
                <w:szCs w:val="21"/>
                <w:highlight w:val="none"/>
              </w:rPr>
              <w:t>2)承包人对已完成的工程进行计量，向监理人提交进度付款申请单、已完成工</w:t>
            </w:r>
            <w:r>
              <w:rPr>
                <w:rFonts w:hint="eastAsia" w:ascii="宋体" w:hAnsi="宋体" w:eastAsia="宋体" w:cs="宋体"/>
                <w:color w:val="auto"/>
                <w:spacing w:val="8"/>
                <w:sz w:val="21"/>
                <w:szCs w:val="21"/>
                <w:highlight w:val="none"/>
              </w:rPr>
              <w:t>程量报表和有关计量资料。</w:t>
            </w:r>
          </w:p>
          <w:p w14:paraId="1E5D85C1">
            <w:pPr>
              <w:keepLines w:val="0"/>
              <w:pageBreakBefore w:val="0"/>
              <w:widowControl w:val="0"/>
              <w:kinsoku/>
              <w:overflowPunct/>
              <w:topLinePunct w:val="0"/>
              <w:autoSpaceDE/>
              <w:autoSpaceDN/>
              <w:bidi w:val="0"/>
              <w:snapToGrid w:val="0"/>
              <w:spacing w:before="3"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8"/>
                <w:sz w:val="21"/>
                <w:szCs w:val="21"/>
                <w:highlight w:val="none"/>
              </w:rPr>
              <w:t>(</w:t>
            </w:r>
            <w:r>
              <w:rPr>
                <w:rFonts w:hint="eastAsia" w:ascii="宋体" w:hAnsi="宋体" w:eastAsia="宋体" w:cs="宋体"/>
                <w:color w:val="auto"/>
                <w:spacing w:val="11"/>
                <w:sz w:val="21"/>
                <w:szCs w:val="21"/>
                <w:highlight w:val="none"/>
              </w:rPr>
              <w:t>3)监理人对承包人提交的工程量报表进行复核，以确定实际完成的工程量。</w:t>
            </w:r>
            <w:r>
              <w:rPr>
                <w:rFonts w:hint="eastAsia" w:ascii="宋体" w:hAnsi="宋体" w:eastAsia="宋体" w:cs="宋体"/>
                <w:color w:val="auto"/>
                <w:spacing w:val="10"/>
                <w:sz w:val="21"/>
                <w:szCs w:val="21"/>
                <w:highlight w:val="none"/>
              </w:rPr>
              <w:t>对数量有异</w:t>
            </w:r>
            <w:r>
              <w:rPr>
                <w:rFonts w:hint="eastAsia" w:ascii="宋体" w:hAnsi="宋体" w:eastAsia="宋体" w:cs="宋体"/>
                <w:color w:val="auto"/>
                <w:spacing w:val="5"/>
                <w:sz w:val="21"/>
                <w:szCs w:val="21"/>
                <w:highlight w:val="none"/>
              </w:rPr>
              <w:t>议的，可要求承包人按第8.2款约定进行共同复核和抽样复测。承包人</w:t>
            </w:r>
            <w:r>
              <w:rPr>
                <w:rFonts w:hint="eastAsia" w:ascii="宋体" w:hAnsi="宋体" w:eastAsia="宋体" w:cs="宋体"/>
                <w:color w:val="auto"/>
                <w:spacing w:val="14"/>
                <w:sz w:val="21"/>
                <w:szCs w:val="21"/>
                <w:highlight w:val="none"/>
              </w:rPr>
              <w:t>应</w:t>
            </w:r>
            <w:r>
              <w:rPr>
                <w:rFonts w:hint="eastAsia" w:ascii="宋体" w:hAnsi="宋体" w:eastAsia="宋体" w:cs="宋体"/>
                <w:color w:val="auto"/>
                <w:spacing w:val="12"/>
                <w:sz w:val="21"/>
                <w:szCs w:val="21"/>
                <w:highlight w:val="none"/>
              </w:rPr>
              <w:t>协助监理人进行复核并按监理人要求提供补充计量资料。承包人未按监理人要</w:t>
            </w:r>
            <w:r>
              <w:rPr>
                <w:rFonts w:hint="eastAsia" w:ascii="宋体" w:hAnsi="宋体" w:eastAsia="宋体" w:cs="宋体"/>
                <w:color w:val="auto"/>
                <w:spacing w:val="18"/>
                <w:sz w:val="21"/>
                <w:szCs w:val="21"/>
                <w:highlight w:val="none"/>
              </w:rPr>
              <w:t>求</w:t>
            </w:r>
            <w:r>
              <w:rPr>
                <w:rFonts w:hint="eastAsia" w:ascii="宋体" w:hAnsi="宋体" w:eastAsia="宋体" w:cs="宋体"/>
                <w:color w:val="auto"/>
                <w:spacing w:val="13"/>
                <w:sz w:val="21"/>
                <w:szCs w:val="21"/>
                <w:highlight w:val="none"/>
              </w:rPr>
              <w:t>参</w:t>
            </w:r>
            <w:r>
              <w:rPr>
                <w:rFonts w:hint="eastAsia" w:ascii="宋体" w:hAnsi="宋体" w:eastAsia="宋体" w:cs="宋体"/>
                <w:color w:val="auto"/>
                <w:spacing w:val="9"/>
                <w:sz w:val="21"/>
                <w:szCs w:val="21"/>
                <w:highlight w:val="none"/>
              </w:rPr>
              <w:t>加复核，监理人复核或修正的工程量视为承包人实际完成的工程量。</w:t>
            </w:r>
          </w:p>
          <w:p w14:paraId="31C156A6">
            <w:pPr>
              <w:keepLines w:val="0"/>
              <w:pageBreakBefore w:val="0"/>
              <w:widowControl w:val="0"/>
              <w:kinsoku/>
              <w:overflowPunct/>
              <w:topLinePunct w:val="0"/>
              <w:autoSpaceDE/>
              <w:autoSpaceDN/>
              <w:bidi w:val="0"/>
              <w:snapToGrid w:val="0"/>
              <w:spacing w:before="2"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6"/>
                <w:sz w:val="21"/>
                <w:szCs w:val="21"/>
                <w:highlight w:val="none"/>
              </w:rPr>
              <w:t>(</w:t>
            </w:r>
            <w:r>
              <w:rPr>
                <w:rFonts w:hint="eastAsia" w:ascii="宋体" w:hAnsi="宋体" w:eastAsia="宋体" w:cs="宋体"/>
                <w:color w:val="auto"/>
                <w:spacing w:val="11"/>
                <w:sz w:val="21"/>
                <w:szCs w:val="21"/>
                <w:highlight w:val="none"/>
              </w:rPr>
              <w:t>4)监理人认为有必要时，可通知承包人共同进行联合测量、计量，承包人应</w:t>
            </w:r>
            <w:r>
              <w:rPr>
                <w:rFonts w:hint="eastAsia" w:ascii="宋体" w:hAnsi="宋体" w:eastAsia="宋体" w:cs="宋体"/>
                <w:color w:val="auto"/>
                <w:spacing w:val="6"/>
                <w:sz w:val="21"/>
                <w:szCs w:val="21"/>
                <w:highlight w:val="none"/>
              </w:rPr>
              <w:t>遵照执行。</w:t>
            </w:r>
          </w:p>
          <w:p w14:paraId="313C2343">
            <w:pPr>
              <w:keepLines w:val="0"/>
              <w:pageBreakBefore w:val="0"/>
              <w:widowControl w:val="0"/>
              <w:kinsoku/>
              <w:overflowPunct/>
              <w:topLinePunct w:val="0"/>
              <w:autoSpaceDE/>
              <w:autoSpaceDN/>
              <w:bidi w:val="0"/>
              <w:snapToGrid w:val="0"/>
              <w:spacing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6"/>
                <w:sz w:val="21"/>
                <w:szCs w:val="21"/>
                <w:highlight w:val="none"/>
              </w:rPr>
              <w:t>(</w:t>
            </w:r>
            <w:r>
              <w:rPr>
                <w:rFonts w:hint="eastAsia" w:ascii="宋体" w:hAnsi="宋体" w:eastAsia="宋体" w:cs="宋体"/>
                <w:color w:val="auto"/>
                <w:spacing w:val="11"/>
                <w:sz w:val="21"/>
                <w:szCs w:val="21"/>
                <w:highlight w:val="none"/>
              </w:rPr>
              <w:t>5)承包人完成工程量清单中每个子目的工程量后，监理人应要求承包人派员</w:t>
            </w:r>
            <w:r>
              <w:rPr>
                <w:rFonts w:hint="eastAsia" w:ascii="宋体" w:hAnsi="宋体" w:eastAsia="宋体" w:cs="宋体"/>
                <w:color w:val="auto"/>
                <w:spacing w:val="9"/>
                <w:sz w:val="21"/>
                <w:szCs w:val="21"/>
                <w:highlight w:val="none"/>
              </w:rPr>
              <w:t>共同对每个子目的历次计量报表进行汇总，以核实最终结算工程量。监理人可</w:t>
            </w:r>
            <w:r>
              <w:rPr>
                <w:rFonts w:hint="eastAsia" w:ascii="宋体" w:hAnsi="宋体" w:eastAsia="宋体" w:cs="宋体"/>
                <w:color w:val="auto"/>
                <w:spacing w:val="7"/>
                <w:sz w:val="21"/>
                <w:szCs w:val="21"/>
                <w:highlight w:val="none"/>
              </w:rPr>
              <w:t>要</w:t>
            </w:r>
            <w:r>
              <w:rPr>
                <w:rFonts w:hint="eastAsia" w:ascii="宋体" w:hAnsi="宋体" w:eastAsia="宋体" w:cs="宋体"/>
                <w:color w:val="auto"/>
                <w:spacing w:val="9"/>
                <w:sz w:val="21"/>
                <w:szCs w:val="21"/>
                <w:highlight w:val="none"/>
              </w:rPr>
              <w:t>求承包人提供补充计量资料，以确定最后一次进度付款的准确工程量。承包人</w:t>
            </w:r>
            <w:r>
              <w:rPr>
                <w:rFonts w:hint="eastAsia" w:ascii="宋体" w:hAnsi="宋体" w:eastAsia="宋体" w:cs="宋体"/>
                <w:color w:val="auto"/>
                <w:spacing w:val="7"/>
                <w:sz w:val="21"/>
                <w:szCs w:val="21"/>
                <w:highlight w:val="none"/>
              </w:rPr>
              <w:t>未</w:t>
            </w:r>
            <w:r>
              <w:rPr>
                <w:rFonts w:hint="eastAsia" w:ascii="宋体" w:hAnsi="宋体" w:eastAsia="宋体" w:cs="宋体"/>
                <w:color w:val="auto"/>
                <w:spacing w:val="14"/>
                <w:sz w:val="21"/>
                <w:szCs w:val="21"/>
                <w:highlight w:val="none"/>
              </w:rPr>
              <w:t>按</w:t>
            </w:r>
            <w:r>
              <w:rPr>
                <w:rFonts w:hint="eastAsia" w:ascii="宋体" w:hAnsi="宋体" w:eastAsia="宋体" w:cs="宋体"/>
                <w:color w:val="auto"/>
                <w:spacing w:val="12"/>
                <w:sz w:val="21"/>
                <w:szCs w:val="21"/>
                <w:highlight w:val="none"/>
              </w:rPr>
              <w:t>监理人要求派员参加的，监理人最终核实的工程量视为承包人完成该子目的准</w:t>
            </w:r>
            <w:r>
              <w:rPr>
                <w:rFonts w:hint="eastAsia" w:ascii="宋体" w:hAnsi="宋体" w:eastAsia="宋体" w:cs="宋体"/>
                <w:color w:val="auto"/>
                <w:spacing w:val="6"/>
                <w:sz w:val="21"/>
                <w:szCs w:val="21"/>
                <w:highlight w:val="none"/>
              </w:rPr>
              <w:t>确工程量。</w:t>
            </w:r>
          </w:p>
          <w:p w14:paraId="09AB1703">
            <w:pPr>
              <w:keepLines w:val="0"/>
              <w:pageBreakBefore w:val="0"/>
              <w:widowControl w:val="0"/>
              <w:kinsoku/>
              <w:overflowPunct/>
              <w:topLinePunct w:val="0"/>
              <w:autoSpaceDE/>
              <w:autoSpaceDN/>
              <w:bidi w:val="0"/>
              <w:snapToGrid w:val="0"/>
              <w:spacing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8"/>
                <w:sz w:val="21"/>
                <w:szCs w:val="21"/>
                <w:highlight w:val="none"/>
              </w:rPr>
              <w:t>(</w:t>
            </w:r>
            <w:r>
              <w:rPr>
                <w:rFonts w:hint="eastAsia" w:ascii="宋体" w:hAnsi="宋体" w:eastAsia="宋体" w:cs="宋体"/>
                <w:color w:val="auto"/>
                <w:spacing w:val="9"/>
                <w:sz w:val="21"/>
                <w:szCs w:val="21"/>
                <w:highlight w:val="none"/>
              </w:rPr>
              <w:t>6)监理人应在收到承包人提交的工程量报表后的7天内进行复核，监理人未</w:t>
            </w:r>
            <w:r>
              <w:rPr>
                <w:rFonts w:hint="eastAsia" w:ascii="宋体" w:hAnsi="宋体" w:eastAsia="宋体" w:cs="宋体"/>
                <w:color w:val="auto"/>
                <w:spacing w:val="14"/>
                <w:sz w:val="21"/>
                <w:szCs w:val="21"/>
                <w:highlight w:val="none"/>
              </w:rPr>
              <w:t>在</w:t>
            </w:r>
            <w:r>
              <w:rPr>
                <w:rFonts w:hint="eastAsia" w:ascii="宋体" w:hAnsi="宋体" w:eastAsia="宋体" w:cs="宋体"/>
                <w:color w:val="auto"/>
                <w:spacing w:val="12"/>
                <w:sz w:val="21"/>
                <w:szCs w:val="21"/>
                <w:highlight w:val="none"/>
              </w:rPr>
              <w:t>约定时间内复核的，承包人提交的工程量报表中的工程量视为承包人实际完成</w:t>
            </w:r>
            <w:r>
              <w:rPr>
                <w:rFonts w:hint="eastAsia" w:ascii="宋体" w:hAnsi="宋体" w:eastAsia="宋体" w:cs="宋体"/>
                <w:color w:val="auto"/>
                <w:spacing w:val="16"/>
                <w:sz w:val="21"/>
                <w:szCs w:val="21"/>
                <w:highlight w:val="none"/>
              </w:rPr>
              <w:t>的</w:t>
            </w:r>
            <w:r>
              <w:rPr>
                <w:rFonts w:hint="eastAsia" w:ascii="宋体" w:hAnsi="宋体" w:eastAsia="宋体" w:cs="宋体"/>
                <w:color w:val="auto"/>
                <w:spacing w:val="9"/>
                <w:sz w:val="21"/>
                <w:szCs w:val="21"/>
                <w:highlight w:val="none"/>
              </w:rPr>
              <w:t>工</w:t>
            </w:r>
            <w:r>
              <w:rPr>
                <w:rFonts w:hint="eastAsia" w:ascii="宋体" w:hAnsi="宋体" w:eastAsia="宋体" w:cs="宋体"/>
                <w:color w:val="auto"/>
                <w:spacing w:val="8"/>
                <w:sz w:val="21"/>
                <w:szCs w:val="21"/>
                <w:highlight w:val="none"/>
              </w:rPr>
              <w:t>程量，据此计算工程价款。</w:t>
            </w:r>
          </w:p>
          <w:p w14:paraId="3639F8B2">
            <w:pPr>
              <w:keepLines w:val="0"/>
              <w:pageBreakBefore w:val="0"/>
              <w:widowControl w:val="0"/>
              <w:kinsoku/>
              <w:overflowPunct/>
              <w:topLinePunct w:val="0"/>
              <w:autoSpaceDE/>
              <w:autoSpaceDN/>
              <w:bidi w:val="0"/>
              <w:snapToGrid w:val="0"/>
              <w:spacing w:line="240" w:lineRule="auto"/>
              <w:ind w:left="105" w:leftChars="50" w:right="283"/>
              <w:jc w:val="left"/>
              <w:textAlignment w:val="auto"/>
              <w:rPr>
                <w:rFonts w:hint="eastAsia" w:ascii="宋体" w:hAnsi="宋体" w:eastAsia="宋体" w:cs="宋体"/>
                <w:color w:val="auto"/>
                <w:spacing w:val="22"/>
                <w:sz w:val="21"/>
                <w:szCs w:val="21"/>
                <w:highlight w:val="none"/>
              </w:rPr>
            </w:pPr>
            <w:r>
              <w:rPr>
                <w:rFonts w:hint="eastAsia" w:ascii="宋体" w:hAnsi="宋体" w:eastAsia="宋体" w:cs="宋体"/>
                <w:color w:val="auto"/>
                <w:spacing w:val="16"/>
                <w:position w:val="15"/>
                <w:sz w:val="21"/>
                <w:szCs w:val="21"/>
                <w:highlight w:val="none"/>
              </w:rPr>
              <w:t>(</w:t>
            </w:r>
            <w:r>
              <w:rPr>
                <w:rFonts w:hint="eastAsia" w:ascii="宋体" w:hAnsi="宋体" w:eastAsia="宋体" w:cs="宋体"/>
                <w:color w:val="auto"/>
                <w:spacing w:val="11"/>
                <w:position w:val="15"/>
                <w:sz w:val="21"/>
                <w:szCs w:val="21"/>
                <w:highlight w:val="none"/>
              </w:rPr>
              <w:t>7)承包人未在已标价工程量清单中填入单价或总额价的工程子目，将被认为其已包含在本合同的其他子目的单价和总额价中，发包人将不另行支付。</w:t>
            </w:r>
          </w:p>
        </w:tc>
      </w:tr>
      <w:tr w14:paraId="44E977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24" w:type="dxa"/>
            <w:tcBorders>
              <w:left w:val="single" w:color="000000" w:sz="6" w:space="0"/>
            </w:tcBorders>
            <w:vAlign w:val="center"/>
          </w:tcPr>
          <w:p w14:paraId="19C5EA44">
            <w:pPr>
              <w:keepLines w:val="0"/>
              <w:pageBreakBefore w:val="0"/>
              <w:widowControl w:val="0"/>
              <w:kinsoku/>
              <w:overflowPunct/>
              <w:topLinePunct w:val="0"/>
              <w:autoSpaceDE/>
              <w:autoSpaceDN/>
              <w:bidi w:val="0"/>
              <w:snapToGrid w:val="0"/>
              <w:spacing w:before="57" w:line="240" w:lineRule="auto"/>
              <w:ind w:left="105" w:leftChars="50" w:right="283" w:rightChars="0" w:firstLine="0" w:firstLineChars="0"/>
              <w:jc w:val="center"/>
              <w:textAlignment w:val="auto"/>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3</w:t>
            </w:r>
            <w:r>
              <w:rPr>
                <w:rFonts w:hint="eastAsia" w:ascii="宋体" w:hAnsi="宋体" w:eastAsia="宋体" w:cs="宋体"/>
                <w:color w:val="auto"/>
                <w:sz w:val="21"/>
                <w:szCs w:val="21"/>
                <w:highlight w:val="none"/>
                <w:lang w:val="en-US" w:eastAsia="zh-CN"/>
              </w:rPr>
              <w:t>3</w:t>
            </w:r>
          </w:p>
        </w:tc>
        <w:tc>
          <w:tcPr>
            <w:tcW w:w="1384" w:type="dxa"/>
            <w:vAlign w:val="center"/>
          </w:tcPr>
          <w:p w14:paraId="44CD239E">
            <w:pPr>
              <w:keepLines w:val="0"/>
              <w:pageBreakBefore w:val="0"/>
              <w:widowControl w:val="0"/>
              <w:kinsoku/>
              <w:overflowPunct/>
              <w:topLinePunct w:val="0"/>
              <w:autoSpaceDE/>
              <w:autoSpaceDN/>
              <w:bidi w:val="0"/>
              <w:snapToGrid w:val="0"/>
              <w:spacing w:before="57" w:line="240" w:lineRule="auto"/>
              <w:ind w:left="105" w:leftChars="50" w:right="283" w:rightChars="0" w:firstLine="0" w:firstLineChars="0"/>
              <w:jc w:val="center"/>
              <w:textAlignment w:val="auto"/>
              <w:rPr>
                <w:rFonts w:hint="eastAsia" w:ascii="宋体" w:hAnsi="宋体" w:eastAsia="宋体" w:cs="宋体"/>
                <w:color w:val="auto"/>
                <w:spacing w:val="-3"/>
                <w:sz w:val="21"/>
                <w:szCs w:val="21"/>
                <w:highlight w:val="none"/>
              </w:rPr>
            </w:pPr>
            <w:r>
              <w:rPr>
                <w:rFonts w:hint="eastAsia" w:ascii="宋体" w:hAnsi="宋体" w:eastAsia="宋体" w:cs="宋体"/>
                <w:color w:val="auto"/>
                <w:spacing w:val="-9"/>
                <w:sz w:val="21"/>
                <w:szCs w:val="21"/>
                <w:highlight w:val="none"/>
              </w:rPr>
              <w:t>1</w:t>
            </w:r>
            <w:r>
              <w:rPr>
                <w:rFonts w:hint="eastAsia" w:ascii="宋体" w:hAnsi="宋体" w:eastAsia="宋体" w:cs="宋体"/>
                <w:color w:val="auto"/>
                <w:spacing w:val="-6"/>
                <w:sz w:val="21"/>
                <w:szCs w:val="21"/>
                <w:highlight w:val="none"/>
              </w:rPr>
              <w:t>7.1.5</w:t>
            </w:r>
          </w:p>
        </w:tc>
        <w:tc>
          <w:tcPr>
            <w:tcW w:w="7054" w:type="dxa"/>
            <w:tcBorders>
              <w:right w:val="single" w:color="000000" w:sz="6" w:space="0"/>
            </w:tcBorders>
            <w:vAlign w:val="center"/>
          </w:tcPr>
          <w:p w14:paraId="6F6AC6BF">
            <w:pPr>
              <w:keepLines w:val="0"/>
              <w:pageBreakBefore w:val="0"/>
              <w:widowControl w:val="0"/>
              <w:kinsoku/>
              <w:overflowPunct/>
              <w:topLinePunct w:val="0"/>
              <w:autoSpaceDE/>
              <w:autoSpaceDN/>
              <w:bidi w:val="0"/>
              <w:snapToGrid w:val="0"/>
              <w:spacing w:before="141"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8"/>
                <w:sz w:val="21"/>
                <w:szCs w:val="21"/>
                <w:highlight w:val="none"/>
              </w:rPr>
              <w:t>本</w:t>
            </w:r>
            <w:r>
              <w:rPr>
                <w:rFonts w:hint="eastAsia" w:ascii="宋体" w:hAnsi="宋体" w:eastAsia="宋体" w:cs="宋体"/>
                <w:color w:val="auto"/>
                <w:spacing w:val="9"/>
                <w:sz w:val="21"/>
                <w:szCs w:val="21"/>
                <w:highlight w:val="none"/>
              </w:rPr>
              <w:t>项目工程量清单中总价子目的分解和计量支付原则补充以下约定：</w:t>
            </w:r>
          </w:p>
          <w:p w14:paraId="0B66C528">
            <w:pPr>
              <w:keepLines w:val="0"/>
              <w:pageBreakBefore w:val="0"/>
              <w:widowControl w:val="0"/>
              <w:kinsoku/>
              <w:overflowPunct/>
              <w:topLinePunct w:val="0"/>
              <w:autoSpaceDE/>
              <w:autoSpaceDN/>
              <w:bidi w:val="0"/>
              <w:snapToGrid w:val="0"/>
              <w:spacing w:before="155"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6"/>
                <w:sz w:val="21"/>
                <w:szCs w:val="21"/>
                <w:highlight w:val="none"/>
              </w:rPr>
              <w:t>(</w:t>
            </w:r>
            <w:r>
              <w:rPr>
                <w:rFonts w:hint="eastAsia" w:ascii="宋体" w:hAnsi="宋体" w:eastAsia="宋体" w:cs="宋体"/>
                <w:color w:val="auto"/>
                <w:spacing w:val="11"/>
                <w:sz w:val="21"/>
                <w:szCs w:val="21"/>
                <w:highlight w:val="none"/>
              </w:rPr>
              <w:t>1)工程一切险及第三方责任险在首次计量支付前必须按要求投保完成，并在</w:t>
            </w:r>
            <w:r>
              <w:rPr>
                <w:rFonts w:hint="eastAsia" w:ascii="宋体" w:hAnsi="宋体" w:eastAsia="宋体" w:cs="宋体"/>
                <w:color w:val="auto"/>
                <w:spacing w:val="18"/>
                <w:sz w:val="21"/>
                <w:szCs w:val="21"/>
                <w:highlight w:val="none"/>
              </w:rPr>
              <w:t>第</w:t>
            </w:r>
            <w:r>
              <w:rPr>
                <w:rFonts w:hint="eastAsia" w:ascii="宋体" w:hAnsi="宋体" w:eastAsia="宋体" w:cs="宋体"/>
                <w:color w:val="auto"/>
                <w:spacing w:val="14"/>
                <w:sz w:val="21"/>
                <w:szCs w:val="21"/>
                <w:highlight w:val="none"/>
              </w:rPr>
              <w:t>一</w:t>
            </w:r>
            <w:r>
              <w:rPr>
                <w:rFonts w:hint="eastAsia" w:ascii="宋体" w:hAnsi="宋体" w:eastAsia="宋体" w:cs="宋体"/>
                <w:color w:val="auto"/>
                <w:spacing w:val="9"/>
                <w:sz w:val="21"/>
                <w:szCs w:val="21"/>
                <w:highlight w:val="none"/>
              </w:rPr>
              <w:t>次支付时将保险单及发票原件送至发包人，并在计量支付凭证中附复印件。</w:t>
            </w:r>
          </w:p>
          <w:p w14:paraId="733CE18C">
            <w:pPr>
              <w:keepLines w:val="0"/>
              <w:pageBreakBefore w:val="0"/>
              <w:widowControl w:val="0"/>
              <w:kinsoku/>
              <w:overflowPunct/>
              <w:topLinePunct w:val="0"/>
              <w:autoSpaceDE/>
              <w:autoSpaceDN/>
              <w:bidi w:val="0"/>
              <w:snapToGrid w:val="0"/>
              <w:spacing w:before="2"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6"/>
                <w:sz w:val="21"/>
                <w:szCs w:val="21"/>
                <w:highlight w:val="none"/>
              </w:rPr>
              <w:t>(</w:t>
            </w:r>
            <w:r>
              <w:rPr>
                <w:rFonts w:hint="eastAsia" w:ascii="宋体" w:hAnsi="宋体" w:eastAsia="宋体" w:cs="宋体"/>
                <w:color w:val="auto"/>
                <w:spacing w:val="11"/>
                <w:sz w:val="21"/>
                <w:szCs w:val="21"/>
                <w:highlight w:val="none"/>
              </w:rPr>
              <w:t>2)竣工文件在完成编制，上交给发包人后，经发包人验收合格后，由发包人</w:t>
            </w:r>
            <w:r>
              <w:rPr>
                <w:rFonts w:hint="eastAsia" w:ascii="宋体" w:hAnsi="宋体" w:eastAsia="宋体" w:cs="宋体"/>
                <w:color w:val="auto"/>
                <w:spacing w:val="7"/>
                <w:sz w:val="21"/>
                <w:szCs w:val="21"/>
                <w:highlight w:val="none"/>
              </w:rPr>
              <w:t>一</w:t>
            </w:r>
            <w:r>
              <w:rPr>
                <w:rFonts w:hint="eastAsia" w:ascii="宋体" w:hAnsi="宋体" w:eastAsia="宋体" w:cs="宋体"/>
                <w:color w:val="auto"/>
                <w:spacing w:val="6"/>
                <w:sz w:val="21"/>
                <w:szCs w:val="21"/>
                <w:highlight w:val="none"/>
              </w:rPr>
              <w:t>次性支付。</w:t>
            </w:r>
          </w:p>
          <w:p w14:paraId="44CF079B">
            <w:pPr>
              <w:keepLines w:val="0"/>
              <w:pageBreakBefore w:val="0"/>
              <w:widowControl w:val="0"/>
              <w:kinsoku/>
              <w:overflowPunct/>
              <w:topLinePunct w:val="0"/>
              <w:autoSpaceDE/>
              <w:autoSpaceDN/>
              <w:bidi w:val="0"/>
              <w:snapToGrid w:val="0"/>
              <w:spacing w:before="138" w:line="240" w:lineRule="auto"/>
              <w:ind w:left="105" w:leftChars="50" w:right="283" w:rightChars="0" w:firstLine="0" w:firstLineChars="0"/>
              <w:jc w:val="left"/>
              <w:textAlignment w:val="auto"/>
              <w:rPr>
                <w:rFonts w:hint="eastAsia" w:ascii="宋体" w:hAnsi="宋体" w:eastAsia="宋体" w:cs="宋体"/>
                <w:color w:val="auto"/>
                <w:spacing w:val="1"/>
                <w:sz w:val="21"/>
                <w:szCs w:val="21"/>
                <w:highlight w:val="none"/>
              </w:rPr>
            </w:pPr>
            <w:r>
              <w:rPr>
                <w:rFonts w:hint="eastAsia" w:ascii="宋体" w:hAnsi="宋体" w:eastAsia="宋体" w:cs="宋体"/>
                <w:color w:val="auto"/>
                <w:spacing w:val="15"/>
                <w:sz w:val="21"/>
                <w:szCs w:val="21"/>
                <w:highlight w:val="none"/>
              </w:rPr>
              <w:t>(</w:t>
            </w:r>
            <w:r>
              <w:rPr>
                <w:rFonts w:hint="eastAsia" w:ascii="宋体" w:hAnsi="宋体" w:eastAsia="宋体" w:cs="宋体"/>
                <w:color w:val="auto"/>
                <w:spacing w:val="11"/>
                <w:sz w:val="21"/>
                <w:szCs w:val="21"/>
                <w:highlight w:val="none"/>
              </w:rPr>
              <w:t>3)临时占地、临时供电、电信设施、工地建设及拌和站安装与拆除在首次计</w:t>
            </w:r>
            <w:r>
              <w:rPr>
                <w:rFonts w:hint="eastAsia" w:ascii="宋体" w:hAnsi="宋体" w:eastAsia="宋体" w:cs="宋体"/>
                <w:color w:val="auto"/>
                <w:spacing w:val="2"/>
                <w:sz w:val="21"/>
                <w:szCs w:val="21"/>
                <w:highlight w:val="none"/>
              </w:rPr>
              <w:t>量时支付50%，在工程交工验收前再</w:t>
            </w:r>
            <w:r>
              <w:rPr>
                <w:rFonts w:hint="eastAsia" w:ascii="宋体" w:hAnsi="宋体" w:eastAsia="宋体" w:cs="宋体"/>
                <w:color w:val="auto"/>
                <w:spacing w:val="1"/>
                <w:sz w:val="21"/>
                <w:szCs w:val="21"/>
                <w:highlight w:val="none"/>
              </w:rPr>
              <w:t>支付30%，另20%在交工验收后支付。</w:t>
            </w:r>
          </w:p>
          <w:p w14:paraId="0E072FEB">
            <w:pPr>
              <w:keepLines w:val="0"/>
              <w:pageBreakBefore w:val="0"/>
              <w:widowControl w:val="0"/>
              <w:kinsoku/>
              <w:overflowPunct/>
              <w:topLinePunct w:val="0"/>
              <w:autoSpaceDE/>
              <w:autoSpaceDN/>
              <w:bidi w:val="0"/>
              <w:snapToGrid w:val="0"/>
              <w:spacing w:before="138"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6"/>
                <w:sz w:val="21"/>
                <w:szCs w:val="21"/>
                <w:highlight w:val="none"/>
              </w:rPr>
              <w:t>(</w:t>
            </w:r>
            <w:r>
              <w:rPr>
                <w:rFonts w:hint="eastAsia" w:ascii="宋体" w:hAnsi="宋体" w:eastAsia="宋体" w:cs="宋体"/>
                <w:color w:val="auto"/>
                <w:spacing w:val="11"/>
                <w:sz w:val="21"/>
                <w:szCs w:val="21"/>
                <w:highlight w:val="none"/>
              </w:rPr>
              <w:t>4)施工环保费、安全生产费用、交通封闭费、供水与排污设施及临时道路修</w:t>
            </w:r>
            <w:r>
              <w:rPr>
                <w:rFonts w:hint="eastAsia" w:ascii="宋体" w:hAnsi="宋体" w:eastAsia="宋体" w:cs="宋体"/>
                <w:color w:val="auto"/>
                <w:spacing w:val="16"/>
                <w:sz w:val="21"/>
                <w:szCs w:val="21"/>
                <w:highlight w:val="none"/>
              </w:rPr>
              <w:t>建</w:t>
            </w:r>
            <w:r>
              <w:rPr>
                <w:rFonts w:hint="eastAsia" w:ascii="宋体" w:hAnsi="宋体" w:eastAsia="宋体" w:cs="宋体"/>
                <w:color w:val="auto"/>
                <w:spacing w:val="11"/>
                <w:sz w:val="21"/>
                <w:szCs w:val="21"/>
                <w:highlight w:val="none"/>
              </w:rPr>
              <w:t>均</w:t>
            </w:r>
            <w:r>
              <w:rPr>
                <w:rFonts w:hint="eastAsia" w:ascii="宋体" w:hAnsi="宋体" w:eastAsia="宋体" w:cs="宋体"/>
                <w:color w:val="auto"/>
                <w:spacing w:val="8"/>
                <w:sz w:val="21"/>
                <w:szCs w:val="21"/>
                <w:highlight w:val="none"/>
              </w:rPr>
              <w:t>按工程量完成比例进行计量支付。</w:t>
            </w:r>
          </w:p>
          <w:p w14:paraId="01EF674E">
            <w:pPr>
              <w:keepLines w:val="0"/>
              <w:pageBreakBefore w:val="0"/>
              <w:widowControl w:val="0"/>
              <w:kinsoku/>
              <w:overflowPunct/>
              <w:topLinePunct w:val="0"/>
              <w:autoSpaceDE/>
              <w:autoSpaceDN/>
              <w:bidi w:val="0"/>
              <w:snapToGrid w:val="0"/>
              <w:spacing w:before="1" w:line="240" w:lineRule="auto"/>
              <w:ind w:left="105" w:leftChars="50" w:right="283" w:rightChars="0" w:firstLine="0" w:firstLineChars="0"/>
              <w:jc w:val="left"/>
              <w:textAlignment w:val="auto"/>
              <w:rPr>
                <w:rFonts w:hint="default" w:ascii="宋体" w:hAnsi="宋体" w:eastAsia="宋体" w:cs="宋体"/>
                <w:color w:val="auto"/>
                <w:spacing w:val="22"/>
                <w:sz w:val="21"/>
                <w:szCs w:val="21"/>
                <w:highlight w:val="none"/>
                <w:lang w:val="en-US" w:eastAsia="zh-CN"/>
              </w:rPr>
            </w:pPr>
            <w:r>
              <w:rPr>
                <w:rFonts w:hint="eastAsia" w:ascii="宋体" w:hAnsi="宋体" w:eastAsia="宋体" w:cs="宋体"/>
                <w:color w:val="auto"/>
                <w:spacing w:val="22"/>
                <w:position w:val="14"/>
                <w:sz w:val="21"/>
                <w:szCs w:val="21"/>
                <w:highlight w:val="none"/>
              </w:rPr>
              <w:t>(</w:t>
            </w:r>
            <w:r>
              <w:rPr>
                <w:rFonts w:hint="eastAsia" w:ascii="宋体" w:hAnsi="宋体" w:eastAsia="宋体" w:cs="宋体"/>
                <w:color w:val="auto"/>
                <w:spacing w:val="17"/>
                <w:position w:val="14"/>
                <w:sz w:val="21"/>
                <w:szCs w:val="21"/>
                <w:highlight w:val="none"/>
              </w:rPr>
              <w:t>5</w:t>
            </w:r>
            <w:r>
              <w:rPr>
                <w:rFonts w:hint="eastAsia" w:ascii="宋体" w:hAnsi="宋体" w:eastAsia="宋体" w:cs="宋体"/>
                <w:color w:val="auto"/>
                <w:spacing w:val="11"/>
                <w:position w:val="14"/>
                <w:sz w:val="21"/>
                <w:szCs w:val="21"/>
                <w:highlight w:val="none"/>
              </w:rPr>
              <w:t>)安全生产费用需报送材料：安全生产费用需上报材料二份，总监办一份</w:t>
            </w:r>
            <w:r>
              <w:rPr>
                <w:rFonts w:hint="eastAsia" w:ascii="宋体" w:hAnsi="宋体" w:cs="宋体"/>
                <w:color w:val="auto"/>
                <w:spacing w:val="11"/>
                <w:position w:val="14"/>
                <w:sz w:val="21"/>
                <w:szCs w:val="21"/>
                <w:highlight w:val="none"/>
                <w:lang w:eastAsia="zh-CN"/>
              </w:rPr>
              <w:t>，</w:t>
            </w:r>
            <w:r>
              <w:rPr>
                <w:rFonts w:hint="eastAsia" w:ascii="宋体" w:hAnsi="宋体" w:cs="宋体"/>
                <w:color w:val="auto"/>
                <w:spacing w:val="11"/>
                <w:position w:val="14"/>
                <w:sz w:val="21"/>
                <w:szCs w:val="21"/>
                <w:highlight w:val="none"/>
                <w:lang w:val="en-US" w:eastAsia="zh-CN"/>
              </w:rPr>
              <w:t>发包人一份。</w:t>
            </w:r>
          </w:p>
        </w:tc>
      </w:tr>
      <w:tr w14:paraId="5C007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24" w:type="dxa"/>
            <w:tcBorders>
              <w:left w:val="single" w:color="000000" w:sz="6" w:space="0"/>
            </w:tcBorders>
            <w:vAlign w:val="center"/>
          </w:tcPr>
          <w:p w14:paraId="0F55D4EE">
            <w:pPr>
              <w:keepLines w:val="0"/>
              <w:pageBreakBefore w:val="0"/>
              <w:widowControl w:val="0"/>
              <w:kinsoku/>
              <w:overflowPunct/>
              <w:topLinePunct w:val="0"/>
              <w:autoSpaceDE/>
              <w:autoSpaceDN/>
              <w:bidi w:val="0"/>
              <w:snapToGrid w:val="0"/>
              <w:spacing w:before="130" w:line="240" w:lineRule="auto"/>
              <w:ind w:left="105" w:leftChars="50" w:right="283" w:rightChars="0" w:firstLine="0" w:firstLineChars="0"/>
              <w:jc w:val="center"/>
              <w:textAlignment w:val="auto"/>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3</w:t>
            </w:r>
            <w:r>
              <w:rPr>
                <w:rFonts w:hint="eastAsia" w:ascii="宋体" w:hAnsi="宋体" w:eastAsia="宋体" w:cs="宋体"/>
                <w:color w:val="auto"/>
                <w:sz w:val="21"/>
                <w:szCs w:val="21"/>
                <w:highlight w:val="none"/>
                <w:lang w:val="en-US" w:eastAsia="zh-CN"/>
              </w:rPr>
              <w:t>4</w:t>
            </w:r>
          </w:p>
        </w:tc>
        <w:tc>
          <w:tcPr>
            <w:tcW w:w="1384" w:type="dxa"/>
            <w:vAlign w:val="center"/>
          </w:tcPr>
          <w:p w14:paraId="0C64465A">
            <w:pPr>
              <w:keepLines w:val="0"/>
              <w:pageBreakBefore w:val="0"/>
              <w:widowControl w:val="0"/>
              <w:kinsoku/>
              <w:overflowPunct/>
              <w:topLinePunct w:val="0"/>
              <w:autoSpaceDE/>
              <w:autoSpaceDN/>
              <w:bidi w:val="0"/>
              <w:snapToGrid w:val="0"/>
              <w:spacing w:before="92" w:line="240" w:lineRule="auto"/>
              <w:ind w:left="105" w:leftChars="50" w:right="283" w:rightChars="0" w:firstLine="0" w:firstLineChars="0"/>
              <w:jc w:val="center"/>
              <w:textAlignment w:val="auto"/>
              <w:rPr>
                <w:rFonts w:hint="eastAsia" w:ascii="宋体" w:hAnsi="宋体" w:eastAsia="宋体" w:cs="宋体"/>
                <w:color w:val="auto"/>
                <w:spacing w:val="-9"/>
                <w:sz w:val="21"/>
                <w:szCs w:val="21"/>
                <w:highlight w:val="none"/>
              </w:rPr>
            </w:pPr>
            <w:r>
              <w:rPr>
                <w:rFonts w:hint="eastAsia" w:ascii="宋体" w:hAnsi="宋体" w:eastAsia="宋体" w:cs="宋体"/>
                <w:color w:val="auto"/>
                <w:spacing w:val="-3"/>
                <w:sz w:val="21"/>
                <w:szCs w:val="21"/>
                <w:highlight w:val="none"/>
              </w:rPr>
              <w:t>17.2.1(1</w:t>
            </w:r>
            <w:r>
              <w:rPr>
                <w:rFonts w:hint="eastAsia" w:ascii="宋体" w:hAnsi="宋体" w:eastAsia="宋体" w:cs="宋体"/>
                <w:color w:val="auto"/>
                <w:spacing w:val="-2"/>
                <w:sz w:val="21"/>
                <w:szCs w:val="21"/>
                <w:highlight w:val="none"/>
              </w:rPr>
              <w:t>)</w:t>
            </w:r>
          </w:p>
        </w:tc>
        <w:tc>
          <w:tcPr>
            <w:tcW w:w="7054" w:type="dxa"/>
            <w:tcBorders>
              <w:right w:val="single" w:color="000000" w:sz="6" w:space="0"/>
            </w:tcBorders>
            <w:vAlign w:val="center"/>
          </w:tcPr>
          <w:p w14:paraId="0B2810E2">
            <w:pPr>
              <w:keepLines w:val="0"/>
              <w:pageBreakBefore w:val="0"/>
              <w:widowControl w:val="0"/>
              <w:kinsoku/>
              <w:overflowPunct/>
              <w:topLinePunct w:val="0"/>
              <w:autoSpaceDE/>
              <w:autoSpaceDN/>
              <w:bidi w:val="0"/>
              <w:snapToGrid w:val="0"/>
              <w:spacing w:before="100" w:line="240" w:lineRule="auto"/>
              <w:ind w:left="105" w:leftChars="50" w:right="283" w:rightChars="0" w:firstLine="0" w:firstLineChars="0"/>
              <w:jc w:val="left"/>
              <w:textAlignment w:val="auto"/>
              <w:rPr>
                <w:rFonts w:hint="eastAsia" w:ascii="宋体" w:hAnsi="宋体" w:eastAsia="宋体" w:cs="宋体"/>
                <w:color w:val="auto"/>
                <w:spacing w:val="7"/>
                <w:sz w:val="21"/>
                <w:szCs w:val="21"/>
                <w:highlight w:val="none"/>
              </w:rPr>
            </w:pPr>
            <w:r>
              <w:rPr>
                <w:rFonts w:hint="eastAsia" w:ascii="宋体" w:hAnsi="宋体" w:eastAsia="宋体" w:cs="宋体"/>
                <w:color w:val="auto"/>
                <w:spacing w:val="8"/>
                <w:position w:val="1"/>
                <w:sz w:val="21"/>
                <w:szCs w:val="21"/>
                <w:highlight w:val="none"/>
              </w:rPr>
              <w:t>开工预付款</w:t>
            </w:r>
            <w:r>
              <w:rPr>
                <w:rFonts w:hint="eastAsia" w:ascii="宋体" w:hAnsi="宋体" w:eastAsia="宋体" w:cs="宋体"/>
                <w:color w:val="auto"/>
                <w:spacing w:val="5"/>
                <w:position w:val="1"/>
                <w:sz w:val="21"/>
                <w:szCs w:val="21"/>
                <w:highlight w:val="none"/>
              </w:rPr>
              <w:t>金</w:t>
            </w:r>
            <w:r>
              <w:rPr>
                <w:rFonts w:hint="eastAsia" w:ascii="宋体" w:hAnsi="宋体" w:eastAsia="宋体" w:cs="宋体"/>
                <w:color w:val="auto"/>
                <w:spacing w:val="4"/>
                <w:position w:val="1"/>
                <w:sz w:val="21"/>
                <w:szCs w:val="21"/>
                <w:highlight w:val="none"/>
              </w:rPr>
              <w:t>额，规定为：</w:t>
            </w:r>
            <w:r>
              <w:rPr>
                <w:rFonts w:hint="eastAsia" w:ascii="宋体" w:hAnsi="宋体" w:cs="宋体"/>
                <w:color w:val="auto"/>
                <w:spacing w:val="4"/>
                <w:position w:val="1"/>
                <w:sz w:val="21"/>
                <w:szCs w:val="21"/>
                <w:highlight w:val="none"/>
                <w:u w:val="single"/>
                <w:lang w:val="en-US" w:eastAsia="zh-CN"/>
              </w:rPr>
              <w:t xml:space="preserve">  /  </w:t>
            </w:r>
            <w:r>
              <w:rPr>
                <w:rFonts w:hint="eastAsia" w:ascii="宋体" w:hAnsi="宋体" w:eastAsia="宋体" w:cs="宋体"/>
                <w:color w:val="auto"/>
                <w:spacing w:val="4"/>
                <w:position w:val="1"/>
                <w:sz w:val="21"/>
                <w:szCs w:val="21"/>
                <w:highlight w:val="none"/>
              </w:rPr>
              <w:t>%签约</w:t>
            </w:r>
            <w:r>
              <w:rPr>
                <w:rFonts w:hint="eastAsia" w:ascii="宋体" w:hAnsi="宋体" w:eastAsia="宋体" w:cs="宋体"/>
                <w:color w:val="auto"/>
                <w:sz w:val="21"/>
                <w:szCs w:val="21"/>
                <w:highlight w:val="none"/>
              </w:rPr>
              <w:t>合同价</w:t>
            </w:r>
            <w:r>
              <w:rPr>
                <w:rStyle w:val="48"/>
                <w:rFonts w:hint="eastAsia" w:ascii="宋体" w:hAnsi="宋体" w:eastAsia="宋体" w:cs="宋体"/>
                <w:color w:val="auto"/>
                <w:sz w:val="21"/>
                <w:szCs w:val="21"/>
                <w:highlight w:val="none"/>
              </w:rPr>
              <w:footnoteReference w:id="36"/>
            </w:r>
            <w:r>
              <w:rPr>
                <w:rFonts w:hint="eastAsia" w:ascii="宋体" w:hAnsi="宋体" w:eastAsia="宋体" w:cs="宋体"/>
                <w:color w:val="auto"/>
                <w:spacing w:val="4"/>
                <w:position w:val="1"/>
                <w:sz w:val="21"/>
                <w:szCs w:val="21"/>
                <w:highlight w:val="none"/>
              </w:rPr>
              <w:t>(不含暂列金额)</w:t>
            </w:r>
          </w:p>
        </w:tc>
      </w:tr>
      <w:tr w14:paraId="3748D0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24" w:type="dxa"/>
            <w:tcBorders>
              <w:left w:val="single" w:color="000000" w:sz="6" w:space="0"/>
            </w:tcBorders>
            <w:vAlign w:val="center"/>
          </w:tcPr>
          <w:p w14:paraId="0549E2F8">
            <w:pPr>
              <w:keepLines w:val="0"/>
              <w:pageBreakBefore w:val="0"/>
              <w:widowControl w:val="0"/>
              <w:kinsoku/>
              <w:overflowPunct/>
              <w:topLinePunct w:val="0"/>
              <w:autoSpaceDE/>
              <w:autoSpaceDN/>
              <w:bidi w:val="0"/>
              <w:snapToGrid w:val="0"/>
              <w:spacing w:before="148" w:line="240" w:lineRule="auto"/>
              <w:ind w:left="105" w:leftChars="50" w:right="283" w:rightChars="0" w:firstLine="0" w:firstLineChars="0"/>
              <w:jc w:val="center"/>
              <w:textAlignment w:val="auto"/>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lang w:val="en-US" w:eastAsia="zh-CN"/>
              </w:rPr>
              <w:t>35</w:t>
            </w:r>
          </w:p>
        </w:tc>
        <w:tc>
          <w:tcPr>
            <w:tcW w:w="1384" w:type="dxa"/>
            <w:vAlign w:val="center"/>
          </w:tcPr>
          <w:p w14:paraId="632C94DD">
            <w:pPr>
              <w:keepLines w:val="0"/>
              <w:pageBreakBefore w:val="0"/>
              <w:widowControl w:val="0"/>
              <w:kinsoku/>
              <w:overflowPunct/>
              <w:topLinePunct w:val="0"/>
              <w:autoSpaceDE/>
              <w:autoSpaceDN/>
              <w:bidi w:val="0"/>
              <w:snapToGrid w:val="0"/>
              <w:spacing w:before="111" w:line="240" w:lineRule="auto"/>
              <w:ind w:left="105" w:leftChars="50" w:right="283" w:rightChars="0" w:firstLine="0" w:firstLineChars="0"/>
              <w:jc w:val="center"/>
              <w:textAlignment w:val="auto"/>
              <w:rPr>
                <w:rFonts w:hint="eastAsia" w:ascii="宋体" w:hAnsi="宋体" w:eastAsia="宋体" w:cs="宋体"/>
                <w:color w:val="auto"/>
                <w:spacing w:val="-9"/>
                <w:sz w:val="21"/>
                <w:szCs w:val="21"/>
                <w:highlight w:val="none"/>
              </w:rPr>
            </w:pPr>
            <w:r>
              <w:rPr>
                <w:rFonts w:hint="eastAsia" w:ascii="宋体" w:hAnsi="宋体" w:eastAsia="宋体" w:cs="宋体"/>
                <w:color w:val="auto"/>
                <w:spacing w:val="-3"/>
                <w:sz w:val="21"/>
                <w:szCs w:val="21"/>
                <w:highlight w:val="none"/>
              </w:rPr>
              <w:t>17.2.1(2</w:t>
            </w:r>
            <w:r>
              <w:rPr>
                <w:rFonts w:hint="eastAsia" w:ascii="宋体" w:hAnsi="宋体" w:eastAsia="宋体" w:cs="宋体"/>
                <w:color w:val="auto"/>
                <w:spacing w:val="-2"/>
                <w:sz w:val="21"/>
                <w:szCs w:val="21"/>
                <w:highlight w:val="none"/>
              </w:rPr>
              <w:t>)</w:t>
            </w:r>
          </w:p>
        </w:tc>
        <w:tc>
          <w:tcPr>
            <w:tcW w:w="7054" w:type="dxa"/>
            <w:tcBorders>
              <w:right w:val="single" w:color="000000" w:sz="6" w:space="0"/>
            </w:tcBorders>
            <w:vAlign w:val="center"/>
          </w:tcPr>
          <w:p w14:paraId="2F29E69F">
            <w:pPr>
              <w:keepLines w:val="0"/>
              <w:pageBreakBefore w:val="0"/>
              <w:widowControl w:val="0"/>
              <w:kinsoku/>
              <w:overflowPunct/>
              <w:topLinePunct w:val="0"/>
              <w:autoSpaceDE/>
              <w:autoSpaceDN/>
              <w:bidi w:val="0"/>
              <w:snapToGrid w:val="0"/>
              <w:spacing w:before="120" w:line="240" w:lineRule="auto"/>
              <w:ind w:left="105" w:leftChars="50" w:right="283" w:rightChars="0" w:firstLine="0" w:firstLineChars="0"/>
              <w:jc w:val="left"/>
              <w:textAlignment w:val="auto"/>
              <w:rPr>
                <w:rFonts w:hint="eastAsia" w:ascii="宋体" w:hAnsi="宋体" w:eastAsia="宋体" w:cs="宋体"/>
                <w:color w:val="auto"/>
                <w:spacing w:val="7"/>
                <w:sz w:val="21"/>
                <w:szCs w:val="21"/>
                <w:highlight w:val="none"/>
              </w:rPr>
            </w:pPr>
            <w:r>
              <w:rPr>
                <w:rFonts w:hint="eastAsia" w:ascii="宋体" w:hAnsi="宋体" w:eastAsia="宋体" w:cs="宋体"/>
                <w:color w:val="auto"/>
                <w:spacing w:val="1"/>
                <w:position w:val="1"/>
                <w:sz w:val="21"/>
                <w:szCs w:val="21"/>
                <w:highlight w:val="none"/>
              </w:rPr>
              <w:t>材料、设备预付款比例，规定为：/等主要材料、设备单据所</w:t>
            </w:r>
            <w:r>
              <w:rPr>
                <w:rFonts w:hint="eastAsia" w:ascii="宋体" w:hAnsi="宋体" w:eastAsia="宋体" w:cs="宋体"/>
                <w:color w:val="auto"/>
                <w:position w:val="1"/>
                <w:sz w:val="21"/>
                <w:szCs w:val="21"/>
                <w:highlight w:val="none"/>
              </w:rPr>
              <w:t>列费用</w:t>
            </w:r>
            <w:r>
              <w:rPr>
                <w:rFonts w:hint="eastAsia" w:ascii="宋体" w:hAnsi="宋体" w:eastAsia="宋体" w:cs="宋体"/>
                <w:color w:val="auto"/>
                <w:sz w:val="21"/>
                <w:szCs w:val="21"/>
                <w:highlight w:val="none"/>
              </w:rPr>
              <w:t>的</w:t>
            </w:r>
            <w:r>
              <w:rPr>
                <w:rFonts w:hint="eastAsia" w:ascii="宋体" w:hAnsi="宋体" w:cs="宋体"/>
                <w:color w:val="auto"/>
                <w:spacing w:val="4"/>
                <w:position w:val="1"/>
                <w:sz w:val="21"/>
                <w:szCs w:val="21"/>
                <w:highlight w:val="none"/>
                <w:u w:val="single"/>
                <w:lang w:val="en-US" w:eastAsia="zh-CN"/>
              </w:rPr>
              <w:t xml:space="preserve"> / </w:t>
            </w:r>
            <w:r>
              <w:rPr>
                <w:rFonts w:hint="eastAsia" w:ascii="宋体" w:hAnsi="宋体" w:eastAsia="宋体" w:cs="宋体"/>
                <w:color w:val="auto"/>
                <w:sz w:val="21"/>
                <w:szCs w:val="21"/>
                <w:highlight w:val="none"/>
              </w:rPr>
              <w:t>%</w:t>
            </w:r>
            <w:r>
              <w:rPr>
                <w:rStyle w:val="48"/>
                <w:rFonts w:hint="eastAsia" w:ascii="宋体" w:hAnsi="宋体" w:eastAsia="宋体" w:cs="宋体"/>
                <w:color w:val="auto"/>
                <w:sz w:val="21"/>
                <w:szCs w:val="21"/>
                <w:highlight w:val="none"/>
              </w:rPr>
              <w:footnoteReference w:id="37"/>
            </w:r>
          </w:p>
        </w:tc>
      </w:tr>
      <w:tr w14:paraId="37027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24" w:type="dxa"/>
            <w:tcBorders>
              <w:left w:val="single" w:color="000000" w:sz="6" w:space="0"/>
            </w:tcBorders>
            <w:vAlign w:val="center"/>
          </w:tcPr>
          <w:p w14:paraId="0A5F2955">
            <w:pPr>
              <w:keepLines w:val="0"/>
              <w:pageBreakBefore w:val="0"/>
              <w:widowControl w:val="0"/>
              <w:kinsoku/>
              <w:overflowPunct/>
              <w:topLinePunct w:val="0"/>
              <w:autoSpaceDE/>
              <w:autoSpaceDN/>
              <w:bidi w:val="0"/>
              <w:snapToGrid w:val="0"/>
              <w:spacing w:before="57" w:line="240" w:lineRule="auto"/>
              <w:ind w:left="105" w:leftChars="50" w:right="283" w:rightChars="0" w:firstLine="0" w:firstLineChars="0"/>
              <w:jc w:val="center"/>
              <w:textAlignment w:val="auto"/>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lang w:val="en-US" w:eastAsia="zh-CN"/>
              </w:rPr>
              <w:t>36</w:t>
            </w:r>
          </w:p>
        </w:tc>
        <w:tc>
          <w:tcPr>
            <w:tcW w:w="1384" w:type="dxa"/>
            <w:vAlign w:val="center"/>
          </w:tcPr>
          <w:p w14:paraId="77882117">
            <w:pPr>
              <w:keepLines w:val="0"/>
              <w:pageBreakBefore w:val="0"/>
              <w:widowControl w:val="0"/>
              <w:kinsoku/>
              <w:overflowPunct/>
              <w:topLinePunct w:val="0"/>
              <w:autoSpaceDE/>
              <w:autoSpaceDN/>
              <w:bidi w:val="0"/>
              <w:snapToGrid w:val="0"/>
              <w:spacing w:before="57" w:line="240" w:lineRule="auto"/>
              <w:ind w:left="105" w:leftChars="50" w:right="283" w:rightChars="0" w:firstLine="0" w:firstLineChars="0"/>
              <w:jc w:val="center"/>
              <w:textAlignment w:val="auto"/>
              <w:rPr>
                <w:rFonts w:hint="eastAsia" w:ascii="宋体" w:hAnsi="宋体" w:eastAsia="宋体" w:cs="宋体"/>
                <w:color w:val="auto"/>
                <w:spacing w:val="-9"/>
                <w:sz w:val="21"/>
                <w:szCs w:val="21"/>
                <w:highlight w:val="none"/>
              </w:rPr>
            </w:pPr>
            <w:r>
              <w:rPr>
                <w:rFonts w:hint="eastAsia" w:ascii="宋体" w:hAnsi="宋体" w:eastAsia="宋体" w:cs="宋体"/>
                <w:color w:val="auto"/>
                <w:spacing w:val="-7"/>
                <w:sz w:val="21"/>
                <w:szCs w:val="21"/>
                <w:highlight w:val="none"/>
              </w:rPr>
              <w:t>1</w:t>
            </w:r>
            <w:r>
              <w:rPr>
                <w:rFonts w:hint="eastAsia" w:ascii="宋体" w:hAnsi="宋体" w:eastAsia="宋体" w:cs="宋体"/>
                <w:color w:val="auto"/>
                <w:spacing w:val="-4"/>
                <w:sz w:val="21"/>
                <w:szCs w:val="21"/>
                <w:highlight w:val="none"/>
              </w:rPr>
              <w:t>7.3.1</w:t>
            </w:r>
          </w:p>
        </w:tc>
        <w:tc>
          <w:tcPr>
            <w:tcW w:w="7054" w:type="dxa"/>
            <w:tcBorders>
              <w:right w:val="single" w:color="000000" w:sz="6" w:space="0"/>
            </w:tcBorders>
            <w:vAlign w:val="center"/>
          </w:tcPr>
          <w:p w14:paraId="426240EB">
            <w:pPr>
              <w:keepLines w:val="0"/>
              <w:pageBreakBefore w:val="0"/>
              <w:widowControl w:val="0"/>
              <w:kinsoku/>
              <w:overflowPunct/>
              <w:topLinePunct w:val="0"/>
              <w:autoSpaceDE/>
              <w:autoSpaceDN/>
              <w:bidi w:val="0"/>
              <w:snapToGrid w:val="0"/>
              <w:spacing w:before="121" w:line="240" w:lineRule="auto"/>
              <w:ind w:left="105" w:leftChars="50" w:right="283" w:rightChars="0" w:firstLine="0" w:firstLineChars="0"/>
              <w:jc w:val="left"/>
              <w:textAlignment w:val="auto"/>
              <w:rPr>
                <w:rFonts w:hint="eastAsia" w:ascii="宋体" w:hAnsi="宋体" w:eastAsia="宋体" w:cs="宋体"/>
                <w:b/>
                <w:bCs/>
                <w:color w:val="auto"/>
                <w:spacing w:val="7"/>
                <w:sz w:val="21"/>
                <w:szCs w:val="21"/>
                <w:highlight w:val="none"/>
              </w:rPr>
            </w:pPr>
            <w:r>
              <w:rPr>
                <w:rFonts w:hint="eastAsia" w:ascii="宋体" w:hAnsi="宋体" w:eastAsia="宋体" w:cs="宋体"/>
                <w:b/>
                <w:bCs/>
                <w:color w:val="auto"/>
                <w:spacing w:val="7"/>
                <w:sz w:val="21"/>
                <w:szCs w:val="21"/>
                <w:highlight w:val="none"/>
              </w:rPr>
              <w:t>付款周期及方式：按工程形象进度计量支付已完工程</w:t>
            </w:r>
            <w:r>
              <w:rPr>
                <w:rFonts w:hint="eastAsia" w:ascii="宋体" w:hAnsi="宋体" w:eastAsia="宋体" w:cs="宋体"/>
                <w:b/>
                <w:bCs/>
                <w:color w:val="auto"/>
                <w:spacing w:val="7"/>
                <w:sz w:val="21"/>
                <w:szCs w:val="21"/>
                <w:highlight w:val="none"/>
                <w:lang w:val="en-US" w:eastAsia="zh-CN"/>
              </w:rPr>
              <w:t>量</w:t>
            </w:r>
            <w:r>
              <w:rPr>
                <w:rFonts w:hint="eastAsia" w:ascii="宋体" w:hAnsi="宋体" w:eastAsia="宋体" w:cs="宋体"/>
                <w:b/>
                <w:bCs/>
                <w:color w:val="auto"/>
                <w:spacing w:val="7"/>
                <w:sz w:val="21"/>
                <w:szCs w:val="21"/>
                <w:highlight w:val="none"/>
              </w:rPr>
              <w:t>的80%的工程价款；</w:t>
            </w:r>
            <w:r>
              <w:rPr>
                <w:rFonts w:hint="eastAsia" w:ascii="宋体" w:hAnsi="宋体" w:eastAsia="宋体" w:cs="宋体"/>
                <w:b/>
                <w:bCs/>
                <w:color w:val="auto"/>
                <w:spacing w:val="7"/>
                <w:sz w:val="21"/>
                <w:szCs w:val="21"/>
                <w:highlight w:val="none"/>
                <w:lang w:val="en-US" w:eastAsia="zh-CN"/>
              </w:rPr>
              <w:t>工程竣工验收合格并</w:t>
            </w:r>
            <w:r>
              <w:rPr>
                <w:rFonts w:hint="eastAsia" w:ascii="宋体" w:hAnsi="宋体" w:eastAsia="宋体" w:cs="宋体"/>
                <w:b/>
                <w:bCs/>
                <w:color w:val="auto"/>
                <w:spacing w:val="7"/>
                <w:sz w:val="21"/>
                <w:szCs w:val="21"/>
                <w:highlight w:val="none"/>
              </w:rPr>
              <w:t>完成工程审计后</w:t>
            </w:r>
            <w:r>
              <w:rPr>
                <w:rFonts w:hint="eastAsia" w:ascii="宋体" w:hAnsi="宋体" w:eastAsia="宋体" w:cs="宋体"/>
                <w:b/>
                <w:bCs/>
                <w:color w:val="auto"/>
                <w:spacing w:val="7"/>
                <w:sz w:val="21"/>
                <w:szCs w:val="21"/>
                <w:highlight w:val="none"/>
                <w:lang w:eastAsia="zh-CN"/>
              </w:rPr>
              <w:t>，</w:t>
            </w:r>
            <w:r>
              <w:rPr>
                <w:rFonts w:hint="eastAsia" w:ascii="宋体" w:hAnsi="宋体" w:eastAsia="宋体" w:cs="宋体"/>
                <w:b/>
                <w:bCs/>
                <w:color w:val="auto"/>
                <w:spacing w:val="7"/>
                <w:sz w:val="21"/>
                <w:szCs w:val="21"/>
                <w:highlight w:val="none"/>
                <w:lang w:val="en-US" w:eastAsia="zh-CN"/>
              </w:rPr>
              <w:t>支付</w:t>
            </w:r>
            <w:r>
              <w:rPr>
                <w:rFonts w:hint="eastAsia" w:ascii="宋体" w:hAnsi="宋体" w:eastAsia="宋体" w:cs="宋体"/>
                <w:b/>
                <w:bCs/>
                <w:color w:val="auto"/>
                <w:spacing w:val="7"/>
                <w:sz w:val="21"/>
                <w:szCs w:val="21"/>
                <w:highlight w:val="none"/>
              </w:rPr>
              <w:t>至审</w:t>
            </w:r>
            <w:r>
              <w:rPr>
                <w:rFonts w:hint="eastAsia" w:ascii="宋体" w:hAnsi="宋体" w:eastAsia="宋体" w:cs="宋体"/>
                <w:b/>
                <w:bCs/>
                <w:color w:val="auto"/>
                <w:spacing w:val="7"/>
                <w:sz w:val="21"/>
                <w:szCs w:val="21"/>
                <w:highlight w:val="none"/>
                <w:lang w:val="en-US" w:eastAsia="zh-CN"/>
              </w:rPr>
              <w:t>定价</w:t>
            </w:r>
            <w:r>
              <w:rPr>
                <w:rFonts w:hint="eastAsia" w:ascii="宋体" w:hAnsi="宋体" w:eastAsia="宋体" w:cs="宋体"/>
                <w:b/>
                <w:bCs/>
                <w:color w:val="auto"/>
                <w:spacing w:val="7"/>
                <w:sz w:val="21"/>
                <w:szCs w:val="21"/>
                <w:highlight w:val="none"/>
              </w:rPr>
              <w:t>款的</w:t>
            </w:r>
            <w:r>
              <w:rPr>
                <w:rFonts w:hint="eastAsia" w:ascii="宋体" w:hAnsi="宋体" w:eastAsia="宋体" w:cs="宋体"/>
                <w:b/>
                <w:bCs/>
                <w:color w:val="auto"/>
                <w:spacing w:val="7"/>
                <w:sz w:val="21"/>
                <w:szCs w:val="21"/>
                <w:highlight w:val="none"/>
                <w:lang w:val="en-US" w:eastAsia="zh-CN"/>
              </w:rPr>
              <w:t>98</w:t>
            </w:r>
            <w:r>
              <w:rPr>
                <w:rFonts w:hint="eastAsia" w:ascii="宋体" w:hAnsi="宋体" w:eastAsia="宋体" w:cs="宋体"/>
                <w:b/>
                <w:bCs/>
                <w:color w:val="auto"/>
                <w:spacing w:val="7"/>
                <w:sz w:val="21"/>
                <w:szCs w:val="21"/>
                <w:highlight w:val="none"/>
              </w:rPr>
              <w:t>%，预留</w:t>
            </w:r>
            <w:r>
              <w:rPr>
                <w:rFonts w:hint="eastAsia" w:ascii="宋体" w:hAnsi="宋体" w:eastAsia="宋体" w:cs="宋体"/>
                <w:b/>
                <w:bCs/>
                <w:color w:val="auto"/>
                <w:spacing w:val="7"/>
                <w:sz w:val="21"/>
                <w:szCs w:val="21"/>
                <w:highlight w:val="none"/>
                <w:lang w:val="en-US" w:eastAsia="zh-CN"/>
              </w:rPr>
              <w:t>2</w:t>
            </w:r>
            <w:r>
              <w:rPr>
                <w:rFonts w:hint="eastAsia" w:ascii="宋体" w:hAnsi="宋体" w:eastAsia="宋体" w:cs="宋体"/>
                <w:b/>
                <w:bCs/>
                <w:color w:val="auto"/>
                <w:spacing w:val="7"/>
                <w:sz w:val="21"/>
                <w:szCs w:val="21"/>
                <w:highlight w:val="none"/>
              </w:rPr>
              <w:t>%作为质量保证金，质保金在质保期</w:t>
            </w:r>
            <w:r>
              <w:rPr>
                <w:rFonts w:hint="eastAsia" w:ascii="宋体" w:hAnsi="宋体" w:cs="宋体"/>
                <w:b/>
                <w:bCs/>
                <w:color w:val="auto"/>
                <w:spacing w:val="7"/>
                <w:sz w:val="21"/>
                <w:szCs w:val="21"/>
                <w:highlight w:val="none"/>
                <w:lang w:eastAsia="zh-CN"/>
              </w:rPr>
              <w:t>（</w:t>
            </w:r>
            <w:r>
              <w:rPr>
                <w:rFonts w:hint="eastAsia" w:ascii="宋体" w:hAnsi="宋体" w:cs="宋体"/>
                <w:b/>
                <w:bCs/>
                <w:color w:val="auto"/>
                <w:spacing w:val="7"/>
                <w:sz w:val="21"/>
                <w:szCs w:val="21"/>
                <w:highlight w:val="none"/>
                <w:lang w:val="en-US" w:eastAsia="zh-CN"/>
              </w:rPr>
              <w:t>2年</w:t>
            </w:r>
            <w:r>
              <w:rPr>
                <w:rFonts w:hint="eastAsia" w:ascii="宋体" w:hAnsi="宋体" w:cs="宋体"/>
                <w:b/>
                <w:bCs/>
                <w:color w:val="auto"/>
                <w:spacing w:val="7"/>
                <w:sz w:val="21"/>
                <w:szCs w:val="21"/>
                <w:highlight w:val="none"/>
                <w:lang w:eastAsia="zh-CN"/>
              </w:rPr>
              <w:t>）</w:t>
            </w:r>
            <w:r>
              <w:rPr>
                <w:rFonts w:hint="eastAsia" w:ascii="宋体" w:hAnsi="宋体" w:cs="宋体"/>
                <w:b/>
                <w:bCs/>
                <w:color w:val="auto"/>
                <w:spacing w:val="7"/>
                <w:sz w:val="21"/>
                <w:szCs w:val="21"/>
                <w:highlight w:val="none"/>
                <w:lang w:val="en-US" w:eastAsia="zh-CN"/>
              </w:rPr>
              <w:t>满</w:t>
            </w:r>
            <w:r>
              <w:rPr>
                <w:rFonts w:hint="eastAsia" w:ascii="宋体" w:hAnsi="宋体" w:eastAsia="宋体" w:cs="宋体"/>
                <w:b/>
                <w:bCs/>
                <w:color w:val="auto"/>
                <w:spacing w:val="7"/>
                <w:sz w:val="21"/>
                <w:szCs w:val="21"/>
                <w:highlight w:val="none"/>
              </w:rPr>
              <w:t>后一次性返还。</w:t>
            </w:r>
          </w:p>
          <w:p w14:paraId="3C9BFE8A">
            <w:pPr>
              <w:keepLines w:val="0"/>
              <w:pageBreakBefore w:val="0"/>
              <w:widowControl w:val="0"/>
              <w:kinsoku/>
              <w:overflowPunct/>
              <w:topLinePunct w:val="0"/>
              <w:autoSpaceDE/>
              <w:autoSpaceDN/>
              <w:bidi w:val="0"/>
              <w:snapToGrid w:val="0"/>
              <w:spacing w:before="121" w:line="240" w:lineRule="auto"/>
              <w:ind w:left="105" w:leftChars="50" w:right="283" w:rightChars="0" w:firstLine="0" w:firstLineChars="0"/>
              <w:jc w:val="left"/>
              <w:textAlignment w:val="auto"/>
              <w:rPr>
                <w:rFonts w:hint="eastAsia" w:ascii="宋体" w:hAnsi="宋体" w:eastAsia="宋体" w:cs="宋体"/>
                <w:color w:val="auto"/>
                <w:spacing w:val="7"/>
                <w:sz w:val="21"/>
                <w:szCs w:val="21"/>
                <w:highlight w:val="none"/>
              </w:rPr>
            </w:pPr>
            <w:r>
              <w:rPr>
                <w:rFonts w:hint="eastAsia" w:ascii="宋体" w:hAnsi="宋体" w:eastAsia="宋体" w:cs="宋体"/>
                <w:b/>
                <w:bCs/>
                <w:color w:val="auto"/>
                <w:spacing w:val="7"/>
                <w:sz w:val="21"/>
                <w:szCs w:val="21"/>
                <w:highlight w:val="none"/>
              </w:rPr>
              <w:t>本项目采用固定单价合同。</w:t>
            </w:r>
          </w:p>
        </w:tc>
      </w:tr>
      <w:tr w14:paraId="6EA36E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24" w:type="dxa"/>
            <w:tcBorders>
              <w:left w:val="single" w:color="000000" w:sz="6" w:space="0"/>
            </w:tcBorders>
            <w:vAlign w:val="center"/>
          </w:tcPr>
          <w:p w14:paraId="26947FBD">
            <w:pPr>
              <w:keepLines w:val="0"/>
              <w:pageBreakBefore w:val="0"/>
              <w:widowControl w:val="0"/>
              <w:kinsoku/>
              <w:overflowPunct/>
              <w:topLinePunct w:val="0"/>
              <w:autoSpaceDE/>
              <w:autoSpaceDN/>
              <w:bidi w:val="0"/>
              <w:snapToGrid w:val="0"/>
              <w:spacing w:before="130" w:line="240" w:lineRule="auto"/>
              <w:ind w:left="105" w:leftChars="50" w:right="283" w:rightChars="0" w:firstLine="0" w:firstLineChars="0"/>
              <w:jc w:val="center"/>
              <w:textAlignment w:val="auto"/>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3</w:t>
            </w:r>
            <w:r>
              <w:rPr>
                <w:rFonts w:hint="eastAsia" w:ascii="宋体" w:hAnsi="宋体" w:eastAsia="宋体" w:cs="宋体"/>
                <w:color w:val="auto"/>
                <w:spacing w:val="1"/>
                <w:sz w:val="21"/>
                <w:szCs w:val="21"/>
                <w:highlight w:val="none"/>
                <w:lang w:val="en-US" w:eastAsia="zh-CN"/>
              </w:rPr>
              <w:t>7</w:t>
            </w:r>
          </w:p>
        </w:tc>
        <w:tc>
          <w:tcPr>
            <w:tcW w:w="1384" w:type="dxa"/>
            <w:vAlign w:val="center"/>
          </w:tcPr>
          <w:p w14:paraId="24D2DA3F">
            <w:pPr>
              <w:keepLines w:val="0"/>
              <w:pageBreakBefore w:val="0"/>
              <w:widowControl w:val="0"/>
              <w:kinsoku/>
              <w:overflowPunct/>
              <w:topLinePunct w:val="0"/>
              <w:autoSpaceDE/>
              <w:autoSpaceDN/>
              <w:bidi w:val="0"/>
              <w:snapToGrid w:val="0"/>
              <w:spacing w:before="94" w:line="240" w:lineRule="auto"/>
              <w:ind w:left="105" w:leftChars="50" w:right="283" w:rightChars="0" w:firstLine="0" w:firstLineChars="0"/>
              <w:jc w:val="center"/>
              <w:textAlignment w:val="auto"/>
              <w:rPr>
                <w:rFonts w:hint="eastAsia" w:ascii="宋体" w:hAnsi="宋体" w:eastAsia="宋体" w:cs="宋体"/>
                <w:color w:val="auto"/>
                <w:spacing w:val="-9"/>
                <w:sz w:val="21"/>
                <w:szCs w:val="21"/>
                <w:highlight w:val="none"/>
              </w:rPr>
            </w:pPr>
            <w:r>
              <w:rPr>
                <w:rFonts w:hint="eastAsia" w:ascii="宋体" w:hAnsi="宋体" w:eastAsia="宋体" w:cs="宋体"/>
                <w:color w:val="auto"/>
                <w:spacing w:val="2"/>
                <w:sz w:val="21"/>
                <w:szCs w:val="21"/>
                <w:highlight w:val="none"/>
              </w:rPr>
              <w:t>17.3.3(1</w:t>
            </w:r>
            <w:r>
              <w:rPr>
                <w:rFonts w:hint="eastAsia" w:ascii="宋体" w:hAnsi="宋体" w:eastAsia="宋体" w:cs="宋体"/>
                <w:color w:val="auto"/>
                <w:sz w:val="21"/>
                <w:szCs w:val="21"/>
                <w:highlight w:val="none"/>
              </w:rPr>
              <w:t>)</w:t>
            </w:r>
          </w:p>
        </w:tc>
        <w:tc>
          <w:tcPr>
            <w:tcW w:w="7054" w:type="dxa"/>
            <w:tcBorders>
              <w:right w:val="single" w:color="000000" w:sz="6" w:space="0"/>
            </w:tcBorders>
            <w:shd w:val="clear" w:color="auto" w:fill="auto"/>
            <w:vAlign w:val="center"/>
          </w:tcPr>
          <w:p w14:paraId="77EE56B5">
            <w:pPr>
              <w:keepLines w:val="0"/>
              <w:pageBreakBefore w:val="0"/>
              <w:widowControl w:val="0"/>
              <w:kinsoku/>
              <w:overflowPunct/>
              <w:topLinePunct w:val="0"/>
              <w:autoSpaceDE/>
              <w:autoSpaceDN/>
              <w:bidi w:val="0"/>
              <w:snapToGrid w:val="0"/>
              <w:spacing w:before="103" w:line="240" w:lineRule="auto"/>
              <w:ind w:left="105" w:leftChars="50" w:right="283" w:rightChars="0" w:firstLine="0" w:firstLineChars="0"/>
              <w:jc w:val="left"/>
              <w:textAlignment w:val="auto"/>
              <w:rPr>
                <w:rFonts w:hint="eastAsia" w:ascii="宋体" w:hAnsi="宋体" w:eastAsia="宋体" w:cs="宋体"/>
                <w:color w:val="auto"/>
                <w:spacing w:val="7"/>
                <w:kern w:val="2"/>
                <w:sz w:val="21"/>
                <w:szCs w:val="21"/>
                <w:highlight w:val="none"/>
                <w:lang w:val="en-US" w:eastAsia="zh-CN" w:bidi="ar-SA"/>
              </w:rPr>
            </w:pPr>
            <w:r>
              <w:rPr>
                <w:rFonts w:hint="eastAsia" w:ascii="宋体" w:hAnsi="宋体" w:eastAsia="宋体" w:cs="宋体"/>
                <w:color w:val="auto"/>
                <w:sz w:val="21"/>
                <w:szCs w:val="21"/>
                <w:highlight w:val="none"/>
              </w:rPr>
              <w:t>进度付款证书最低限额：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%签约合同价或</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w:t>
            </w:r>
            <w:r>
              <w:rPr>
                <w:rStyle w:val="48"/>
                <w:rFonts w:hint="eastAsia" w:ascii="宋体" w:hAnsi="宋体" w:eastAsia="宋体" w:cs="宋体"/>
                <w:color w:val="auto"/>
                <w:sz w:val="21"/>
                <w:szCs w:val="21"/>
                <w:highlight w:val="none"/>
              </w:rPr>
              <w:footnoteReference w:id="38"/>
            </w:r>
          </w:p>
        </w:tc>
      </w:tr>
      <w:tr w14:paraId="33CD00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24" w:type="dxa"/>
            <w:tcBorders>
              <w:left w:val="single" w:color="000000" w:sz="6" w:space="0"/>
            </w:tcBorders>
            <w:shd w:val="clear" w:color="auto" w:fill="auto"/>
            <w:vAlign w:val="center"/>
          </w:tcPr>
          <w:p w14:paraId="43BA1A8B">
            <w:pPr>
              <w:keepLines w:val="0"/>
              <w:pageBreakBefore w:val="0"/>
              <w:widowControl w:val="0"/>
              <w:kinsoku/>
              <w:overflowPunct/>
              <w:topLinePunct w:val="0"/>
              <w:autoSpaceDE/>
              <w:autoSpaceDN/>
              <w:bidi w:val="0"/>
              <w:snapToGrid w:val="0"/>
              <w:spacing w:before="57" w:line="240" w:lineRule="auto"/>
              <w:ind w:left="105" w:leftChars="50" w:right="283" w:rightChars="0" w:firstLine="0" w:firstLineChars="0"/>
              <w:jc w:val="center"/>
              <w:textAlignment w:val="auto"/>
              <w:rPr>
                <w:rFonts w:hint="eastAsia" w:ascii="宋体" w:hAnsi="宋体" w:eastAsia="宋体" w:cs="宋体"/>
                <w:color w:val="auto"/>
                <w:spacing w:val="1"/>
                <w:kern w:val="2"/>
                <w:sz w:val="21"/>
                <w:szCs w:val="21"/>
                <w:highlight w:val="none"/>
                <w:lang w:val="en-US" w:eastAsia="zh-CN" w:bidi="ar-SA"/>
              </w:rPr>
            </w:pPr>
            <w:r>
              <w:rPr>
                <w:rFonts w:hint="eastAsia" w:ascii="宋体" w:hAnsi="宋体" w:eastAsia="宋体" w:cs="宋体"/>
                <w:color w:val="auto"/>
                <w:spacing w:val="1"/>
                <w:sz w:val="21"/>
                <w:szCs w:val="21"/>
                <w:highlight w:val="none"/>
              </w:rPr>
              <w:t>3</w:t>
            </w:r>
            <w:r>
              <w:rPr>
                <w:rFonts w:hint="eastAsia" w:ascii="宋体" w:hAnsi="宋体" w:eastAsia="宋体" w:cs="宋体"/>
                <w:color w:val="auto"/>
                <w:spacing w:val="1"/>
                <w:sz w:val="21"/>
                <w:szCs w:val="21"/>
                <w:highlight w:val="none"/>
                <w:lang w:val="en-US" w:eastAsia="zh-CN"/>
              </w:rPr>
              <w:t>8</w:t>
            </w:r>
          </w:p>
        </w:tc>
        <w:tc>
          <w:tcPr>
            <w:tcW w:w="1384" w:type="dxa"/>
            <w:vAlign w:val="center"/>
          </w:tcPr>
          <w:p w14:paraId="525DDE83">
            <w:pPr>
              <w:keepLines w:val="0"/>
              <w:pageBreakBefore w:val="0"/>
              <w:widowControl w:val="0"/>
              <w:kinsoku/>
              <w:wordWrap w:val="0"/>
              <w:overflowPunct/>
              <w:topLinePunct w:val="0"/>
              <w:autoSpaceDE/>
              <w:autoSpaceDN/>
              <w:bidi w:val="0"/>
              <w:snapToGrid w:val="0"/>
              <w:spacing w:line="240" w:lineRule="auto"/>
              <w:ind w:left="105" w:leftChars="50" w:right="283" w:rightChars="0" w:firstLine="0" w:firstLineChars="0"/>
              <w:jc w:val="center"/>
              <w:textAlignment w:val="auto"/>
              <w:rPr>
                <w:rFonts w:hint="eastAsia" w:ascii="宋体" w:hAnsi="宋体" w:eastAsia="宋体" w:cs="宋体"/>
                <w:color w:val="auto"/>
                <w:spacing w:val="2"/>
                <w:sz w:val="21"/>
                <w:szCs w:val="21"/>
                <w:highlight w:val="none"/>
              </w:rPr>
            </w:pPr>
            <w:r>
              <w:rPr>
                <w:rFonts w:hint="eastAsia" w:ascii="宋体" w:hAnsi="宋体" w:eastAsia="宋体" w:cs="宋体"/>
                <w:color w:val="auto"/>
                <w:sz w:val="21"/>
                <w:szCs w:val="21"/>
                <w:highlight w:val="none"/>
              </w:rPr>
              <w:t>17.3.3（2）</w:t>
            </w:r>
          </w:p>
        </w:tc>
        <w:tc>
          <w:tcPr>
            <w:tcW w:w="7054" w:type="dxa"/>
            <w:tcBorders>
              <w:right w:val="single" w:color="000000" w:sz="6" w:space="0"/>
            </w:tcBorders>
            <w:shd w:val="clear" w:color="auto" w:fill="auto"/>
            <w:vAlign w:val="center"/>
          </w:tcPr>
          <w:p w14:paraId="7FED5C4A">
            <w:pPr>
              <w:keepLines w:val="0"/>
              <w:pageBreakBefore w:val="0"/>
              <w:widowControl w:val="0"/>
              <w:kinsoku/>
              <w:wordWrap w:val="0"/>
              <w:overflowPunct/>
              <w:topLinePunct w:val="0"/>
              <w:autoSpaceDE/>
              <w:autoSpaceDN/>
              <w:bidi w:val="0"/>
              <w:snapToGrid w:val="0"/>
              <w:spacing w:line="240" w:lineRule="auto"/>
              <w:ind w:left="105" w:leftChars="50" w:right="283" w:rightChars="0" w:firstLine="0" w:firstLine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逾期付款违约金的利率：</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‰/天</w:t>
            </w:r>
            <w:r>
              <w:rPr>
                <w:rStyle w:val="48"/>
                <w:rFonts w:hint="eastAsia" w:ascii="宋体" w:hAnsi="宋体" w:eastAsia="宋体" w:cs="宋体"/>
                <w:color w:val="auto"/>
                <w:sz w:val="21"/>
                <w:szCs w:val="21"/>
                <w:highlight w:val="none"/>
              </w:rPr>
              <w:footnoteReference w:id="39"/>
            </w:r>
          </w:p>
        </w:tc>
      </w:tr>
      <w:tr w14:paraId="29A0C5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24" w:type="dxa"/>
            <w:tcBorders>
              <w:left w:val="single" w:color="000000" w:sz="6" w:space="0"/>
            </w:tcBorders>
            <w:shd w:val="clear" w:color="auto" w:fill="auto"/>
            <w:vAlign w:val="center"/>
          </w:tcPr>
          <w:p w14:paraId="0262251E">
            <w:pPr>
              <w:keepLines w:val="0"/>
              <w:pageBreakBefore w:val="0"/>
              <w:widowControl w:val="0"/>
              <w:kinsoku/>
              <w:overflowPunct/>
              <w:topLinePunct w:val="0"/>
              <w:autoSpaceDE/>
              <w:autoSpaceDN/>
              <w:bidi w:val="0"/>
              <w:snapToGrid w:val="0"/>
              <w:spacing w:before="58" w:line="240" w:lineRule="auto"/>
              <w:ind w:left="105" w:leftChars="50" w:right="283" w:rightChars="0" w:firstLine="0" w:firstLineChars="0"/>
              <w:jc w:val="center"/>
              <w:textAlignment w:val="auto"/>
              <w:rPr>
                <w:rFonts w:hint="eastAsia" w:ascii="宋体" w:hAnsi="宋体" w:eastAsia="宋体" w:cs="宋体"/>
                <w:color w:val="auto"/>
                <w:spacing w:val="1"/>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39</w:t>
            </w:r>
          </w:p>
        </w:tc>
        <w:tc>
          <w:tcPr>
            <w:tcW w:w="1384" w:type="dxa"/>
            <w:vAlign w:val="center"/>
          </w:tcPr>
          <w:p w14:paraId="05ECA2CB">
            <w:pPr>
              <w:keepLines w:val="0"/>
              <w:pageBreakBefore w:val="0"/>
              <w:widowControl w:val="0"/>
              <w:kinsoku/>
              <w:overflowPunct/>
              <w:topLinePunct w:val="0"/>
              <w:autoSpaceDE/>
              <w:autoSpaceDN/>
              <w:bidi w:val="0"/>
              <w:snapToGrid w:val="0"/>
              <w:spacing w:before="57" w:line="240" w:lineRule="auto"/>
              <w:ind w:left="105" w:leftChars="50" w:right="283" w:rightChars="0" w:firstLine="0" w:firstLineChars="0"/>
              <w:jc w:val="center"/>
              <w:textAlignment w:val="auto"/>
              <w:rPr>
                <w:rFonts w:hint="eastAsia" w:ascii="宋体" w:hAnsi="宋体" w:eastAsia="宋体" w:cs="宋体"/>
                <w:color w:val="auto"/>
                <w:spacing w:val="-9"/>
                <w:sz w:val="21"/>
                <w:szCs w:val="21"/>
                <w:highlight w:val="none"/>
              </w:rPr>
            </w:pPr>
            <w:r>
              <w:rPr>
                <w:rFonts w:hint="eastAsia" w:ascii="宋体" w:hAnsi="宋体" w:eastAsia="宋体" w:cs="宋体"/>
                <w:color w:val="auto"/>
                <w:spacing w:val="1"/>
                <w:sz w:val="21"/>
                <w:szCs w:val="21"/>
                <w:highlight w:val="none"/>
              </w:rPr>
              <w:t>17.3.</w:t>
            </w:r>
            <w:r>
              <w:rPr>
                <w:rFonts w:hint="eastAsia" w:ascii="宋体" w:hAnsi="宋体" w:eastAsia="宋体" w:cs="宋体"/>
                <w:color w:val="auto"/>
                <w:sz w:val="21"/>
                <w:szCs w:val="21"/>
                <w:highlight w:val="none"/>
              </w:rPr>
              <w:t>5</w:t>
            </w:r>
          </w:p>
        </w:tc>
        <w:tc>
          <w:tcPr>
            <w:tcW w:w="7054" w:type="dxa"/>
            <w:tcBorders>
              <w:right w:val="single" w:color="000000" w:sz="6" w:space="0"/>
            </w:tcBorders>
            <w:vAlign w:val="center"/>
          </w:tcPr>
          <w:p w14:paraId="73F4D354">
            <w:pPr>
              <w:keepLines w:val="0"/>
              <w:pageBreakBefore w:val="0"/>
              <w:widowControl w:val="0"/>
              <w:kinsoku/>
              <w:overflowPunct/>
              <w:topLinePunct w:val="0"/>
              <w:autoSpaceDE/>
              <w:autoSpaceDN/>
              <w:bidi w:val="0"/>
              <w:snapToGrid w:val="0"/>
              <w:spacing w:before="121" w:line="240" w:lineRule="auto"/>
              <w:ind w:left="105" w:leftChars="50" w:right="283" w:rightChars="0" w:firstLine="0" w:firstLineChars="0"/>
              <w:jc w:val="left"/>
              <w:textAlignment w:val="auto"/>
              <w:rPr>
                <w:rFonts w:hint="eastAsia" w:ascii="宋体" w:hAnsi="宋体" w:eastAsia="宋体" w:cs="宋体"/>
                <w:color w:val="auto"/>
                <w:spacing w:val="7"/>
                <w:sz w:val="21"/>
                <w:szCs w:val="21"/>
                <w:highlight w:val="none"/>
              </w:rPr>
            </w:pPr>
            <w:r>
              <w:rPr>
                <w:rFonts w:hint="eastAsia" w:ascii="宋体" w:hAnsi="宋体" w:eastAsia="宋体" w:cs="宋体"/>
                <w:color w:val="auto"/>
                <w:spacing w:val="12"/>
                <w:sz w:val="21"/>
                <w:szCs w:val="21"/>
                <w:highlight w:val="none"/>
              </w:rPr>
              <w:t>农民工工资保证金的额度、提交形式、使用范围、扣留条件、返还时间：执</w:t>
            </w:r>
            <w:r>
              <w:rPr>
                <w:rFonts w:hint="eastAsia" w:ascii="宋体" w:hAnsi="宋体" w:eastAsia="宋体" w:cs="宋体"/>
                <w:color w:val="auto"/>
                <w:spacing w:val="12"/>
                <w:sz w:val="21"/>
                <w:szCs w:val="21"/>
                <w:highlight w:val="none"/>
                <w:lang w:val="en-US" w:eastAsia="zh-CN"/>
              </w:rPr>
              <w:t>行项</w:t>
            </w:r>
            <w:r>
              <w:rPr>
                <w:rFonts w:hint="eastAsia" w:ascii="宋体" w:hAnsi="宋体" w:eastAsia="宋体" w:cs="宋体"/>
                <w:color w:val="auto"/>
                <w:spacing w:val="12"/>
                <w:sz w:val="21"/>
                <w:szCs w:val="21"/>
                <w:highlight w:val="none"/>
              </w:rPr>
              <w:t>目所在省、市的人力资源社会保障行政部门、交通运输主管部门等施行的规定。</w:t>
            </w:r>
          </w:p>
        </w:tc>
      </w:tr>
      <w:tr w14:paraId="2D85C6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24" w:type="dxa"/>
            <w:tcBorders>
              <w:left w:val="single" w:color="000000" w:sz="6" w:space="0"/>
            </w:tcBorders>
            <w:vAlign w:val="center"/>
          </w:tcPr>
          <w:p w14:paraId="76D657B4">
            <w:pPr>
              <w:keepLines w:val="0"/>
              <w:pageBreakBefore w:val="0"/>
              <w:widowControl w:val="0"/>
              <w:kinsoku/>
              <w:overflowPunct/>
              <w:topLinePunct w:val="0"/>
              <w:autoSpaceDE/>
              <w:autoSpaceDN/>
              <w:bidi w:val="0"/>
              <w:snapToGrid w:val="0"/>
              <w:spacing w:before="58" w:line="240" w:lineRule="auto"/>
              <w:ind w:left="105" w:leftChars="50" w:right="283" w:rightChars="0" w:firstLine="0" w:firstLineChars="0"/>
              <w:jc w:val="center"/>
              <w:textAlignment w:val="auto"/>
              <w:rPr>
                <w:rFonts w:hint="eastAsia" w:ascii="宋体" w:hAnsi="宋体" w:eastAsia="宋体" w:cs="宋体"/>
                <w:color w:val="auto"/>
                <w:spacing w:val="1"/>
                <w:sz w:val="21"/>
                <w:szCs w:val="21"/>
                <w:highlight w:val="none"/>
                <w:lang w:val="en-US" w:eastAsia="zh-CN"/>
              </w:rPr>
            </w:pPr>
            <w:r>
              <w:rPr>
                <w:rFonts w:hint="eastAsia" w:ascii="宋体" w:hAnsi="宋体" w:eastAsia="宋体" w:cs="宋体"/>
                <w:color w:val="auto"/>
                <w:spacing w:val="1"/>
                <w:sz w:val="21"/>
                <w:szCs w:val="21"/>
                <w:highlight w:val="none"/>
                <w:lang w:val="en-US" w:eastAsia="zh-CN"/>
              </w:rPr>
              <w:t>40</w:t>
            </w:r>
          </w:p>
        </w:tc>
        <w:tc>
          <w:tcPr>
            <w:tcW w:w="1384" w:type="dxa"/>
            <w:vAlign w:val="center"/>
          </w:tcPr>
          <w:p w14:paraId="72CC5684">
            <w:pPr>
              <w:keepLines w:val="0"/>
              <w:pageBreakBefore w:val="0"/>
              <w:widowControl w:val="0"/>
              <w:kinsoku/>
              <w:overflowPunct/>
              <w:topLinePunct w:val="0"/>
              <w:autoSpaceDE/>
              <w:autoSpaceDN/>
              <w:bidi w:val="0"/>
              <w:snapToGrid w:val="0"/>
              <w:spacing w:before="58" w:line="240" w:lineRule="auto"/>
              <w:ind w:left="105" w:leftChars="50" w:right="283" w:rightChars="0" w:firstLine="0" w:firstLineChars="0"/>
              <w:jc w:val="center"/>
              <w:textAlignment w:val="auto"/>
              <w:rPr>
                <w:rFonts w:hint="eastAsia" w:ascii="宋体" w:hAnsi="宋体" w:eastAsia="宋体" w:cs="宋体"/>
                <w:color w:val="auto"/>
                <w:spacing w:val="-9"/>
                <w:sz w:val="21"/>
                <w:szCs w:val="21"/>
                <w:highlight w:val="none"/>
              </w:rPr>
            </w:pPr>
            <w:r>
              <w:rPr>
                <w:rFonts w:hint="eastAsia" w:ascii="宋体" w:hAnsi="宋体" w:eastAsia="宋体" w:cs="宋体"/>
                <w:color w:val="auto"/>
                <w:spacing w:val="-7"/>
                <w:sz w:val="21"/>
                <w:szCs w:val="21"/>
                <w:highlight w:val="none"/>
              </w:rPr>
              <w:t>1</w:t>
            </w:r>
            <w:r>
              <w:rPr>
                <w:rFonts w:hint="eastAsia" w:ascii="宋体" w:hAnsi="宋体" w:eastAsia="宋体" w:cs="宋体"/>
                <w:color w:val="auto"/>
                <w:spacing w:val="-4"/>
                <w:sz w:val="21"/>
                <w:szCs w:val="21"/>
                <w:highlight w:val="none"/>
              </w:rPr>
              <w:t>7.4.1</w:t>
            </w:r>
          </w:p>
        </w:tc>
        <w:tc>
          <w:tcPr>
            <w:tcW w:w="7054" w:type="dxa"/>
            <w:tcBorders>
              <w:right w:val="single" w:color="000000" w:sz="6" w:space="0"/>
            </w:tcBorders>
            <w:vAlign w:val="center"/>
          </w:tcPr>
          <w:p w14:paraId="48A1A9CD">
            <w:pPr>
              <w:keepLines w:val="0"/>
              <w:pageBreakBefore w:val="0"/>
              <w:widowControl w:val="0"/>
              <w:kinsoku/>
              <w:overflowPunct/>
              <w:topLinePunct w:val="0"/>
              <w:autoSpaceDE/>
              <w:autoSpaceDN/>
              <w:bidi w:val="0"/>
              <w:snapToGrid w:val="0"/>
              <w:spacing w:before="102"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质量保证金</w:t>
            </w:r>
            <w:r>
              <w:rPr>
                <w:rFonts w:hint="eastAsia" w:ascii="宋体" w:hAnsi="宋体" w:eastAsia="宋体" w:cs="宋体"/>
                <w:color w:val="auto"/>
                <w:spacing w:val="8"/>
                <w:sz w:val="21"/>
                <w:szCs w:val="21"/>
                <w:highlight w:val="none"/>
              </w:rPr>
              <w:t>金</w:t>
            </w:r>
            <w:r>
              <w:rPr>
                <w:rFonts w:hint="eastAsia" w:ascii="宋体" w:hAnsi="宋体" w:eastAsia="宋体" w:cs="宋体"/>
                <w:color w:val="auto"/>
                <w:spacing w:val="5"/>
                <w:sz w:val="21"/>
                <w:szCs w:val="21"/>
                <w:highlight w:val="none"/>
              </w:rPr>
              <w:t>额，规定为：</w:t>
            </w:r>
            <w:r>
              <w:rPr>
                <w:rFonts w:hint="eastAsia" w:ascii="宋体" w:hAnsi="宋体" w:cs="宋体"/>
                <w:color w:val="auto"/>
                <w:spacing w:val="5"/>
                <w:sz w:val="21"/>
                <w:szCs w:val="21"/>
                <w:highlight w:val="none"/>
                <w:u w:val="single" w:color="auto"/>
                <w:lang w:val="en-US" w:eastAsia="zh-CN"/>
              </w:rPr>
              <w:t xml:space="preserve"> </w:t>
            </w:r>
            <w:r>
              <w:rPr>
                <w:rFonts w:hint="eastAsia" w:ascii="宋体" w:hAnsi="宋体" w:eastAsia="宋体" w:cs="宋体"/>
                <w:color w:val="auto"/>
                <w:spacing w:val="5"/>
                <w:sz w:val="21"/>
                <w:szCs w:val="21"/>
                <w:highlight w:val="none"/>
                <w:u w:val="single" w:color="auto"/>
                <w:lang w:val="en-US" w:eastAsia="zh-CN"/>
              </w:rPr>
              <w:t>2</w:t>
            </w:r>
            <w:r>
              <w:rPr>
                <w:rFonts w:hint="eastAsia" w:ascii="宋体" w:hAnsi="宋体" w:eastAsia="宋体" w:cs="宋体"/>
                <w:color w:val="auto"/>
                <w:spacing w:val="5"/>
                <w:sz w:val="21"/>
                <w:szCs w:val="21"/>
                <w:highlight w:val="none"/>
                <w:u w:val="single" w:color="auto"/>
              </w:rPr>
              <w:t>%</w:t>
            </w:r>
            <w:r>
              <w:rPr>
                <w:rFonts w:hint="eastAsia" w:ascii="宋体" w:hAnsi="宋体" w:cs="宋体"/>
                <w:color w:val="auto"/>
                <w:spacing w:val="5"/>
                <w:sz w:val="21"/>
                <w:szCs w:val="21"/>
                <w:highlight w:val="none"/>
                <w:u w:val="single" w:color="auto"/>
                <w:lang w:val="en-US" w:eastAsia="zh-CN"/>
              </w:rPr>
              <w:t xml:space="preserve"> </w:t>
            </w:r>
            <w:r>
              <w:rPr>
                <w:rFonts w:hint="eastAsia" w:ascii="宋体" w:hAnsi="宋体" w:eastAsia="宋体" w:cs="宋体"/>
                <w:color w:val="auto"/>
                <w:spacing w:val="5"/>
                <w:sz w:val="21"/>
                <w:szCs w:val="21"/>
                <w:highlight w:val="none"/>
              </w:rPr>
              <w:t>工程价款结算总额，质量保证金不计付利息。</w:t>
            </w:r>
          </w:p>
          <w:p w14:paraId="210DC3FA">
            <w:pPr>
              <w:keepLines w:val="0"/>
              <w:pageBreakBefore w:val="0"/>
              <w:widowControl w:val="0"/>
              <w:kinsoku/>
              <w:overflowPunct/>
              <w:topLinePunct w:val="0"/>
              <w:autoSpaceDE/>
              <w:autoSpaceDN/>
              <w:bidi w:val="0"/>
              <w:snapToGrid w:val="0"/>
              <w:spacing w:before="121"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6"/>
                <w:sz w:val="21"/>
                <w:szCs w:val="21"/>
                <w:highlight w:val="none"/>
              </w:rPr>
              <w:t>(</w:t>
            </w:r>
            <w:r>
              <w:rPr>
                <w:rFonts w:hint="eastAsia" w:ascii="宋体" w:hAnsi="宋体" w:eastAsia="宋体" w:cs="宋体"/>
                <w:color w:val="auto"/>
                <w:spacing w:val="11"/>
                <w:sz w:val="21"/>
                <w:szCs w:val="21"/>
                <w:highlight w:val="none"/>
              </w:rPr>
              <w:t>1)承包人质量保证金采用银行保函形式的，在发包人与承包</w:t>
            </w:r>
            <w:r>
              <w:rPr>
                <w:rFonts w:hint="eastAsia" w:ascii="宋体" w:hAnsi="宋体" w:eastAsia="宋体" w:cs="宋体"/>
                <w:color w:val="auto"/>
                <w:spacing w:val="14"/>
                <w:sz w:val="21"/>
                <w:szCs w:val="21"/>
                <w:highlight w:val="none"/>
              </w:rPr>
              <w:t>人</w:t>
            </w:r>
            <w:r>
              <w:rPr>
                <w:rFonts w:hint="eastAsia" w:ascii="宋体" w:hAnsi="宋体" w:eastAsia="宋体" w:cs="宋体"/>
                <w:color w:val="auto"/>
                <w:spacing w:val="12"/>
                <w:sz w:val="21"/>
                <w:szCs w:val="21"/>
                <w:highlight w:val="none"/>
              </w:rPr>
              <w:t>完成本合同工程价款结算后，承包人应在工程验收证书颁发之前，按《项目专</w:t>
            </w:r>
            <w:r>
              <w:rPr>
                <w:rFonts w:hint="eastAsia" w:ascii="宋体" w:hAnsi="宋体" w:eastAsia="宋体" w:cs="宋体"/>
                <w:color w:val="auto"/>
                <w:spacing w:val="9"/>
                <w:sz w:val="21"/>
                <w:szCs w:val="21"/>
                <w:highlight w:val="none"/>
              </w:rPr>
              <w:t>用合同条款数据表》中规定的额度向发包人提交质量保证金银行保函，出具保</w:t>
            </w:r>
            <w:r>
              <w:rPr>
                <w:rFonts w:hint="eastAsia" w:ascii="宋体" w:hAnsi="宋体" w:eastAsia="宋体" w:cs="宋体"/>
                <w:color w:val="auto"/>
                <w:spacing w:val="7"/>
                <w:sz w:val="21"/>
                <w:szCs w:val="21"/>
                <w:highlight w:val="none"/>
              </w:rPr>
              <w:t>函</w:t>
            </w:r>
            <w:r>
              <w:rPr>
                <w:rFonts w:hint="eastAsia" w:ascii="宋体" w:hAnsi="宋体" w:eastAsia="宋体" w:cs="宋体"/>
                <w:color w:val="auto"/>
                <w:spacing w:val="14"/>
                <w:sz w:val="21"/>
                <w:szCs w:val="21"/>
                <w:highlight w:val="none"/>
              </w:rPr>
              <w:t>的</w:t>
            </w:r>
            <w:r>
              <w:rPr>
                <w:rFonts w:hint="eastAsia" w:ascii="宋体" w:hAnsi="宋体" w:eastAsia="宋体" w:cs="宋体"/>
                <w:color w:val="auto"/>
                <w:spacing w:val="12"/>
                <w:sz w:val="21"/>
                <w:szCs w:val="21"/>
                <w:highlight w:val="none"/>
              </w:rPr>
              <w:t>银行须具有相应担保能力，且按照发包人批准的格式出具，所需费用由承包人</w:t>
            </w:r>
            <w:r>
              <w:rPr>
                <w:rFonts w:hint="eastAsia" w:ascii="宋体" w:hAnsi="宋体" w:eastAsia="宋体" w:cs="宋体"/>
                <w:color w:val="auto"/>
                <w:spacing w:val="9"/>
                <w:sz w:val="21"/>
                <w:szCs w:val="21"/>
                <w:highlight w:val="none"/>
              </w:rPr>
              <w:t>承担，保函的有效期应至缺陷责任期满之日止。</w:t>
            </w:r>
          </w:p>
          <w:p w14:paraId="3F600CAF">
            <w:pPr>
              <w:keepLines w:val="0"/>
              <w:pageBreakBefore w:val="0"/>
              <w:widowControl w:val="0"/>
              <w:kinsoku/>
              <w:overflowPunct/>
              <w:topLinePunct w:val="0"/>
              <w:autoSpaceDE/>
              <w:autoSpaceDN/>
              <w:bidi w:val="0"/>
              <w:snapToGrid w:val="0"/>
              <w:spacing w:line="240" w:lineRule="auto"/>
              <w:ind w:left="105" w:leftChars="50" w:right="283" w:rightChars="0" w:firstLine="0" w:firstLineChars="0"/>
              <w:jc w:val="left"/>
              <w:textAlignment w:val="auto"/>
              <w:rPr>
                <w:rFonts w:hint="eastAsia" w:ascii="宋体" w:hAnsi="宋体" w:eastAsia="宋体" w:cs="宋体"/>
                <w:color w:val="auto"/>
                <w:spacing w:val="11"/>
                <w:position w:val="14"/>
                <w:sz w:val="21"/>
                <w:szCs w:val="21"/>
                <w:highlight w:val="none"/>
              </w:rPr>
            </w:pPr>
            <w:r>
              <w:rPr>
                <w:rFonts w:hint="eastAsia" w:ascii="宋体" w:hAnsi="宋体" w:eastAsia="宋体" w:cs="宋体"/>
                <w:color w:val="auto"/>
                <w:spacing w:val="20"/>
                <w:sz w:val="21"/>
                <w:szCs w:val="21"/>
                <w:highlight w:val="none"/>
              </w:rPr>
              <w:t>(2</w:t>
            </w:r>
            <w:r>
              <w:rPr>
                <w:rFonts w:hint="eastAsia" w:ascii="宋体" w:hAnsi="宋体" w:eastAsia="宋体" w:cs="宋体"/>
                <w:color w:val="auto"/>
                <w:spacing w:val="13"/>
                <w:sz w:val="21"/>
                <w:szCs w:val="21"/>
                <w:highlight w:val="none"/>
              </w:rPr>
              <w:t>)</w:t>
            </w:r>
            <w:r>
              <w:rPr>
                <w:rFonts w:hint="eastAsia" w:ascii="宋体" w:hAnsi="宋体" w:eastAsia="宋体" w:cs="宋体"/>
                <w:color w:val="auto"/>
                <w:spacing w:val="10"/>
                <w:sz w:val="21"/>
                <w:szCs w:val="21"/>
                <w:highlight w:val="none"/>
              </w:rPr>
              <w:t>承包人质量保证金采用现金(电汇或银行汇票形式)的，</w:t>
            </w:r>
            <w:r>
              <w:rPr>
                <w:rFonts w:hint="eastAsia" w:ascii="宋体" w:hAnsi="宋体" w:eastAsia="宋体" w:cs="宋体"/>
                <w:color w:val="auto"/>
                <w:spacing w:val="9"/>
                <w:sz w:val="21"/>
                <w:szCs w:val="21"/>
                <w:highlight w:val="none"/>
              </w:rPr>
              <w:t>承包人应在签发工程验收证书时，按《项目专用合同条款数据表》中的规定的</w:t>
            </w:r>
            <w:r>
              <w:rPr>
                <w:rFonts w:hint="eastAsia" w:ascii="宋体" w:hAnsi="宋体" w:eastAsia="宋体" w:cs="宋体"/>
                <w:color w:val="auto"/>
                <w:spacing w:val="7"/>
                <w:sz w:val="21"/>
                <w:szCs w:val="21"/>
                <w:highlight w:val="none"/>
              </w:rPr>
              <w:t>金</w:t>
            </w:r>
            <w:r>
              <w:rPr>
                <w:rFonts w:hint="eastAsia" w:ascii="宋体" w:hAnsi="宋体" w:eastAsia="宋体" w:cs="宋体"/>
                <w:color w:val="auto"/>
                <w:spacing w:val="13"/>
                <w:sz w:val="21"/>
                <w:szCs w:val="21"/>
                <w:highlight w:val="none"/>
              </w:rPr>
              <w:t>额</w:t>
            </w:r>
            <w:r>
              <w:rPr>
                <w:rFonts w:hint="eastAsia" w:ascii="宋体" w:hAnsi="宋体" w:eastAsia="宋体" w:cs="宋体"/>
                <w:color w:val="auto"/>
                <w:spacing w:val="8"/>
                <w:sz w:val="21"/>
                <w:szCs w:val="21"/>
                <w:highlight w:val="none"/>
              </w:rPr>
              <w:t>向发包人提交质量保证金。</w:t>
            </w:r>
          </w:p>
        </w:tc>
      </w:tr>
      <w:tr w14:paraId="35B044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24" w:type="dxa"/>
            <w:tcBorders>
              <w:left w:val="single" w:color="000000" w:sz="6" w:space="0"/>
            </w:tcBorders>
            <w:shd w:val="clear" w:color="auto" w:fill="auto"/>
            <w:vAlign w:val="center"/>
          </w:tcPr>
          <w:p w14:paraId="2B0F42C8">
            <w:pPr>
              <w:keepLines w:val="0"/>
              <w:pageBreakBefore w:val="0"/>
              <w:widowControl w:val="0"/>
              <w:kinsoku/>
              <w:overflowPunct/>
              <w:topLinePunct w:val="0"/>
              <w:autoSpaceDE/>
              <w:autoSpaceDN/>
              <w:bidi w:val="0"/>
              <w:snapToGrid w:val="0"/>
              <w:spacing w:before="130" w:line="240" w:lineRule="auto"/>
              <w:ind w:left="105" w:leftChars="50" w:right="283"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3"/>
                <w:sz w:val="21"/>
                <w:szCs w:val="21"/>
                <w:highlight w:val="none"/>
              </w:rPr>
              <w:t>4</w:t>
            </w:r>
            <w:r>
              <w:rPr>
                <w:rFonts w:hint="eastAsia" w:ascii="宋体" w:hAnsi="宋体" w:eastAsia="宋体" w:cs="宋体"/>
                <w:color w:val="auto"/>
                <w:spacing w:val="3"/>
                <w:sz w:val="21"/>
                <w:szCs w:val="21"/>
                <w:highlight w:val="none"/>
                <w:lang w:val="en-US" w:eastAsia="zh-CN"/>
              </w:rPr>
              <w:t>1</w:t>
            </w:r>
          </w:p>
        </w:tc>
        <w:tc>
          <w:tcPr>
            <w:tcW w:w="1384" w:type="dxa"/>
            <w:vAlign w:val="center"/>
          </w:tcPr>
          <w:p w14:paraId="3DD4DFBC">
            <w:pPr>
              <w:keepLines w:val="0"/>
              <w:pageBreakBefore w:val="0"/>
              <w:widowControl w:val="0"/>
              <w:kinsoku/>
              <w:overflowPunct/>
              <w:topLinePunct w:val="0"/>
              <w:autoSpaceDE/>
              <w:autoSpaceDN/>
              <w:bidi w:val="0"/>
              <w:snapToGrid w:val="0"/>
              <w:spacing w:before="93" w:line="240" w:lineRule="auto"/>
              <w:ind w:left="105" w:leftChars="50" w:right="283" w:righ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17.5.1(1</w:t>
            </w:r>
            <w:r>
              <w:rPr>
                <w:rFonts w:hint="eastAsia" w:ascii="宋体" w:hAnsi="宋体" w:eastAsia="宋体" w:cs="宋体"/>
                <w:color w:val="auto"/>
                <w:spacing w:val="-2"/>
                <w:sz w:val="21"/>
                <w:szCs w:val="21"/>
                <w:highlight w:val="none"/>
              </w:rPr>
              <w:t>)</w:t>
            </w:r>
          </w:p>
        </w:tc>
        <w:tc>
          <w:tcPr>
            <w:tcW w:w="7054" w:type="dxa"/>
            <w:tcBorders>
              <w:right w:val="single" w:color="000000" w:sz="6" w:space="0"/>
            </w:tcBorders>
            <w:vAlign w:val="center"/>
          </w:tcPr>
          <w:p w14:paraId="015A0EAA">
            <w:pPr>
              <w:keepLines w:val="0"/>
              <w:pageBreakBefore w:val="0"/>
              <w:widowControl w:val="0"/>
              <w:kinsoku/>
              <w:overflowPunct/>
              <w:topLinePunct w:val="0"/>
              <w:autoSpaceDE/>
              <w:autoSpaceDN/>
              <w:bidi w:val="0"/>
              <w:snapToGrid w:val="0"/>
              <w:spacing w:before="139"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rPr>
              <w:t>承包人</w:t>
            </w:r>
            <w:r>
              <w:rPr>
                <w:rFonts w:hint="eastAsia" w:ascii="宋体" w:hAnsi="宋体" w:eastAsia="宋体" w:cs="宋体"/>
                <w:color w:val="auto"/>
                <w:spacing w:val="-7"/>
                <w:sz w:val="21"/>
                <w:szCs w:val="21"/>
                <w:highlight w:val="none"/>
              </w:rPr>
              <w:t>向</w:t>
            </w:r>
            <w:r>
              <w:rPr>
                <w:rFonts w:hint="eastAsia" w:ascii="宋体" w:hAnsi="宋体" w:eastAsia="宋体" w:cs="宋体"/>
                <w:color w:val="auto"/>
                <w:spacing w:val="-4"/>
                <w:sz w:val="21"/>
                <w:szCs w:val="21"/>
                <w:highlight w:val="none"/>
              </w:rPr>
              <w:t>监理人提交交工付款申请单(包括相关证明材料)的份数，规定为：</w:t>
            </w:r>
            <w:r>
              <w:rPr>
                <w:rFonts w:hint="eastAsia" w:ascii="宋体" w:hAnsi="宋体" w:cs="宋体"/>
                <w:color w:val="auto"/>
                <w:spacing w:val="-4"/>
                <w:sz w:val="21"/>
                <w:szCs w:val="21"/>
                <w:highlight w:val="none"/>
                <w:u w:val="none" w:color="auto"/>
                <w:lang w:val="en-US" w:eastAsia="zh-CN"/>
              </w:rPr>
              <w:t>6</w:t>
            </w:r>
            <w:r>
              <w:rPr>
                <w:rFonts w:hint="eastAsia" w:ascii="宋体" w:hAnsi="宋体" w:eastAsia="宋体" w:cs="宋体"/>
                <w:color w:val="auto"/>
                <w:spacing w:val="-4"/>
                <w:sz w:val="21"/>
                <w:szCs w:val="21"/>
                <w:highlight w:val="none"/>
                <w:u w:val="none" w:color="auto"/>
              </w:rPr>
              <w:t>份</w:t>
            </w:r>
          </w:p>
        </w:tc>
      </w:tr>
      <w:tr w14:paraId="0C59A5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24" w:type="dxa"/>
            <w:tcBorders>
              <w:left w:val="single" w:color="000000" w:sz="6" w:space="0"/>
            </w:tcBorders>
            <w:shd w:val="clear" w:color="auto" w:fill="auto"/>
            <w:vAlign w:val="center"/>
          </w:tcPr>
          <w:p w14:paraId="7D7FD0A5">
            <w:pPr>
              <w:keepLines w:val="0"/>
              <w:pageBreakBefore w:val="0"/>
              <w:widowControl w:val="0"/>
              <w:kinsoku/>
              <w:overflowPunct/>
              <w:topLinePunct w:val="0"/>
              <w:autoSpaceDE/>
              <w:autoSpaceDN/>
              <w:bidi w:val="0"/>
              <w:snapToGrid w:val="0"/>
              <w:spacing w:before="150" w:line="240" w:lineRule="auto"/>
              <w:ind w:left="105" w:leftChars="50" w:right="283"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3"/>
                <w:sz w:val="21"/>
                <w:szCs w:val="21"/>
                <w:highlight w:val="none"/>
              </w:rPr>
              <w:t>4</w:t>
            </w:r>
            <w:r>
              <w:rPr>
                <w:rFonts w:hint="eastAsia" w:ascii="宋体" w:hAnsi="宋体" w:eastAsia="宋体" w:cs="宋体"/>
                <w:color w:val="auto"/>
                <w:spacing w:val="3"/>
                <w:sz w:val="21"/>
                <w:szCs w:val="21"/>
                <w:highlight w:val="none"/>
                <w:lang w:val="en-US" w:eastAsia="zh-CN"/>
              </w:rPr>
              <w:t>2</w:t>
            </w:r>
          </w:p>
        </w:tc>
        <w:tc>
          <w:tcPr>
            <w:tcW w:w="1384" w:type="dxa"/>
            <w:vAlign w:val="center"/>
          </w:tcPr>
          <w:p w14:paraId="7FE774A6">
            <w:pPr>
              <w:keepLines w:val="0"/>
              <w:pageBreakBefore w:val="0"/>
              <w:widowControl w:val="0"/>
              <w:kinsoku/>
              <w:overflowPunct/>
              <w:topLinePunct w:val="0"/>
              <w:autoSpaceDE/>
              <w:autoSpaceDN/>
              <w:bidi w:val="0"/>
              <w:snapToGrid w:val="0"/>
              <w:spacing w:before="91" w:line="240" w:lineRule="auto"/>
              <w:ind w:left="105" w:leftChars="50" w:right="283" w:righ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17.6.1(1</w:t>
            </w:r>
            <w:r>
              <w:rPr>
                <w:rFonts w:hint="eastAsia" w:ascii="宋体" w:hAnsi="宋体" w:eastAsia="宋体" w:cs="宋体"/>
                <w:color w:val="auto"/>
                <w:spacing w:val="-2"/>
                <w:sz w:val="21"/>
                <w:szCs w:val="21"/>
                <w:highlight w:val="none"/>
              </w:rPr>
              <w:t>)</w:t>
            </w:r>
          </w:p>
        </w:tc>
        <w:tc>
          <w:tcPr>
            <w:tcW w:w="7054" w:type="dxa"/>
            <w:tcBorders>
              <w:right w:val="single" w:color="000000" w:sz="6" w:space="0"/>
            </w:tcBorders>
            <w:vAlign w:val="center"/>
          </w:tcPr>
          <w:p w14:paraId="77867000">
            <w:pPr>
              <w:keepLines w:val="0"/>
              <w:pageBreakBefore w:val="0"/>
              <w:widowControl w:val="0"/>
              <w:kinsoku/>
              <w:overflowPunct/>
              <w:topLinePunct w:val="0"/>
              <w:autoSpaceDE/>
              <w:autoSpaceDN/>
              <w:bidi w:val="0"/>
              <w:snapToGrid w:val="0"/>
              <w:spacing w:before="140"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承包人向监理人提交最终结清申请单(包括相关证明材料)的份数，规定为：</w:t>
            </w:r>
            <w:r>
              <w:rPr>
                <w:rFonts w:hint="eastAsia" w:ascii="宋体" w:hAnsi="宋体" w:cs="宋体"/>
                <w:color w:val="auto"/>
                <w:spacing w:val="-8"/>
                <w:sz w:val="21"/>
                <w:szCs w:val="21"/>
                <w:highlight w:val="none"/>
                <w:u w:val="none"/>
                <w:lang w:val="en-US" w:eastAsia="zh-CN"/>
              </w:rPr>
              <w:t>6</w:t>
            </w:r>
            <w:r>
              <w:rPr>
                <w:rFonts w:hint="eastAsia" w:ascii="宋体" w:hAnsi="宋体" w:eastAsia="宋体" w:cs="宋体"/>
                <w:color w:val="auto"/>
                <w:spacing w:val="-5"/>
                <w:sz w:val="21"/>
                <w:szCs w:val="21"/>
                <w:highlight w:val="none"/>
                <w:u w:val="none"/>
              </w:rPr>
              <w:t>份</w:t>
            </w:r>
          </w:p>
        </w:tc>
      </w:tr>
      <w:tr w14:paraId="6C4C0C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24" w:type="dxa"/>
            <w:tcBorders>
              <w:left w:val="single" w:color="000000" w:sz="6" w:space="0"/>
            </w:tcBorders>
            <w:shd w:val="clear" w:color="auto" w:fill="auto"/>
            <w:vAlign w:val="center"/>
          </w:tcPr>
          <w:p w14:paraId="10CC7FE9">
            <w:pPr>
              <w:keepLines w:val="0"/>
              <w:pageBreakBefore w:val="0"/>
              <w:widowControl w:val="0"/>
              <w:kinsoku/>
              <w:overflowPunct/>
              <w:topLinePunct w:val="0"/>
              <w:autoSpaceDE/>
              <w:autoSpaceDN/>
              <w:bidi w:val="0"/>
              <w:snapToGrid w:val="0"/>
              <w:spacing w:before="58" w:line="240" w:lineRule="auto"/>
              <w:ind w:left="105" w:leftChars="50" w:right="283"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3"/>
                <w:sz w:val="21"/>
                <w:szCs w:val="21"/>
                <w:highlight w:val="none"/>
              </w:rPr>
              <w:t>4</w:t>
            </w:r>
            <w:r>
              <w:rPr>
                <w:rFonts w:hint="eastAsia" w:ascii="宋体" w:hAnsi="宋体" w:eastAsia="宋体" w:cs="宋体"/>
                <w:color w:val="auto"/>
                <w:spacing w:val="3"/>
                <w:sz w:val="21"/>
                <w:szCs w:val="21"/>
                <w:highlight w:val="none"/>
                <w:lang w:val="en-US" w:eastAsia="zh-CN"/>
              </w:rPr>
              <w:t>3</w:t>
            </w:r>
          </w:p>
        </w:tc>
        <w:tc>
          <w:tcPr>
            <w:tcW w:w="1384" w:type="dxa"/>
            <w:vAlign w:val="center"/>
          </w:tcPr>
          <w:p w14:paraId="2BA2712E">
            <w:pPr>
              <w:keepLines w:val="0"/>
              <w:pageBreakBefore w:val="0"/>
              <w:widowControl w:val="0"/>
              <w:kinsoku/>
              <w:overflowPunct/>
              <w:topLinePunct w:val="0"/>
              <w:autoSpaceDE/>
              <w:autoSpaceDN/>
              <w:bidi w:val="0"/>
              <w:snapToGrid w:val="0"/>
              <w:spacing w:before="111" w:line="240" w:lineRule="auto"/>
              <w:ind w:left="105" w:leftChars="50" w:right="283" w:righ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18.2(2</w:t>
            </w:r>
            <w:r>
              <w:rPr>
                <w:rFonts w:hint="eastAsia" w:ascii="宋体" w:hAnsi="宋体" w:eastAsia="宋体" w:cs="宋体"/>
                <w:color w:val="auto"/>
                <w:sz w:val="21"/>
                <w:szCs w:val="21"/>
                <w:highlight w:val="none"/>
              </w:rPr>
              <w:t>)</w:t>
            </w:r>
          </w:p>
        </w:tc>
        <w:tc>
          <w:tcPr>
            <w:tcW w:w="7054" w:type="dxa"/>
            <w:tcBorders>
              <w:right w:val="single" w:color="000000" w:sz="6" w:space="0"/>
            </w:tcBorders>
            <w:vAlign w:val="center"/>
          </w:tcPr>
          <w:p w14:paraId="4F4066FC">
            <w:pPr>
              <w:keepLines w:val="0"/>
              <w:pageBreakBefore w:val="0"/>
              <w:widowControl w:val="0"/>
              <w:kinsoku/>
              <w:overflowPunct/>
              <w:topLinePunct w:val="0"/>
              <w:autoSpaceDE/>
              <w:autoSpaceDN/>
              <w:bidi w:val="0"/>
              <w:snapToGrid w:val="0"/>
              <w:spacing w:before="157"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竣工资料的份数，规定为：</w:t>
            </w:r>
            <w:r>
              <w:rPr>
                <w:rFonts w:hint="eastAsia" w:ascii="宋体" w:hAnsi="宋体" w:cs="宋体"/>
                <w:color w:val="auto"/>
                <w:spacing w:val="-5"/>
                <w:sz w:val="21"/>
                <w:szCs w:val="21"/>
                <w:highlight w:val="none"/>
                <w:lang w:val="en-US" w:eastAsia="zh-CN"/>
              </w:rPr>
              <w:t>4</w:t>
            </w:r>
            <w:r>
              <w:rPr>
                <w:rFonts w:hint="eastAsia" w:ascii="宋体" w:hAnsi="宋体" w:eastAsia="宋体" w:cs="宋体"/>
                <w:color w:val="auto"/>
                <w:spacing w:val="-3"/>
                <w:sz w:val="21"/>
                <w:szCs w:val="21"/>
                <w:highlight w:val="none"/>
              </w:rPr>
              <w:t>份</w:t>
            </w:r>
          </w:p>
        </w:tc>
      </w:tr>
      <w:tr w14:paraId="0FAD37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24" w:type="dxa"/>
            <w:tcBorders>
              <w:left w:val="single" w:color="000000" w:sz="6" w:space="0"/>
            </w:tcBorders>
            <w:shd w:val="clear" w:color="auto" w:fill="auto"/>
            <w:vAlign w:val="center"/>
          </w:tcPr>
          <w:p w14:paraId="22DEFDB4">
            <w:pPr>
              <w:keepLines w:val="0"/>
              <w:pageBreakBefore w:val="0"/>
              <w:widowControl w:val="0"/>
              <w:kinsoku/>
              <w:overflowPunct/>
              <w:topLinePunct w:val="0"/>
              <w:autoSpaceDE/>
              <w:autoSpaceDN/>
              <w:bidi w:val="0"/>
              <w:snapToGrid w:val="0"/>
              <w:spacing w:before="58" w:line="240" w:lineRule="auto"/>
              <w:ind w:left="105" w:leftChars="50" w:right="283"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3"/>
                <w:sz w:val="21"/>
                <w:szCs w:val="21"/>
                <w:highlight w:val="none"/>
              </w:rPr>
              <w:t>4</w:t>
            </w:r>
            <w:r>
              <w:rPr>
                <w:rFonts w:hint="eastAsia" w:ascii="宋体" w:hAnsi="宋体" w:eastAsia="宋体" w:cs="宋体"/>
                <w:color w:val="auto"/>
                <w:spacing w:val="3"/>
                <w:sz w:val="21"/>
                <w:szCs w:val="21"/>
                <w:highlight w:val="none"/>
                <w:lang w:val="en-US" w:eastAsia="zh-CN"/>
              </w:rPr>
              <w:t>4</w:t>
            </w:r>
          </w:p>
        </w:tc>
        <w:tc>
          <w:tcPr>
            <w:tcW w:w="1384" w:type="dxa"/>
            <w:vAlign w:val="center"/>
          </w:tcPr>
          <w:p w14:paraId="30FDF9BE">
            <w:pPr>
              <w:keepLines w:val="0"/>
              <w:pageBreakBefore w:val="0"/>
              <w:widowControl w:val="0"/>
              <w:kinsoku/>
              <w:overflowPunct/>
              <w:topLinePunct w:val="0"/>
              <w:autoSpaceDE/>
              <w:autoSpaceDN/>
              <w:bidi w:val="0"/>
              <w:snapToGrid w:val="0"/>
              <w:spacing w:before="57" w:line="240" w:lineRule="auto"/>
              <w:ind w:left="105" w:leftChars="50" w:right="283" w:righ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1</w:t>
            </w:r>
            <w:r>
              <w:rPr>
                <w:rFonts w:hint="eastAsia" w:ascii="宋体" w:hAnsi="宋体" w:eastAsia="宋体" w:cs="宋体"/>
                <w:color w:val="auto"/>
                <w:spacing w:val="-4"/>
                <w:sz w:val="21"/>
                <w:szCs w:val="21"/>
                <w:highlight w:val="none"/>
              </w:rPr>
              <w:t>8.5.1</w:t>
            </w:r>
          </w:p>
        </w:tc>
        <w:tc>
          <w:tcPr>
            <w:tcW w:w="7054" w:type="dxa"/>
            <w:tcBorders>
              <w:right w:val="single" w:color="000000" w:sz="6" w:space="0"/>
            </w:tcBorders>
            <w:vAlign w:val="center"/>
          </w:tcPr>
          <w:p w14:paraId="10BEAEB2">
            <w:pPr>
              <w:keepLines w:val="0"/>
              <w:pageBreakBefore w:val="0"/>
              <w:widowControl w:val="0"/>
              <w:kinsoku/>
              <w:overflowPunct/>
              <w:topLinePunct w:val="0"/>
              <w:autoSpaceDE/>
              <w:autoSpaceDN/>
              <w:bidi w:val="0"/>
              <w:snapToGrid w:val="0"/>
              <w:spacing w:before="158"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2"/>
                <w:sz w:val="21"/>
                <w:szCs w:val="21"/>
                <w:highlight w:val="none"/>
              </w:rPr>
              <w:t>单</w:t>
            </w:r>
            <w:r>
              <w:rPr>
                <w:rFonts w:hint="eastAsia" w:ascii="宋体" w:hAnsi="宋体" w:eastAsia="宋体" w:cs="宋体"/>
                <w:color w:val="auto"/>
                <w:spacing w:val="9"/>
                <w:sz w:val="21"/>
                <w:szCs w:val="21"/>
                <w:highlight w:val="none"/>
              </w:rPr>
              <w:t>位工程或工程设备是否需投入施工期运行，规定为：</w:t>
            </w:r>
            <w:r>
              <w:rPr>
                <w:rFonts w:hint="eastAsia" w:ascii="宋体" w:hAnsi="宋体" w:eastAsia="宋体" w:cs="宋体"/>
                <w:color w:val="auto"/>
                <w:spacing w:val="9"/>
                <w:sz w:val="21"/>
                <w:szCs w:val="21"/>
                <w:highlight w:val="none"/>
                <w:u w:val="single" w:color="auto"/>
              </w:rPr>
              <w:t>否</w:t>
            </w:r>
          </w:p>
          <w:p w14:paraId="36D63BE0">
            <w:pPr>
              <w:keepLines w:val="0"/>
              <w:pageBreakBefore w:val="0"/>
              <w:widowControl w:val="0"/>
              <w:kinsoku/>
              <w:overflowPunct/>
              <w:topLinePunct w:val="0"/>
              <w:autoSpaceDE/>
              <w:autoSpaceDN/>
              <w:bidi w:val="0"/>
              <w:snapToGrid w:val="0"/>
              <w:spacing w:before="153"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2"/>
                <w:sz w:val="21"/>
                <w:szCs w:val="21"/>
                <w:highlight w:val="none"/>
              </w:rPr>
              <w:t>如单位工程或工程设备需要进行施工期运行，需要施工期运行的单位工程或</w:t>
            </w:r>
            <w:r>
              <w:rPr>
                <w:rFonts w:hint="eastAsia" w:ascii="宋体" w:hAnsi="宋体" w:eastAsia="宋体" w:cs="宋体"/>
                <w:color w:val="auto"/>
                <w:spacing w:val="11"/>
                <w:sz w:val="21"/>
                <w:szCs w:val="21"/>
                <w:highlight w:val="none"/>
              </w:rPr>
              <w:t>工</w:t>
            </w:r>
            <w:r>
              <w:rPr>
                <w:rFonts w:hint="eastAsia" w:ascii="宋体" w:hAnsi="宋体" w:eastAsia="宋体" w:cs="宋体"/>
                <w:color w:val="auto"/>
                <w:spacing w:val="1"/>
                <w:sz w:val="21"/>
                <w:szCs w:val="21"/>
                <w:highlight w:val="none"/>
              </w:rPr>
              <w:t>程设备，具体规定为：</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w:t>
            </w:r>
            <w:r>
              <w:rPr>
                <w:rFonts w:hint="eastAsia" w:ascii="宋体" w:hAnsi="宋体" w:eastAsia="宋体" w:cs="宋体"/>
                <w:color w:val="auto"/>
                <w:szCs w:val="21"/>
                <w:highlight w:val="none"/>
                <w:u w:val="single"/>
              </w:rPr>
              <w:t xml:space="preserve"> </w:t>
            </w:r>
          </w:p>
        </w:tc>
      </w:tr>
      <w:tr w14:paraId="2B000E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24" w:type="dxa"/>
            <w:tcBorders>
              <w:left w:val="single" w:color="000000" w:sz="6" w:space="0"/>
            </w:tcBorders>
            <w:shd w:val="clear" w:color="auto" w:fill="auto"/>
            <w:vAlign w:val="center"/>
          </w:tcPr>
          <w:p w14:paraId="6C0115B0">
            <w:pPr>
              <w:keepLines w:val="0"/>
              <w:pageBreakBefore w:val="0"/>
              <w:widowControl w:val="0"/>
              <w:kinsoku/>
              <w:overflowPunct/>
              <w:topLinePunct w:val="0"/>
              <w:autoSpaceDE/>
              <w:autoSpaceDN/>
              <w:bidi w:val="0"/>
              <w:snapToGrid w:val="0"/>
              <w:spacing w:before="150" w:line="240" w:lineRule="auto"/>
              <w:ind w:left="105" w:leftChars="50" w:right="283"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3"/>
                <w:sz w:val="21"/>
                <w:szCs w:val="21"/>
                <w:highlight w:val="none"/>
              </w:rPr>
              <w:t>4</w:t>
            </w:r>
            <w:r>
              <w:rPr>
                <w:rFonts w:hint="eastAsia" w:ascii="宋体" w:hAnsi="宋体" w:eastAsia="宋体" w:cs="宋体"/>
                <w:color w:val="auto"/>
                <w:spacing w:val="3"/>
                <w:sz w:val="21"/>
                <w:szCs w:val="21"/>
                <w:highlight w:val="none"/>
                <w:lang w:val="en-US" w:eastAsia="zh-CN"/>
              </w:rPr>
              <w:t>5</w:t>
            </w:r>
          </w:p>
        </w:tc>
        <w:tc>
          <w:tcPr>
            <w:tcW w:w="1384" w:type="dxa"/>
            <w:vAlign w:val="center"/>
          </w:tcPr>
          <w:p w14:paraId="6C3DA383">
            <w:pPr>
              <w:keepLines w:val="0"/>
              <w:pageBreakBefore w:val="0"/>
              <w:widowControl w:val="0"/>
              <w:kinsoku/>
              <w:overflowPunct/>
              <w:topLinePunct w:val="0"/>
              <w:autoSpaceDE/>
              <w:autoSpaceDN/>
              <w:bidi w:val="0"/>
              <w:snapToGrid w:val="0"/>
              <w:spacing w:before="57" w:line="240" w:lineRule="auto"/>
              <w:ind w:left="105" w:leftChars="50" w:right="283" w:righ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1</w:t>
            </w:r>
            <w:r>
              <w:rPr>
                <w:rFonts w:hint="eastAsia" w:ascii="宋体" w:hAnsi="宋体" w:eastAsia="宋体" w:cs="宋体"/>
                <w:color w:val="auto"/>
                <w:spacing w:val="-4"/>
                <w:sz w:val="21"/>
                <w:szCs w:val="21"/>
                <w:highlight w:val="none"/>
              </w:rPr>
              <w:t>8.6.1</w:t>
            </w:r>
          </w:p>
        </w:tc>
        <w:tc>
          <w:tcPr>
            <w:tcW w:w="7054" w:type="dxa"/>
            <w:tcBorders>
              <w:right w:val="single" w:color="000000" w:sz="6" w:space="0"/>
            </w:tcBorders>
            <w:vAlign w:val="center"/>
          </w:tcPr>
          <w:p w14:paraId="0E7DA44F">
            <w:pPr>
              <w:keepLines w:val="0"/>
              <w:pageBreakBefore w:val="0"/>
              <w:widowControl w:val="0"/>
              <w:kinsoku/>
              <w:overflowPunct/>
              <w:topLinePunct w:val="0"/>
              <w:autoSpaceDE/>
              <w:autoSpaceDN/>
              <w:bidi w:val="0"/>
              <w:snapToGrid w:val="0"/>
              <w:spacing w:before="140"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rPr>
              <w:t>本工程及工程设备是否进行试运行，规定为：</w:t>
            </w:r>
            <w:r>
              <w:rPr>
                <w:rFonts w:hint="eastAsia" w:ascii="宋体" w:hAnsi="宋体" w:eastAsia="宋体" w:cs="宋体"/>
                <w:color w:val="auto"/>
                <w:spacing w:val="9"/>
                <w:sz w:val="21"/>
                <w:szCs w:val="21"/>
                <w:highlight w:val="none"/>
                <w:u w:val="single" w:color="auto"/>
              </w:rPr>
              <w:t>否</w:t>
            </w:r>
          </w:p>
          <w:p w14:paraId="65CEC337">
            <w:pPr>
              <w:keepLines w:val="0"/>
              <w:pageBreakBefore w:val="0"/>
              <w:widowControl w:val="0"/>
              <w:kinsoku/>
              <w:overflowPunct/>
              <w:topLinePunct w:val="0"/>
              <w:autoSpaceDE/>
              <w:autoSpaceDN/>
              <w:bidi w:val="0"/>
              <w:snapToGrid w:val="0"/>
              <w:spacing w:before="120"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position w:val="1"/>
                <w:sz w:val="21"/>
                <w:szCs w:val="21"/>
                <w:highlight w:val="none"/>
              </w:rPr>
              <w:t>如本工程及工程设备需要进行试运行，试运行的</w:t>
            </w:r>
            <w:r>
              <w:rPr>
                <w:rFonts w:hint="eastAsia" w:ascii="宋体" w:hAnsi="宋体" w:eastAsia="宋体" w:cs="宋体"/>
                <w:color w:val="auto"/>
                <w:position w:val="1"/>
                <w:sz w:val="21"/>
                <w:szCs w:val="21"/>
                <w:highlight w:val="none"/>
              </w:rPr>
              <w:t>具体规定为：</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w:t>
            </w:r>
            <w:r>
              <w:rPr>
                <w:rFonts w:hint="eastAsia" w:ascii="宋体" w:hAnsi="宋体" w:eastAsia="宋体" w:cs="宋体"/>
                <w:color w:val="auto"/>
                <w:szCs w:val="21"/>
                <w:highlight w:val="none"/>
                <w:u w:val="single"/>
              </w:rPr>
              <w:t xml:space="preserve"> </w:t>
            </w:r>
          </w:p>
        </w:tc>
      </w:tr>
      <w:tr w14:paraId="56500F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24" w:type="dxa"/>
            <w:tcBorders>
              <w:left w:val="single" w:color="000000" w:sz="6" w:space="0"/>
            </w:tcBorders>
            <w:vAlign w:val="center"/>
          </w:tcPr>
          <w:p w14:paraId="5788A905">
            <w:pPr>
              <w:keepLines w:val="0"/>
              <w:pageBreakBefore w:val="0"/>
              <w:widowControl w:val="0"/>
              <w:kinsoku/>
              <w:overflowPunct/>
              <w:topLinePunct w:val="0"/>
              <w:autoSpaceDE/>
              <w:autoSpaceDN/>
              <w:bidi w:val="0"/>
              <w:snapToGrid w:val="0"/>
              <w:spacing w:before="150" w:line="240" w:lineRule="auto"/>
              <w:ind w:left="105" w:leftChars="50" w:right="283"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3"/>
                <w:sz w:val="21"/>
                <w:szCs w:val="21"/>
                <w:highlight w:val="none"/>
              </w:rPr>
              <w:t>4</w:t>
            </w:r>
            <w:r>
              <w:rPr>
                <w:rFonts w:hint="eastAsia" w:ascii="宋体" w:hAnsi="宋体" w:eastAsia="宋体" w:cs="宋体"/>
                <w:color w:val="auto"/>
                <w:spacing w:val="3"/>
                <w:sz w:val="21"/>
                <w:szCs w:val="21"/>
                <w:highlight w:val="none"/>
                <w:lang w:val="en-US" w:eastAsia="zh-CN"/>
              </w:rPr>
              <w:t>6</w:t>
            </w:r>
          </w:p>
        </w:tc>
        <w:tc>
          <w:tcPr>
            <w:tcW w:w="1384" w:type="dxa"/>
            <w:vAlign w:val="center"/>
          </w:tcPr>
          <w:p w14:paraId="38B072A2">
            <w:pPr>
              <w:keepLines w:val="0"/>
              <w:pageBreakBefore w:val="0"/>
              <w:widowControl w:val="0"/>
              <w:kinsoku/>
              <w:overflowPunct/>
              <w:topLinePunct w:val="0"/>
              <w:autoSpaceDE/>
              <w:autoSpaceDN/>
              <w:bidi w:val="0"/>
              <w:snapToGrid w:val="0"/>
              <w:spacing w:before="111" w:line="240" w:lineRule="auto"/>
              <w:ind w:left="105" w:leftChars="50" w:right="283" w:righ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19.7(1</w:t>
            </w:r>
            <w:r>
              <w:rPr>
                <w:rFonts w:hint="eastAsia" w:ascii="宋体" w:hAnsi="宋体" w:eastAsia="宋体" w:cs="宋体"/>
                <w:color w:val="auto"/>
                <w:sz w:val="21"/>
                <w:szCs w:val="21"/>
                <w:highlight w:val="none"/>
              </w:rPr>
              <w:t>)</w:t>
            </w:r>
          </w:p>
        </w:tc>
        <w:tc>
          <w:tcPr>
            <w:tcW w:w="7054" w:type="dxa"/>
            <w:tcBorders>
              <w:right w:val="single" w:color="000000" w:sz="6" w:space="0"/>
            </w:tcBorders>
            <w:vAlign w:val="center"/>
          </w:tcPr>
          <w:p w14:paraId="73F2E9EB">
            <w:pPr>
              <w:keepLines w:val="0"/>
              <w:pageBreakBefore w:val="0"/>
              <w:widowControl w:val="0"/>
              <w:kinsoku/>
              <w:overflowPunct/>
              <w:topLinePunct w:val="0"/>
              <w:autoSpaceDE/>
              <w:autoSpaceDN/>
              <w:bidi w:val="0"/>
              <w:snapToGrid w:val="0"/>
              <w:spacing w:before="160"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保</w:t>
            </w:r>
            <w:r>
              <w:rPr>
                <w:rFonts w:hint="eastAsia" w:ascii="宋体" w:hAnsi="宋体" w:eastAsia="宋体" w:cs="宋体"/>
                <w:color w:val="auto"/>
                <w:spacing w:val="4"/>
                <w:sz w:val="21"/>
                <w:szCs w:val="21"/>
                <w:highlight w:val="none"/>
              </w:rPr>
              <w:t>修期：自实际交工验收合格之日起计算</w:t>
            </w:r>
            <w:r>
              <w:rPr>
                <w:rFonts w:hint="eastAsia" w:ascii="宋体" w:hAnsi="宋体" w:cs="宋体"/>
                <w:color w:val="auto"/>
                <w:spacing w:val="4"/>
                <w:sz w:val="21"/>
                <w:szCs w:val="21"/>
                <w:highlight w:val="none"/>
                <w:u w:val="single"/>
                <w:lang w:val="en-US" w:eastAsia="zh-CN"/>
              </w:rPr>
              <w:t xml:space="preserve"> </w:t>
            </w:r>
            <w:r>
              <w:rPr>
                <w:rFonts w:hint="eastAsia" w:ascii="宋体" w:hAnsi="宋体" w:eastAsia="宋体" w:cs="宋体"/>
                <w:color w:val="auto"/>
                <w:spacing w:val="4"/>
                <w:sz w:val="21"/>
                <w:szCs w:val="21"/>
                <w:highlight w:val="none"/>
                <w:u w:val="single"/>
              </w:rPr>
              <w:t>2</w:t>
            </w:r>
            <w:r>
              <w:rPr>
                <w:rFonts w:hint="eastAsia" w:ascii="宋体" w:hAnsi="宋体" w:cs="宋体"/>
                <w:color w:val="auto"/>
                <w:spacing w:val="4"/>
                <w:sz w:val="21"/>
                <w:szCs w:val="21"/>
                <w:highlight w:val="none"/>
                <w:u w:val="single"/>
                <w:lang w:val="en-US" w:eastAsia="zh-CN"/>
              </w:rPr>
              <w:t xml:space="preserve">4 </w:t>
            </w:r>
            <w:r>
              <w:rPr>
                <w:rFonts w:hint="eastAsia" w:ascii="宋体" w:hAnsi="宋体" w:eastAsia="宋体" w:cs="宋体"/>
                <w:color w:val="auto"/>
                <w:spacing w:val="4"/>
                <w:sz w:val="21"/>
                <w:szCs w:val="21"/>
                <w:highlight w:val="none"/>
              </w:rPr>
              <w:t>个月</w:t>
            </w:r>
          </w:p>
        </w:tc>
      </w:tr>
      <w:tr w14:paraId="7B9BB4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7" w:hRule="atLeast"/>
          <w:jc w:val="center"/>
        </w:trPr>
        <w:tc>
          <w:tcPr>
            <w:tcW w:w="624" w:type="dxa"/>
            <w:tcBorders>
              <w:left w:val="single" w:color="000000" w:sz="6" w:space="0"/>
            </w:tcBorders>
            <w:vAlign w:val="center"/>
          </w:tcPr>
          <w:p w14:paraId="6666F1B5">
            <w:pPr>
              <w:keepLines w:val="0"/>
              <w:pageBreakBefore w:val="0"/>
              <w:widowControl w:val="0"/>
              <w:kinsoku/>
              <w:overflowPunct/>
              <w:topLinePunct w:val="0"/>
              <w:autoSpaceDE/>
              <w:autoSpaceDN/>
              <w:bidi w:val="0"/>
              <w:snapToGrid w:val="0"/>
              <w:spacing w:before="58" w:line="240" w:lineRule="auto"/>
              <w:ind w:left="105" w:leftChars="50" w:right="283"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3"/>
                <w:sz w:val="21"/>
                <w:szCs w:val="21"/>
                <w:highlight w:val="none"/>
              </w:rPr>
              <w:t>4</w:t>
            </w:r>
            <w:r>
              <w:rPr>
                <w:rFonts w:hint="eastAsia" w:ascii="宋体" w:hAnsi="宋体" w:eastAsia="宋体" w:cs="宋体"/>
                <w:color w:val="auto"/>
                <w:spacing w:val="3"/>
                <w:sz w:val="21"/>
                <w:szCs w:val="21"/>
                <w:highlight w:val="none"/>
                <w:lang w:val="en-US" w:eastAsia="zh-CN"/>
              </w:rPr>
              <w:t>7</w:t>
            </w:r>
          </w:p>
        </w:tc>
        <w:tc>
          <w:tcPr>
            <w:tcW w:w="1384" w:type="dxa"/>
            <w:vAlign w:val="center"/>
          </w:tcPr>
          <w:p w14:paraId="0B37B48C">
            <w:pPr>
              <w:keepLines w:val="0"/>
              <w:pageBreakBefore w:val="0"/>
              <w:widowControl w:val="0"/>
              <w:kinsoku/>
              <w:overflowPunct/>
              <w:topLinePunct w:val="0"/>
              <w:autoSpaceDE/>
              <w:autoSpaceDN/>
              <w:bidi w:val="0"/>
              <w:snapToGrid w:val="0"/>
              <w:spacing w:before="57" w:line="240" w:lineRule="auto"/>
              <w:ind w:left="105" w:leftChars="50" w:right="283" w:righ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2</w:t>
            </w:r>
            <w:r>
              <w:rPr>
                <w:rFonts w:hint="eastAsia" w:ascii="宋体" w:hAnsi="宋体" w:eastAsia="宋体" w:cs="宋体"/>
                <w:color w:val="auto"/>
                <w:spacing w:val="-4"/>
                <w:sz w:val="21"/>
                <w:szCs w:val="21"/>
                <w:highlight w:val="none"/>
              </w:rPr>
              <w:t>0</w:t>
            </w:r>
            <w:r>
              <w:rPr>
                <w:rFonts w:hint="eastAsia" w:ascii="宋体" w:hAnsi="宋体" w:eastAsia="宋体" w:cs="宋体"/>
                <w:color w:val="auto"/>
                <w:spacing w:val="-3"/>
                <w:sz w:val="21"/>
                <w:szCs w:val="21"/>
                <w:highlight w:val="none"/>
              </w:rPr>
              <w:t>.1</w:t>
            </w:r>
          </w:p>
        </w:tc>
        <w:tc>
          <w:tcPr>
            <w:tcW w:w="7054" w:type="dxa"/>
            <w:tcBorders>
              <w:right w:val="single" w:color="000000" w:sz="6" w:space="0"/>
            </w:tcBorders>
            <w:vAlign w:val="center"/>
          </w:tcPr>
          <w:p w14:paraId="4DD3E63A">
            <w:pPr>
              <w:keepLines w:val="0"/>
              <w:pageBreakBefore w:val="0"/>
              <w:widowControl w:val="0"/>
              <w:kinsoku/>
              <w:overflowPunct/>
              <w:topLinePunct w:val="0"/>
              <w:autoSpaceDE/>
              <w:autoSpaceDN/>
              <w:bidi w:val="0"/>
              <w:snapToGrid w:val="0"/>
              <w:spacing w:before="158"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建筑工程一切险的投保内容：为本合同工程的永久工程、临时工程和设备及已</w:t>
            </w:r>
            <w:r>
              <w:rPr>
                <w:rFonts w:hint="eastAsia" w:ascii="宋体" w:hAnsi="宋体" w:eastAsia="宋体" w:cs="宋体"/>
                <w:color w:val="auto"/>
                <w:spacing w:val="13"/>
                <w:sz w:val="21"/>
                <w:szCs w:val="21"/>
                <w:highlight w:val="none"/>
              </w:rPr>
              <w:t>运</w:t>
            </w:r>
            <w:r>
              <w:rPr>
                <w:rFonts w:hint="eastAsia" w:ascii="宋体" w:hAnsi="宋体" w:eastAsia="宋体" w:cs="宋体"/>
                <w:color w:val="auto"/>
                <w:spacing w:val="9"/>
                <w:sz w:val="21"/>
                <w:szCs w:val="21"/>
                <w:highlight w:val="none"/>
              </w:rPr>
              <w:t>至施工工地用于永久工程的材料和设备所投的保险。</w:t>
            </w:r>
          </w:p>
          <w:p w14:paraId="4774F2C6">
            <w:pPr>
              <w:keepLines w:val="0"/>
              <w:pageBreakBefore w:val="0"/>
              <w:widowControl w:val="0"/>
              <w:kinsoku/>
              <w:overflowPunct/>
              <w:topLinePunct w:val="0"/>
              <w:autoSpaceDE/>
              <w:autoSpaceDN/>
              <w:bidi w:val="0"/>
              <w:snapToGrid w:val="0"/>
              <w:spacing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保险金额：工程量清单全部章节的合计金额</w:t>
            </w:r>
            <w:r>
              <w:rPr>
                <w:rFonts w:hint="eastAsia" w:ascii="宋体" w:hAnsi="宋体" w:eastAsia="宋体" w:cs="宋体"/>
                <w:color w:val="auto"/>
                <w:spacing w:val="8"/>
                <w:sz w:val="21"/>
                <w:szCs w:val="21"/>
                <w:highlight w:val="none"/>
              </w:rPr>
              <w:t>。</w:t>
            </w:r>
          </w:p>
          <w:p w14:paraId="072C5567">
            <w:pPr>
              <w:keepLines w:val="0"/>
              <w:pageBreakBefore w:val="0"/>
              <w:widowControl w:val="0"/>
              <w:kinsoku/>
              <w:overflowPunct/>
              <w:topLinePunct w:val="0"/>
              <w:autoSpaceDE/>
              <w:autoSpaceDN/>
              <w:bidi w:val="0"/>
              <w:snapToGrid w:val="0"/>
              <w:spacing w:before="115"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保</w:t>
            </w:r>
            <w:r>
              <w:rPr>
                <w:rFonts w:hint="eastAsia" w:ascii="宋体" w:hAnsi="宋体" w:eastAsia="宋体" w:cs="宋体"/>
                <w:color w:val="auto"/>
                <w:spacing w:val="5"/>
                <w:sz w:val="21"/>
                <w:szCs w:val="21"/>
                <w:highlight w:val="none"/>
              </w:rPr>
              <w:t>险费率：</w:t>
            </w:r>
            <w:r>
              <w:rPr>
                <w:rFonts w:hint="eastAsia" w:ascii="宋体" w:hAnsi="宋体" w:eastAsia="宋体" w:cs="宋体"/>
                <w:color w:val="auto"/>
                <w:spacing w:val="5"/>
                <w:sz w:val="21"/>
                <w:szCs w:val="21"/>
                <w:highlight w:val="none"/>
                <w:u w:val="single" w:color="auto"/>
              </w:rPr>
              <w:t xml:space="preserve">  0.3%  </w:t>
            </w:r>
            <w:r>
              <w:rPr>
                <w:rFonts w:hint="eastAsia" w:ascii="宋体" w:hAnsi="宋体" w:eastAsia="宋体" w:cs="宋体"/>
                <w:color w:val="auto"/>
                <w:spacing w:val="5"/>
                <w:sz w:val="21"/>
                <w:szCs w:val="21"/>
                <w:highlight w:val="none"/>
              </w:rPr>
              <w:t>。</w:t>
            </w:r>
          </w:p>
          <w:p w14:paraId="75EB8673">
            <w:pPr>
              <w:keepLines w:val="0"/>
              <w:pageBreakBefore w:val="0"/>
              <w:widowControl w:val="0"/>
              <w:kinsoku/>
              <w:overflowPunct/>
              <w:topLinePunct w:val="0"/>
              <w:autoSpaceDE/>
              <w:autoSpaceDN/>
              <w:bidi w:val="0"/>
              <w:snapToGrid w:val="0"/>
              <w:spacing w:before="119"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2"/>
                <w:sz w:val="21"/>
                <w:szCs w:val="21"/>
                <w:highlight w:val="none"/>
              </w:rPr>
              <w:t>保险</w:t>
            </w:r>
            <w:r>
              <w:rPr>
                <w:rFonts w:hint="eastAsia" w:ascii="宋体" w:hAnsi="宋体" w:eastAsia="宋体" w:cs="宋体"/>
                <w:color w:val="auto"/>
                <w:spacing w:val="14"/>
                <w:sz w:val="21"/>
                <w:szCs w:val="21"/>
                <w:highlight w:val="none"/>
              </w:rPr>
              <w:t>期</w:t>
            </w:r>
            <w:r>
              <w:rPr>
                <w:rFonts w:hint="eastAsia" w:ascii="宋体" w:hAnsi="宋体" w:eastAsia="宋体" w:cs="宋体"/>
                <w:color w:val="auto"/>
                <w:spacing w:val="11"/>
                <w:sz w:val="21"/>
                <w:szCs w:val="21"/>
                <w:highlight w:val="none"/>
              </w:rPr>
              <w:t>限：开工日起直至本合同工程签发缺陷责任期终止证书止(即合同工期</w:t>
            </w:r>
            <w:r>
              <w:rPr>
                <w:rFonts w:hint="eastAsia" w:ascii="宋体" w:hAnsi="宋体" w:eastAsia="宋体" w:cs="宋体"/>
                <w:color w:val="auto"/>
                <w:spacing w:val="5"/>
                <w:sz w:val="21"/>
                <w:szCs w:val="21"/>
                <w:highlight w:val="none"/>
              </w:rPr>
              <w:t>＋缺陷责任期)</w:t>
            </w:r>
            <w:r>
              <w:rPr>
                <w:rFonts w:hint="eastAsia" w:ascii="宋体" w:hAnsi="宋体" w:eastAsia="宋体" w:cs="宋体"/>
                <w:color w:val="auto"/>
                <w:spacing w:val="3"/>
                <w:sz w:val="21"/>
                <w:szCs w:val="21"/>
                <w:highlight w:val="none"/>
              </w:rPr>
              <w:t>。</w:t>
            </w:r>
          </w:p>
          <w:p w14:paraId="2B2334C0">
            <w:pPr>
              <w:keepLines w:val="0"/>
              <w:pageBreakBefore w:val="0"/>
              <w:widowControl w:val="0"/>
              <w:kinsoku/>
              <w:overflowPunct/>
              <w:topLinePunct w:val="0"/>
              <w:autoSpaceDE/>
              <w:autoSpaceDN/>
              <w:bidi w:val="0"/>
              <w:snapToGrid w:val="0"/>
              <w:spacing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4"/>
                <w:sz w:val="21"/>
                <w:szCs w:val="21"/>
                <w:highlight w:val="none"/>
              </w:rPr>
              <w:t>承</w:t>
            </w:r>
            <w:r>
              <w:rPr>
                <w:rFonts w:hint="eastAsia" w:ascii="宋体" w:hAnsi="宋体" w:eastAsia="宋体" w:cs="宋体"/>
                <w:color w:val="auto"/>
                <w:spacing w:val="12"/>
                <w:sz w:val="21"/>
                <w:szCs w:val="21"/>
                <w:highlight w:val="none"/>
              </w:rPr>
              <w:t>包人应以发包人和承包人的共同名义投保建筑工程一切险。承包人因办理建筑工程一切险所发生的费用</w:t>
            </w:r>
            <w:r>
              <w:rPr>
                <w:rFonts w:hint="eastAsia" w:ascii="宋体" w:hAnsi="宋体" w:cs="宋体"/>
                <w:color w:val="auto"/>
                <w:spacing w:val="12"/>
                <w:sz w:val="21"/>
                <w:szCs w:val="21"/>
                <w:highlight w:val="none"/>
                <w:lang w:eastAsia="zh-CN"/>
              </w:rPr>
              <w:t>，</w:t>
            </w:r>
            <w:r>
              <w:rPr>
                <w:rFonts w:hint="eastAsia" w:ascii="宋体" w:hAnsi="宋体" w:eastAsia="宋体" w:cs="宋体"/>
                <w:color w:val="auto"/>
                <w:spacing w:val="12"/>
                <w:sz w:val="21"/>
                <w:szCs w:val="21"/>
                <w:highlight w:val="none"/>
              </w:rPr>
              <w:t>应认为已含入</w:t>
            </w:r>
            <w:r>
              <w:rPr>
                <w:rFonts w:hint="eastAsia" w:ascii="宋体" w:hAnsi="宋体" w:cs="宋体"/>
                <w:color w:val="auto"/>
                <w:spacing w:val="12"/>
                <w:sz w:val="21"/>
                <w:szCs w:val="21"/>
                <w:highlight w:val="none"/>
                <w:lang w:val="en-US" w:eastAsia="zh-CN"/>
              </w:rPr>
              <w:t>投标总价</w:t>
            </w:r>
            <w:r>
              <w:rPr>
                <w:rFonts w:hint="eastAsia" w:ascii="宋体" w:hAnsi="宋体" w:eastAsia="宋体" w:cs="宋体"/>
                <w:color w:val="auto"/>
                <w:spacing w:val="12"/>
                <w:sz w:val="21"/>
                <w:szCs w:val="21"/>
                <w:highlight w:val="none"/>
              </w:rPr>
              <w:t>中，</w:t>
            </w:r>
            <w:r>
              <w:rPr>
                <w:rFonts w:hint="eastAsia" w:ascii="宋体" w:hAnsi="宋体" w:cs="宋体"/>
                <w:color w:val="auto"/>
                <w:spacing w:val="12"/>
                <w:sz w:val="21"/>
                <w:szCs w:val="21"/>
                <w:highlight w:val="none"/>
                <w:lang w:val="en-US" w:eastAsia="zh-CN"/>
              </w:rPr>
              <w:t>不单独列项填报，</w:t>
            </w:r>
            <w:r>
              <w:rPr>
                <w:rFonts w:hint="eastAsia" w:ascii="宋体" w:hAnsi="宋体" w:eastAsia="宋体" w:cs="宋体"/>
                <w:color w:val="auto"/>
                <w:spacing w:val="12"/>
                <w:sz w:val="21"/>
                <w:szCs w:val="21"/>
                <w:highlight w:val="none"/>
              </w:rPr>
              <w:t>发包人不另行</w:t>
            </w:r>
            <w:r>
              <w:rPr>
                <w:rFonts w:hint="eastAsia" w:ascii="宋体" w:hAnsi="宋体" w:eastAsia="宋体" w:cs="宋体"/>
                <w:color w:val="auto"/>
                <w:spacing w:val="7"/>
                <w:sz w:val="21"/>
                <w:szCs w:val="21"/>
                <w:highlight w:val="none"/>
              </w:rPr>
              <w:t>支付。</w:t>
            </w:r>
          </w:p>
          <w:p w14:paraId="50C590BA">
            <w:pPr>
              <w:keepLines w:val="0"/>
              <w:pageBreakBefore w:val="0"/>
              <w:widowControl w:val="0"/>
              <w:kinsoku/>
              <w:overflowPunct/>
              <w:topLinePunct w:val="0"/>
              <w:autoSpaceDE/>
              <w:autoSpaceDN/>
              <w:bidi w:val="0"/>
              <w:snapToGrid w:val="0"/>
              <w:spacing w:before="1"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2"/>
                <w:sz w:val="21"/>
                <w:szCs w:val="21"/>
                <w:highlight w:val="none"/>
              </w:rPr>
              <w:t>当本</w:t>
            </w:r>
            <w:r>
              <w:rPr>
                <w:rFonts w:hint="eastAsia" w:ascii="宋体" w:hAnsi="宋体" w:eastAsia="宋体" w:cs="宋体"/>
                <w:color w:val="auto"/>
                <w:spacing w:val="12"/>
                <w:sz w:val="21"/>
                <w:szCs w:val="21"/>
                <w:highlight w:val="none"/>
              </w:rPr>
              <w:t>合</w:t>
            </w:r>
            <w:r>
              <w:rPr>
                <w:rFonts w:hint="eastAsia" w:ascii="宋体" w:hAnsi="宋体" w:eastAsia="宋体" w:cs="宋体"/>
                <w:color w:val="auto"/>
                <w:spacing w:val="11"/>
                <w:sz w:val="21"/>
                <w:szCs w:val="21"/>
                <w:highlight w:val="none"/>
              </w:rPr>
              <w:t>同工程发生损失或损害时，承包人应按保险单规定的条件和期限及时向</w:t>
            </w:r>
            <w:r>
              <w:rPr>
                <w:rFonts w:hint="eastAsia" w:ascii="宋体" w:hAnsi="宋体" w:eastAsia="宋体" w:cs="宋体"/>
                <w:color w:val="auto"/>
                <w:spacing w:val="13"/>
                <w:sz w:val="21"/>
                <w:szCs w:val="21"/>
                <w:highlight w:val="none"/>
              </w:rPr>
              <w:t>保</w:t>
            </w:r>
            <w:r>
              <w:rPr>
                <w:rFonts w:hint="eastAsia" w:ascii="宋体" w:hAnsi="宋体" w:eastAsia="宋体" w:cs="宋体"/>
                <w:color w:val="auto"/>
                <w:spacing w:val="12"/>
                <w:sz w:val="21"/>
                <w:szCs w:val="21"/>
                <w:highlight w:val="none"/>
              </w:rPr>
              <w:t>险人报告，并抄送发包人和监理人。如损害继续发生，承包人在递交第一次报</w:t>
            </w:r>
            <w:r>
              <w:rPr>
                <w:rFonts w:hint="eastAsia" w:ascii="宋体" w:hAnsi="宋体" w:eastAsia="宋体" w:cs="宋体"/>
                <w:color w:val="auto"/>
                <w:spacing w:val="10"/>
                <w:sz w:val="21"/>
                <w:szCs w:val="21"/>
                <w:highlight w:val="none"/>
              </w:rPr>
              <w:t>告后，每7天报告一次，直到损害结束。办理本款所述的保险并不免除合同规</w:t>
            </w:r>
            <w:r>
              <w:rPr>
                <w:rFonts w:hint="eastAsia" w:ascii="宋体" w:hAnsi="宋体" w:eastAsia="宋体" w:cs="宋体"/>
                <w:color w:val="auto"/>
                <w:spacing w:val="8"/>
                <w:sz w:val="21"/>
                <w:szCs w:val="21"/>
                <w:highlight w:val="none"/>
              </w:rPr>
              <w:t>定</w:t>
            </w:r>
            <w:r>
              <w:rPr>
                <w:rFonts w:hint="eastAsia" w:ascii="宋体" w:hAnsi="宋体" w:eastAsia="宋体" w:cs="宋体"/>
                <w:color w:val="auto"/>
                <w:spacing w:val="12"/>
                <w:sz w:val="21"/>
                <w:szCs w:val="21"/>
                <w:highlight w:val="none"/>
              </w:rPr>
              <w:t>的</w:t>
            </w:r>
            <w:r>
              <w:rPr>
                <w:rFonts w:hint="eastAsia" w:ascii="宋体" w:hAnsi="宋体" w:eastAsia="宋体" w:cs="宋体"/>
                <w:color w:val="auto"/>
                <w:spacing w:val="6"/>
                <w:sz w:val="21"/>
                <w:szCs w:val="21"/>
                <w:highlight w:val="none"/>
              </w:rPr>
              <w:t>承包人的义务和责任。</w:t>
            </w:r>
          </w:p>
        </w:tc>
      </w:tr>
      <w:tr w14:paraId="1723C2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0" w:hRule="atLeast"/>
          <w:jc w:val="center"/>
        </w:trPr>
        <w:tc>
          <w:tcPr>
            <w:tcW w:w="624" w:type="dxa"/>
            <w:tcBorders>
              <w:left w:val="single" w:color="000000" w:sz="6" w:space="0"/>
            </w:tcBorders>
            <w:vAlign w:val="center"/>
          </w:tcPr>
          <w:p w14:paraId="457A2633">
            <w:pPr>
              <w:keepLines w:val="0"/>
              <w:pageBreakBefore w:val="0"/>
              <w:widowControl w:val="0"/>
              <w:kinsoku/>
              <w:overflowPunct/>
              <w:topLinePunct w:val="0"/>
              <w:autoSpaceDE/>
              <w:autoSpaceDN/>
              <w:bidi w:val="0"/>
              <w:snapToGrid w:val="0"/>
              <w:spacing w:before="58" w:line="240" w:lineRule="auto"/>
              <w:ind w:left="105" w:leftChars="50" w:right="283"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3"/>
                <w:sz w:val="21"/>
                <w:szCs w:val="21"/>
                <w:highlight w:val="none"/>
              </w:rPr>
              <w:t>4</w:t>
            </w:r>
            <w:r>
              <w:rPr>
                <w:rFonts w:hint="eastAsia" w:ascii="宋体" w:hAnsi="宋体" w:eastAsia="宋体" w:cs="宋体"/>
                <w:color w:val="auto"/>
                <w:spacing w:val="3"/>
                <w:sz w:val="21"/>
                <w:szCs w:val="21"/>
                <w:highlight w:val="none"/>
                <w:lang w:val="en-US" w:eastAsia="zh-CN"/>
              </w:rPr>
              <w:t>8</w:t>
            </w:r>
          </w:p>
        </w:tc>
        <w:tc>
          <w:tcPr>
            <w:tcW w:w="1384" w:type="dxa"/>
            <w:vAlign w:val="center"/>
          </w:tcPr>
          <w:p w14:paraId="41E2942D">
            <w:pPr>
              <w:keepLines w:val="0"/>
              <w:pageBreakBefore w:val="0"/>
              <w:widowControl w:val="0"/>
              <w:kinsoku/>
              <w:overflowPunct/>
              <w:topLinePunct w:val="0"/>
              <w:autoSpaceDE/>
              <w:autoSpaceDN/>
              <w:bidi w:val="0"/>
              <w:snapToGrid w:val="0"/>
              <w:spacing w:before="57" w:line="240" w:lineRule="auto"/>
              <w:ind w:left="105" w:leftChars="50" w:right="283" w:righ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20.</w:t>
            </w:r>
            <w:r>
              <w:rPr>
                <w:rFonts w:hint="eastAsia" w:ascii="宋体" w:hAnsi="宋体" w:eastAsia="宋体" w:cs="宋体"/>
                <w:color w:val="auto"/>
                <w:spacing w:val="2"/>
                <w:sz w:val="21"/>
                <w:szCs w:val="21"/>
                <w:highlight w:val="none"/>
              </w:rPr>
              <w:t>4</w:t>
            </w:r>
          </w:p>
        </w:tc>
        <w:tc>
          <w:tcPr>
            <w:tcW w:w="7054" w:type="dxa"/>
            <w:tcBorders>
              <w:right w:val="single" w:color="000000" w:sz="6" w:space="0"/>
            </w:tcBorders>
            <w:vAlign w:val="center"/>
          </w:tcPr>
          <w:p w14:paraId="42D32D53">
            <w:pPr>
              <w:keepNext w:val="0"/>
              <w:keepLines w:val="0"/>
              <w:pageBreakBefore w:val="0"/>
              <w:widowControl w:val="0"/>
              <w:kinsoku/>
              <w:wordWrap/>
              <w:overflowPunct/>
              <w:topLinePunct w:val="0"/>
              <w:autoSpaceDE/>
              <w:autoSpaceDN/>
              <w:bidi w:val="0"/>
              <w:adjustRightInd w:val="0"/>
              <w:snapToGrid w:val="0"/>
              <w:spacing w:line="240" w:lineRule="auto"/>
              <w:ind w:left="105" w:leftChars="50" w:right="283" w:rightChars="0" w:firstLine="0" w:firstLineChars="0"/>
              <w:jc w:val="left"/>
              <w:textAlignment w:val="auto"/>
              <w:rPr>
                <w:rFonts w:hint="eastAsia" w:ascii="宋体" w:hAnsi="宋体" w:eastAsia="宋体" w:cs="宋体"/>
                <w:color w:val="auto"/>
                <w:spacing w:val="4"/>
                <w:position w:val="15"/>
                <w:sz w:val="21"/>
                <w:szCs w:val="21"/>
                <w:highlight w:val="none"/>
              </w:rPr>
            </w:pPr>
            <w:r>
              <w:rPr>
                <w:rFonts w:hint="eastAsia" w:ascii="宋体" w:hAnsi="宋体" w:eastAsia="宋体" w:cs="宋体"/>
                <w:color w:val="auto"/>
                <w:spacing w:val="8"/>
                <w:position w:val="15"/>
                <w:sz w:val="21"/>
                <w:szCs w:val="21"/>
                <w:highlight w:val="none"/>
              </w:rPr>
              <w:t>20.4.1</w:t>
            </w:r>
            <w:r>
              <w:rPr>
                <w:rFonts w:hint="eastAsia" w:ascii="宋体" w:hAnsi="宋体" w:eastAsia="宋体" w:cs="宋体"/>
                <w:color w:val="auto"/>
                <w:spacing w:val="4"/>
                <w:position w:val="15"/>
                <w:sz w:val="21"/>
                <w:szCs w:val="21"/>
                <w:highlight w:val="none"/>
              </w:rPr>
              <w:t>第三者责任系指在保险期内，对因工程意外事故造成的、依法应由被保险人负责的工地上及毗邻地区的第三者人身伤亡、疾病或财产损失(本工程除外)，以及被保险人因此而支付的诉讼费用和事先经保险人书面同意支付的其他费用等赔偿责任。</w:t>
            </w:r>
          </w:p>
          <w:p w14:paraId="4458B69D">
            <w:pPr>
              <w:keepNext w:val="0"/>
              <w:keepLines w:val="0"/>
              <w:pageBreakBefore w:val="0"/>
              <w:widowControl w:val="0"/>
              <w:kinsoku/>
              <w:wordWrap/>
              <w:overflowPunct/>
              <w:topLinePunct w:val="0"/>
              <w:autoSpaceDE/>
              <w:autoSpaceDN/>
              <w:bidi w:val="0"/>
              <w:adjustRightInd w:val="0"/>
              <w:snapToGrid w:val="0"/>
              <w:spacing w:line="240" w:lineRule="auto"/>
              <w:ind w:left="105" w:leftChars="50" w:right="283" w:rightChars="0" w:firstLine="0" w:firstLineChars="0"/>
              <w:jc w:val="left"/>
              <w:textAlignment w:val="auto"/>
              <w:rPr>
                <w:rFonts w:hint="eastAsia" w:ascii="宋体" w:hAnsi="宋体" w:eastAsia="宋体" w:cs="宋体"/>
                <w:color w:val="auto"/>
                <w:spacing w:val="4"/>
                <w:position w:val="15"/>
                <w:sz w:val="21"/>
                <w:szCs w:val="21"/>
                <w:highlight w:val="none"/>
              </w:rPr>
            </w:pPr>
            <w:r>
              <w:rPr>
                <w:rFonts w:hint="eastAsia" w:ascii="宋体" w:hAnsi="宋体" w:eastAsia="宋体" w:cs="宋体"/>
                <w:color w:val="auto"/>
                <w:spacing w:val="4"/>
                <w:position w:val="15"/>
                <w:sz w:val="21"/>
                <w:szCs w:val="21"/>
                <w:highlight w:val="none"/>
              </w:rPr>
              <w:t>20.4.2在缺陷责任期终止证书颁发前，承包人应以承包人和发包人的共同名义，投保第20.4.1项约定的第三者责任险，其中：</w:t>
            </w:r>
          </w:p>
          <w:p w14:paraId="6BB113FE">
            <w:pPr>
              <w:keepNext w:val="0"/>
              <w:keepLines w:val="0"/>
              <w:pageBreakBefore w:val="0"/>
              <w:widowControl w:val="0"/>
              <w:kinsoku/>
              <w:wordWrap/>
              <w:overflowPunct/>
              <w:topLinePunct w:val="0"/>
              <w:autoSpaceDE/>
              <w:autoSpaceDN/>
              <w:bidi w:val="0"/>
              <w:adjustRightInd w:val="0"/>
              <w:snapToGrid w:val="0"/>
              <w:spacing w:line="240" w:lineRule="auto"/>
              <w:ind w:left="105" w:leftChars="50" w:right="283" w:rightChars="0" w:firstLine="0" w:firstLineChars="0"/>
              <w:jc w:val="left"/>
              <w:textAlignment w:val="auto"/>
              <w:rPr>
                <w:rFonts w:hint="eastAsia" w:ascii="宋体" w:hAnsi="宋体" w:eastAsia="宋体" w:cs="宋体"/>
                <w:color w:val="auto"/>
                <w:spacing w:val="4"/>
                <w:position w:val="15"/>
                <w:sz w:val="21"/>
                <w:szCs w:val="21"/>
                <w:highlight w:val="none"/>
              </w:rPr>
            </w:pPr>
            <w:r>
              <w:rPr>
                <w:rFonts w:hint="eastAsia" w:ascii="宋体" w:hAnsi="宋体" w:eastAsia="宋体" w:cs="宋体"/>
                <w:color w:val="auto"/>
                <w:spacing w:val="4"/>
                <w:position w:val="15"/>
                <w:sz w:val="21"/>
                <w:szCs w:val="21"/>
                <w:highlight w:val="none"/>
              </w:rPr>
              <w:t>第三者责任险的最低投保金额，规定为：</w:t>
            </w:r>
            <w:r>
              <w:rPr>
                <w:rFonts w:hint="eastAsia" w:ascii="宋体" w:hAnsi="宋体" w:eastAsia="宋体" w:cs="宋体"/>
                <w:color w:val="auto"/>
                <w:spacing w:val="4"/>
                <w:position w:val="15"/>
                <w:sz w:val="21"/>
                <w:szCs w:val="21"/>
                <w:highlight w:val="none"/>
                <w:u w:val="single"/>
              </w:rPr>
              <w:t>100万元</w:t>
            </w:r>
            <w:r>
              <w:rPr>
                <w:rFonts w:hint="eastAsia" w:ascii="宋体" w:hAnsi="宋体" w:eastAsia="宋体" w:cs="宋体"/>
                <w:color w:val="auto"/>
                <w:spacing w:val="4"/>
                <w:position w:val="15"/>
                <w:sz w:val="21"/>
                <w:szCs w:val="21"/>
                <w:highlight w:val="none"/>
              </w:rPr>
              <w:t>。</w:t>
            </w:r>
          </w:p>
          <w:p w14:paraId="72CFD48F">
            <w:pPr>
              <w:keepNext w:val="0"/>
              <w:keepLines w:val="0"/>
              <w:pageBreakBefore w:val="0"/>
              <w:widowControl w:val="0"/>
              <w:kinsoku/>
              <w:wordWrap/>
              <w:overflowPunct/>
              <w:topLinePunct w:val="0"/>
              <w:autoSpaceDE/>
              <w:autoSpaceDN/>
              <w:bidi w:val="0"/>
              <w:adjustRightInd w:val="0"/>
              <w:snapToGrid w:val="0"/>
              <w:spacing w:line="240" w:lineRule="auto"/>
              <w:ind w:left="105" w:leftChars="50" w:right="283" w:rightChars="0" w:firstLine="0" w:firstLineChars="0"/>
              <w:jc w:val="left"/>
              <w:textAlignment w:val="auto"/>
              <w:rPr>
                <w:rFonts w:hint="eastAsia" w:ascii="宋体" w:hAnsi="宋体" w:eastAsia="宋体" w:cs="宋体"/>
                <w:color w:val="auto"/>
                <w:spacing w:val="4"/>
                <w:position w:val="15"/>
                <w:sz w:val="21"/>
                <w:szCs w:val="21"/>
                <w:highlight w:val="none"/>
              </w:rPr>
            </w:pPr>
            <w:r>
              <w:rPr>
                <w:rFonts w:hint="eastAsia" w:ascii="宋体" w:hAnsi="宋体" w:eastAsia="宋体" w:cs="宋体"/>
                <w:color w:val="auto"/>
                <w:spacing w:val="4"/>
                <w:position w:val="15"/>
                <w:sz w:val="21"/>
                <w:szCs w:val="21"/>
                <w:highlight w:val="none"/>
              </w:rPr>
              <w:t>保险费率：</w:t>
            </w:r>
            <w:r>
              <w:rPr>
                <w:rFonts w:hint="eastAsia" w:ascii="宋体" w:hAnsi="宋体" w:eastAsia="宋体" w:cs="宋体"/>
                <w:color w:val="auto"/>
                <w:spacing w:val="4"/>
                <w:position w:val="15"/>
                <w:sz w:val="21"/>
                <w:szCs w:val="21"/>
                <w:highlight w:val="none"/>
                <w:u w:val="single"/>
              </w:rPr>
              <w:t>0.1%</w:t>
            </w:r>
            <w:r>
              <w:rPr>
                <w:rFonts w:hint="eastAsia" w:ascii="宋体" w:hAnsi="宋体" w:eastAsia="宋体" w:cs="宋体"/>
                <w:color w:val="auto"/>
                <w:spacing w:val="4"/>
                <w:position w:val="15"/>
                <w:sz w:val="21"/>
                <w:szCs w:val="21"/>
                <w:highlight w:val="none"/>
              </w:rPr>
              <w:t>。</w:t>
            </w:r>
          </w:p>
          <w:p w14:paraId="44C0B79F">
            <w:pPr>
              <w:keepNext w:val="0"/>
              <w:keepLines w:val="0"/>
              <w:pageBreakBefore w:val="0"/>
              <w:widowControl w:val="0"/>
              <w:kinsoku/>
              <w:wordWrap/>
              <w:overflowPunct/>
              <w:topLinePunct w:val="0"/>
              <w:autoSpaceDE/>
              <w:autoSpaceDN/>
              <w:bidi w:val="0"/>
              <w:adjustRightInd w:val="0"/>
              <w:snapToGrid w:val="0"/>
              <w:spacing w:line="240" w:lineRule="auto"/>
              <w:ind w:left="105" w:leftChars="50" w:right="283" w:rightChars="0" w:firstLine="0" w:firstLineChars="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4"/>
                <w:position w:val="15"/>
                <w:sz w:val="21"/>
                <w:szCs w:val="21"/>
                <w:highlight w:val="none"/>
              </w:rPr>
              <w:t>20.4.3承包人因办理第三者责任险所发生的费用</w:t>
            </w:r>
            <w:r>
              <w:rPr>
                <w:rFonts w:hint="eastAsia" w:ascii="宋体" w:hAnsi="宋体" w:cs="宋体"/>
                <w:color w:val="auto"/>
                <w:spacing w:val="4"/>
                <w:position w:val="15"/>
                <w:sz w:val="21"/>
                <w:szCs w:val="21"/>
                <w:highlight w:val="none"/>
                <w:lang w:eastAsia="zh-CN"/>
              </w:rPr>
              <w:t>，应认为已含入</w:t>
            </w:r>
            <w:r>
              <w:rPr>
                <w:rFonts w:hint="eastAsia" w:ascii="宋体" w:hAnsi="宋体" w:cs="宋体"/>
                <w:color w:val="auto"/>
                <w:spacing w:val="4"/>
                <w:position w:val="15"/>
                <w:sz w:val="21"/>
                <w:szCs w:val="21"/>
                <w:highlight w:val="none"/>
                <w:lang w:val="en-US" w:eastAsia="zh-CN"/>
              </w:rPr>
              <w:t>投标总价</w:t>
            </w:r>
            <w:r>
              <w:rPr>
                <w:rFonts w:hint="eastAsia" w:ascii="宋体" w:hAnsi="宋体" w:cs="宋体"/>
                <w:color w:val="auto"/>
                <w:spacing w:val="4"/>
                <w:position w:val="15"/>
                <w:sz w:val="21"/>
                <w:szCs w:val="21"/>
                <w:highlight w:val="none"/>
                <w:lang w:eastAsia="zh-CN"/>
              </w:rPr>
              <w:t>中，</w:t>
            </w:r>
            <w:r>
              <w:rPr>
                <w:rFonts w:hint="eastAsia" w:ascii="宋体" w:hAnsi="宋体" w:cs="宋体"/>
                <w:color w:val="auto"/>
                <w:spacing w:val="4"/>
                <w:position w:val="15"/>
                <w:sz w:val="21"/>
                <w:szCs w:val="21"/>
                <w:highlight w:val="none"/>
                <w:lang w:val="en-US" w:eastAsia="zh-CN"/>
              </w:rPr>
              <w:t>不单独列项填报，</w:t>
            </w:r>
            <w:r>
              <w:rPr>
                <w:rFonts w:hint="eastAsia" w:ascii="宋体" w:hAnsi="宋体" w:cs="宋体"/>
                <w:color w:val="auto"/>
                <w:spacing w:val="4"/>
                <w:position w:val="15"/>
                <w:sz w:val="21"/>
                <w:szCs w:val="21"/>
                <w:highlight w:val="none"/>
                <w:lang w:eastAsia="zh-CN"/>
              </w:rPr>
              <w:t>发包人不另行支付。</w:t>
            </w:r>
          </w:p>
        </w:tc>
      </w:tr>
      <w:tr w14:paraId="2BCC21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0" w:hRule="atLeast"/>
          <w:jc w:val="center"/>
        </w:trPr>
        <w:tc>
          <w:tcPr>
            <w:tcW w:w="624" w:type="dxa"/>
            <w:tcBorders>
              <w:left w:val="single" w:color="000000" w:sz="6" w:space="0"/>
            </w:tcBorders>
            <w:vAlign w:val="center"/>
          </w:tcPr>
          <w:p w14:paraId="2E4891DC">
            <w:pPr>
              <w:keepLines w:val="0"/>
              <w:pageBreakBefore w:val="0"/>
              <w:widowControl w:val="0"/>
              <w:kinsoku/>
              <w:overflowPunct/>
              <w:topLinePunct w:val="0"/>
              <w:autoSpaceDE/>
              <w:autoSpaceDN/>
              <w:bidi w:val="0"/>
              <w:snapToGrid w:val="0"/>
              <w:spacing w:before="58" w:line="240" w:lineRule="auto"/>
              <w:ind w:left="105" w:leftChars="50" w:right="283" w:rightChars="0" w:firstLine="0" w:firstLineChars="0"/>
              <w:jc w:val="center"/>
              <w:textAlignment w:val="auto"/>
              <w:rPr>
                <w:rFonts w:hint="default" w:ascii="宋体" w:hAnsi="宋体" w:eastAsia="宋体" w:cs="宋体"/>
                <w:color w:val="auto"/>
                <w:spacing w:val="3"/>
                <w:sz w:val="21"/>
                <w:szCs w:val="21"/>
                <w:highlight w:val="none"/>
                <w:lang w:val="en-US" w:eastAsia="zh-CN"/>
              </w:rPr>
            </w:pPr>
            <w:bookmarkStart w:id="1453" w:name="_Toc234833222"/>
            <w:r>
              <w:rPr>
                <w:rFonts w:hint="eastAsia" w:ascii="宋体" w:hAnsi="宋体" w:cs="宋体"/>
                <w:color w:val="auto"/>
                <w:spacing w:val="3"/>
                <w:sz w:val="21"/>
                <w:szCs w:val="21"/>
                <w:highlight w:val="none"/>
                <w:lang w:val="en-US" w:eastAsia="zh-CN"/>
              </w:rPr>
              <w:t>49</w:t>
            </w:r>
          </w:p>
        </w:tc>
        <w:tc>
          <w:tcPr>
            <w:tcW w:w="1384" w:type="dxa"/>
            <w:shd w:val="clear" w:color="auto" w:fill="auto"/>
            <w:vAlign w:val="top"/>
          </w:tcPr>
          <w:p w14:paraId="30B24759">
            <w:pPr>
              <w:keepNext/>
              <w:keepLines w:val="0"/>
              <w:pageBreakBefore w:val="0"/>
              <w:widowControl w:val="0"/>
              <w:kinsoku/>
              <w:overflowPunct/>
              <w:topLinePunct w:val="0"/>
              <w:autoSpaceDE/>
              <w:autoSpaceDN/>
              <w:bidi w:val="0"/>
              <w:snapToGrid w:val="0"/>
              <w:spacing w:line="266" w:lineRule="auto"/>
              <w:ind w:left="105" w:leftChars="50" w:right="283"/>
              <w:textAlignment w:val="auto"/>
              <w:rPr>
                <w:rFonts w:hint="eastAsia" w:ascii="宋体" w:hAnsi="宋体" w:eastAsia="宋体" w:cs="宋体"/>
                <w:color w:val="auto"/>
                <w:sz w:val="21"/>
                <w:szCs w:val="21"/>
                <w:highlight w:val="none"/>
              </w:rPr>
            </w:pPr>
          </w:p>
          <w:p w14:paraId="3108ECEA">
            <w:pPr>
              <w:keepNext/>
              <w:keepLines w:val="0"/>
              <w:pageBreakBefore w:val="0"/>
              <w:widowControl w:val="0"/>
              <w:kinsoku/>
              <w:overflowPunct/>
              <w:topLinePunct w:val="0"/>
              <w:autoSpaceDE/>
              <w:autoSpaceDN/>
              <w:bidi w:val="0"/>
              <w:snapToGrid w:val="0"/>
              <w:spacing w:line="266" w:lineRule="auto"/>
              <w:ind w:left="105" w:leftChars="50" w:right="283"/>
              <w:textAlignment w:val="auto"/>
              <w:rPr>
                <w:rFonts w:hint="eastAsia" w:ascii="宋体" w:hAnsi="宋体" w:eastAsia="宋体" w:cs="宋体"/>
                <w:color w:val="auto"/>
                <w:sz w:val="21"/>
                <w:szCs w:val="21"/>
                <w:highlight w:val="none"/>
              </w:rPr>
            </w:pPr>
          </w:p>
          <w:p w14:paraId="51196E0A">
            <w:pPr>
              <w:keepNext/>
              <w:keepLines w:val="0"/>
              <w:pageBreakBefore w:val="0"/>
              <w:widowControl w:val="0"/>
              <w:kinsoku/>
              <w:overflowPunct/>
              <w:topLinePunct w:val="0"/>
              <w:autoSpaceDE/>
              <w:autoSpaceDN/>
              <w:bidi w:val="0"/>
              <w:snapToGrid w:val="0"/>
              <w:spacing w:line="267" w:lineRule="auto"/>
              <w:ind w:left="105" w:leftChars="50" w:right="283"/>
              <w:textAlignment w:val="auto"/>
              <w:rPr>
                <w:rFonts w:hint="eastAsia" w:ascii="宋体" w:hAnsi="宋体" w:eastAsia="宋体" w:cs="宋体"/>
                <w:color w:val="auto"/>
                <w:sz w:val="21"/>
                <w:szCs w:val="21"/>
                <w:highlight w:val="none"/>
              </w:rPr>
            </w:pPr>
          </w:p>
          <w:p w14:paraId="4AF15A6D">
            <w:pPr>
              <w:keepNext/>
              <w:keepLines w:val="0"/>
              <w:pageBreakBefore w:val="0"/>
              <w:widowControl w:val="0"/>
              <w:kinsoku/>
              <w:overflowPunct/>
              <w:topLinePunct w:val="0"/>
              <w:autoSpaceDE/>
              <w:autoSpaceDN/>
              <w:bidi w:val="0"/>
              <w:snapToGrid w:val="0"/>
              <w:spacing w:line="267" w:lineRule="auto"/>
              <w:ind w:left="105" w:leftChars="50" w:right="283"/>
              <w:textAlignment w:val="auto"/>
              <w:rPr>
                <w:rFonts w:hint="eastAsia" w:ascii="宋体" w:hAnsi="宋体" w:eastAsia="宋体" w:cs="宋体"/>
                <w:color w:val="auto"/>
                <w:sz w:val="21"/>
                <w:szCs w:val="21"/>
                <w:highlight w:val="none"/>
              </w:rPr>
            </w:pPr>
          </w:p>
          <w:p w14:paraId="69BADC21">
            <w:pPr>
              <w:keepNext/>
              <w:keepLines w:val="0"/>
              <w:pageBreakBefore w:val="0"/>
              <w:widowControl w:val="0"/>
              <w:kinsoku/>
              <w:overflowPunct/>
              <w:topLinePunct w:val="0"/>
              <w:autoSpaceDE/>
              <w:autoSpaceDN/>
              <w:bidi w:val="0"/>
              <w:snapToGrid w:val="0"/>
              <w:spacing w:before="58" w:line="195" w:lineRule="auto"/>
              <w:ind w:left="105" w:leftChars="50" w:right="283"/>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5"/>
                <w:sz w:val="21"/>
                <w:szCs w:val="21"/>
                <w:highlight w:val="none"/>
              </w:rPr>
              <w:t>2</w:t>
            </w:r>
            <w:r>
              <w:rPr>
                <w:rFonts w:hint="eastAsia" w:ascii="宋体" w:hAnsi="宋体" w:eastAsia="宋体" w:cs="宋体"/>
                <w:color w:val="auto"/>
                <w:spacing w:val="4"/>
                <w:sz w:val="21"/>
                <w:szCs w:val="21"/>
                <w:highlight w:val="none"/>
              </w:rPr>
              <w:t>0.5</w:t>
            </w:r>
          </w:p>
        </w:tc>
        <w:tc>
          <w:tcPr>
            <w:tcW w:w="7054" w:type="dxa"/>
            <w:tcBorders>
              <w:right w:val="single" w:color="000000" w:sz="6" w:space="0"/>
            </w:tcBorders>
            <w:shd w:val="clear" w:color="auto" w:fill="auto"/>
            <w:vAlign w:val="top"/>
          </w:tcPr>
          <w:p w14:paraId="20B23E7C">
            <w:pPr>
              <w:keepNext w:val="0"/>
              <w:keepLines w:val="0"/>
              <w:pageBreakBefore w:val="0"/>
              <w:widowControl w:val="0"/>
              <w:kinsoku/>
              <w:wordWrap/>
              <w:overflowPunct/>
              <w:topLinePunct w:val="0"/>
              <w:autoSpaceDE/>
              <w:autoSpaceDN/>
              <w:bidi w:val="0"/>
              <w:adjustRightInd w:val="0"/>
              <w:snapToGrid w:val="0"/>
              <w:spacing w:line="369" w:lineRule="auto"/>
              <w:ind w:left="105" w:leftChars="50" w:right="283" w:firstLine="235"/>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0"/>
                <w:sz w:val="21"/>
                <w:szCs w:val="21"/>
                <w:highlight w:val="none"/>
              </w:rPr>
              <w:t>承包</w:t>
            </w:r>
            <w:r>
              <w:rPr>
                <w:rFonts w:hint="eastAsia" w:ascii="宋体" w:hAnsi="宋体" w:eastAsia="宋体" w:cs="宋体"/>
                <w:color w:val="auto"/>
                <w:spacing w:val="14"/>
                <w:sz w:val="21"/>
                <w:szCs w:val="21"/>
                <w:highlight w:val="none"/>
              </w:rPr>
              <w:t>人</w:t>
            </w:r>
            <w:r>
              <w:rPr>
                <w:rFonts w:hint="eastAsia" w:ascii="宋体" w:hAnsi="宋体" w:eastAsia="宋体" w:cs="宋体"/>
                <w:color w:val="auto"/>
                <w:spacing w:val="10"/>
                <w:sz w:val="21"/>
                <w:szCs w:val="21"/>
                <w:highlight w:val="none"/>
              </w:rPr>
              <w:t>职工的(人身)事故险及建筑意外伤害险由承包人自行投保，保险费应认为已含入</w:t>
            </w:r>
            <w:r>
              <w:rPr>
                <w:rFonts w:hint="eastAsia" w:ascii="宋体" w:hAnsi="宋体" w:eastAsia="宋体" w:cs="宋体"/>
                <w:color w:val="auto"/>
                <w:spacing w:val="10"/>
                <w:sz w:val="21"/>
                <w:szCs w:val="21"/>
                <w:highlight w:val="none"/>
                <w:lang w:val="en-US" w:eastAsia="zh-CN"/>
              </w:rPr>
              <w:t>投标总价</w:t>
            </w:r>
            <w:r>
              <w:rPr>
                <w:rFonts w:hint="eastAsia" w:ascii="宋体" w:hAnsi="宋体" w:eastAsia="宋体" w:cs="宋体"/>
                <w:color w:val="auto"/>
                <w:spacing w:val="10"/>
                <w:sz w:val="21"/>
                <w:szCs w:val="21"/>
                <w:highlight w:val="none"/>
              </w:rPr>
              <w:t>中，</w:t>
            </w:r>
            <w:r>
              <w:rPr>
                <w:rFonts w:hint="eastAsia" w:ascii="宋体" w:hAnsi="宋体" w:eastAsia="宋体" w:cs="宋体"/>
                <w:color w:val="auto"/>
                <w:spacing w:val="10"/>
                <w:sz w:val="21"/>
                <w:szCs w:val="21"/>
                <w:highlight w:val="none"/>
                <w:lang w:val="en-US" w:eastAsia="zh-CN"/>
              </w:rPr>
              <w:t>不单独列项填报，</w:t>
            </w:r>
            <w:r>
              <w:rPr>
                <w:rFonts w:hint="eastAsia" w:ascii="宋体" w:hAnsi="宋体" w:eastAsia="宋体" w:cs="宋体"/>
                <w:color w:val="auto"/>
                <w:spacing w:val="10"/>
                <w:sz w:val="21"/>
                <w:szCs w:val="21"/>
                <w:highlight w:val="none"/>
              </w:rPr>
              <w:t>发包人不另行支付。</w:t>
            </w:r>
          </w:p>
          <w:p w14:paraId="24B70A93">
            <w:pPr>
              <w:keepNext w:val="0"/>
              <w:keepLines w:val="0"/>
              <w:pageBreakBefore w:val="0"/>
              <w:widowControl w:val="0"/>
              <w:kinsoku/>
              <w:wordWrap/>
              <w:overflowPunct/>
              <w:topLinePunct w:val="0"/>
              <w:autoSpaceDE/>
              <w:autoSpaceDN/>
              <w:bidi w:val="0"/>
              <w:adjustRightInd w:val="0"/>
              <w:snapToGrid w:val="0"/>
              <w:spacing w:line="369" w:lineRule="auto"/>
              <w:ind w:left="105" w:leftChars="50" w:right="283" w:rightChars="0" w:firstLine="234" w:firstLineChars="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22"/>
                <w:sz w:val="21"/>
                <w:szCs w:val="21"/>
                <w:highlight w:val="none"/>
              </w:rPr>
              <w:t>承</w:t>
            </w:r>
            <w:r>
              <w:rPr>
                <w:rFonts w:hint="eastAsia" w:ascii="宋体" w:hAnsi="宋体" w:eastAsia="宋体" w:cs="宋体"/>
                <w:color w:val="auto"/>
                <w:spacing w:val="12"/>
                <w:sz w:val="21"/>
                <w:szCs w:val="21"/>
                <w:highlight w:val="none"/>
              </w:rPr>
              <w:t>包</w:t>
            </w:r>
            <w:r>
              <w:rPr>
                <w:rFonts w:hint="eastAsia" w:ascii="宋体" w:hAnsi="宋体" w:eastAsia="宋体" w:cs="宋体"/>
                <w:color w:val="auto"/>
                <w:spacing w:val="11"/>
                <w:sz w:val="21"/>
                <w:szCs w:val="21"/>
                <w:highlight w:val="none"/>
              </w:rPr>
              <w:t>人应按《人力资源社会保障部、交通运输部、水利部、能源局、铁路局、</w:t>
            </w:r>
            <w:r>
              <w:rPr>
                <w:rFonts w:hint="eastAsia" w:ascii="宋体" w:hAnsi="宋体" w:eastAsia="宋体" w:cs="宋体"/>
                <w:color w:val="auto"/>
                <w:spacing w:val="13"/>
                <w:sz w:val="21"/>
                <w:szCs w:val="21"/>
                <w:highlight w:val="none"/>
              </w:rPr>
              <w:t>民</w:t>
            </w:r>
            <w:r>
              <w:rPr>
                <w:rFonts w:hint="eastAsia" w:ascii="宋体" w:hAnsi="宋体" w:eastAsia="宋体" w:cs="宋体"/>
                <w:color w:val="auto"/>
                <w:spacing w:val="12"/>
                <w:sz w:val="21"/>
                <w:szCs w:val="21"/>
                <w:highlight w:val="none"/>
              </w:rPr>
              <w:t>航局关于铁路、公路、水运、水利、能源、机场工程建设项目参加工伤保险工</w:t>
            </w:r>
            <w:r>
              <w:rPr>
                <w:rFonts w:hint="eastAsia" w:ascii="宋体" w:hAnsi="宋体" w:eastAsia="宋体" w:cs="宋体"/>
                <w:color w:val="auto"/>
                <w:spacing w:val="5"/>
                <w:sz w:val="21"/>
                <w:szCs w:val="21"/>
                <w:highlight w:val="none"/>
              </w:rPr>
              <w:t>作</w:t>
            </w:r>
            <w:r>
              <w:rPr>
                <w:rFonts w:hint="eastAsia" w:ascii="宋体" w:hAnsi="宋体" w:eastAsia="宋体" w:cs="宋体"/>
                <w:color w:val="auto"/>
                <w:spacing w:val="4"/>
                <w:sz w:val="21"/>
                <w:szCs w:val="21"/>
                <w:highlight w:val="none"/>
              </w:rPr>
              <w:t>的通知》(人社部发〔2018〕3号)文件的规定，在进场施工前，办理相关手续</w:t>
            </w:r>
            <w:r>
              <w:rPr>
                <w:rFonts w:hint="eastAsia" w:ascii="宋体" w:hAnsi="宋体" w:eastAsia="宋体" w:cs="宋体"/>
                <w:color w:val="auto"/>
                <w:spacing w:val="12"/>
                <w:sz w:val="21"/>
                <w:szCs w:val="21"/>
                <w:highlight w:val="none"/>
              </w:rPr>
              <w:t>并</w:t>
            </w:r>
            <w:r>
              <w:rPr>
                <w:rFonts w:hint="eastAsia" w:ascii="宋体" w:hAnsi="宋体" w:eastAsia="宋体" w:cs="宋体"/>
                <w:color w:val="auto"/>
                <w:spacing w:val="8"/>
                <w:sz w:val="21"/>
                <w:szCs w:val="21"/>
                <w:highlight w:val="none"/>
              </w:rPr>
              <w:t>提交人员参加工伤保险的证明</w:t>
            </w:r>
            <w:r>
              <w:rPr>
                <w:rFonts w:hint="eastAsia" w:ascii="宋体" w:hAnsi="宋体" w:eastAsia="宋体" w:cs="宋体"/>
                <w:color w:val="auto"/>
                <w:spacing w:val="8"/>
                <w:sz w:val="21"/>
                <w:szCs w:val="21"/>
                <w:highlight w:val="none"/>
                <w:lang w:eastAsia="zh-CN"/>
              </w:rPr>
              <w:t>。</w:t>
            </w:r>
          </w:p>
        </w:tc>
      </w:tr>
      <w:tr w14:paraId="021B28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10" w:hRule="atLeast"/>
          <w:jc w:val="center"/>
        </w:trPr>
        <w:tc>
          <w:tcPr>
            <w:tcW w:w="624" w:type="dxa"/>
            <w:tcBorders>
              <w:left w:val="single" w:color="000000" w:sz="6" w:space="0"/>
            </w:tcBorders>
            <w:vAlign w:val="top"/>
          </w:tcPr>
          <w:p w14:paraId="1EC6E847">
            <w:pPr>
              <w:keepNext/>
              <w:keepLines w:val="0"/>
              <w:pageBreakBefore w:val="0"/>
              <w:widowControl w:val="0"/>
              <w:kinsoku/>
              <w:overflowPunct/>
              <w:topLinePunct w:val="0"/>
              <w:autoSpaceDE/>
              <w:autoSpaceDN/>
              <w:bidi w:val="0"/>
              <w:snapToGrid w:val="0"/>
              <w:spacing w:line="243" w:lineRule="auto"/>
              <w:ind w:left="105" w:leftChars="50" w:right="283"/>
              <w:textAlignment w:val="auto"/>
              <w:rPr>
                <w:rFonts w:hint="eastAsia" w:ascii="宋体" w:hAnsi="宋体" w:eastAsia="宋体" w:cs="宋体"/>
                <w:color w:val="auto"/>
                <w:sz w:val="21"/>
                <w:szCs w:val="21"/>
                <w:highlight w:val="none"/>
              </w:rPr>
            </w:pPr>
          </w:p>
          <w:p w14:paraId="30A3D592">
            <w:pPr>
              <w:keepNext/>
              <w:keepLines w:val="0"/>
              <w:pageBreakBefore w:val="0"/>
              <w:widowControl w:val="0"/>
              <w:kinsoku/>
              <w:overflowPunct/>
              <w:topLinePunct w:val="0"/>
              <w:autoSpaceDE/>
              <w:autoSpaceDN/>
              <w:bidi w:val="0"/>
              <w:snapToGrid w:val="0"/>
              <w:spacing w:line="243" w:lineRule="auto"/>
              <w:ind w:left="105" w:leftChars="50" w:right="283"/>
              <w:textAlignment w:val="auto"/>
              <w:rPr>
                <w:rFonts w:hint="eastAsia" w:ascii="宋体" w:hAnsi="宋体" w:eastAsia="宋体" w:cs="宋体"/>
                <w:color w:val="auto"/>
                <w:sz w:val="21"/>
                <w:szCs w:val="21"/>
                <w:highlight w:val="none"/>
              </w:rPr>
            </w:pPr>
          </w:p>
          <w:p w14:paraId="694A25A9">
            <w:pPr>
              <w:keepNext/>
              <w:keepLines w:val="0"/>
              <w:pageBreakBefore w:val="0"/>
              <w:widowControl w:val="0"/>
              <w:kinsoku/>
              <w:overflowPunct/>
              <w:topLinePunct w:val="0"/>
              <w:autoSpaceDE/>
              <w:autoSpaceDN/>
              <w:bidi w:val="0"/>
              <w:snapToGrid w:val="0"/>
              <w:spacing w:line="243" w:lineRule="auto"/>
              <w:ind w:left="105" w:leftChars="50" w:right="283"/>
              <w:textAlignment w:val="auto"/>
              <w:rPr>
                <w:rFonts w:hint="eastAsia" w:ascii="宋体" w:hAnsi="宋体" w:eastAsia="宋体" w:cs="宋体"/>
                <w:color w:val="auto"/>
                <w:sz w:val="21"/>
                <w:szCs w:val="21"/>
                <w:highlight w:val="none"/>
              </w:rPr>
            </w:pPr>
          </w:p>
          <w:p w14:paraId="7B0F52E2">
            <w:pPr>
              <w:keepNext/>
              <w:keepLines w:val="0"/>
              <w:pageBreakBefore w:val="0"/>
              <w:widowControl w:val="0"/>
              <w:kinsoku/>
              <w:overflowPunct/>
              <w:topLinePunct w:val="0"/>
              <w:autoSpaceDE/>
              <w:autoSpaceDN/>
              <w:bidi w:val="0"/>
              <w:snapToGrid w:val="0"/>
              <w:spacing w:line="243" w:lineRule="auto"/>
              <w:ind w:left="105" w:leftChars="50" w:right="283"/>
              <w:textAlignment w:val="auto"/>
              <w:rPr>
                <w:rFonts w:hint="eastAsia" w:ascii="宋体" w:hAnsi="宋体" w:eastAsia="宋体" w:cs="宋体"/>
                <w:color w:val="auto"/>
                <w:sz w:val="21"/>
                <w:szCs w:val="21"/>
                <w:highlight w:val="none"/>
              </w:rPr>
            </w:pPr>
          </w:p>
          <w:p w14:paraId="5ACB19EB">
            <w:pPr>
              <w:keepNext/>
              <w:keepLines w:val="0"/>
              <w:pageBreakBefore w:val="0"/>
              <w:widowControl w:val="0"/>
              <w:kinsoku/>
              <w:overflowPunct/>
              <w:topLinePunct w:val="0"/>
              <w:autoSpaceDE/>
              <w:autoSpaceDN/>
              <w:bidi w:val="0"/>
              <w:snapToGrid w:val="0"/>
              <w:spacing w:line="243" w:lineRule="auto"/>
              <w:ind w:left="105" w:leftChars="50" w:right="283"/>
              <w:textAlignment w:val="auto"/>
              <w:rPr>
                <w:rFonts w:hint="eastAsia" w:ascii="宋体" w:hAnsi="宋体" w:eastAsia="宋体" w:cs="宋体"/>
                <w:color w:val="auto"/>
                <w:sz w:val="21"/>
                <w:szCs w:val="21"/>
                <w:highlight w:val="none"/>
              </w:rPr>
            </w:pPr>
          </w:p>
          <w:p w14:paraId="0590D014">
            <w:pPr>
              <w:keepNext/>
              <w:keepLines w:val="0"/>
              <w:pageBreakBefore w:val="0"/>
              <w:widowControl w:val="0"/>
              <w:kinsoku/>
              <w:overflowPunct/>
              <w:topLinePunct w:val="0"/>
              <w:autoSpaceDE/>
              <w:autoSpaceDN/>
              <w:bidi w:val="0"/>
              <w:snapToGrid w:val="0"/>
              <w:spacing w:line="243" w:lineRule="auto"/>
              <w:ind w:left="105" w:leftChars="50" w:right="283"/>
              <w:textAlignment w:val="auto"/>
              <w:rPr>
                <w:rFonts w:hint="eastAsia" w:ascii="宋体" w:hAnsi="宋体" w:eastAsia="宋体" w:cs="宋体"/>
                <w:color w:val="auto"/>
                <w:sz w:val="21"/>
                <w:szCs w:val="21"/>
                <w:highlight w:val="none"/>
              </w:rPr>
            </w:pPr>
          </w:p>
          <w:p w14:paraId="013B6284">
            <w:pPr>
              <w:keepNext/>
              <w:keepLines w:val="0"/>
              <w:pageBreakBefore w:val="0"/>
              <w:widowControl w:val="0"/>
              <w:kinsoku/>
              <w:overflowPunct/>
              <w:topLinePunct w:val="0"/>
              <w:autoSpaceDE/>
              <w:autoSpaceDN/>
              <w:bidi w:val="0"/>
              <w:snapToGrid w:val="0"/>
              <w:spacing w:line="243" w:lineRule="auto"/>
              <w:ind w:left="105" w:leftChars="50" w:right="283"/>
              <w:textAlignment w:val="auto"/>
              <w:rPr>
                <w:rFonts w:hint="eastAsia" w:ascii="宋体" w:hAnsi="宋体" w:eastAsia="宋体" w:cs="宋体"/>
                <w:color w:val="auto"/>
                <w:sz w:val="21"/>
                <w:szCs w:val="21"/>
                <w:highlight w:val="none"/>
              </w:rPr>
            </w:pPr>
          </w:p>
          <w:p w14:paraId="45C7AC70">
            <w:pPr>
              <w:keepNext/>
              <w:keepLines w:val="0"/>
              <w:pageBreakBefore w:val="0"/>
              <w:widowControl w:val="0"/>
              <w:kinsoku/>
              <w:overflowPunct/>
              <w:topLinePunct w:val="0"/>
              <w:autoSpaceDE/>
              <w:autoSpaceDN/>
              <w:bidi w:val="0"/>
              <w:snapToGrid w:val="0"/>
              <w:spacing w:line="243" w:lineRule="auto"/>
              <w:ind w:left="105" w:leftChars="50" w:right="283"/>
              <w:textAlignment w:val="auto"/>
              <w:rPr>
                <w:rFonts w:hint="eastAsia" w:ascii="宋体" w:hAnsi="宋体" w:eastAsia="宋体" w:cs="宋体"/>
                <w:color w:val="auto"/>
                <w:sz w:val="21"/>
                <w:szCs w:val="21"/>
                <w:highlight w:val="none"/>
              </w:rPr>
            </w:pPr>
          </w:p>
          <w:p w14:paraId="1D82DD3C">
            <w:pPr>
              <w:keepNext/>
              <w:keepLines w:val="0"/>
              <w:pageBreakBefore w:val="0"/>
              <w:widowControl w:val="0"/>
              <w:kinsoku/>
              <w:overflowPunct/>
              <w:topLinePunct w:val="0"/>
              <w:autoSpaceDE/>
              <w:autoSpaceDN/>
              <w:bidi w:val="0"/>
              <w:snapToGrid w:val="0"/>
              <w:spacing w:line="243" w:lineRule="auto"/>
              <w:ind w:left="105" w:leftChars="50" w:right="283"/>
              <w:textAlignment w:val="auto"/>
              <w:rPr>
                <w:rFonts w:hint="eastAsia" w:ascii="宋体" w:hAnsi="宋体" w:eastAsia="宋体" w:cs="宋体"/>
                <w:color w:val="auto"/>
                <w:sz w:val="21"/>
                <w:szCs w:val="21"/>
                <w:highlight w:val="none"/>
              </w:rPr>
            </w:pPr>
          </w:p>
          <w:p w14:paraId="1AA3CEAA">
            <w:pPr>
              <w:keepNext/>
              <w:keepLines w:val="0"/>
              <w:pageBreakBefore w:val="0"/>
              <w:widowControl w:val="0"/>
              <w:kinsoku/>
              <w:overflowPunct/>
              <w:topLinePunct w:val="0"/>
              <w:autoSpaceDE/>
              <w:autoSpaceDN/>
              <w:bidi w:val="0"/>
              <w:snapToGrid w:val="0"/>
              <w:spacing w:line="243" w:lineRule="auto"/>
              <w:ind w:left="105" w:leftChars="50" w:right="283"/>
              <w:textAlignment w:val="auto"/>
              <w:rPr>
                <w:rFonts w:hint="eastAsia" w:ascii="宋体" w:hAnsi="宋体" w:eastAsia="宋体" w:cs="宋体"/>
                <w:color w:val="auto"/>
                <w:sz w:val="21"/>
                <w:szCs w:val="21"/>
                <w:highlight w:val="none"/>
              </w:rPr>
            </w:pPr>
          </w:p>
          <w:p w14:paraId="21569045">
            <w:pPr>
              <w:keepNext/>
              <w:keepLines w:val="0"/>
              <w:pageBreakBefore w:val="0"/>
              <w:widowControl w:val="0"/>
              <w:kinsoku/>
              <w:overflowPunct/>
              <w:topLinePunct w:val="0"/>
              <w:autoSpaceDE/>
              <w:autoSpaceDN/>
              <w:bidi w:val="0"/>
              <w:snapToGrid w:val="0"/>
              <w:spacing w:line="244" w:lineRule="auto"/>
              <w:ind w:left="105" w:leftChars="50" w:right="283"/>
              <w:textAlignment w:val="auto"/>
              <w:rPr>
                <w:rFonts w:hint="eastAsia" w:ascii="宋体" w:hAnsi="宋体" w:eastAsia="宋体" w:cs="宋体"/>
                <w:color w:val="auto"/>
                <w:sz w:val="21"/>
                <w:szCs w:val="21"/>
                <w:highlight w:val="none"/>
              </w:rPr>
            </w:pPr>
          </w:p>
          <w:p w14:paraId="5692ABEE">
            <w:pPr>
              <w:keepNext/>
              <w:keepLines w:val="0"/>
              <w:pageBreakBefore w:val="0"/>
              <w:widowControl w:val="0"/>
              <w:kinsoku/>
              <w:overflowPunct/>
              <w:topLinePunct w:val="0"/>
              <w:autoSpaceDE/>
              <w:autoSpaceDN/>
              <w:bidi w:val="0"/>
              <w:snapToGrid w:val="0"/>
              <w:spacing w:line="244" w:lineRule="auto"/>
              <w:ind w:left="105" w:leftChars="50" w:right="283"/>
              <w:textAlignment w:val="auto"/>
              <w:rPr>
                <w:rFonts w:hint="eastAsia" w:ascii="宋体" w:hAnsi="宋体" w:eastAsia="宋体" w:cs="宋体"/>
                <w:color w:val="auto"/>
                <w:sz w:val="21"/>
                <w:szCs w:val="21"/>
                <w:highlight w:val="none"/>
              </w:rPr>
            </w:pPr>
          </w:p>
          <w:p w14:paraId="14AE560E">
            <w:pPr>
              <w:keepNext/>
              <w:keepLines w:val="0"/>
              <w:pageBreakBefore w:val="0"/>
              <w:widowControl w:val="0"/>
              <w:kinsoku/>
              <w:overflowPunct/>
              <w:topLinePunct w:val="0"/>
              <w:autoSpaceDE/>
              <w:autoSpaceDN/>
              <w:bidi w:val="0"/>
              <w:snapToGrid w:val="0"/>
              <w:spacing w:line="244" w:lineRule="auto"/>
              <w:ind w:left="105" w:leftChars="50" w:right="283"/>
              <w:textAlignment w:val="auto"/>
              <w:rPr>
                <w:rFonts w:hint="eastAsia" w:ascii="宋体" w:hAnsi="宋体" w:eastAsia="宋体" w:cs="宋体"/>
                <w:color w:val="auto"/>
                <w:sz w:val="21"/>
                <w:szCs w:val="21"/>
                <w:highlight w:val="none"/>
              </w:rPr>
            </w:pPr>
          </w:p>
          <w:p w14:paraId="240741FE">
            <w:pPr>
              <w:keepNext/>
              <w:keepLines w:val="0"/>
              <w:pageBreakBefore w:val="0"/>
              <w:widowControl w:val="0"/>
              <w:kinsoku/>
              <w:overflowPunct/>
              <w:topLinePunct w:val="0"/>
              <w:autoSpaceDE/>
              <w:autoSpaceDN/>
              <w:bidi w:val="0"/>
              <w:snapToGrid w:val="0"/>
              <w:spacing w:line="244" w:lineRule="auto"/>
              <w:ind w:left="105" w:leftChars="50" w:right="283"/>
              <w:textAlignment w:val="auto"/>
              <w:rPr>
                <w:rFonts w:hint="eastAsia" w:ascii="宋体" w:hAnsi="宋体" w:eastAsia="宋体" w:cs="宋体"/>
                <w:color w:val="auto"/>
                <w:sz w:val="21"/>
                <w:szCs w:val="21"/>
                <w:highlight w:val="none"/>
              </w:rPr>
            </w:pPr>
          </w:p>
          <w:p w14:paraId="1ED90067">
            <w:pPr>
              <w:keepNext/>
              <w:keepLines w:val="0"/>
              <w:pageBreakBefore w:val="0"/>
              <w:widowControl w:val="0"/>
              <w:kinsoku/>
              <w:overflowPunct/>
              <w:topLinePunct w:val="0"/>
              <w:autoSpaceDE/>
              <w:autoSpaceDN/>
              <w:bidi w:val="0"/>
              <w:snapToGrid w:val="0"/>
              <w:spacing w:line="244" w:lineRule="auto"/>
              <w:ind w:left="105" w:leftChars="50" w:right="283"/>
              <w:textAlignment w:val="auto"/>
              <w:rPr>
                <w:rFonts w:hint="eastAsia" w:ascii="宋体" w:hAnsi="宋体" w:eastAsia="宋体" w:cs="宋体"/>
                <w:color w:val="auto"/>
                <w:sz w:val="21"/>
                <w:szCs w:val="21"/>
                <w:highlight w:val="none"/>
              </w:rPr>
            </w:pPr>
          </w:p>
          <w:p w14:paraId="021DD61E">
            <w:pPr>
              <w:keepNext/>
              <w:keepLines w:val="0"/>
              <w:pageBreakBefore w:val="0"/>
              <w:widowControl w:val="0"/>
              <w:kinsoku/>
              <w:overflowPunct/>
              <w:topLinePunct w:val="0"/>
              <w:autoSpaceDE/>
              <w:autoSpaceDN/>
              <w:bidi w:val="0"/>
              <w:snapToGrid w:val="0"/>
              <w:spacing w:before="57" w:line="195" w:lineRule="auto"/>
              <w:ind w:left="105" w:leftChars="50" w:right="283"/>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50</w:t>
            </w:r>
          </w:p>
        </w:tc>
        <w:tc>
          <w:tcPr>
            <w:tcW w:w="1384" w:type="dxa"/>
            <w:vAlign w:val="top"/>
          </w:tcPr>
          <w:p w14:paraId="68D3D4A9">
            <w:pPr>
              <w:keepNext w:val="0"/>
              <w:keepLines w:val="0"/>
              <w:pageBreakBefore w:val="0"/>
              <w:widowControl w:val="0"/>
              <w:kinsoku/>
              <w:wordWrap/>
              <w:overflowPunct/>
              <w:topLinePunct w:val="0"/>
              <w:autoSpaceDE/>
              <w:autoSpaceDN/>
              <w:bidi w:val="0"/>
              <w:adjustRightInd/>
              <w:snapToGrid w:val="0"/>
              <w:spacing w:line="243" w:lineRule="auto"/>
              <w:ind w:left="105" w:leftChars="50" w:right="283"/>
              <w:textAlignment w:val="auto"/>
              <w:rPr>
                <w:rFonts w:hint="eastAsia" w:ascii="宋体" w:hAnsi="宋体" w:eastAsia="宋体" w:cs="宋体"/>
                <w:color w:val="auto"/>
                <w:sz w:val="21"/>
                <w:szCs w:val="21"/>
                <w:highlight w:val="none"/>
              </w:rPr>
            </w:pPr>
          </w:p>
          <w:p w14:paraId="0E5C4953">
            <w:pPr>
              <w:keepNext w:val="0"/>
              <w:keepLines w:val="0"/>
              <w:pageBreakBefore w:val="0"/>
              <w:widowControl w:val="0"/>
              <w:kinsoku/>
              <w:wordWrap/>
              <w:overflowPunct/>
              <w:topLinePunct w:val="0"/>
              <w:autoSpaceDE/>
              <w:autoSpaceDN/>
              <w:bidi w:val="0"/>
              <w:adjustRightInd/>
              <w:snapToGrid w:val="0"/>
              <w:spacing w:line="243" w:lineRule="auto"/>
              <w:ind w:left="105" w:leftChars="50" w:right="283"/>
              <w:textAlignment w:val="auto"/>
              <w:rPr>
                <w:rFonts w:hint="eastAsia" w:ascii="宋体" w:hAnsi="宋体" w:eastAsia="宋体" w:cs="宋体"/>
                <w:color w:val="auto"/>
                <w:sz w:val="21"/>
                <w:szCs w:val="21"/>
                <w:highlight w:val="none"/>
              </w:rPr>
            </w:pPr>
          </w:p>
          <w:p w14:paraId="78BCB41D">
            <w:pPr>
              <w:keepNext w:val="0"/>
              <w:keepLines w:val="0"/>
              <w:pageBreakBefore w:val="0"/>
              <w:widowControl w:val="0"/>
              <w:kinsoku/>
              <w:wordWrap/>
              <w:overflowPunct/>
              <w:topLinePunct w:val="0"/>
              <w:autoSpaceDE/>
              <w:autoSpaceDN/>
              <w:bidi w:val="0"/>
              <w:adjustRightInd/>
              <w:snapToGrid w:val="0"/>
              <w:spacing w:line="243" w:lineRule="auto"/>
              <w:ind w:left="105" w:leftChars="50" w:right="283"/>
              <w:textAlignment w:val="auto"/>
              <w:rPr>
                <w:rFonts w:hint="eastAsia" w:ascii="宋体" w:hAnsi="宋体" w:eastAsia="宋体" w:cs="宋体"/>
                <w:color w:val="auto"/>
                <w:sz w:val="21"/>
                <w:szCs w:val="21"/>
                <w:highlight w:val="none"/>
              </w:rPr>
            </w:pPr>
          </w:p>
          <w:p w14:paraId="3F65D1EB">
            <w:pPr>
              <w:keepNext w:val="0"/>
              <w:keepLines w:val="0"/>
              <w:pageBreakBefore w:val="0"/>
              <w:widowControl w:val="0"/>
              <w:kinsoku/>
              <w:wordWrap/>
              <w:overflowPunct/>
              <w:topLinePunct w:val="0"/>
              <w:autoSpaceDE/>
              <w:autoSpaceDN/>
              <w:bidi w:val="0"/>
              <w:adjustRightInd/>
              <w:snapToGrid w:val="0"/>
              <w:spacing w:line="243" w:lineRule="auto"/>
              <w:ind w:left="105" w:leftChars="50" w:right="283"/>
              <w:textAlignment w:val="auto"/>
              <w:rPr>
                <w:rFonts w:hint="eastAsia" w:ascii="宋体" w:hAnsi="宋体" w:eastAsia="宋体" w:cs="宋体"/>
                <w:color w:val="auto"/>
                <w:sz w:val="21"/>
                <w:szCs w:val="21"/>
                <w:highlight w:val="none"/>
              </w:rPr>
            </w:pPr>
          </w:p>
          <w:p w14:paraId="3A617FA0">
            <w:pPr>
              <w:keepNext w:val="0"/>
              <w:keepLines w:val="0"/>
              <w:pageBreakBefore w:val="0"/>
              <w:widowControl w:val="0"/>
              <w:kinsoku/>
              <w:wordWrap/>
              <w:overflowPunct/>
              <w:topLinePunct w:val="0"/>
              <w:autoSpaceDE/>
              <w:autoSpaceDN/>
              <w:bidi w:val="0"/>
              <w:adjustRightInd/>
              <w:snapToGrid w:val="0"/>
              <w:spacing w:line="243" w:lineRule="auto"/>
              <w:ind w:left="105" w:leftChars="50" w:right="283"/>
              <w:textAlignment w:val="auto"/>
              <w:rPr>
                <w:rFonts w:hint="eastAsia" w:ascii="宋体" w:hAnsi="宋体" w:eastAsia="宋体" w:cs="宋体"/>
                <w:color w:val="auto"/>
                <w:sz w:val="21"/>
                <w:szCs w:val="21"/>
                <w:highlight w:val="none"/>
              </w:rPr>
            </w:pPr>
          </w:p>
          <w:p w14:paraId="2C0EBA3D">
            <w:pPr>
              <w:keepNext w:val="0"/>
              <w:keepLines w:val="0"/>
              <w:pageBreakBefore w:val="0"/>
              <w:widowControl w:val="0"/>
              <w:kinsoku/>
              <w:wordWrap/>
              <w:overflowPunct/>
              <w:topLinePunct w:val="0"/>
              <w:autoSpaceDE/>
              <w:autoSpaceDN/>
              <w:bidi w:val="0"/>
              <w:adjustRightInd/>
              <w:snapToGrid w:val="0"/>
              <w:spacing w:line="243" w:lineRule="auto"/>
              <w:ind w:left="105" w:leftChars="50" w:right="283"/>
              <w:textAlignment w:val="auto"/>
              <w:rPr>
                <w:rFonts w:hint="eastAsia" w:ascii="宋体" w:hAnsi="宋体" w:eastAsia="宋体" w:cs="宋体"/>
                <w:color w:val="auto"/>
                <w:sz w:val="21"/>
                <w:szCs w:val="21"/>
                <w:highlight w:val="none"/>
              </w:rPr>
            </w:pPr>
          </w:p>
          <w:p w14:paraId="542263B3">
            <w:pPr>
              <w:keepNext w:val="0"/>
              <w:keepLines w:val="0"/>
              <w:pageBreakBefore w:val="0"/>
              <w:widowControl w:val="0"/>
              <w:kinsoku/>
              <w:wordWrap/>
              <w:overflowPunct/>
              <w:topLinePunct w:val="0"/>
              <w:autoSpaceDE/>
              <w:autoSpaceDN/>
              <w:bidi w:val="0"/>
              <w:adjustRightInd/>
              <w:snapToGrid w:val="0"/>
              <w:spacing w:line="243" w:lineRule="auto"/>
              <w:ind w:left="105" w:leftChars="50" w:right="283"/>
              <w:textAlignment w:val="auto"/>
              <w:rPr>
                <w:rFonts w:hint="eastAsia" w:ascii="宋体" w:hAnsi="宋体" w:eastAsia="宋体" w:cs="宋体"/>
                <w:color w:val="auto"/>
                <w:sz w:val="21"/>
                <w:szCs w:val="21"/>
                <w:highlight w:val="none"/>
              </w:rPr>
            </w:pPr>
          </w:p>
          <w:p w14:paraId="0CAB830F">
            <w:pPr>
              <w:keepNext w:val="0"/>
              <w:keepLines w:val="0"/>
              <w:pageBreakBefore w:val="0"/>
              <w:widowControl w:val="0"/>
              <w:kinsoku/>
              <w:wordWrap/>
              <w:overflowPunct/>
              <w:topLinePunct w:val="0"/>
              <w:autoSpaceDE/>
              <w:autoSpaceDN/>
              <w:bidi w:val="0"/>
              <w:adjustRightInd/>
              <w:snapToGrid w:val="0"/>
              <w:spacing w:line="243" w:lineRule="auto"/>
              <w:ind w:left="105" w:leftChars="50" w:right="283"/>
              <w:textAlignment w:val="auto"/>
              <w:rPr>
                <w:rFonts w:hint="eastAsia" w:ascii="宋体" w:hAnsi="宋体" w:eastAsia="宋体" w:cs="宋体"/>
                <w:color w:val="auto"/>
                <w:sz w:val="21"/>
                <w:szCs w:val="21"/>
                <w:highlight w:val="none"/>
              </w:rPr>
            </w:pPr>
          </w:p>
          <w:p w14:paraId="5635839B">
            <w:pPr>
              <w:keepNext w:val="0"/>
              <w:keepLines w:val="0"/>
              <w:pageBreakBefore w:val="0"/>
              <w:widowControl w:val="0"/>
              <w:kinsoku/>
              <w:wordWrap/>
              <w:overflowPunct/>
              <w:topLinePunct w:val="0"/>
              <w:autoSpaceDE/>
              <w:autoSpaceDN/>
              <w:bidi w:val="0"/>
              <w:adjustRightInd/>
              <w:snapToGrid w:val="0"/>
              <w:spacing w:line="243" w:lineRule="auto"/>
              <w:ind w:left="105" w:leftChars="50" w:right="283"/>
              <w:textAlignment w:val="auto"/>
              <w:rPr>
                <w:rFonts w:hint="eastAsia" w:ascii="宋体" w:hAnsi="宋体" w:eastAsia="宋体" w:cs="宋体"/>
                <w:color w:val="auto"/>
                <w:sz w:val="21"/>
                <w:szCs w:val="21"/>
                <w:highlight w:val="none"/>
              </w:rPr>
            </w:pPr>
          </w:p>
          <w:p w14:paraId="0B162E4C">
            <w:pPr>
              <w:keepNext w:val="0"/>
              <w:keepLines w:val="0"/>
              <w:pageBreakBefore w:val="0"/>
              <w:widowControl w:val="0"/>
              <w:kinsoku/>
              <w:wordWrap/>
              <w:overflowPunct/>
              <w:topLinePunct w:val="0"/>
              <w:autoSpaceDE/>
              <w:autoSpaceDN/>
              <w:bidi w:val="0"/>
              <w:adjustRightInd/>
              <w:snapToGrid w:val="0"/>
              <w:spacing w:line="243" w:lineRule="auto"/>
              <w:ind w:left="105" w:leftChars="50" w:right="283"/>
              <w:textAlignment w:val="auto"/>
              <w:rPr>
                <w:rFonts w:hint="eastAsia" w:ascii="宋体" w:hAnsi="宋体" w:eastAsia="宋体" w:cs="宋体"/>
                <w:color w:val="auto"/>
                <w:sz w:val="21"/>
                <w:szCs w:val="21"/>
                <w:highlight w:val="none"/>
              </w:rPr>
            </w:pPr>
          </w:p>
          <w:p w14:paraId="5812F716">
            <w:pPr>
              <w:keepNext w:val="0"/>
              <w:keepLines w:val="0"/>
              <w:pageBreakBefore w:val="0"/>
              <w:widowControl w:val="0"/>
              <w:kinsoku/>
              <w:wordWrap/>
              <w:overflowPunct/>
              <w:topLinePunct w:val="0"/>
              <w:autoSpaceDE/>
              <w:autoSpaceDN/>
              <w:bidi w:val="0"/>
              <w:adjustRightInd/>
              <w:snapToGrid w:val="0"/>
              <w:spacing w:line="244" w:lineRule="auto"/>
              <w:ind w:left="105" w:leftChars="50" w:right="283"/>
              <w:textAlignment w:val="auto"/>
              <w:rPr>
                <w:rFonts w:hint="eastAsia" w:ascii="宋体" w:hAnsi="宋体" w:eastAsia="宋体" w:cs="宋体"/>
                <w:color w:val="auto"/>
                <w:sz w:val="21"/>
                <w:szCs w:val="21"/>
                <w:highlight w:val="none"/>
              </w:rPr>
            </w:pPr>
          </w:p>
          <w:p w14:paraId="328A6B2E">
            <w:pPr>
              <w:keepNext w:val="0"/>
              <w:keepLines w:val="0"/>
              <w:pageBreakBefore w:val="0"/>
              <w:widowControl w:val="0"/>
              <w:kinsoku/>
              <w:wordWrap/>
              <w:overflowPunct/>
              <w:topLinePunct w:val="0"/>
              <w:autoSpaceDE/>
              <w:autoSpaceDN/>
              <w:bidi w:val="0"/>
              <w:adjustRightInd/>
              <w:snapToGrid w:val="0"/>
              <w:spacing w:line="244" w:lineRule="auto"/>
              <w:ind w:left="105" w:leftChars="50" w:right="283"/>
              <w:textAlignment w:val="auto"/>
              <w:rPr>
                <w:rFonts w:hint="eastAsia" w:ascii="宋体" w:hAnsi="宋体" w:eastAsia="宋体" w:cs="宋体"/>
                <w:color w:val="auto"/>
                <w:sz w:val="21"/>
                <w:szCs w:val="21"/>
                <w:highlight w:val="none"/>
              </w:rPr>
            </w:pPr>
          </w:p>
          <w:p w14:paraId="1B5A17EC">
            <w:pPr>
              <w:keepNext w:val="0"/>
              <w:keepLines w:val="0"/>
              <w:pageBreakBefore w:val="0"/>
              <w:widowControl w:val="0"/>
              <w:kinsoku/>
              <w:wordWrap/>
              <w:overflowPunct/>
              <w:topLinePunct w:val="0"/>
              <w:autoSpaceDE/>
              <w:autoSpaceDN/>
              <w:bidi w:val="0"/>
              <w:adjustRightInd/>
              <w:snapToGrid w:val="0"/>
              <w:spacing w:line="244" w:lineRule="auto"/>
              <w:ind w:left="105" w:leftChars="50" w:right="283"/>
              <w:textAlignment w:val="auto"/>
              <w:rPr>
                <w:rFonts w:hint="eastAsia" w:ascii="宋体" w:hAnsi="宋体" w:eastAsia="宋体" w:cs="宋体"/>
                <w:color w:val="auto"/>
                <w:sz w:val="21"/>
                <w:szCs w:val="21"/>
                <w:highlight w:val="none"/>
              </w:rPr>
            </w:pPr>
          </w:p>
          <w:p w14:paraId="6D68505C">
            <w:pPr>
              <w:keepNext w:val="0"/>
              <w:keepLines w:val="0"/>
              <w:pageBreakBefore w:val="0"/>
              <w:widowControl w:val="0"/>
              <w:kinsoku/>
              <w:wordWrap/>
              <w:overflowPunct/>
              <w:topLinePunct w:val="0"/>
              <w:autoSpaceDE/>
              <w:autoSpaceDN/>
              <w:bidi w:val="0"/>
              <w:adjustRightInd/>
              <w:snapToGrid w:val="0"/>
              <w:spacing w:line="244" w:lineRule="auto"/>
              <w:ind w:left="105" w:leftChars="50" w:right="283"/>
              <w:textAlignment w:val="auto"/>
              <w:rPr>
                <w:rFonts w:hint="eastAsia" w:ascii="宋体" w:hAnsi="宋体" w:eastAsia="宋体" w:cs="宋体"/>
                <w:color w:val="auto"/>
                <w:sz w:val="21"/>
                <w:szCs w:val="21"/>
                <w:highlight w:val="none"/>
              </w:rPr>
            </w:pPr>
          </w:p>
          <w:p w14:paraId="5256D2B1">
            <w:pPr>
              <w:keepNext w:val="0"/>
              <w:keepLines w:val="0"/>
              <w:pageBreakBefore w:val="0"/>
              <w:widowControl w:val="0"/>
              <w:kinsoku/>
              <w:wordWrap/>
              <w:overflowPunct/>
              <w:topLinePunct w:val="0"/>
              <w:autoSpaceDE/>
              <w:autoSpaceDN/>
              <w:bidi w:val="0"/>
              <w:adjustRightInd/>
              <w:snapToGrid w:val="0"/>
              <w:spacing w:line="244" w:lineRule="auto"/>
              <w:ind w:left="105" w:leftChars="50" w:right="283"/>
              <w:textAlignment w:val="auto"/>
              <w:rPr>
                <w:rFonts w:hint="eastAsia" w:ascii="宋体" w:hAnsi="宋体" w:eastAsia="宋体" w:cs="宋体"/>
                <w:color w:val="auto"/>
                <w:sz w:val="21"/>
                <w:szCs w:val="21"/>
                <w:highlight w:val="none"/>
              </w:rPr>
            </w:pPr>
          </w:p>
          <w:p w14:paraId="6588D675">
            <w:pPr>
              <w:keepNext w:val="0"/>
              <w:keepLines w:val="0"/>
              <w:pageBreakBefore w:val="0"/>
              <w:widowControl w:val="0"/>
              <w:kinsoku/>
              <w:wordWrap/>
              <w:overflowPunct/>
              <w:topLinePunct w:val="0"/>
              <w:autoSpaceDE/>
              <w:autoSpaceDN/>
              <w:bidi w:val="0"/>
              <w:adjustRightInd/>
              <w:snapToGrid w:val="0"/>
              <w:spacing w:before="57" w:line="198" w:lineRule="auto"/>
              <w:ind w:left="105" w:leftChars="50" w:right="28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2</w:t>
            </w:r>
            <w:r>
              <w:rPr>
                <w:rFonts w:hint="eastAsia" w:ascii="宋体" w:hAnsi="宋体" w:eastAsia="宋体" w:cs="宋体"/>
                <w:color w:val="auto"/>
                <w:spacing w:val="-4"/>
                <w:sz w:val="21"/>
                <w:szCs w:val="21"/>
                <w:highlight w:val="none"/>
              </w:rPr>
              <w:t>2.1.2</w:t>
            </w:r>
          </w:p>
        </w:tc>
        <w:tc>
          <w:tcPr>
            <w:tcW w:w="7054" w:type="dxa"/>
            <w:tcBorders>
              <w:right w:val="single" w:color="000000" w:sz="6" w:space="0"/>
            </w:tcBorders>
            <w:vAlign w:val="top"/>
          </w:tcPr>
          <w:p w14:paraId="2CAD789C">
            <w:pPr>
              <w:keepNext w:val="0"/>
              <w:keepLines w:val="0"/>
              <w:pageBreakBefore w:val="0"/>
              <w:widowControl w:val="0"/>
              <w:kinsoku/>
              <w:wordWrap/>
              <w:overflowPunct/>
              <w:topLinePunct w:val="0"/>
              <w:autoSpaceDE/>
              <w:autoSpaceDN/>
              <w:bidi w:val="0"/>
              <w:adjustRightInd/>
              <w:snapToGrid w:val="0"/>
              <w:spacing w:line="360" w:lineRule="auto"/>
              <w:ind w:left="105" w:leftChars="50" w:right="283" w:firstLine="444"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22.</w:t>
            </w:r>
            <w:r>
              <w:rPr>
                <w:rFonts w:hint="eastAsia" w:ascii="宋体" w:hAnsi="宋体" w:eastAsia="宋体" w:cs="宋体"/>
                <w:color w:val="auto"/>
                <w:spacing w:val="3"/>
                <w:sz w:val="21"/>
                <w:szCs w:val="21"/>
                <w:highlight w:val="none"/>
              </w:rPr>
              <w:t>1.2对承包人违约的处理</w:t>
            </w:r>
          </w:p>
          <w:p w14:paraId="66DA802C">
            <w:pPr>
              <w:keepNext w:val="0"/>
              <w:keepLines w:val="0"/>
              <w:pageBreakBefore w:val="0"/>
              <w:widowControl w:val="0"/>
              <w:kinsoku/>
              <w:wordWrap/>
              <w:overflowPunct/>
              <w:topLinePunct w:val="0"/>
              <w:autoSpaceDE/>
              <w:autoSpaceDN/>
              <w:bidi w:val="0"/>
              <w:adjustRightInd/>
              <w:snapToGrid w:val="0"/>
              <w:spacing w:line="360" w:lineRule="auto"/>
              <w:ind w:left="105" w:leftChars="50" w:right="283" w:firstLine="46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承包人发生第22.1.1项(1)至(10)目约定的违约情况时，发包人可视承包人违约的具体行</w:t>
            </w:r>
            <w:r>
              <w:rPr>
                <w:rFonts w:hint="eastAsia" w:ascii="宋体" w:hAnsi="宋体" w:eastAsia="宋体" w:cs="宋体"/>
                <w:color w:val="auto"/>
                <w:spacing w:val="9"/>
                <w:sz w:val="21"/>
                <w:szCs w:val="21"/>
                <w:highlight w:val="none"/>
              </w:rPr>
              <w:t>为和严重程度采取下列措施之一：</w:t>
            </w:r>
          </w:p>
          <w:p w14:paraId="65CBB0BC">
            <w:pPr>
              <w:keepNext w:val="0"/>
              <w:keepLines w:val="0"/>
              <w:pageBreakBefore w:val="0"/>
              <w:widowControl w:val="0"/>
              <w:kinsoku/>
              <w:wordWrap/>
              <w:overflowPunct/>
              <w:topLinePunct w:val="0"/>
              <w:autoSpaceDE/>
              <w:autoSpaceDN/>
              <w:bidi w:val="0"/>
              <w:adjustRightInd/>
              <w:snapToGrid w:val="0"/>
              <w:spacing w:line="360" w:lineRule="auto"/>
              <w:ind w:left="105" w:leftChars="50" w:right="283" w:firstLine="50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0"/>
                <w:sz w:val="21"/>
                <w:szCs w:val="21"/>
                <w:highlight w:val="none"/>
              </w:rPr>
              <w:t>(1)</w:t>
            </w:r>
            <w:r>
              <w:rPr>
                <w:rFonts w:hint="eastAsia" w:ascii="宋体" w:hAnsi="宋体" w:eastAsia="宋体" w:cs="宋体"/>
                <w:color w:val="auto"/>
                <w:spacing w:val="10"/>
                <w:sz w:val="21"/>
                <w:szCs w:val="21"/>
                <w:highlight w:val="none"/>
              </w:rPr>
              <w:t>发包人可按不超过签约合同价10%的金额扣缴承包人违约金，即使交纳</w:t>
            </w:r>
            <w:r>
              <w:rPr>
                <w:rFonts w:hint="eastAsia" w:ascii="宋体" w:hAnsi="宋体" w:eastAsia="宋体" w:cs="宋体"/>
                <w:color w:val="auto"/>
                <w:spacing w:val="14"/>
                <w:sz w:val="21"/>
                <w:szCs w:val="21"/>
                <w:highlight w:val="none"/>
              </w:rPr>
              <w:t>了</w:t>
            </w:r>
            <w:r>
              <w:rPr>
                <w:rFonts w:hint="eastAsia" w:ascii="宋体" w:hAnsi="宋体" w:eastAsia="宋体" w:cs="宋体"/>
                <w:color w:val="auto"/>
                <w:spacing w:val="12"/>
                <w:sz w:val="21"/>
                <w:szCs w:val="21"/>
                <w:highlight w:val="none"/>
              </w:rPr>
              <w:t>违约金，承包人仍应按合同规定继续实施和完成本合同工程及其缺陷修复；若</w:t>
            </w:r>
            <w:r>
              <w:rPr>
                <w:rFonts w:hint="eastAsia" w:ascii="宋体" w:hAnsi="宋体" w:eastAsia="宋体" w:cs="宋体"/>
                <w:color w:val="auto"/>
                <w:spacing w:val="14"/>
                <w:sz w:val="21"/>
                <w:szCs w:val="21"/>
                <w:highlight w:val="none"/>
              </w:rPr>
              <w:t>承</w:t>
            </w:r>
            <w:r>
              <w:rPr>
                <w:rFonts w:hint="eastAsia" w:ascii="宋体" w:hAnsi="宋体" w:eastAsia="宋体" w:cs="宋体"/>
                <w:color w:val="auto"/>
                <w:spacing w:val="12"/>
                <w:sz w:val="21"/>
                <w:szCs w:val="21"/>
                <w:highlight w:val="none"/>
              </w:rPr>
              <w:t>包人未经批准擅自撤离工地，发包人除扣除承包人的全部履约担保和剩余工程</w:t>
            </w:r>
            <w:r>
              <w:rPr>
                <w:rFonts w:hint="eastAsia" w:ascii="宋体" w:hAnsi="宋体" w:eastAsia="宋体" w:cs="宋体"/>
                <w:color w:val="auto"/>
                <w:spacing w:val="14"/>
                <w:sz w:val="21"/>
                <w:szCs w:val="21"/>
                <w:highlight w:val="none"/>
              </w:rPr>
              <w:t>款</w:t>
            </w:r>
            <w:r>
              <w:rPr>
                <w:rFonts w:hint="eastAsia" w:ascii="宋体" w:hAnsi="宋体" w:eastAsia="宋体" w:cs="宋体"/>
                <w:color w:val="auto"/>
                <w:spacing w:val="12"/>
                <w:sz w:val="21"/>
                <w:szCs w:val="21"/>
                <w:highlight w:val="none"/>
              </w:rPr>
              <w:t>项之外，并不承担承包人与其它承包人、供货商等的经济纠纷和法律责任，也</w:t>
            </w:r>
            <w:r>
              <w:rPr>
                <w:rFonts w:hint="eastAsia" w:ascii="宋体" w:hAnsi="宋体" w:eastAsia="宋体" w:cs="宋体"/>
                <w:color w:val="auto"/>
                <w:spacing w:val="11"/>
                <w:sz w:val="21"/>
                <w:szCs w:val="21"/>
                <w:highlight w:val="none"/>
              </w:rPr>
              <w:t>不</w:t>
            </w:r>
            <w:r>
              <w:rPr>
                <w:rFonts w:hint="eastAsia" w:ascii="宋体" w:hAnsi="宋体" w:eastAsia="宋体" w:cs="宋体"/>
                <w:color w:val="auto"/>
                <w:spacing w:val="7"/>
                <w:sz w:val="21"/>
                <w:szCs w:val="21"/>
                <w:highlight w:val="none"/>
              </w:rPr>
              <w:t>赔偿任何费用。</w:t>
            </w:r>
          </w:p>
          <w:p w14:paraId="7ED40E4B">
            <w:pPr>
              <w:keepNext w:val="0"/>
              <w:keepLines w:val="0"/>
              <w:pageBreakBefore w:val="0"/>
              <w:widowControl w:val="0"/>
              <w:kinsoku/>
              <w:wordWrap/>
              <w:overflowPunct/>
              <w:topLinePunct w:val="0"/>
              <w:autoSpaceDE/>
              <w:autoSpaceDN/>
              <w:bidi w:val="0"/>
              <w:adjustRightInd/>
              <w:snapToGrid w:val="0"/>
              <w:spacing w:line="360" w:lineRule="auto"/>
              <w:ind w:left="105" w:leftChars="50" w:right="283" w:firstLine="496"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9"/>
                <w:sz w:val="21"/>
                <w:szCs w:val="21"/>
                <w:highlight w:val="none"/>
              </w:rPr>
              <w:t>(</w:t>
            </w:r>
            <w:r>
              <w:rPr>
                <w:rFonts w:hint="eastAsia" w:ascii="宋体" w:hAnsi="宋体" w:eastAsia="宋体" w:cs="宋体"/>
                <w:color w:val="auto"/>
                <w:spacing w:val="13"/>
                <w:sz w:val="21"/>
                <w:szCs w:val="21"/>
                <w:highlight w:val="none"/>
              </w:rPr>
              <w:t>2)发包人可雇用其他承包人完成部分工程。承包人无权对此提出反对意见</w:t>
            </w:r>
            <w:r>
              <w:rPr>
                <w:rFonts w:hint="eastAsia" w:ascii="宋体" w:hAnsi="宋体" w:eastAsia="宋体" w:cs="宋体"/>
                <w:color w:val="auto"/>
                <w:spacing w:val="14"/>
                <w:sz w:val="21"/>
                <w:szCs w:val="21"/>
                <w:highlight w:val="none"/>
              </w:rPr>
              <w:t>并</w:t>
            </w:r>
            <w:r>
              <w:rPr>
                <w:rFonts w:hint="eastAsia" w:ascii="宋体" w:hAnsi="宋体" w:eastAsia="宋体" w:cs="宋体"/>
                <w:color w:val="auto"/>
                <w:spacing w:val="12"/>
                <w:sz w:val="21"/>
                <w:szCs w:val="21"/>
                <w:highlight w:val="none"/>
              </w:rPr>
              <w:t>应按合同规定完成合同工程其余部分的施工和缺陷修复。在这种情况下，发包</w:t>
            </w:r>
            <w:r>
              <w:rPr>
                <w:rFonts w:hint="eastAsia" w:ascii="宋体" w:hAnsi="宋体" w:eastAsia="宋体" w:cs="宋体"/>
                <w:color w:val="auto"/>
                <w:spacing w:val="14"/>
                <w:sz w:val="21"/>
                <w:szCs w:val="21"/>
                <w:highlight w:val="none"/>
              </w:rPr>
              <w:t>人</w:t>
            </w:r>
            <w:r>
              <w:rPr>
                <w:rFonts w:hint="eastAsia" w:ascii="宋体" w:hAnsi="宋体" w:eastAsia="宋体" w:cs="宋体"/>
                <w:color w:val="auto"/>
                <w:spacing w:val="12"/>
                <w:sz w:val="21"/>
                <w:szCs w:val="21"/>
                <w:highlight w:val="none"/>
              </w:rPr>
              <w:t>向承包人支付的合同价格中不应包括由其他承包人完成的那部分工程的价格。</w:t>
            </w:r>
            <w:r>
              <w:rPr>
                <w:rFonts w:hint="eastAsia" w:ascii="宋体" w:hAnsi="宋体" w:eastAsia="宋体" w:cs="宋体"/>
                <w:color w:val="auto"/>
                <w:spacing w:val="14"/>
                <w:sz w:val="21"/>
                <w:szCs w:val="21"/>
                <w:highlight w:val="none"/>
              </w:rPr>
              <w:t>发</w:t>
            </w:r>
            <w:r>
              <w:rPr>
                <w:rFonts w:hint="eastAsia" w:ascii="宋体" w:hAnsi="宋体" w:eastAsia="宋体" w:cs="宋体"/>
                <w:color w:val="auto"/>
                <w:spacing w:val="12"/>
                <w:sz w:val="21"/>
                <w:szCs w:val="21"/>
                <w:highlight w:val="none"/>
              </w:rPr>
              <w:t>包人有权扣除承包人的全部履约担保作为违约金，监理人还应确定由于承包人</w:t>
            </w:r>
            <w:r>
              <w:rPr>
                <w:rFonts w:hint="eastAsia" w:ascii="宋体" w:hAnsi="宋体" w:eastAsia="宋体" w:cs="宋体"/>
                <w:color w:val="auto"/>
                <w:spacing w:val="14"/>
                <w:sz w:val="21"/>
                <w:szCs w:val="21"/>
                <w:highlight w:val="none"/>
              </w:rPr>
              <w:t>违</w:t>
            </w:r>
            <w:r>
              <w:rPr>
                <w:rFonts w:hint="eastAsia" w:ascii="宋体" w:hAnsi="宋体" w:eastAsia="宋体" w:cs="宋体"/>
                <w:color w:val="auto"/>
                <w:spacing w:val="12"/>
                <w:sz w:val="21"/>
                <w:szCs w:val="21"/>
                <w:highlight w:val="none"/>
              </w:rPr>
              <w:t>约而给发包人造成的费用增加和其他损失，报发包人批准后从应付或到期应付</w:t>
            </w:r>
            <w:r>
              <w:rPr>
                <w:rFonts w:hint="eastAsia" w:ascii="宋体" w:hAnsi="宋体" w:eastAsia="宋体" w:cs="宋体"/>
                <w:color w:val="auto"/>
                <w:spacing w:val="18"/>
                <w:sz w:val="21"/>
                <w:szCs w:val="21"/>
                <w:highlight w:val="none"/>
              </w:rPr>
              <w:t>给</w:t>
            </w:r>
            <w:r>
              <w:rPr>
                <w:rFonts w:hint="eastAsia" w:ascii="宋体" w:hAnsi="宋体" w:eastAsia="宋体" w:cs="宋体"/>
                <w:color w:val="auto"/>
                <w:spacing w:val="12"/>
                <w:sz w:val="21"/>
                <w:szCs w:val="21"/>
                <w:highlight w:val="none"/>
              </w:rPr>
              <w:t>承</w:t>
            </w:r>
            <w:r>
              <w:rPr>
                <w:rFonts w:hint="eastAsia" w:ascii="宋体" w:hAnsi="宋体" w:eastAsia="宋体" w:cs="宋体"/>
                <w:color w:val="auto"/>
                <w:spacing w:val="9"/>
                <w:sz w:val="21"/>
                <w:szCs w:val="21"/>
                <w:highlight w:val="none"/>
              </w:rPr>
              <w:t>包人的款项中扣除，监理人应将上述决定通知承包人，并抄送发包人；</w:t>
            </w:r>
          </w:p>
          <w:p w14:paraId="09EA22E9">
            <w:pPr>
              <w:keepNext w:val="0"/>
              <w:keepLines w:val="0"/>
              <w:pageBreakBefore w:val="0"/>
              <w:widowControl w:val="0"/>
              <w:kinsoku/>
              <w:wordWrap/>
              <w:overflowPunct/>
              <w:topLinePunct w:val="0"/>
              <w:autoSpaceDE/>
              <w:autoSpaceDN/>
              <w:bidi w:val="0"/>
              <w:adjustRightInd/>
              <w:snapToGrid w:val="0"/>
              <w:spacing w:line="360" w:lineRule="auto"/>
              <w:ind w:left="105" w:leftChars="50" w:right="283" w:firstLine="484"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6"/>
                <w:sz w:val="21"/>
                <w:szCs w:val="21"/>
                <w:highlight w:val="none"/>
              </w:rPr>
              <w:t>(</w:t>
            </w:r>
            <w:r>
              <w:rPr>
                <w:rFonts w:hint="eastAsia" w:ascii="宋体" w:hAnsi="宋体" w:eastAsia="宋体" w:cs="宋体"/>
                <w:color w:val="auto"/>
                <w:spacing w:val="14"/>
                <w:sz w:val="21"/>
                <w:szCs w:val="21"/>
                <w:highlight w:val="none"/>
              </w:rPr>
              <w:t>3</w:t>
            </w:r>
            <w:r>
              <w:rPr>
                <w:rFonts w:hint="eastAsia" w:ascii="宋体" w:hAnsi="宋体" w:eastAsia="宋体" w:cs="宋体"/>
                <w:color w:val="auto"/>
                <w:spacing w:val="8"/>
                <w:sz w:val="21"/>
                <w:szCs w:val="21"/>
                <w:highlight w:val="none"/>
              </w:rPr>
              <w:t>)发包人在向承包人发出书面通知的14天之后可以进驻现场和接管工程，</w:t>
            </w:r>
            <w:r>
              <w:rPr>
                <w:rFonts w:hint="eastAsia" w:ascii="宋体" w:hAnsi="宋体" w:eastAsia="宋体" w:cs="宋体"/>
                <w:color w:val="auto"/>
                <w:spacing w:val="12"/>
                <w:sz w:val="21"/>
                <w:szCs w:val="21"/>
                <w:highlight w:val="none"/>
              </w:rPr>
              <w:t>终止承包人对本合同工程的承包，但不因此解除合同规定的承包人的任何义务</w:t>
            </w:r>
            <w:r>
              <w:rPr>
                <w:rFonts w:hint="eastAsia" w:ascii="宋体" w:hAnsi="宋体" w:eastAsia="宋体" w:cs="宋体"/>
                <w:color w:val="auto"/>
                <w:spacing w:val="11"/>
                <w:sz w:val="21"/>
                <w:szCs w:val="21"/>
                <w:highlight w:val="none"/>
              </w:rPr>
              <w:t>和</w:t>
            </w:r>
            <w:r>
              <w:rPr>
                <w:rFonts w:hint="eastAsia" w:ascii="宋体" w:hAnsi="宋体" w:eastAsia="宋体" w:cs="宋体"/>
                <w:color w:val="auto"/>
                <w:spacing w:val="12"/>
                <w:sz w:val="21"/>
                <w:szCs w:val="21"/>
                <w:highlight w:val="none"/>
              </w:rPr>
              <w:t>责任，或影响合同赋予发包人或监理人的各种权利和权限。发包人可自行完成</w:t>
            </w:r>
            <w:r>
              <w:rPr>
                <w:rFonts w:hint="eastAsia" w:ascii="宋体" w:hAnsi="宋体" w:eastAsia="宋体" w:cs="宋体"/>
                <w:color w:val="auto"/>
                <w:spacing w:val="11"/>
                <w:sz w:val="21"/>
                <w:szCs w:val="21"/>
                <w:highlight w:val="none"/>
              </w:rPr>
              <w:t>该</w:t>
            </w:r>
            <w:r>
              <w:rPr>
                <w:rFonts w:hint="eastAsia" w:ascii="宋体" w:hAnsi="宋体" w:eastAsia="宋体" w:cs="宋体"/>
                <w:color w:val="auto"/>
                <w:spacing w:val="12"/>
                <w:sz w:val="21"/>
                <w:szCs w:val="21"/>
                <w:highlight w:val="none"/>
              </w:rPr>
              <w:t>工程，或邀请其他承包人完成该工程。发包人或其他承包人为了完成本工程可</w:t>
            </w:r>
            <w:r>
              <w:rPr>
                <w:rFonts w:hint="eastAsia" w:ascii="宋体" w:hAnsi="宋体" w:eastAsia="宋体" w:cs="宋体"/>
                <w:color w:val="auto"/>
                <w:spacing w:val="11"/>
                <w:sz w:val="21"/>
                <w:szCs w:val="21"/>
                <w:highlight w:val="none"/>
              </w:rPr>
              <w:t>以</w:t>
            </w:r>
            <w:r>
              <w:rPr>
                <w:rFonts w:hint="eastAsia" w:ascii="宋体" w:hAnsi="宋体" w:eastAsia="宋体" w:cs="宋体"/>
                <w:color w:val="auto"/>
                <w:spacing w:val="13"/>
                <w:sz w:val="21"/>
                <w:szCs w:val="21"/>
                <w:highlight w:val="none"/>
              </w:rPr>
              <w:t>使</w:t>
            </w:r>
            <w:r>
              <w:rPr>
                <w:rFonts w:hint="eastAsia" w:ascii="宋体" w:hAnsi="宋体" w:eastAsia="宋体" w:cs="宋体"/>
                <w:color w:val="auto"/>
                <w:spacing w:val="12"/>
                <w:sz w:val="21"/>
                <w:szCs w:val="21"/>
                <w:highlight w:val="none"/>
              </w:rPr>
              <w:t>用任何的承包人设备、临时工程和材料。发包人有权扣除承包人的全部履约担</w:t>
            </w:r>
            <w:r>
              <w:rPr>
                <w:rFonts w:hint="eastAsia" w:ascii="宋体" w:hAnsi="宋体" w:eastAsia="宋体" w:cs="宋体"/>
                <w:color w:val="auto"/>
                <w:spacing w:val="13"/>
                <w:sz w:val="21"/>
                <w:szCs w:val="21"/>
                <w:highlight w:val="none"/>
              </w:rPr>
              <w:t>保</w:t>
            </w:r>
            <w:r>
              <w:rPr>
                <w:rFonts w:hint="eastAsia" w:ascii="宋体" w:hAnsi="宋体" w:eastAsia="宋体" w:cs="宋体"/>
                <w:color w:val="auto"/>
                <w:spacing w:val="12"/>
                <w:sz w:val="21"/>
                <w:szCs w:val="21"/>
                <w:highlight w:val="none"/>
              </w:rPr>
              <w:t>作为违约金，监理人还应确定由于承包人违约而给发包人造成的费用增加和其</w:t>
            </w:r>
            <w:r>
              <w:rPr>
                <w:rFonts w:hint="eastAsia" w:ascii="宋体" w:hAnsi="宋体" w:eastAsia="宋体" w:cs="宋体"/>
                <w:color w:val="auto"/>
                <w:spacing w:val="17"/>
                <w:sz w:val="21"/>
                <w:szCs w:val="21"/>
                <w:highlight w:val="none"/>
              </w:rPr>
              <w:t>他</w:t>
            </w:r>
            <w:r>
              <w:rPr>
                <w:rFonts w:hint="eastAsia" w:ascii="宋体" w:hAnsi="宋体" w:eastAsia="宋体" w:cs="宋体"/>
                <w:color w:val="auto"/>
                <w:spacing w:val="12"/>
                <w:sz w:val="21"/>
                <w:szCs w:val="21"/>
                <w:highlight w:val="none"/>
              </w:rPr>
              <w:t>损失，报发包人批准后从应付或到期应付给承包人的款项中扣除，监理人应将</w:t>
            </w:r>
            <w:r>
              <w:rPr>
                <w:rFonts w:hint="eastAsia" w:ascii="宋体" w:hAnsi="宋体" w:eastAsia="宋体" w:cs="宋体"/>
                <w:color w:val="auto"/>
                <w:spacing w:val="8"/>
                <w:sz w:val="21"/>
                <w:szCs w:val="21"/>
                <w:highlight w:val="none"/>
              </w:rPr>
              <w:t>上述决定通知承包人，并抄送发包人。合同终止后的有关事宜应按照第22.1.4</w:t>
            </w:r>
            <w:r>
              <w:rPr>
                <w:rFonts w:hint="eastAsia" w:ascii="宋体" w:hAnsi="宋体" w:eastAsia="宋体" w:cs="宋体"/>
                <w:color w:val="auto"/>
                <w:spacing w:val="3"/>
                <w:sz w:val="21"/>
                <w:szCs w:val="21"/>
                <w:highlight w:val="none"/>
              </w:rPr>
              <w:t>和</w:t>
            </w:r>
            <w:r>
              <w:rPr>
                <w:rFonts w:hint="eastAsia" w:ascii="宋体" w:hAnsi="宋体" w:eastAsia="宋体" w:cs="宋体"/>
                <w:color w:val="auto"/>
                <w:spacing w:val="2"/>
                <w:sz w:val="21"/>
                <w:szCs w:val="21"/>
                <w:highlight w:val="none"/>
              </w:rPr>
              <w:t>22.1.5款的规定办理</w:t>
            </w:r>
            <w:r>
              <w:rPr>
                <w:rFonts w:hint="eastAsia" w:ascii="宋体" w:hAnsi="宋体" w:eastAsia="宋体" w:cs="宋体"/>
                <w:color w:val="auto"/>
                <w:spacing w:val="1"/>
                <w:sz w:val="21"/>
                <w:szCs w:val="21"/>
                <w:highlight w:val="none"/>
              </w:rPr>
              <w:t>。</w:t>
            </w:r>
          </w:p>
          <w:p w14:paraId="1906B5BE">
            <w:pPr>
              <w:keepNext w:val="0"/>
              <w:keepLines w:val="0"/>
              <w:pageBreakBefore w:val="0"/>
              <w:widowControl w:val="0"/>
              <w:kinsoku/>
              <w:wordWrap/>
              <w:overflowPunct/>
              <w:topLinePunct w:val="0"/>
              <w:autoSpaceDE/>
              <w:autoSpaceDN/>
              <w:bidi w:val="0"/>
              <w:adjustRightInd/>
              <w:snapToGrid w:val="0"/>
              <w:spacing w:line="360" w:lineRule="auto"/>
              <w:ind w:left="105" w:leftChars="50" w:right="283"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此外，当承包人发生了下述违约现象之后，发包人可依据下列具体情况扣除承包人的违约金：</w:t>
            </w:r>
          </w:p>
          <w:p w14:paraId="44909130">
            <w:pPr>
              <w:keepNext w:val="0"/>
              <w:keepLines w:val="0"/>
              <w:pageBreakBefore w:val="0"/>
              <w:widowControl w:val="0"/>
              <w:kinsoku/>
              <w:wordWrap/>
              <w:overflowPunct/>
              <w:topLinePunct w:val="0"/>
              <w:autoSpaceDE/>
              <w:autoSpaceDN/>
              <w:bidi w:val="0"/>
              <w:adjustRightInd/>
              <w:snapToGrid w:val="0"/>
              <w:spacing w:line="360" w:lineRule="auto"/>
              <w:ind w:left="105" w:leftChars="50" w:right="283"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承包人在监理人规定的截止日前，项目经理、项目总工没有按时进场，或进场后未经发包人项目指挥部和总监办主任(或设驻地办的驻地办主任)批准又离开工地，发包人将按10000元/人·天扣除违约金；其他管理人员没有按时进场，或进场后未经总监办主任(或设驻地办的驻地办主任)和承包人项目经理批准又离开工地，发包人将按5000元/人·天扣除违约金，直至缺员进场为止。根据本项规定扣除的违约金累计不得超过签约合同价的2％。</w:t>
            </w:r>
          </w:p>
          <w:p w14:paraId="35BADA1A">
            <w:pPr>
              <w:keepNext w:val="0"/>
              <w:keepLines w:val="0"/>
              <w:pageBreakBefore w:val="0"/>
              <w:widowControl w:val="0"/>
              <w:kinsoku/>
              <w:wordWrap/>
              <w:overflowPunct/>
              <w:topLinePunct w:val="0"/>
              <w:autoSpaceDE/>
              <w:autoSpaceDN/>
              <w:bidi w:val="0"/>
              <w:adjustRightInd/>
              <w:snapToGrid w:val="0"/>
              <w:spacing w:line="360" w:lineRule="auto"/>
              <w:ind w:left="105" w:leftChars="50" w:right="283"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按照监理人规定进场的项目经理、项目总工及其他管理人员每人每月在岗时间不得少于22天，否则发包人将对项目经理、项目总工按10000元/人·天扣除违约金，对其他管理人员按5000元/人·天扣除违约金。根据本项规定扣除的违约金累计不得超过签约合同价的2％。</w:t>
            </w:r>
          </w:p>
          <w:p w14:paraId="4298FCCC">
            <w:pPr>
              <w:keepNext w:val="0"/>
              <w:keepLines w:val="0"/>
              <w:pageBreakBefore w:val="0"/>
              <w:widowControl w:val="0"/>
              <w:kinsoku/>
              <w:wordWrap/>
              <w:overflowPunct/>
              <w:topLinePunct w:val="0"/>
              <w:autoSpaceDE/>
              <w:autoSpaceDN/>
              <w:bidi w:val="0"/>
              <w:adjustRightInd/>
              <w:snapToGrid w:val="0"/>
              <w:spacing w:line="360" w:lineRule="auto"/>
              <w:ind w:left="105" w:leftChars="50" w:right="283"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承包人按照监理人规定进场的每个专业岗位人员同时离开工地人数不得超过1人，否则发包人将按5000元/人·天扣除违约金。根据本项规定扣除的违约金累计不得超过签约合同价的2％。</w:t>
            </w:r>
          </w:p>
          <w:p w14:paraId="57F7EE10">
            <w:pPr>
              <w:keepNext w:val="0"/>
              <w:keepLines w:val="0"/>
              <w:pageBreakBefore w:val="0"/>
              <w:widowControl w:val="0"/>
              <w:kinsoku/>
              <w:wordWrap/>
              <w:overflowPunct/>
              <w:topLinePunct w:val="0"/>
              <w:autoSpaceDE/>
              <w:autoSpaceDN/>
              <w:bidi w:val="0"/>
              <w:adjustRightInd/>
              <w:snapToGrid w:val="0"/>
              <w:spacing w:line="360" w:lineRule="auto"/>
              <w:ind w:left="105" w:leftChars="50" w:right="283"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(2)项目经理每更换一人次将向发包人提交违约金，违约金金额按5‰签约合同价计算，但违约金金额应不低于20万且不高于100万。</w:t>
            </w:r>
          </w:p>
          <w:p w14:paraId="5DC12B14">
            <w:pPr>
              <w:keepNext w:val="0"/>
              <w:keepLines w:val="0"/>
              <w:pageBreakBefore w:val="0"/>
              <w:widowControl w:val="0"/>
              <w:kinsoku/>
              <w:wordWrap/>
              <w:overflowPunct/>
              <w:topLinePunct w:val="0"/>
              <w:autoSpaceDE/>
              <w:autoSpaceDN/>
              <w:bidi w:val="0"/>
              <w:adjustRightInd/>
              <w:snapToGrid w:val="0"/>
              <w:spacing w:line="360" w:lineRule="auto"/>
              <w:ind w:left="105" w:leftChars="50" w:right="283"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(3)项目总工每更换一人次将向发包人提交违约金，违约金金额按3‰签约合同价计算，但违约金金额应不低于15万且不高于80万。</w:t>
            </w:r>
          </w:p>
          <w:p w14:paraId="0AFAEA5F">
            <w:pPr>
              <w:keepNext w:val="0"/>
              <w:keepLines w:val="0"/>
              <w:pageBreakBefore w:val="0"/>
              <w:widowControl w:val="0"/>
              <w:kinsoku/>
              <w:wordWrap/>
              <w:overflowPunct/>
              <w:topLinePunct w:val="0"/>
              <w:autoSpaceDE/>
              <w:autoSpaceDN/>
              <w:bidi w:val="0"/>
              <w:adjustRightInd/>
              <w:snapToGrid w:val="0"/>
              <w:spacing w:line="360" w:lineRule="auto"/>
              <w:ind w:left="105" w:leftChars="50" w:right="283"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由于承包人自身原因造成其进场的人员的替换，将按照本项(2)、(3)目的规定交纳违约金；由于相关人员不能胜任本职工作、行为不端或玩忽职守而被监理人按合同条款第4.7款规定要求撤换的，除按照本项(2)、(3)目的规定交纳违约金外，项目经理或项目总工每更换一人次还应向发包人另行支付10万元的违约金，其他管理人员每更换一人次还应向发包人另行支付5万元的违约金。</w:t>
            </w:r>
          </w:p>
          <w:p w14:paraId="0FD05F47">
            <w:pPr>
              <w:keepNext w:val="0"/>
              <w:keepLines w:val="0"/>
              <w:pageBreakBefore w:val="0"/>
              <w:widowControl w:val="0"/>
              <w:kinsoku/>
              <w:wordWrap/>
              <w:overflowPunct/>
              <w:topLinePunct w:val="0"/>
              <w:autoSpaceDE/>
              <w:autoSpaceDN/>
              <w:bidi w:val="0"/>
              <w:adjustRightInd/>
              <w:snapToGrid w:val="0"/>
              <w:spacing w:line="360" w:lineRule="auto"/>
              <w:ind w:left="105" w:leftChars="50" w:right="283"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承包人在监理人规定的截止日前，合同谈判期间承包人所承诺的主要机械及试验、测量设备(如有)不能按时进场，每迟到1天，发包人可按照该设备的台班费(以交通运输部现行《预算定额》为准)的三倍扣除违约金，直到设备进场为止。</w:t>
            </w:r>
          </w:p>
          <w:p w14:paraId="0B1C06EC">
            <w:pPr>
              <w:keepNext w:val="0"/>
              <w:keepLines w:val="0"/>
              <w:pageBreakBefore w:val="0"/>
              <w:widowControl w:val="0"/>
              <w:kinsoku/>
              <w:wordWrap/>
              <w:overflowPunct/>
              <w:topLinePunct w:val="0"/>
              <w:autoSpaceDE/>
              <w:autoSpaceDN/>
              <w:bidi w:val="0"/>
              <w:adjustRightInd/>
              <w:snapToGrid w:val="0"/>
              <w:spacing w:line="360" w:lineRule="auto"/>
              <w:ind w:left="105" w:leftChars="50" w:right="283"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(6)在工程实施期间，未经监理人批准，承包人进场的施工机械和材料试验、质检仪器设备撤离现场，发包人可按该设备的重置价值从工程期中支付款中扣除违约金。</w:t>
            </w:r>
          </w:p>
          <w:p w14:paraId="3BF40893">
            <w:pPr>
              <w:keepNext w:val="0"/>
              <w:keepLines w:val="0"/>
              <w:pageBreakBefore w:val="0"/>
              <w:widowControl w:val="0"/>
              <w:kinsoku/>
              <w:wordWrap/>
              <w:overflowPunct/>
              <w:topLinePunct w:val="0"/>
              <w:autoSpaceDE/>
              <w:autoSpaceDN/>
              <w:bidi w:val="0"/>
              <w:adjustRightInd/>
              <w:snapToGrid w:val="0"/>
              <w:spacing w:line="360" w:lineRule="auto"/>
              <w:ind w:left="105" w:leftChars="50" w:right="283"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(7)在施工期间，承包人若违反施工操作及管理程序，则按5万元/次标准扣除承包人的违约金。</w:t>
            </w:r>
          </w:p>
          <w:p w14:paraId="26564399">
            <w:pPr>
              <w:keepNext w:val="0"/>
              <w:keepLines w:val="0"/>
              <w:pageBreakBefore w:val="0"/>
              <w:widowControl w:val="0"/>
              <w:kinsoku/>
              <w:wordWrap/>
              <w:overflowPunct/>
              <w:topLinePunct w:val="0"/>
              <w:autoSpaceDE/>
              <w:autoSpaceDN/>
              <w:bidi w:val="0"/>
              <w:adjustRightInd/>
              <w:snapToGrid w:val="0"/>
              <w:spacing w:line="360" w:lineRule="auto"/>
              <w:ind w:left="105" w:leftChars="50" w:right="283"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(8)承包人在施工期间如果在各种报表及检查试验记录中自己作假或诱导监理人作假，发包人可按每次1万~10万元的标准扣除承包人的违约金。</w:t>
            </w:r>
          </w:p>
          <w:p w14:paraId="1BD17F74">
            <w:pPr>
              <w:keepNext w:val="0"/>
              <w:keepLines w:val="0"/>
              <w:pageBreakBefore w:val="0"/>
              <w:widowControl w:val="0"/>
              <w:kinsoku/>
              <w:wordWrap/>
              <w:overflowPunct/>
              <w:topLinePunct w:val="0"/>
              <w:autoSpaceDE/>
              <w:autoSpaceDN/>
              <w:bidi w:val="0"/>
              <w:adjustRightInd/>
              <w:snapToGrid w:val="0"/>
              <w:spacing w:line="360" w:lineRule="auto"/>
              <w:ind w:left="105" w:leftChars="50" w:right="283"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承包人应无条件接受上级交通主管部门、质量监督部门、发包人监理单位的质量检查或抽查，如发现承包人出现降低施工标准或偷工减料或出现较大质量问题，发包人将按每次10万元的标准扣除承包人的违约金。</w:t>
            </w:r>
          </w:p>
          <w:p w14:paraId="5BCC39C0">
            <w:pPr>
              <w:keepNext w:val="0"/>
              <w:keepLines w:val="0"/>
              <w:pageBreakBefore w:val="0"/>
              <w:widowControl w:val="0"/>
              <w:kinsoku/>
              <w:wordWrap/>
              <w:overflowPunct/>
              <w:topLinePunct w:val="0"/>
              <w:autoSpaceDE/>
              <w:autoSpaceDN/>
              <w:bidi w:val="0"/>
              <w:adjustRightInd/>
              <w:snapToGrid w:val="0"/>
              <w:spacing w:line="360" w:lineRule="auto"/>
              <w:ind w:left="105" w:leftChars="50" w:right="283"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(10)承包人在施工期间未能做好环境保护工作，使得周边环境遭到破坏或污染，经监理人认可后，每次按照10万元的标准扣除承包人的违约金。</w:t>
            </w:r>
          </w:p>
          <w:p w14:paraId="4FA68973">
            <w:pPr>
              <w:keepNext w:val="0"/>
              <w:keepLines w:val="0"/>
              <w:pageBreakBefore w:val="0"/>
              <w:widowControl w:val="0"/>
              <w:kinsoku/>
              <w:wordWrap/>
              <w:overflowPunct/>
              <w:topLinePunct w:val="0"/>
              <w:autoSpaceDE/>
              <w:autoSpaceDN/>
              <w:bidi w:val="0"/>
              <w:adjustRightInd/>
              <w:snapToGrid w:val="0"/>
              <w:spacing w:line="360" w:lineRule="auto"/>
              <w:ind w:left="105" w:leftChars="50" w:right="283"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(11)承包人存在安全问题或有违反安全管理规章制度的情况时，视其情节轻重，分别给予承包人通报批评、警告、责令停工等处罚，并可扣处1万~10万元的违约金。</w:t>
            </w:r>
          </w:p>
          <w:p w14:paraId="75B3C42B">
            <w:pPr>
              <w:keepNext w:val="0"/>
              <w:keepLines w:val="0"/>
              <w:pageBreakBefore w:val="0"/>
              <w:widowControl w:val="0"/>
              <w:kinsoku/>
              <w:wordWrap/>
              <w:overflowPunct/>
              <w:topLinePunct w:val="0"/>
              <w:autoSpaceDE/>
              <w:autoSpaceDN/>
              <w:bidi w:val="0"/>
              <w:adjustRightInd/>
              <w:snapToGrid w:val="0"/>
              <w:spacing w:line="360" w:lineRule="auto"/>
              <w:ind w:left="105" w:leftChars="50" w:right="283"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承包人应按劳动合同及时发放薪酬，不得因此影响工程的正常进展及发包人的声誉。因此造成的劳务纠纷，发包人在收到劳动部门的仲裁结果后，有权根据仲裁结果从应付给承包人的工程款中代为扣付。对工程的正常进展及发包人声誉造成影响的，发包人可以向承包人课以10万元以内的违约金。</w:t>
            </w:r>
          </w:p>
          <w:p w14:paraId="42F9BC59">
            <w:pPr>
              <w:keepNext w:val="0"/>
              <w:keepLines w:val="0"/>
              <w:pageBreakBefore w:val="0"/>
              <w:widowControl w:val="0"/>
              <w:kinsoku/>
              <w:wordWrap/>
              <w:overflowPunct/>
              <w:topLinePunct w:val="0"/>
              <w:autoSpaceDE/>
              <w:autoSpaceDN/>
              <w:bidi w:val="0"/>
              <w:adjustRightInd/>
              <w:snapToGrid w:val="0"/>
              <w:spacing w:line="360" w:lineRule="auto"/>
              <w:ind w:left="105" w:leftChars="50" w:right="283"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(13)由于承包人原因导致本工程质量未达到合同约定的目标，将扣除质量保证金的20％作为违约金。</w:t>
            </w:r>
          </w:p>
          <w:p w14:paraId="06C207A9">
            <w:pPr>
              <w:keepNext w:val="0"/>
              <w:keepLines w:val="0"/>
              <w:pageBreakBefore w:val="0"/>
              <w:widowControl w:val="0"/>
              <w:kinsoku/>
              <w:wordWrap/>
              <w:overflowPunct/>
              <w:topLinePunct w:val="0"/>
              <w:autoSpaceDE/>
              <w:autoSpaceDN/>
              <w:bidi w:val="0"/>
              <w:adjustRightInd/>
              <w:snapToGrid w:val="0"/>
              <w:spacing w:line="360" w:lineRule="auto"/>
              <w:ind w:left="105" w:leftChars="50" w:right="283"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款提及的所有违约金(包括由于承包人违约而给发包人造成的费用增加和其他损失，下同)将从期中支付证书中扣除或通知履约保函开具银行支付，直至通过诉讼手段向承包人进行追索。所有扣缴的违约金将按照《中华人民共和国企业所得税法》(中华人民共和国主席令第63号)、《中华人民共和国企业所得税暂行条例》(中华人民共和国国务院令第512号)、《基本建设财务规则》(中华人民共和国财政部令第81号)的相关规定处理。</w:t>
            </w:r>
          </w:p>
        </w:tc>
      </w:tr>
      <w:tr w14:paraId="5C6E71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1" w:hRule="atLeast"/>
          <w:jc w:val="center"/>
        </w:trPr>
        <w:tc>
          <w:tcPr>
            <w:tcW w:w="624" w:type="dxa"/>
            <w:tcBorders>
              <w:left w:val="single" w:color="000000" w:sz="6" w:space="0"/>
            </w:tcBorders>
            <w:vAlign w:val="top"/>
          </w:tcPr>
          <w:p w14:paraId="64964F70">
            <w:pPr>
              <w:keepNext/>
              <w:keepLines w:val="0"/>
              <w:pageBreakBefore w:val="0"/>
              <w:widowControl w:val="0"/>
              <w:kinsoku/>
              <w:overflowPunct/>
              <w:topLinePunct w:val="0"/>
              <w:autoSpaceDE/>
              <w:autoSpaceDN/>
              <w:bidi w:val="0"/>
              <w:snapToGrid w:val="0"/>
              <w:spacing w:line="335" w:lineRule="auto"/>
              <w:ind w:left="105" w:leftChars="50" w:right="283"/>
              <w:textAlignment w:val="auto"/>
              <w:rPr>
                <w:rFonts w:hint="eastAsia" w:ascii="宋体" w:hAnsi="宋体" w:eastAsia="宋体" w:cs="宋体"/>
                <w:color w:val="auto"/>
                <w:sz w:val="21"/>
                <w:szCs w:val="21"/>
                <w:highlight w:val="none"/>
              </w:rPr>
            </w:pPr>
          </w:p>
          <w:p w14:paraId="66C88C54">
            <w:pPr>
              <w:keepNext/>
              <w:keepLines w:val="0"/>
              <w:pageBreakBefore w:val="0"/>
              <w:widowControl w:val="0"/>
              <w:kinsoku/>
              <w:overflowPunct/>
              <w:topLinePunct w:val="0"/>
              <w:autoSpaceDE/>
              <w:autoSpaceDN/>
              <w:bidi w:val="0"/>
              <w:snapToGrid w:val="0"/>
              <w:spacing w:line="335" w:lineRule="auto"/>
              <w:ind w:left="105" w:leftChars="50" w:right="283"/>
              <w:textAlignment w:val="auto"/>
              <w:rPr>
                <w:rFonts w:hint="eastAsia" w:ascii="宋体" w:hAnsi="宋体" w:eastAsia="宋体" w:cs="宋体"/>
                <w:color w:val="auto"/>
                <w:sz w:val="21"/>
                <w:szCs w:val="21"/>
                <w:highlight w:val="none"/>
              </w:rPr>
            </w:pPr>
          </w:p>
          <w:p w14:paraId="15297BE7">
            <w:pPr>
              <w:keepNext/>
              <w:keepLines w:val="0"/>
              <w:pageBreakBefore w:val="0"/>
              <w:widowControl w:val="0"/>
              <w:kinsoku/>
              <w:overflowPunct/>
              <w:topLinePunct w:val="0"/>
              <w:autoSpaceDE/>
              <w:autoSpaceDN/>
              <w:bidi w:val="0"/>
              <w:snapToGrid w:val="0"/>
              <w:spacing w:before="58" w:line="195" w:lineRule="auto"/>
              <w:ind w:left="105" w:leftChars="50" w:right="283"/>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val="en-US" w:eastAsia="zh-CN"/>
              </w:rPr>
              <w:t>1</w:t>
            </w:r>
          </w:p>
        </w:tc>
        <w:tc>
          <w:tcPr>
            <w:tcW w:w="1384" w:type="dxa"/>
            <w:vAlign w:val="top"/>
          </w:tcPr>
          <w:p w14:paraId="39961A6B">
            <w:pPr>
              <w:keepNext/>
              <w:keepLines w:val="0"/>
              <w:pageBreakBefore w:val="0"/>
              <w:widowControl w:val="0"/>
              <w:kinsoku/>
              <w:overflowPunct/>
              <w:topLinePunct w:val="0"/>
              <w:autoSpaceDE/>
              <w:autoSpaceDN/>
              <w:bidi w:val="0"/>
              <w:snapToGrid w:val="0"/>
              <w:spacing w:line="335" w:lineRule="auto"/>
              <w:ind w:left="105" w:leftChars="50" w:right="283"/>
              <w:textAlignment w:val="auto"/>
              <w:rPr>
                <w:rFonts w:hint="eastAsia" w:ascii="宋体" w:hAnsi="宋体" w:eastAsia="宋体" w:cs="宋体"/>
                <w:color w:val="auto"/>
                <w:sz w:val="21"/>
                <w:szCs w:val="21"/>
                <w:highlight w:val="none"/>
              </w:rPr>
            </w:pPr>
          </w:p>
          <w:p w14:paraId="48315908">
            <w:pPr>
              <w:keepNext/>
              <w:keepLines w:val="0"/>
              <w:pageBreakBefore w:val="0"/>
              <w:widowControl w:val="0"/>
              <w:kinsoku/>
              <w:overflowPunct/>
              <w:topLinePunct w:val="0"/>
              <w:autoSpaceDE/>
              <w:autoSpaceDN/>
              <w:bidi w:val="0"/>
              <w:snapToGrid w:val="0"/>
              <w:spacing w:line="335" w:lineRule="auto"/>
              <w:ind w:left="105" w:leftChars="50" w:right="283"/>
              <w:textAlignment w:val="auto"/>
              <w:rPr>
                <w:rFonts w:hint="eastAsia" w:ascii="宋体" w:hAnsi="宋体" w:eastAsia="宋体" w:cs="宋体"/>
                <w:color w:val="auto"/>
                <w:sz w:val="21"/>
                <w:szCs w:val="21"/>
                <w:highlight w:val="none"/>
              </w:rPr>
            </w:pPr>
          </w:p>
          <w:p w14:paraId="3625ED81">
            <w:pPr>
              <w:keepNext/>
              <w:keepLines w:val="0"/>
              <w:pageBreakBefore w:val="0"/>
              <w:widowControl w:val="0"/>
              <w:kinsoku/>
              <w:overflowPunct/>
              <w:topLinePunct w:val="0"/>
              <w:autoSpaceDE/>
              <w:autoSpaceDN/>
              <w:bidi w:val="0"/>
              <w:snapToGrid w:val="0"/>
              <w:spacing w:before="58" w:line="198" w:lineRule="auto"/>
              <w:ind w:left="105" w:leftChars="50" w:right="283"/>
              <w:textAlignment w:val="auto"/>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w:t>
            </w:r>
            <w:r>
              <w:rPr>
                <w:rFonts w:hint="eastAsia" w:ascii="宋体" w:hAnsi="宋体" w:eastAsia="宋体" w:cs="宋体"/>
                <w:color w:val="auto"/>
                <w:spacing w:val="5"/>
                <w:sz w:val="21"/>
                <w:szCs w:val="21"/>
                <w:highlight w:val="none"/>
              </w:rPr>
              <w:t>2.2.2</w:t>
            </w:r>
          </w:p>
        </w:tc>
        <w:tc>
          <w:tcPr>
            <w:tcW w:w="7054" w:type="dxa"/>
            <w:tcBorders>
              <w:right w:val="single" w:color="000000" w:sz="6" w:space="0"/>
            </w:tcBorders>
            <w:vAlign w:val="top"/>
          </w:tcPr>
          <w:p w14:paraId="14858532">
            <w:pPr>
              <w:keepNext/>
              <w:keepLines w:val="0"/>
              <w:pageBreakBefore w:val="0"/>
              <w:widowControl w:val="0"/>
              <w:kinsoku/>
              <w:overflowPunct/>
              <w:topLinePunct w:val="0"/>
              <w:autoSpaceDE/>
              <w:autoSpaceDN/>
              <w:bidi w:val="0"/>
              <w:snapToGrid w:val="0"/>
              <w:spacing w:before="142" w:line="369" w:lineRule="auto"/>
              <w:ind w:left="105" w:leftChars="50" w:right="283" w:rightChars="0" w:firstLine="238"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8"/>
                <w:sz w:val="21"/>
                <w:szCs w:val="21"/>
                <w:highlight w:val="none"/>
              </w:rPr>
              <w:t>如</w:t>
            </w:r>
            <w:r>
              <w:rPr>
                <w:rFonts w:hint="eastAsia" w:ascii="宋体" w:hAnsi="宋体" w:eastAsia="宋体" w:cs="宋体"/>
                <w:color w:val="auto"/>
                <w:spacing w:val="11"/>
                <w:sz w:val="21"/>
                <w:szCs w:val="21"/>
                <w:highlight w:val="none"/>
              </w:rPr>
              <w:t>承包人采用现金形式向发包人提交履约保证金或质量保证金时，发包人无正</w:t>
            </w:r>
            <w:r>
              <w:rPr>
                <w:rFonts w:hint="eastAsia" w:ascii="宋体" w:hAnsi="宋体" w:eastAsia="宋体" w:cs="宋体"/>
                <w:color w:val="auto"/>
                <w:spacing w:val="22"/>
                <w:sz w:val="21"/>
                <w:szCs w:val="21"/>
                <w:highlight w:val="none"/>
              </w:rPr>
              <w:t>当理</w:t>
            </w:r>
            <w:r>
              <w:rPr>
                <w:rFonts w:hint="eastAsia" w:ascii="宋体" w:hAnsi="宋体" w:eastAsia="宋体" w:cs="宋体"/>
                <w:color w:val="auto"/>
                <w:spacing w:val="15"/>
                <w:sz w:val="21"/>
                <w:szCs w:val="21"/>
                <w:highlight w:val="none"/>
              </w:rPr>
              <w:t>由</w:t>
            </w:r>
            <w:r>
              <w:rPr>
                <w:rFonts w:hint="eastAsia" w:ascii="宋体" w:hAnsi="宋体" w:eastAsia="宋体" w:cs="宋体"/>
                <w:color w:val="auto"/>
                <w:spacing w:val="11"/>
                <w:sz w:val="21"/>
                <w:szCs w:val="21"/>
                <w:highlight w:val="none"/>
              </w:rPr>
              <w:t>不按时返还的，发包人应向承包人支付的违约金：</w:t>
            </w:r>
            <w:r>
              <w:rPr>
                <w:rFonts w:hint="eastAsia" w:ascii="宋体" w:hAnsi="宋体" w:eastAsia="宋体" w:cs="宋体"/>
                <w:color w:val="auto"/>
                <w:spacing w:val="11"/>
                <w:sz w:val="21"/>
                <w:szCs w:val="21"/>
                <w:highlight w:val="none"/>
                <w:u w:val="single" w:color="auto"/>
              </w:rPr>
              <w:t>按照中国人民银行公布的一年以内(含一年)同期同类金融机构人民币贷款基准利率(不计复利)</w:t>
            </w:r>
            <w:r>
              <w:rPr>
                <w:rFonts w:hint="eastAsia" w:ascii="宋体" w:hAnsi="宋体" w:eastAsia="宋体" w:cs="宋体"/>
                <w:color w:val="auto"/>
                <w:spacing w:val="4"/>
                <w:sz w:val="21"/>
                <w:szCs w:val="21"/>
                <w:highlight w:val="none"/>
                <w:u w:val="single" w:color="auto"/>
              </w:rPr>
              <w:t>加</w:t>
            </w:r>
            <w:r>
              <w:rPr>
                <w:rFonts w:hint="eastAsia" w:ascii="宋体" w:hAnsi="宋体" w:eastAsia="宋体" w:cs="宋体"/>
                <w:color w:val="auto"/>
                <w:spacing w:val="13"/>
                <w:sz w:val="21"/>
                <w:szCs w:val="21"/>
                <w:highlight w:val="none"/>
                <w:u w:val="single" w:color="auto"/>
              </w:rPr>
              <w:t>手</w:t>
            </w:r>
            <w:r>
              <w:rPr>
                <w:rFonts w:hint="eastAsia" w:ascii="宋体" w:hAnsi="宋体" w:eastAsia="宋体" w:cs="宋体"/>
                <w:color w:val="auto"/>
                <w:spacing w:val="12"/>
                <w:sz w:val="21"/>
                <w:szCs w:val="21"/>
                <w:highlight w:val="none"/>
                <w:u w:val="single" w:color="auto"/>
              </w:rPr>
              <w:t>续费。</w:t>
            </w:r>
          </w:p>
        </w:tc>
      </w:tr>
      <w:tr w14:paraId="1FE479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24" w:type="dxa"/>
            <w:tcBorders>
              <w:left w:val="single" w:color="000000" w:sz="6" w:space="0"/>
            </w:tcBorders>
            <w:vAlign w:val="top"/>
          </w:tcPr>
          <w:p w14:paraId="59F6902F">
            <w:pPr>
              <w:keepNext/>
              <w:keepLines w:val="0"/>
              <w:pageBreakBefore w:val="0"/>
              <w:widowControl w:val="0"/>
              <w:kinsoku/>
              <w:overflowPunct/>
              <w:topLinePunct w:val="0"/>
              <w:autoSpaceDE/>
              <w:autoSpaceDN/>
              <w:bidi w:val="0"/>
              <w:snapToGrid w:val="0"/>
              <w:spacing w:line="273" w:lineRule="auto"/>
              <w:ind w:left="105" w:leftChars="50" w:right="283"/>
              <w:textAlignment w:val="auto"/>
              <w:rPr>
                <w:rFonts w:hint="eastAsia" w:ascii="宋体" w:hAnsi="宋体" w:eastAsia="宋体" w:cs="宋体"/>
                <w:color w:val="auto"/>
                <w:sz w:val="21"/>
                <w:szCs w:val="21"/>
                <w:highlight w:val="none"/>
              </w:rPr>
            </w:pPr>
          </w:p>
          <w:p w14:paraId="6D5C4B63">
            <w:pPr>
              <w:keepNext/>
              <w:keepLines w:val="0"/>
              <w:pageBreakBefore w:val="0"/>
              <w:widowControl w:val="0"/>
              <w:kinsoku/>
              <w:overflowPunct/>
              <w:topLinePunct w:val="0"/>
              <w:autoSpaceDE/>
              <w:autoSpaceDN/>
              <w:bidi w:val="0"/>
              <w:snapToGrid w:val="0"/>
              <w:spacing w:before="58" w:line="195" w:lineRule="auto"/>
              <w:ind w:left="105" w:leftChars="50" w:right="283"/>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val="en-US" w:eastAsia="zh-CN"/>
              </w:rPr>
              <w:t>2</w:t>
            </w:r>
          </w:p>
        </w:tc>
        <w:tc>
          <w:tcPr>
            <w:tcW w:w="1384" w:type="dxa"/>
            <w:vAlign w:val="top"/>
          </w:tcPr>
          <w:p w14:paraId="6778A1D6">
            <w:pPr>
              <w:keepNext/>
              <w:keepLines w:val="0"/>
              <w:pageBreakBefore w:val="0"/>
              <w:widowControl w:val="0"/>
              <w:kinsoku/>
              <w:overflowPunct/>
              <w:topLinePunct w:val="0"/>
              <w:autoSpaceDE/>
              <w:autoSpaceDN/>
              <w:bidi w:val="0"/>
              <w:snapToGrid w:val="0"/>
              <w:spacing w:line="273" w:lineRule="auto"/>
              <w:ind w:left="105" w:leftChars="50" w:right="283"/>
              <w:textAlignment w:val="auto"/>
              <w:rPr>
                <w:rFonts w:hint="eastAsia" w:ascii="宋体" w:hAnsi="宋体" w:eastAsia="宋体" w:cs="宋体"/>
                <w:color w:val="auto"/>
                <w:sz w:val="21"/>
                <w:szCs w:val="21"/>
                <w:highlight w:val="none"/>
              </w:rPr>
            </w:pPr>
          </w:p>
          <w:p w14:paraId="2C20EF2F">
            <w:pPr>
              <w:keepNext/>
              <w:keepLines w:val="0"/>
              <w:pageBreakBefore w:val="0"/>
              <w:widowControl w:val="0"/>
              <w:kinsoku/>
              <w:overflowPunct/>
              <w:topLinePunct w:val="0"/>
              <w:autoSpaceDE/>
              <w:autoSpaceDN/>
              <w:bidi w:val="0"/>
              <w:snapToGrid w:val="0"/>
              <w:spacing w:before="58" w:line="198" w:lineRule="auto"/>
              <w:ind w:left="105" w:leftChars="50" w:right="283"/>
              <w:textAlignment w:val="auto"/>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w:t>
            </w:r>
            <w:r>
              <w:rPr>
                <w:rFonts w:hint="eastAsia" w:ascii="宋体" w:hAnsi="宋体" w:eastAsia="宋体" w:cs="宋体"/>
                <w:color w:val="auto"/>
                <w:spacing w:val="-4"/>
                <w:sz w:val="21"/>
                <w:szCs w:val="21"/>
                <w:highlight w:val="none"/>
              </w:rPr>
              <w:t>4</w:t>
            </w:r>
            <w:r>
              <w:rPr>
                <w:rFonts w:hint="eastAsia" w:ascii="宋体" w:hAnsi="宋体" w:eastAsia="宋体" w:cs="宋体"/>
                <w:color w:val="auto"/>
                <w:spacing w:val="-3"/>
                <w:sz w:val="21"/>
                <w:szCs w:val="21"/>
                <w:highlight w:val="none"/>
              </w:rPr>
              <w:t>.1</w:t>
            </w:r>
          </w:p>
        </w:tc>
        <w:tc>
          <w:tcPr>
            <w:tcW w:w="7054" w:type="dxa"/>
            <w:tcBorders>
              <w:right w:val="single" w:color="000000" w:sz="6" w:space="0"/>
            </w:tcBorders>
            <w:vAlign w:val="top"/>
          </w:tcPr>
          <w:p w14:paraId="68ECD16D">
            <w:pPr>
              <w:keepNext/>
              <w:keepLines w:val="0"/>
              <w:pageBreakBefore w:val="0"/>
              <w:widowControl w:val="0"/>
              <w:kinsoku/>
              <w:overflowPunct/>
              <w:topLinePunct w:val="0"/>
              <w:autoSpaceDE/>
              <w:autoSpaceDN/>
              <w:bidi w:val="0"/>
              <w:snapToGrid w:val="0"/>
              <w:spacing w:before="143" w:line="227" w:lineRule="auto"/>
              <w:ind w:left="105" w:leftChars="50" w:right="283"/>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6"/>
                <w:sz w:val="21"/>
                <w:szCs w:val="21"/>
                <w:highlight w:val="none"/>
              </w:rPr>
              <w:t>争</w:t>
            </w:r>
            <w:r>
              <w:rPr>
                <w:rFonts w:hint="eastAsia" w:ascii="宋体" w:hAnsi="宋体" w:eastAsia="宋体" w:cs="宋体"/>
                <w:color w:val="auto"/>
                <w:spacing w:val="5"/>
                <w:sz w:val="21"/>
                <w:szCs w:val="21"/>
                <w:highlight w:val="none"/>
              </w:rPr>
              <w:t>议的最终解决方式，规定为：</w:t>
            </w:r>
            <w:r>
              <w:rPr>
                <w:rFonts w:hint="eastAsia" w:ascii="宋体" w:hAnsi="宋体" w:eastAsia="宋体" w:cs="宋体"/>
                <w:color w:val="auto"/>
                <w:spacing w:val="5"/>
                <w:sz w:val="21"/>
                <w:szCs w:val="21"/>
                <w:highlight w:val="none"/>
                <w:u w:val="single" w:color="auto"/>
              </w:rPr>
              <w:t>仲裁</w:t>
            </w:r>
          </w:p>
          <w:p w14:paraId="4AE379C7">
            <w:pPr>
              <w:keepNext/>
              <w:keepLines w:val="0"/>
              <w:pageBreakBefore w:val="0"/>
              <w:widowControl w:val="0"/>
              <w:kinsoku/>
              <w:overflowPunct/>
              <w:topLinePunct w:val="0"/>
              <w:autoSpaceDE/>
              <w:autoSpaceDN/>
              <w:bidi w:val="0"/>
              <w:snapToGrid w:val="0"/>
              <w:spacing w:before="155" w:line="224" w:lineRule="auto"/>
              <w:ind w:left="105" w:leftChars="50" w:right="283"/>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4"/>
                <w:sz w:val="21"/>
                <w:szCs w:val="21"/>
                <w:highlight w:val="none"/>
              </w:rPr>
              <w:t>采</w:t>
            </w:r>
            <w:r>
              <w:rPr>
                <w:rFonts w:hint="eastAsia" w:ascii="宋体" w:hAnsi="宋体" w:eastAsia="宋体" w:cs="宋体"/>
                <w:color w:val="auto"/>
                <w:spacing w:val="9"/>
                <w:sz w:val="21"/>
                <w:szCs w:val="21"/>
                <w:highlight w:val="none"/>
              </w:rPr>
              <w:t>用</w:t>
            </w:r>
            <w:r>
              <w:rPr>
                <w:rFonts w:hint="eastAsia" w:ascii="宋体" w:hAnsi="宋体" w:eastAsia="宋体" w:cs="宋体"/>
                <w:color w:val="auto"/>
                <w:spacing w:val="7"/>
                <w:sz w:val="21"/>
                <w:szCs w:val="21"/>
                <w:highlight w:val="none"/>
              </w:rPr>
              <w:t>仲裁的仲裁委员会名称，规定为：</w:t>
            </w:r>
            <w:r>
              <w:rPr>
                <w:rFonts w:hint="eastAsia" w:ascii="宋体" w:hAnsi="宋体" w:eastAsia="宋体" w:cs="宋体"/>
                <w:color w:val="auto"/>
                <w:spacing w:val="7"/>
                <w:sz w:val="21"/>
                <w:szCs w:val="21"/>
                <w:highlight w:val="none"/>
                <w:u w:val="single" w:color="auto"/>
              </w:rPr>
              <w:t>发包人所在地仲裁委员会</w:t>
            </w:r>
          </w:p>
        </w:tc>
      </w:tr>
      <w:tr w14:paraId="217A16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24" w:type="dxa"/>
            <w:tcBorders>
              <w:left w:val="single" w:color="000000" w:sz="6" w:space="0"/>
            </w:tcBorders>
            <w:vAlign w:val="top"/>
          </w:tcPr>
          <w:p w14:paraId="0BE47280">
            <w:pPr>
              <w:keepNext/>
              <w:keepLines w:val="0"/>
              <w:pageBreakBefore w:val="0"/>
              <w:widowControl w:val="0"/>
              <w:kinsoku/>
              <w:overflowPunct/>
              <w:topLinePunct w:val="0"/>
              <w:autoSpaceDE/>
              <w:autoSpaceDN/>
              <w:bidi w:val="0"/>
              <w:snapToGrid w:val="0"/>
              <w:spacing w:before="135" w:line="195" w:lineRule="auto"/>
              <w:ind w:left="105" w:leftChars="50" w:right="283"/>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val="en-US" w:eastAsia="zh-CN"/>
              </w:rPr>
              <w:t>3</w:t>
            </w:r>
          </w:p>
        </w:tc>
        <w:tc>
          <w:tcPr>
            <w:tcW w:w="1384" w:type="dxa"/>
            <w:vAlign w:val="top"/>
          </w:tcPr>
          <w:p w14:paraId="5EBCC71B">
            <w:pPr>
              <w:keepNext/>
              <w:keepLines w:val="0"/>
              <w:pageBreakBefore w:val="0"/>
              <w:widowControl w:val="0"/>
              <w:kinsoku/>
              <w:overflowPunct/>
              <w:topLinePunct w:val="0"/>
              <w:autoSpaceDE/>
              <w:autoSpaceDN/>
              <w:bidi w:val="0"/>
              <w:snapToGrid w:val="0"/>
              <w:spacing w:before="135" w:line="195" w:lineRule="auto"/>
              <w:ind w:left="105" w:leftChars="50" w:right="283"/>
              <w:textAlignment w:val="auto"/>
              <w:rPr>
                <w:rFonts w:hint="eastAsia" w:ascii="宋体" w:hAnsi="宋体" w:eastAsia="宋体" w:cs="宋体"/>
                <w:color w:val="auto"/>
                <w:spacing w:val="-6"/>
                <w:sz w:val="21"/>
                <w:szCs w:val="21"/>
                <w:highlight w:val="none"/>
              </w:rPr>
            </w:pPr>
            <w:r>
              <w:rPr>
                <w:rFonts w:hint="eastAsia" w:ascii="宋体" w:hAnsi="宋体" w:eastAsia="宋体" w:cs="宋体"/>
                <w:color w:val="auto"/>
                <w:spacing w:val="3"/>
                <w:sz w:val="21"/>
                <w:szCs w:val="21"/>
                <w:highlight w:val="none"/>
              </w:rPr>
              <w:t>2</w:t>
            </w:r>
            <w:r>
              <w:rPr>
                <w:rFonts w:hint="eastAsia" w:ascii="宋体" w:hAnsi="宋体" w:eastAsia="宋体" w:cs="宋体"/>
                <w:color w:val="auto"/>
                <w:spacing w:val="2"/>
                <w:sz w:val="21"/>
                <w:szCs w:val="21"/>
                <w:highlight w:val="none"/>
              </w:rPr>
              <w:t>5</w:t>
            </w:r>
          </w:p>
        </w:tc>
        <w:tc>
          <w:tcPr>
            <w:tcW w:w="7054" w:type="dxa"/>
            <w:tcBorders>
              <w:right w:val="single" w:color="000000" w:sz="6" w:space="0"/>
            </w:tcBorders>
            <w:vAlign w:val="top"/>
          </w:tcPr>
          <w:p w14:paraId="0CF7D0CD">
            <w:pPr>
              <w:keepNext/>
              <w:keepLines w:val="0"/>
              <w:pageBreakBefore w:val="0"/>
              <w:widowControl w:val="0"/>
              <w:kinsoku/>
              <w:overflowPunct/>
              <w:topLinePunct w:val="0"/>
              <w:autoSpaceDE/>
              <w:autoSpaceDN/>
              <w:bidi w:val="0"/>
              <w:snapToGrid w:val="0"/>
              <w:spacing w:before="138" w:line="228" w:lineRule="auto"/>
              <w:ind w:left="105" w:leftChars="50" w:right="28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6"/>
                <w:sz w:val="21"/>
                <w:szCs w:val="21"/>
                <w:highlight w:val="none"/>
              </w:rPr>
              <w:t>为加</w:t>
            </w:r>
            <w:r>
              <w:rPr>
                <w:rFonts w:hint="eastAsia" w:ascii="宋体" w:hAnsi="宋体" w:eastAsia="宋体" w:cs="宋体"/>
                <w:color w:val="auto"/>
                <w:spacing w:val="15"/>
                <w:sz w:val="21"/>
                <w:szCs w:val="21"/>
                <w:highlight w:val="none"/>
              </w:rPr>
              <w:t>强</w:t>
            </w:r>
            <w:r>
              <w:rPr>
                <w:rFonts w:hint="eastAsia" w:ascii="宋体" w:hAnsi="宋体" w:eastAsia="宋体" w:cs="宋体"/>
                <w:color w:val="auto"/>
                <w:spacing w:val="8"/>
                <w:sz w:val="21"/>
                <w:szCs w:val="21"/>
                <w:highlight w:val="none"/>
              </w:rPr>
              <w:t>安全生产管理工作，规范本工程交通封闭作业行为，在合同执行过程中，</w:t>
            </w:r>
            <w:r>
              <w:rPr>
                <w:rFonts w:hint="eastAsia" w:ascii="宋体" w:hAnsi="宋体" w:eastAsia="宋体" w:cs="宋体"/>
                <w:color w:val="auto"/>
                <w:spacing w:val="14"/>
                <w:sz w:val="21"/>
                <w:szCs w:val="21"/>
                <w:highlight w:val="none"/>
              </w:rPr>
              <w:t>结</w:t>
            </w:r>
            <w:r>
              <w:rPr>
                <w:rFonts w:hint="eastAsia" w:ascii="宋体" w:hAnsi="宋体" w:eastAsia="宋体" w:cs="宋体"/>
                <w:color w:val="auto"/>
                <w:spacing w:val="9"/>
                <w:sz w:val="21"/>
                <w:szCs w:val="21"/>
                <w:highlight w:val="none"/>
              </w:rPr>
              <w:t>合项目施工特点，严格按照相关要求开展道路交通封闭施工作业。</w:t>
            </w:r>
          </w:p>
          <w:p w14:paraId="2D41CD46">
            <w:pPr>
              <w:keepNext/>
              <w:keepLines w:val="0"/>
              <w:pageBreakBefore w:val="0"/>
              <w:widowControl w:val="0"/>
              <w:kinsoku/>
              <w:overflowPunct/>
              <w:topLinePunct w:val="0"/>
              <w:autoSpaceDE/>
              <w:autoSpaceDN/>
              <w:bidi w:val="0"/>
              <w:snapToGrid w:val="0"/>
              <w:spacing w:before="153" w:line="369" w:lineRule="auto"/>
              <w:ind w:left="105" w:leftChars="50" w:right="283" w:firstLine="20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施</w:t>
            </w:r>
            <w:r>
              <w:rPr>
                <w:rFonts w:hint="eastAsia" w:ascii="宋体" w:hAnsi="宋体" w:eastAsia="宋体" w:cs="宋体"/>
                <w:color w:val="auto"/>
                <w:spacing w:val="12"/>
                <w:sz w:val="21"/>
                <w:szCs w:val="21"/>
                <w:highlight w:val="none"/>
              </w:rPr>
              <w:t>工结束时，承包人必须将因施工而损坏的路面及附属设施恢复到原有良好状</w:t>
            </w:r>
            <w:r>
              <w:rPr>
                <w:rFonts w:hint="eastAsia" w:ascii="宋体" w:hAnsi="宋体" w:eastAsia="宋体" w:cs="宋体"/>
                <w:color w:val="auto"/>
                <w:spacing w:val="14"/>
                <w:sz w:val="21"/>
                <w:szCs w:val="21"/>
                <w:highlight w:val="none"/>
              </w:rPr>
              <w:t>态</w:t>
            </w:r>
            <w:r>
              <w:rPr>
                <w:rFonts w:hint="eastAsia" w:ascii="宋体" w:hAnsi="宋体" w:eastAsia="宋体" w:cs="宋体"/>
                <w:color w:val="auto"/>
                <w:spacing w:val="12"/>
                <w:sz w:val="21"/>
                <w:szCs w:val="21"/>
                <w:highlight w:val="none"/>
              </w:rPr>
              <w:t>。及时施划道路标志、标线，确保道路标志、标线的完整有效。拆除安全隔离</w:t>
            </w:r>
            <w:r>
              <w:rPr>
                <w:rFonts w:hint="eastAsia" w:ascii="宋体" w:hAnsi="宋体" w:eastAsia="宋体" w:cs="宋体"/>
                <w:color w:val="auto"/>
                <w:spacing w:val="14"/>
                <w:sz w:val="21"/>
                <w:szCs w:val="21"/>
                <w:highlight w:val="none"/>
              </w:rPr>
              <w:t>设</w:t>
            </w:r>
            <w:r>
              <w:rPr>
                <w:rFonts w:hint="eastAsia" w:ascii="宋体" w:hAnsi="宋体" w:eastAsia="宋体" w:cs="宋体"/>
                <w:color w:val="auto"/>
                <w:spacing w:val="12"/>
                <w:sz w:val="21"/>
                <w:szCs w:val="21"/>
                <w:highlight w:val="none"/>
              </w:rPr>
              <w:t>施，并报经所在路域分公司、公安交警大队进行验收合格后，方可撤离现场恢</w:t>
            </w:r>
            <w:r>
              <w:rPr>
                <w:rFonts w:hint="eastAsia" w:ascii="宋体" w:hAnsi="宋体" w:eastAsia="宋体" w:cs="宋体"/>
                <w:color w:val="auto"/>
                <w:spacing w:val="7"/>
                <w:sz w:val="21"/>
                <w:szCs w:val="21"/>
                <w:highlight w:val="none"/>
              </w:rPr>
              <w:t>复道路交通</w:t>
            </w:r>
            <w:r>
              <w:rPr>
                <w:rFonts w:hint="eastAsia" w:ascii="宋体" w:hAnsi="宋体" w:eastAsia="宋体" w:cs="宋体"/>
                <w:color w:val="auto"/>
                <w:spacing w:val="5"/>
                <w:sz w:val="21"/>
                <w:szCs w:val="21"/>
                <w:highlight w:val="none"/>
              </w:rPr>
              <w:t>。</w:t>
            </w:r>
          </w:p>
          <w:p w14:paraId="3A78CAB6">
            <w:pPr>
              <w:keepNext/>
              <w:keepLines w:val="0"/>
              <w:pageBreakBefore w:val="0"/>
              <w:widowControl w:val="0"/>
              <w:kinsoku/>
              <w:overflowPunct/>
              <w:topLinePunct w:val="0"/>
              <w:autoSpaceDE/>
              <w:autoSpaceDN/>
              <w:bidi w:val="0"/>
              <w:snapToGrid w:val="0"/>
              <w:spacing w:before="1" w:line="368" w:lineRule="auto"/>
              <w:ind w:left="105" w:leftChars="50" w:right="283" w:firstLine="20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0"/>
                <w:sz w:val="21"/>
                <w:szCs w:val="21"/>
                <w:highlight w:val="none"/>
              </w:rPr>
              <w:t>工</w:t>
            </w:r>
            <w:r>
              <w:rPr>
                <w:rFonts w:hint="eastAsia" w:ascii="宋体" w:hAnsi="宋体" w:eastAsia="宋体" w:cs="宋体"/>
                <w:color w:val="auto"/>
                <w:spacing w:val="17"/>
                <w:sz w:val="21"/>
                <w:szCs w:val="21"/>
                <w:highlight w:val="none"/>
              </w:rPr>
              <w:t>程</w:t>
            </w:r>
            <w:r>
              <w:rPr>
                <w:rFonts w:hint="eastAsia" w:ascii="宋体" w:hAnsi="宋体" w:eastAsia="宋体" w:cs="宋体"/>
                <w:color w:val="auto"/>
                <w:spacing w:val="10"/>
                <w:sz w:val="21"/>
                <w:szCs w:val="21"/>
                <w:highlight w:val="none"/>
              </w:rPr>
              <w:t>正式开工前，承包人必须向监理及发包人上报详细的交通封闭组织方案，</w:t>
            </w:r>
            <w:r>
              <w:rPr>
                <w:rFonts w:hint="eastAsia" w:ascii="宋体" w:hAnsi="宋体" w:eastAsia="宋体" w:cs="宋体"/>
                <w:color w:val="auto"/>
                <w:spacing w:val="16"/>
                <w:sz w:val="21"/>
                <w:szCs w:val="21"/>
                <w:highlight w:val="none"/>
              </w:rPr>
              <w:t>经</w:t>
            </w:r>
            <w:r>
              <w:rPr>
                <w:rFonts w:hint="eastAsia" w:ascii="宋体" w:hAnsi="宋体" w:eastAsia="宋体" w:cs="宋体"/>
                <w:color w:val="auto"/>
                <w:spacing w:val="11"/>
                <w:sz w:val="21"/>
                <w:szCs w:val="21"/>
                <w:highlight w:val="none"/>
              </w:rPr>
              <w:t>发</w:t>
            </w:r>
            <w:r>
              <w:rPr>
                <w:rFonts w:hint="eastAsia" w:ascii="宋体" w:hAnsi="宋体" w:eastAsia="宋体" w:cs="宋体"/>
                <w:color w:val="auto"/>
                <w:spacing w:val="8"/>
                <w:sz w:val="21"/>
                <w:szCs w:val="21"/>
                <w:highlight w:val="none"/>
              </w:rPr>
              <w:t>包人审核通过后，方可正式施工。</w:t>
            </w:r>
          </w:p>
          <w:p w14:paraId="7D9CD534">
            <w:pPr>
              <w:keepNext/>
              <w:keepLines w:val="0"/>
              <w:pageBreakBefore w:val="0"/>
              <w:widowControl w:val="0"/>
              <w:kinsoku/>
              <w:overflowPunct/>
              <w:topLinePunct w:val="0"/>
              <w:autoSpaceDE/>
              <w:autoSpaceDN/>
              <w:bidi w:val="0"/>
              <w:snapToGrid w:val="0"/>
              <w:spacing w:before="2" w:line="369" w:lineRule="auto"/>
              <w:ind w:left="105" w:leftChars="50" w:right="283" w:rightChars="0" w:firstLine="207"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4"/>
                <w:sz w:val="21"/>
                <w:szCs w:val="21"/>
                <w:highlight w:val="none"/>
              </w:rPr>
              <w:t>承</w:t>
            </w:r>
            <w:r>
              <w:rPr>
                <w:rFonts w:hint="eastAsia" w:ascii="宋体" w:hAnsi="宋体" w:eastAsia="宋体" w:cs="宋体"/>
                <w:color w:val="auto"/>
                <w:spacing w:val="12"/>
                <w:sz w:val="21"/>
                <w:szCs w:val="21"/>
                <w:highlight w:val="none"/>
              </w:rPr>
              <w:t>包人应充分考虑本项目施工过程中执行上述交通封闭作业要求所需的相关费用，且交通封闭规范化作业费用已包含在本合同的相关报价中，发包人将不另行</w:t>
            </w:r>
            <w:r>
              <w:rPr>
                <w:rFonts w:hint="eastAsia" w:ascii="宋体" w:hAnsi="宋体" w:eastAsia="宋体" w:cs="宋体"/>
                <w:color w:val="auto"/>
                <w:spacing w:val="3"/>
                <w:sz w:val="21"/>
                <w:szCs w:val="21"/>
                <w:highlight w:val="none"/>
              </w:rPr>
              <w:t>支付</w:t>
            </w:r>
            <w:r>
              <w:rPr>
                <w:rFonts w:hint="eastAsia" w:ascii="宋体" w:hAnsi="宋体" w:eastAsia="宋体" w:cs="宋体"/>
                <w:color w:val="auto"/>
                <w:spacing w:val="2"/>
                <w:sz w:val="21"/>
                <w:szCs w:val="21"/>
                <w:highlight w:val="none"/>
              </w:rPr>
              <w:t>。</w:t>
            </w:r>
          </w:p>
        </w:tc>
      </w:tr>
    </w:tbl>
    <w:p w14:paraId="636AAA83">
      <w:pPr>
        <w:rPr>
          <w:rFonts w:hint="eastAsia" w:ascii="宋体" w:hAnsi="宋体" w:eastAsia="宋体" w:cs="宋体"/>
          <w:color w:val="auto"/>
          <w:sz w:val="21"/>
          <w:szCs w:val="21"/>
          <w:highlight w:val="none"/>
        </w:rPr>
        <w:sectPr>
          <w:headerReference r:id="rId29" w:type="default"/>
          <w:footerReference r:id="rId30" w:type="default"/>
          <w:pgSz w:w="11907" w:h="16840"/>
          <w:pgMar w:top="1165" w:right="1301" w:bottom="1333" w:left="1299" w:header="883" w:footer="1173" w:gutter="0"/>
          <w:cols w:space="720" w:num="1"/>
        </w:sectPr>
      </w:pPr>
    </w:p>
    <w:p w14:paraId="03B32A97">
      <w:pPr>
        <w:pageBreakBefore w:val="0"/>
        <w:kinsoku/>
        <w:wordWrap w:val="0"/>
        <w:bidi w:val="0"/>
        <w:spacing w:before="240" w:after="240" w:line="380" w:lineRule="atLeast"/>
        <w:jc w:val="center"/>
        <w:outlineLvl w:val="3"/>
        <w:rPr>
          <w:rFonts w:hint="default" w:ascii="Times New Roman" w:hAnsi="Times New Roman" w:eastAsia="黑体" w:cs="Times New Roman"/>
          <w:b w:val="0"/>
          <w:color w:val="auto"/>
          <w:sz w:val="32"/>
          <w:szCs w:val="32"/>
          <w:highlight w:val="none"/>
        </w:rPr>
      </w:pPr>
      <w:bookmarkStart w:id="1454" w:name="_Toc28935"/>
      <w:bookmarkStart w:id="1455" w:name="_Toc21888"/>
      <w:bookmarkStart w:id="1456" w:name="_Toc1829"/>
      <w:r>
        <w:rPr>
          <w:rFonts w:hint="default" w:ascii="Times New Roman" w:hAnsi="Times New Roman" w:eastAsia="黑体" w:cs="Times New Roman"/>
          <w:b w:val="0"/>
          <w:color w:val="auto"/>
          <w:sz w:val="32"/>
          <w:szCs w:val="32"/>
          <w:highlight w:val="none"/>
        </w:rPr>
        <w:t>项目专用合同条款</w:t>
      </w:r>
      <w:bookmarkEnd w:id="1453"/>
      <w:bookmarkEnd w:id="1454"/>
      <w:r>
        <w:rPr>
          <w:rStyle w:val="48"/>
          <w:rFonts w:hint="default" w:ascii="Times New Roman" w:hAnsi="Times New Roman" w:eastAsia="黑体" w:cs="Times New Roman"/>
          <w:b w:val="0"/>
          <w:color w:val="auto"/>
          <w:sz w:val="32"/>
          <w:szCs w:val="32"/>
          <w:highlight w:val="none"/>
        </w:rPr>
        <w:footnoteReference w:id="40"/>
      </w:r>
      <w:bookmarkEnd w:id="1455"/>
      <w:bookmarkEnd w:id="1456"/>
    </w:p>
    <w:p w14:paraId="369530D1">
      <w:pPr>
        <w:pageBreakBefore w:val="0"/>
        <w:kinsoku/>
        <w:wordWrap w:val="0"/>
        <w:bidi w:val="0"/>
        <w:rPr>
          <w:rFonts w:hint="default" w:ascii="Times New Roman" w:hAnsi="Times New Roman" w:cs="Times New Roman"/>
          <w:color w:val="auto"/>
          <w:highlight w:val="none"/>
        </w:rPr>
      </w:pPr>
    </w:p>
    <w:p w14:paraId="043D0EB4">
      <w:pPr>
        <w:pStyle w:val="18"/>
        <w:pageBreakBefore w:val="0"/>
        <w:kinsoku/>
        <w:wordWrap w:val="0"/>
        <w:bidi w:val="0"/>
        <w:snapToGrid w:val="0"/>
        <w:spacing w:after="0" w:line="400" w:lineRule="atLeast"/>
        <w:ind w:left="660" w:leftChars="0" w:hanging="660" w:hangingChars="275"/>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说明：</w:t>
      </w:r>
      <w:r>
        <w:rPr>
          <w:rFonts w:hint="default" w:ascii="Times New Roman" w:hAnsi="Times New Roman" w:eastAsia="楷体_GB2312" w:cs="Times New Roman"/>
          <w:color w:val="auto"/>
          <w:sz w:val="24"/>
          <w:highlight w:val="none"/>
        </w:rPr>
        <w:t>本部分所列的项目专用合同条款是对</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公路工程专用合同条款</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中规定必须在项目专用合同条款中明确的内容的集中，招标人编制的</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项目专用合同条款</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不限于本部分所列内容。</w:t>
      </w:r>
    </w:p>
    <w:p w14:paraId="3826B93D">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457" w:name="_Toc22768"/>
      <w:bookmarkStart w:id="1458" w:name="_Toc23600"/>
      <w:bookmarkStart w:id="1459" w:name="_Toc3467"/>
      <w:bookmarkStart w:id="1460" w:name="_Toc234833223"/>
      <w:r>
        <w:rPr>
          <w:rFonts w:hint="default" w:ascii="Times New Roman" w:hAnsi="Times New Roman" w:eastAsia="黑体" w:cs="Times New Roman"/>
          <w:b w:val="0"/>
          <w:color w:val="auto"/>
          <w:sz w:val="24"/>
          <w:szCs w:val="24"/>
          <w:highlight w:val="none"/>
        </w:rPr>
        <w:t>4.1承包人的一般义务</w:t>
      </w:r>
      <w:bookmarkEnd w:id="1457"/>
      <w:bookmarkEnd w:id="1458"/>
      <w:bookmarkEnd w:id="1459"/>
      <w:bookmarkEnd w:id="1460"/>
    </w:p>
    <w:p w14:paraId="41840D47">
      <w:pPr>
        <w:pageBreakBefore w:val="0"/>
        <w:kinsoku/>
        <w:wordWrap w:val="0"/>
        <w:bidi w:val="0"/>
        <w:spacing w:line="400" w:lineRule="atLeast"/>
        <w:ind w:firstLine="470" w:firstLineChars="196"/>
        <w:outlineLvl w:val="9"/>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4.1.10</w:t>
      </w:r>
      <w:r>
        <w:rPr>
          <w:rFonts w:hint="default" w:ascii="Times New Roman" w:hAnsi="Times New Roman" w:eastAsia="黑体" w:cs="Times New Roman"/>
          <w:color w:val="auto"/>
          <w:sz w:val="24"/>
          <w:highlight w:val="none"/>
        </w:rPr>
        <w:t>其他义务</w:t>
      </w:r>
    </w:p>
    <w:p w14:paraId="71CCA058">
      <w:pPr>
        <w:pageBreakBefore w:val="0"/>
        <w:kinsoku/>
        <w:wordWrap w:val="0"/>
        <w:bidi w:val="0"/>
        <w:spacing w:line="400" w:lineRule="atLeast"/>
        <w:ind w:firstLine="390"/>
        <w:outlineLvl w:val="9"/>
        <w:rPr>
          <w:rFonts w:hint="default" w:ascii="Times New Roman" w:hAnsi="Times New Roman" w:eastAsia="宋体" w:cs="Times New Roman"/>
          <w:color w:val="auto"/>
          <w:sz w:val="24"/>
          <w:highlight w:val="none"/>
          <w:u w:val="single"/>
          <w:lang w:val="en-US" w:eastAsia="zh-CN"/>
        </w:rPr>
      </w:pPr>
      <w:r>
        <w:rPr>
          <w:rFonts w:hint="default" w:ascii="Times New Roman" w:hAnsi="Times New Roman" w:cs="Times New Roman"/>
          <w:color w:val="auto"/>
          <w:sz w:val="24"/>
          <w:highlight w:val="none"/>
        </w:rPr>
        <w:t>（</w:t>
      </w:r>
      <w:r>
        <w:rPr>
          <w:rFonts w:hint="eastAsia" w:cs="Times New Roman"/>
          <w:color w:val="auto"/>
          <w:sz w:val="24"/>
          <w:highlight w:val="none"/>
          <w:lang w:val="en-US" w:eastAsia="zh-CN"/>
        </w:rPr>
        <w:t>6</w:t>
      </w:r>
      <w:r>
        <w:rPr>
          <w:rFonts w:hint="default" w:ascii="Times New Roman" w:hAnsi="Times New Roman" w:cs="Times New Roman"/>
          <w:color w:val="auto"/>
          <w:sz w:val="24"/>
          <w:highlight w:val="none"/>
        </w:rPr>
        <w:t>）承包人应履行的其他义务：</w:t>
      </w:r>
      <w:r>
        <w:rPr>
          <w:rFonts w:hint="eastAsia" w:cs="Times New Roman"/>
          <w:color w:val="auto"/>
          <w:sz w:val="24"/>
          <w:highlight w:val="none"/>
          <w:u w:val="single"/>
          <w:lang w:val="en-US" w:eastAsia="zh-CN"/>
        </w:rPr>
        <w:t xml:space="preserve">                       </w:t>
      </w:r>
    </w:p>
    <w:p w14:paraId="03E44DDF">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461" w:name="_Toc234833224"/>
      <w:bookmarkStart w:id="1462" w:name="_Toc121"/>
      <w:bookmarkStart w:id="1463" w:name="_Toc21641"/>
      <w:bookmarkStart w:id="1464" w:name="_Toc12950"/>
      <w:r>
        <w:rPr>
          <w:rFonts w:hint="default" w:ascii="Times New Roman" w:hAnsi="Times New Roman" w:eastAsia="黑体" w:cs="Times New Roman"/>
          <w:b w:val="0"/>
          <w:color w:val="auto"/>
          <w:sz w:val="24"/>
          <w:szCs w:val="24"/>
          <w:highlight w:val="none"/>
        </w:rPr>
        <w:t>4.</w:t>
      </w:r>
      <w:r>
        <w:rPr>
          <w:rFonts w:hint="eastAsia" w:cs="Times New Roman"/>
          <w:b w:val="0"/>
          <w:color w:val="auto"/>
          <w:sz w:val="24"/>
          <w:szCs w:val="24"/>
          <w:highlight w:val="none"/>
          <w:lang w:val="en-US" w:eastAsia="zh-CN"/>
        </w:rPr>
        <w:t>6</w:t>
      </w:r>
      <w:r>
        <w:rPr>
          <w:rFonts w:hint="default" w:ascii="Times New Roman" w:hAnsi="Times New Roman" w:eastAsia="黑体" w:cs="Times New Roman"/>
          <w:b w:val="0"/>
          <w:color w:val="auto"/>
          <w:sz w:val="24"/>
          <w:szCs w:val="24"/>
          <w:highlight w:val="none"/>
        </w:rPr>
        <w:t>承包人人员的管理</w:t>
      </w:r>
    </w:p>
    <w:p w14:paraId="68BD01D1">
      <w:pPr>
        <w:pageBreakBefore w:val="0"/>
        <w:kinsoku/>
        <w:wordWrap/>
        <w:bidi w:val="0"/>
        <w:spacing w:before="240" w:after="240" w:line="420" w:lineRule="exact"/>
        <w:ind w:firstLine="480" w:firstLineChars="200"/>
        <w:outlineLvl w:val="9"/>
        <w:rPr>
          <w:rFonts w:hint="default" w:ascii="Times New Roman" w:hAnsi="Times New Roman" w:eastAsia="宋体" w:cs="Times New Roman"/>
          <w:b w:val="0"/>
          <w:color w:val="auto"/>
          <w:sz w:val="24"/>
          <w:szCs w:val="24"/>
          <w:highlight w:val="none"/>
        </w:rPr>
      </w:pPr>
      <w:r>
        <w:rPr>
          <w:rFonts w:hint="default" w:ascii="Times New Roman" w:hAnsi="Times New Roman" w:cs="Times New Roman"/>
          <w:color w:val="auto"/>
          <w:sz w:val="24"/>
          <w:highlight w:val="none"/>
        </w:rPr>
        <w:t>4.</w:t>
      </w:r>
      <w:r>
        <w:rPr>
          <w:rFonts w:hint="default" w:cs="Times New Roman"/>
          <w:color w:val="auto"/>
          <w:sz w:val="24"/>
          <w:highlight w:val="none"/>
          <w:lang w:val="en-US" w:eastAsia="zh-CN"/>
        </w:rPr>
        <w:t>6</w:t>
      </w:r>
      <w:r>
        <w:rPr>
          <w:rFonts w:hint="default" w:ascii="Times New Roman" w:hAnsi="Times New Roman" w:cs="Times New Roman"/>
          <w:color w:val="auto"/>
          <w:sz w:val="24"/>
          <w:highlight w:val="none"/>
        </w:rPr>
        <w:t>.</w:t>
      </w:r>
      <w:r>
        <w:rPr>
          <w:rFonts w:hint="default" w:cs="Times New Roman"/>
          <w:color w:val="auto"/>
          <w:sz w:val="24"/>
          <w:highlight w:val="none"/>
          <w:lang w:val="en-US" w:eastAsia="zh-CN"/>
        </w:rPr>
        <w:t>6</w:t>
      </w:r>
      <w:r>
        <w:rPr>
          <w:rFonts w:hint="eastAsia" w:cs="Times New Roman"/>
          <w:color w:val="auto"/>
          <w:sz w:val="24"/>
          <w:highlight w:val="none"/>
          <w:lang w:val="en-US" w:eastAsia="zh-CN"/>
        </w:rPr>
        <w:t>承包人（总承包单位和分包单位）</w:t>
      </w:r>
      <w:r>
        <w:rPr>
          <w:rFonts w:hint="default" w:ascii="Times New Roman" w:hAnsi="Times New Roman" w:cs="Times New Roman"/>
          <w:color w:val="auto"/>
          <w:sz w:val="24"/>
          <w:highlight w:val="none"/>
        </w:rPr>
        <w:t>应严格执行辽宁省交通运输厅关于印发《辽宁省公路工程施工现场主要人员履约监督管理办法》的通知</w:t>
      </w:r>
      <w:r>
        <w:rPr>
          <w:rFonts w:hint="eastAsia" w:cs="Times New Roman"/>
          <w:color w:val="auto"/>
          <w:sz w:val="24"/>
          <w:highlight w:val="none"/>
          <w:lang w:eastAsia="zh-CN"/>
        </w:rPr>
        <w:t>（辽交公路规</w:t>
      </w:r>
      <w:r>
        <w:rPr>
          <w:rFonts w:hint="eastAsia" w:ascii="宋体" w:hAnsi="宋体" w:eastAsia="宋体" w:cs="宋体"/>
          <w:color w:val="auto"/>
          <w:sz w:val="24"/>
          <w:highlight w:val="none"/>
          <w:lang w:eastAsia="zh-CN"/>
        </w:rPr>
        <w:t>﹝</w:t>
      </w:r>
      <w:r>
        <w:rPr>
          <w:rFonts w:hint="eastAsia" w:cs="Times New Roman"/>
          <w:color w:val="auto"/>
          <w:sz w:val="24"/>
          <w:highlight w:val="none"/>
          <w:lang w:eastAsia="zh-CN"/>
        </w:rPr>
        <w:t>2025</w:t>
      </w:r>
      <w:r>
        <w:rPr>
          <w:rFonts w:hint="eastAsia" w:ascii="宋体" w:hAnsi="宋体" w:eastAsia="宋体" w:cs="宋体"/>
          <w:color w:val="auto"/>
          <w:sz w:val="24"/>
          <w:highlight w:val="none"/>
          <w:lang w:eastAsia="zh-CN"/>
        </w:rPr>
        <w:t>﹞</w:t>
      </w:r>
      <w:r>
        <w:rPr>
          <w:rFonts w:hint="eastAsia" w:cs="Times New Roman"/>
          <w:color w:val="auto"/>
          <w:sz w:val="24"/>
          <w:highlight w:val="none"/>
          <w:lang w:eastAsia="zh-CN"/>
        </w:rPr>
        <w:t>3号）</w:t>
      </w:r>
      <w:r>
        <w:rPr>
          <w:rFonts w:hint="eastAsia" w:cs="Times New Roman"/>
          <w:color w:val="auto"/>
          <w:sz w:val="24"/>
          <w:highlight w:val="none"/>
          <w:lang w:val="en-US" w:eastAsia="zh-CN"/>
        </w:rPr>
        <w:t>中关于主要人员履约考核管理的规定。</w:t>
      </w:r>
    </w:p>
    <w:p w14:paraId="70E7173A">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r>
        <w:rPr>
          <w:rFonts w:hint="default" w:ascii="Times New Roman" w:hAnsi="Times New Roman" w:eastAsia="黑体" w:cs="Times New Roman"/>
          <w:b w:val="0"/>
          <w:color w:val="auto"/>
          <w:sz w:val="24"/>
          <w:szCs w:val="24"/>
          <w:highlight w:val="none"/>
        </w:rPr>
        <w:t>4.11不利物质条件</w:t>
      </w:r>
      <w:bookmarkEnd w:id="1461"/>
      <w:bookmarkEnd w:id="1462"/>
      <w:bookmarkEnd w:id="1463"/>
      <w:bookmarkEnd w:id="1464"/>
    </w:p>
    <w:p w14:paraId="383C36D0">
      <w:pPr>
        <w:pageBreakBefore w:val="0"/>
        <w:kinsoku/>
        <w:wordWrap w:val="0"/>
        <w:bidi w:val="0"/>
        <w:spacing w:line="380" w:lineRule="atLeast"/>
        <w:ind w:firstLine="480" w:firstLineChars="200"/>
        <w:outlineLvl w:val="9"/>
        <w:rPr>
          <w:rFonts w:hint="default" w:ascii="Times New Roman" w:hAnsi="Times New Roman" w:eastAsia="宋体" w:cs="Times New Roman"/>
          <w:color w:val="auto"/>
          <w:sz w:val="24"/>
          <w:highlight w:val="none"/>
          <w:u w:val="single"/>
          <w:lang w:val="en-US" w:eastAsia="zh-CN"/>
        </w:rPr>
      </w:pPr>
      <w:r>
        <w:rPr>
          <w:rFonts w:hint="default" w:ascii="Times New Roman" w:hAnsi="Times New Roman" w:cs="Times New Roman"/>
          <w:color w:val="auto"/>
          <w:sz w:val="24"/>
          <w:highlight w:val="none"/>
        </w:rPr>
        <w:t>4.11.1不利物质条件的范围：</w:t>
      </w:r>
      <w:r>
        <w:rPr>
          <w:rFonts w:hint="eastAsia" w:cs="Times New Roman"/>
          <w:color w:val="auto"/>
          <w:sz w:val="24"/>
          <w:highlight w:val="none"/>
          <w:u w:val="single"/>
          <w:lang w:val="en-US" w:eastAsia="zh-CN"/>
        </w:rPr>
        <w:t xml:space="preserve">                          </w:t>
      </w:r>
    </w:p>
    <w:p w14:paraId="51F62B96">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465" w:name="_Toc1967"/>
      <w:bookmarkStart w:id="1466" w:name="_Toc234833225"/>
      <w:bookmarkStart w:id="1467" w:name="_Toc18605"/>
      <w:bookmarkStart w:id="1468" w:name="_Toc9469"/>
      <w:r>
        <w:rPr>
          <w:rFonts w:hint="default" w:ascii="Times New Roman" w:hAnsi="Times New Roman" w:eastAsia="黑体" w:cs="Times New Roman"/>
          <w:b w:val="0"/>
          <w:color w:val="auto"/>
          <w:sz w:val="24"/>
          <w:szCs w:val="24"/>
          <w:highlight w:val="none"/>
        </w:rPr>
        <w:t>10.1合同进度计划</w:t>
      </w:r>
      <w:bookmarkEnd w:id="1465"/>
      <w:bookmarkEnd w:id="1466"/>
      <w:bookmarkEnd w:id="1467"/>
      <w:bookmarkEnd w:id="1468"/>
    </w:p>
    <w:p w14:paraId="3EFFFE73">
      <w:pPr>
        <w:pageBreakBefore w:val="0"/>
        <w:kinsoku/>
        <w:wordWrap w:val="0"/>
        <w:bidi w:val="0"/>
        <w:spacing w:line="380" w:lineRule="atLeast"/>
        <w:ind w:firstLine="480" w:firstLineChars="200"/>
        <w:outlineLvl w:val="9"/>
        <w:rPr>
          <w:rFonts w:hint="default" w:ascii="Times New Roman" w:hAnsi="Times New Roman" w:eastAsia="宋体" w:cs="Times New Roman"/>
          <w:color w:val="auto"/>
          <w:sz w:val="24"/>
          <w:highlight w:val="none"/>
          <w:u w:val="single"/>
          <w:lang w:val="en-US" w:eastAsia="zh-CN"/>
        </w:rPr>
      </w:pPr>
      <w:r>
        <w:rPr>
          <w:rFonts w:hint="default" w:ascii="Times New Roman" w:hAnsi="Times New Roman" w:cs="Times New Roman"/>
          <w:color w:val="auto"/>
          <w:sz w:val="24"/>
          <w:highlight w:val="none"/>
        </w:rPr>
        <w:t>承包人编制施工方案的内容：</w:t>
      </w:r>
      <w:r>
        <w:rPr>
          <w:rFonts w:hint="eastAsia" w:cs="Times New Roman"/>
          <w:color w:val="auto"/>
          <w:sz w:val="24"/>
          <w:highlight w:val="none"/>
          <w:u w:val="single"/>
          <w:lang w:val="en-US" w:eastAsia="zh-CN"/>
        </w:rPr>
        <w:t xml:space="preserve">                         </w:t>
      </w:r>
    </w:p>
    <w:p w14:paraId="3787ABFF">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469" w:name="_Toc234833226"/>
      <w:bookmarkStart w:id="1470" w:name="_Toc19055"/>
      <w:bookmarkStart w:id="1471" w:name="_Toc24011"/>
      <w:bookmarkStart w:id="1472" w:name="_Toc5467"/>
      <w:r>
        <w:rPr>
          <w:rFonts w:hint="default" w:ascii="Times New Roman" w:hAnsi="Times New Roman" w:eastAsia="黑体" w:cs="Times New Roman"/>
          <w:b w:val="0"/>
          <w:color w:val="auto"/>
          <w:sz w:val="24"/>
          <w:szCs w:val="24"/>
          <w:highlight w:val="none"/>
        </w:rPr>
        <w:t>11.4异常恶劣的气候条件</w:t>
      </w:r>
      <w:bookmarkEnd w:id="1469"/>
      <w:bookmarkEnd w:id="1470"/>
      <w:bookmarkEnd w:id="1471"/>
      <w:bookmarkEnd w:id="1472"/>
    </w:p>
    <w:p w14:paraId="77936BE2">
      <w:pPr>
        <w:pageBreakBefore w:val="0"/>
        <w:kinsoku/>
        <w:wordWrap w:val="0"/>
        <w:bidi w:val="0"/>
        <w:spacing w:line="400" w:lineRule="atLeast"/>
        <w:ind w:firstLine="480" w:firstLineChars="200"/>
        <w:outlineLvl w:val="9"/>
        <w:rPr>
          <w:rFonts w:hint="eastAsia"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异常恶劣的气候条件的范围：</w:t>
      </w:r>
      <w:r>
        <w:rPr>
          <w:rFonts w:hint="eastAsia" w:cs="Times New Roman"/>
          <w:color w:val="auto"/>
          <w:sz w:val="24"/>
          <w:highlight w:val="none"/>
          <w:u w:val="single"/>
          <w:lang w:val="en-US" w:eastAsia="zh-CN"/>
        </w:rPr>
        <w:t xml:space="preserve">                         </w:t>
      </w:r>
    </w:p>
    <w:p w14:paraId="5E53134A">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473" w:name="_Toc3031"/>
      <w:bookmarkStart w:id="1474" w:name="_Toc234833227"/>
      <w:bookmarkStart w:id="1475" w:name="_Toc27699"/>
      <w:bookmarkStart w:id="1476" w:name="_Toc9009"/>
      <w:r>
        <w:rPr>
          <w:rFonts w:hint="default" w:ascii="Times New Roman" w:hAnsi="Times New Roman" w:eastAsia="黑体" w:cs="Times New Roman"/>
          <w:b w:val="0"/>
          <w:color w:val="auto"/>
          <w:sz w:val="24"/>
          <w:szCs w:val="24"/>
          <w:highlight w:val="none"/>
        </w:rPr>
        <w:t>12.1承包人暂停施工的责任</w:t>
      </w:r>
      <w:bookmarkEnd w:id="1473"/>
      <w:bookmarkEnd w:id="1474"/>
      <w:bookmarkEnd w:id="1475"/>
      <w:bookmarkEnd w:id="1476"/>
    </w:p>
    <w:p w14:paraId="0A8D290F">
      <w:pPr>
        <w:pageBreakBefore w:val="0"/>
        <w:kinsoku/>
        <w:wordWrap w:val="0"/>
        <w:bidi w:val="0"/>
        <w:spacing w:line="400" w:lineRule="atLeast"/>
        <w:ind w:firstLine="480" w:firstLineChars="200"/>
        <w:outlineLvl w:val="9"/>
        <w:rPr>
          <w:rFonts w:hint="default" w:ascii="Times New Roman" w:hAnsi="Times New Roman" w:eastAsia="宋体" w:cs="Times New Roman"/>
          <w:color w:val="auto"/>
          <w:sz w:val="24"/>
          <w:highlight w:val="none"/>
          <w:u w:val="single"/>
          <w:lang w:val="en-US" w:eastAsia="zh-CN"/>
        </w:rPr>
      </w:pPr>
      <w:r>
        <w:rPr>
          <w:rFonts w:hint="default" w:ascii="Times New Roman" w:hAnsi="Times New Roman" w:cs="Times New Roman"/>
          <w:color w:val="auto"/>
          <w:sz w:val="24"/>
          <w:highlight w:val="none"/>
        </w:rPr>
        <w:t>12.1（6）由承包人承担的其他暂停施工：</w:t>
      </w:r>
      <w:r>
        <w:rPr>
          <w:rFonts w:hint="eastAsia" w:cs="Times New Roman"/>
          <w:color w:val="auto"/>
          <w:sz w:val="24"/>
          <w:highlight w:val="none"/>
          <w:u w:val="single"/>
          <w:lang w:val="en-US" w:eastAsia="zh-CN"/>
        </w:rPr>
        <w:t xml:space="preserve">               </w:t>
      </w:r>
    </w:p>
    <w:p w14:paraId="7812DC68">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lang w:eastAsia="zh-CN"/>
        </w:rPr>
      </w:pPr>
      <w:bookmarkStart w:id="1477" w:name="_Toc6894"/>
      <w:bookmarkStart w:id="1478" w:name="_Toc31576"/>
      <w:bookmarkStart w:id="1479" w:name="_Toc18562"/>
      <w:r>
        <w:rPr>
          <w:rFonts w:hint="default" w:ascii="Times New Roman" w:hAnsi="Times New Roman" w:eastAsia="黑体" w:cs="Times New Roman"/>
          <w:b w:val="0"/>
          <w:color w:val="auto"/>
          <w:sz w:val="24"/>
          <w:szCs w:val="24"/>
          <w:highlight w:val="none"/>
        </w:rPr>
        <w:t>1</w:t>
      </w:r>
      <w:r>
        <w:rPr>
          <w:rFonts w:hint="default" w:ascii="Times New Roman" w:hAnsi="Times New Roman" w:eastAsia="黑体" w:cs="Times New Roman"/>
          <w:b w:val="0"/>
          <w:color w:val="auto"/>
          <w:sz w:val="24"/>
          <w:szCs w:val="24"/>
          <w:highlight w:val="none"/>
          <w:lang w:eastAsia="zh-CN"/>
        </w:rPr>
        <w:t>7</w:t>
      </w:r>
      <w:r>
        <w:rPr>
          <w:rFonts w:hint="default" w:ascii="Times New Roman" w:hAnsi="Times New Roman" w:eastAsia="黑体" w:cs="Times New Roman"/>
          <w:b w:val="0"/>
          <w:color w:val="auto"/>
          <w:sz w:val="24"/>
          <w:szCs w:val="24"/>
          <w:highlight w:val="none"/>
        </w:rPr>
        <w:t>.1</w:t>
      </w:r>
      <w:r>
        <w:rPr>
          <w:rFonts w:hint="default" w:ascii="Times New Roman" w:hAnsi="Times New Roman" w:eastAsia="黑体" w:cs="Times New Roman"/>
          <w:b w:val="0"/>
          <w:color w:val="auto"/>
          <w:sz w:val="24"/>
          <w:szCs w:val="24"/>
          <w:highlight w:val="none"/>
          <w:lang w:eastAsia="zh-CN"/>
        </w:rPr>
        <w:t>计量</w:t>
      </w:r>
      <w:bookmarkEnd w:id="1477"/>
      <w:bookmarkEnd w:id="1478"/>
      <w:bookmarkEnd w:id="1479"/>
    </w:p>
    <w:p w14:paraId="51697B0E">
      <w:pPr>
        <w:pageBreakBefore w:val="0"/>
        <w:kinsoku/>
        <w:wordWrap w:val="0"/>
        <w:bidi w:val="0"/>
        <w:spacing w:line="400" w:lineRule="atLeast"/>
        <w:ind w:firstLine="480" w:firstLineChars="200"/>
        <w:outlineLvl w:val="9"/>
        <w:rPr>
          <w:rFonts w:hint="default" w:ascii="Times New Roman" w:hAnsi="Times New Roman" w:eastAsia="宋体" w:cs="Times New Roman"/>
          <w:color w:val="auto"/>
          <w:sz w:val="24"/>
          <w:highlight w:val="none"/>
          <w:u w:val="single"/>
          <w:lang w:val="en-US" w:eastAsia="zh-CN"/>
        </w:rPr>
      </w:pPr>
      <w:r>
        <w:rPr>
          <w:rFonts w:hint="default" w:ascii="Times New Roman" w:hAnsi="Times New Roman" w:cs="Times New Roman"/>
          <w:color w:val="auto"/>
          <w:sz w:val="24"/>
          <w:highlight w:val="none"/>
        </w:rPr>
        <w:t>17.1.5本项目工程量清单中总额价子目的支付原则和支付进度：</w:t>
      </w:r>
      <w:r>
        <w:rPr>
          <w:rFonts w:hint="eastAsia" w:cs="Times New Roman"/>
          <w:color w:val="auto"/>
          <w:sz w:val="24"/>
          <w:highlight w:val="none"/>
          <w:u w:val="single"/>
          <w:lang w:val="en-US" w:eastAsia="zh-CN"/>
        </w:rPr>
        <w:t xml:space="preserve">            </w:t>
      </w:r>
    </w:p>
    <w:p w14:paraId="4C25053C">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480" w:name="_Toc6486"/>
      <w:bookmarkStart w:id="1481" w:name="_Toc12223"/>
      <w:bookmarkStart w:id="1482" w:name="_Toc30430"/>
      <w:bookmarkStart w:id="1483" w:name="_Toc234833228"/>
      <w:r>
        <w:rPr>
          <w:rFonts w:hint="default" w:ascii="Times New Roman" w:hAnsi="Times New Roman" w:eastAsia="黑体" w:cs="Times New Roman"/>
          <w:b w:val="0"/>
          <w:color w:val="auto"/>
          <w:sz w:val="24"/>
          <w:szCs w:val="24"/>
          <w:highlight w:val="none"/>
        </w:rPr>
        <w:t>17.3工程进度付款</w:t>
      </w:r>
      <w:bookmarkEnd w:id="1480"/>
      <w:bookmarkEnd w:id="1481"/>
      <w:bookmarkEnd w:id="1482"/>
    </w:p>
    <w:p w14:paraId="46B297AF">
      <w:pPr>
        <w:pageBreakBefore w:val="0"/>
        <w:kinsoku/>
        <w:wordWrap w:val="0"/>
        <w:bidi w:val="0"/>
        <w:spacing w:line="420" w:lineRule="atLeast"/>
        <w:ind w:firstLine="470" w:firstLineChars="196"/>
        <w:outlineLvl w:val="9"/>
        <w:rPr>
          <w:rFonts w:hint="eastAsia" w:ascii="Times New Roman" w:hAnsi="Times New Roman" w:eastAsia="宋体" w:cs="Times New Roman"/>
          <w:color w:val="auto"/>
          <w:sz w:val="24"/>
          <w:highlight w:val="none"/>
          <w:u w:val="single"/>
          <w:lang w:eastAsia="zh-CN"/>
        </w:rPr>
      </w:pPr>
      <w:r>
        <w:rPr>
          <w:rFonts w:hint="default" w:ascii="Times New Roman" w:hAnsi="Times New Roman" w:cs="Times New Roman"/>
          <w:color w:val="auto"/>
          <w:sz w:val="24"/>
          <w:highlight w:val="none"/>
        </w:rPr>
        <w:t>17.3.5农民工工资保证金的缴存时间：</w:t>
      </w:r>
      <w:r>
        <w:rPr>
          <w:rFonts w:hint="eastAsia" w:cs="Times New Roman"/>
          <w:color w:val="auto"/>
          <w:sz w:val="24"/>
          <w:highlight w:val="none"/>
          <w:u w:val="single"/>
          <w:lang w:val="en-US" w:eastAsia="zh-CN"/>
        </w:rPr>
        <w:t xml:space="preserve">                     </w:t>
      </w:r>
    </w:p>
    <w:p w14:paraId="37356351">
      <w:pPr>
        <w:pageBreakBefore w:val="0"/>
        <w:kinsoku/>
        <w:wordWrap w:val="0"/>
        <w:bidi w:val="0"/>
        <w:spacing w:line="420" w:lineRule="atLeast"/>
        <w:ind w:firstLine="470" w:firstLineChars="196"/>
        <w:outlineLvl w:val="9"/>
        <w:rPr>
          <w:rFonts w:hint="eastAsia"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农民工工资保证金的缴存金额：</w:t>
      </w:r>
      <w:r>
        <w:rPr>
          <w:rFonts w:hint="eastAsia" w:cs="Times New Roman"/>
          <w:color w:val="auto"/>
          <w:sz w:val="24"/>
          <w:highlight w:val="none"/>
          <w:u w:val="single"/>
          <w:lang w:val="en-US" w:eastAsia="zh-CN"/>
        </w:rPr>
        <w:t xml:space="preserve">                          </w:t>
      </w:r>
    </w:p>
    <w:p w14:paraId="695E7595">
      <w:pPr>
        <w:pageBreakBefore w:val="0"/>
        <w:kinsoku/>
        <w:wordWrap w:val="0"/>
        <w:bidi w:val="0"/>
        <w:spacing w:line="420" w:lineRule="atLeast"/>
        <w:ind w:firstLine="470" w:firstLineChars="196"/>
        <w:outlineLvl w:val="9"/>
        <w:rPr>
          <w:rFonts w:hint="eastAsia" w:ascii="Times New Roman" w:hAnsi="Times New Roman" w:eastAsia="宋体" w:cs="Times New Roman"/>
          <w:b/>
          <w:bCs/>
          <w:color w:val="auto"/>
          <w:sz w:val="24"/>
          <w:highlight w:val="none"/>
          <w:u w:val="single"/>
          <w:lang w:eastAsia="zh-CN"/>
        </w:rPr>
      </w:pPr>
      <w:r>
        <w:rPr>
          <w:rFonts w:hint="default" w:ascii="Times New Roman" w:hAnsi="Times New Roman" w:cs="Times New Roman"/>
          <w:color w:val="auto"/>
          <w:sz w:val="24"/>
          <w:highlight w:val="none"/>
        </w:rPr>
        <w:t>农民工工资保证金的扣留条件：</w:t>
      </w:r>
      <w:r>
        <w:rPr>
          <w:rFonts w:hint="eastAsia" w:cs="Times New Roman"/>
          <w:color w:val="auto"/>
          <w:sz w:val="24"/>
          <w:highlight w:val="none"/>
          <w:u w:val="single"/>
          <w:lang w:val="en-US" w:eastAsia="zh-CN"/>
        </w:rPr>
        <w:t xml:space="preserve">                          </w:t>
      </w:r>
    </w:p>
    <w:p w14:paraId="2333F159">
      <w:pPr>
        <w:pageBreakBefore w:val="0"/>
        <w:widowControl/>
        <w:kinsoku/>
        <w:wordWrap w:val="0"/>
        <w:bidi w:val="0"/>
        <w:spacing w:line="420" w:lineRule="atLeast"/>
        <w:ind w:firstLine="480" w:firstLineChars="200"/>
        <w:outlineLvl w:val="9"/>
        <w:rPr>
          <w:rFonts w:hint="eastAsia" w:ascii="Times New Roman" w:hAnsi="Times New Roman" w:eastAsia="宋体" w:cs="Times New Roman"/>
          <w:b/>
          <w:color w:val="auto"/>
          <w:sz w:val="24"/>
          <w:highlight w:val="none"/>
          <w:lang w:eastAsia="zh-CN"/>
        </w:rPr>
      </w:pPr>
      <w:r>
        <w:rPr>
          <w:rFonts w:hint="default" w:ascii="Times New Roman" w:hAnsi="Times New Roman" w:cs="Times New Roman"/>
          <w:color w:val="auto"/>
          <w:sz w:val="24"/>
          <w:highlight w:val="none"/>
        </w:rPr>
        <w:t>农民工工资保证金的返还时间：</w:t>
      </w:r>
      <w:r>
        <w:rPr>
          <w:rFonts w:hint="eastAsia" w:cs="Times New Roman"/>
          <w:color w:val="auto"/>
          <w:sz w:val="24"/>
          <w:highlight w:val="none"/>
          <w:u w:val="single"/>
          <w:lang w:val="en-US" w:eastAsia="zh-CN"/>
        </w:rPr>
        <w:t xml:space="preserve">                          </w:t>
      </w:r>
    </w:p>
    <w:p w14:paraId="2744F5EB">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484" w:name="_Toc27005"/>
      <w:bookmarkStart w:id="1485" w:name="_Toc29939"/>
      <w:bookmarkStart w:id="1486" w:name="_Toc13982"/>
      <w:r>
        <w:rPr>
          <w:rFonts w:hint="default" w:ascii="Times New Roman" w:hAnsi="Times New Roman" w:eastAsia="黑体" w:cs="Times New Roman"/>
          <w:b w:val="0"/>
          <w:color w:val="auto"/>
          <w:sz w:val="24"/>
          <w:szCs w:val="24"/>
          <w:highlight w:val="none"/>
        </w:rPr>
        <w:t>21.1不可抗力的确认</w:t>
      </w:r>
      <w:bookmarkEnd w:id="1483"/>
      <w:bookmarkEnd w:id="1484"/>
      <w:bookmarkEnd w:id="1485"/>
      <w:bookmarkEnd w:id="1486"/>
    </w:p>
    <w:p w14:paraId="5F73BBBE">
      <w:pPr>
        <w:pageBreakBefore w:val="0"/>
        <w:kinsoku/>
        <w:wordWrap w:val="0"/>
        <w:bidi w:val="0"/>
        <w:spacing w:line="400" w:lineRule="atLeast"/>
        <w:ind w:firstLine="480" w:firstLineChars="200"/>
        <w:outlineLvl w:val="9"/>
        <w:rPr>
          <w:rFonts w:hint="eastAsia" w:ascii="Times New Roman" w:hAnsi="Times New Roman" w:eastAsia="宋体" w:cs="Times New Roman"/>
          <w:color w:val="auto"/>
          <w:sz w:val="24"/>
          <w:highlight w:val="none"/>
          <w:u w:val="single"/>
          <w:lang w:eastAsia="zh-CN"/>
        </w:rPr>
      </w:pPr>
      <w:r>
        <w:rPr>
          <w:rFonts w:hint="default" w:ascii="Times New Roman" w:hAnsi="Times New Roman" w:cs="Times New Roman"/>
          <w:color w:val="auto"/>
          <w:sz w:val="24"/>
          <w:highlight w:val="none"/>
        </w:rPr>
        <w:t>21.1.1（6）不可抗力的其他情形：</w:t>
      </w:r>
      <w:r>
        <w:rPr>
          <w:rFonts w:hint="eastAsia" w:cs="Times New Roman"/>
          <w:color w:val="auto"/>
          <w:sz w:val="24"/>
          <w:highlight w:val="none"/>
          <w:u w:val="single"/>
          <w:lang w:val="en-US" w:eastAsia="zh-CN"/>
        </w:rPr>
        <w:t xml:space="preserve">                        </w:t>
      </w:r>
    </w:p>
    <w:p w14:paraId="533B8681">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487" w:name="_Toc1677"/>
      <w:bookmarkStart w:id="1488" w:name="_Toc28435"/>
      <w:bookmarkStart w:id="1489" w:name="_Toc527"/>
      <w:bookmarkStart w:id="1490" w:name="_Toc234833229"/>
      <w:r>
        <w:rPr>
          <w:rFonts w:hint="default" w:ascii="Times New Roman" w:hAnsi="Times New Roman" w:eastAsia="黑体" w:cs="Times New Roman"/>
          <w:b w:val="0"/>
          <w:color w:val="auto"/>
          <w:sz w:val="24"/>
          <w:szCs w:val="24"/>
          <w:highlight w:val="none"/>
        </w:rPr>
        <w:t>22.1承包人违约</w:t>
      </w:r>
      <w:bookmarkEnd w:id="1487"/>
      <w:bookmarkEnd w:id="1488"/>
      <w:bookmarkEnd w:id="1489"/>
      <w:bookmarkEnd w:id="1490"/>
    </w:p>
    <w:p w14:paraId="4950C786">
      <w:pPr>
        <w:pageBreakBefore w:val="0"/>
        <w:kinsoku/>
        <w:wordWrap w:val="0"/>
        <w:bidi w:val="0"/>
        <w:spacing w:line="400" w:lineRule="atLeast"/>
        <w:ind w:firstLine="480" w:firstLineChars="200"/>
        <w:outlineLvl w:val="9"/>
        <w:rPr>
          <w:rFonts w:hint="eastAsia" w:ascii="Times New Roman" w:hAnsi="Times New Roman" w:eastAsia="宋体" w:cs="Times New Roman"/>
          <w:color w:val="auto"/>
          <w:sz w:val="24"/>
          <w:highlight w:val="none"/>
          <w:u w:val="single"/>
          <w:lang w:eastAsia="zh-CN"/>
        </w:rPr>
      </w:pPr>
      <w:r>
        <w:rPr>
          <w:rFonts w:hint="default" w:ascii="Times New Roman" w:hAnsi="Times New Roman" w:cs="Times New Roman"/>
          <w:color w:val="auto"/>
          <w:sz w:val="24"/>
          <w:highlight w:val="none"/>
        </w:rPr>
        <w:t>22.1.2当承包人发生第22.1.1项约定的违约情况时，发包人有权向承包人课以违约金，具体约定如下：</w:t>
      </w:r>
      <w:r>
        <w:rPr>
          <w:rFonts w:hint="eastAsia" w:cs="Times New Roman"/>
          <w:color w:val="auto"/>
          <w:sz w:val="24"/>
          <w:highlight w:val="none"/>
          <w:u w:val="single"/>
          <w:lang w:val="en-US" w:eastAsia="zh-CN"/>
        </w:rPr>
        <w:t xml:space="preserve">                         </w:t>
      </w:r>
    </w:p>
    <w:p w14:paraId="5465AB98">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bookmarkStart w:id="1491" w:name="_Toc29318"/>
      <w:bookmarkStart w:id="1492" w:name="_Toc10655"/>
      <w:bookmarkStart w:id="1493" w:name="_Toc27242"/>
      <w:r>
        <w:rPr>
          <w:rFonts w:hint="default" w:ascii="Times New Roman" w:hAnsi="Times New Roman" w:eastAsia="黑体" w:cs="Times New Roman"/>
          <w:b w:val="0"/>
          <w:color w:val="auto"/>
          <w:sz w:val="24"/>
          <w:szCs w:val="24"/>
          <w:highlight w:val="none"/>
        </w:rPr>
        <w:t>22.2发包人违约</w:t>
      </w:r>
      <w:bookmarkEnd w:id="1491"/>
      <w:bookmarkEnd w:id="1492"/>
      <w:bookmarkEnd w:id="1493"/>
    </w:p>
    <w:p w14:paraId="012F70E4">
      <w:pPr>
        <w:pageBreakBefore w:val="0"/>
        <w:kinsoku/>
        <w:wordWrap w:val="0"/>
        <w:bidi w:val="0"/>
        <w:spacing w:line="400" w:lineRule="atLeast"/>
        <w:ind w:firstLine="480" w:firstLineChars="200"/>
        <w:outlineLvl w:val="9"/>
        <w:rPr>
          <w:rFonts w:hint="eastAsia"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22.2.2发包人无正当理由不按时返还履约保证金、质量保证金或农民工工资保证金的，发包人应向承包人支付的违约金如下：</w:t>
      </w:r>
      <w:r>
        <w:rPr>
          <w:rFonts w:hint="eastAsia" w:cs="Times New Roman"/>
          <w:color w:val="auto"/>
          <w:sz w:val="24"/>
          <w:highlight w:val="none"/>
          <w:u w:val="single"/>
          <w:lang w:val="en-US" w:eastAsia="zh-CN"/>
        </w:rPr>
        <w:t xml:space="preserve">                         </w:t>
      </w:r>
    </w:p>
    <w:p w14:paraId="04C6214F">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w:t>
      </w:r>
    </w:p>
    <w:p w14:paraId="38A493C0">
      <w:pPr>
        <w:pageBreakBefore w:val="0"/>
        <w:kinsoku/>
        <w:wordWrap w:val="0"/>
        <w:bidi w:val="0"/>
        <w:spacing w:line="380" w:lineRule="atLeast"/>
        <w:outlineLvl w:val="9"/>
        <w:rPr>
          <w:rFonts w:hint="default"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4"/>
          <w:highlight w:val="none"/>
        </w:rPr>
        <w:br w:type="page"/>
      </w:r>
    </w:p>
    <w:p w14:paraId="1B04BDD4">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bookmarkStart w:id="1494" w:name="_Toc234833230"/>
    </w:p>
    <w:p w14:paraId="319043F2">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032FD07F">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14575E1C">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1616C9FA">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3F21EA2C">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72511739">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6FEE4CD2">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6DC671E1">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54121142">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5F319B14">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58EE1027">
      <w:pPr>
        <w:pStyle w:val="5"/>
        <w:pageBreakBefore w:val="0"/>
        <w:kinsoku/>
        <w:wordWrap w:val="0"/>
        <w:bidi w:val="0"/>
        <w:spacing w:before="240" w:after="240" w:line="380" w:lineRule="atLeast"/>
        <w:jc w:val="center"/>
        <w:outlineLvl w:val="2"/>
        <w:rPr>
          <w:rFonts w:hint="default" w:ascii="Times New Roman" w:hAnsi="Times New Roman" w:eastAsia="黑体" w:cs="Times New Roman"/>
          <w:b w:val="0"/>
          <w:color w:val="auto"/>
          <w:sz w:val="42"/>
          <w:szCs w:val="42"/>
          <w:highlight w:val="none"/>
        </w:rPr>
      </w:pPr>
      <w:bookmarkStart w:id="1495" w:name="_Toc22321"/>
      <w:bookmarkStart w:id="1496" w:name="_Toc26085"/>
      <w:bookmarkStart w:id="1497" w:name="_Toc25230"/>
      <w:bookmarkStart w:id="1498" w:name="_Toc20691"/>
      <w:r>
        <w:rPr>
          <w:rFonts w:hint="default" w:ascii="Times New Roman" w:hAnsi="Times New Roman" w:eastAsia="黑体" w:cs="Times New Roman"/>
          <w:b w:val="0"/>
          <w:color w:val="auto"/>
          <w:sz w:val="42"/>
          <w:szCs w:val="42"/>
          <w:highlight w:val="none"/>
        </w:rPr>
        <w:t>第三节</w:t>
      </w:r>
      <w:r>
        <w:rPr>
          <w:rFonts w:hint="eastAsia" w:cs="Times New Roman"/>
          <w:b w:val="0"/>
          <w:color w:val="auto"/>
          <w:sz w:val="42"/>
          <w:szCs w:val="42"/>
          <w:highlight w:val="none"/>
          <w:lang w:val="en-US" w:eastAsia="zh-CN"/>
        </w:rPr>
        <w:t xml:space="preserve"> </w:t>
      </w:r>
      <w:r>
        <w:rPr>
          <w:rFonts w:hint="default" w:ascii="Times New Roman" w:hAnsi="Times New Roman" w:eastAsia="黑体" w:cs="Times New Roman"/>
          <w:b w:val="0"/>
          <w:color w:val="auto"/>
          <w:sz w:val="42"/>
          <w:szCs w:val="42"/>
          <w:highlight w:val="none"/>
        </w:rPr>
        <w:t>合同附件格式</w:t>
      </w:r>
      <w:bookmarkEnd w:id="1494"/>
      <w:bookmarkEnd w:id="1495"/>
      <w:bookmarkEnd w:id="1496"/>
      <w:bookmarkEnd w:id="1497"/>
      <w:bookmarkEnd w:id="1498"/>
    </w:p>
    <w:p w14:paraId="768B4AE8">
      <w:pPr>
        <w:pageBreakBefore w:val="0"/>
        <w:kinsoku/>
        <w:wordWrap w:val="0"/>
        <w:bidi w:val="0"/>
        <w:spacing w:line="440" w:lineRule="exact"/>
        <w:rPr>
          <w:rFonts w:hint="eastAsia" w:ascii="Times New Roman" w:hAnsi="Times New Roman" w:eastAsia="黑体" w:cs="Times New Roman"/>
          <w:color w:val="auto"/>
          <w:sz w:val="20"/>
          <w:szCs w:val="20"/>
          <w:highlight w:val="none"/>
          <w:lang w:eastAsia="zh-CN"/>
        </w:rPr>
      </w:pPr>
    </w:p>
    <w:p w14:paraId="0934D755">
      <w:pPr>
        <w:pStyle w:val="6"/>
        <w:pageBreakBefore w:val="0"/>
        <w:kinsoku/>
        <w:wordWrap w:val="0"/>
        <w:bidi w:val="0"/>
        <w:spacing w:before="0" w:after="0" w:line="380" w:lineRule="atLeast"/>
        <w:jc w:val="both"/>
        <w:outlineLvl w:val="3"/>
        <w:rPr>
          <w:rFonts w:hint="default" w:ascii="Times New Roman" w:hAnsi="Times New Roman" w:eastAsia="黑体" w:cs="Times New Roman"/>
          <w:b w:val="0"/>
          <w:color w:val="auto"/>
          <w:sz w:val="24"/>
          <w:szCs w:val="24"/>
          <w:highlight w:val="none"/>
        </w:rPr>
      </w:pPr>
      <w:r>
        <w:rPr>
          <w:rFonts w:hint="default" w:ascii="Times New Roman" w:hAnsi="Times New Roman" w:eastAsia="黑体" w:cs="Times New Roman"/>
          <w:color w:val="auto"/>
          <w:sz w:val="20"/>
          <w:szCs w:val="20"/>
          <w:highlight w:val="none"/>
        </w:rPr>
        <w:br w:type="page"/>
      </w:r>
      <w:bookmarkStart w:id="1499" w:name="_Toc24087"/>
      <w:bookmarkStart w:id="1500" w:name="_Toc17942"/>
      <w:bookmarkStart w:id="1501" w:name="_Toc24256"/>
      <w:bookmarkStart w:id="1502" w:name="_Toc234833231"/>
      <w:r>
        <w:rPr>
          <w:rFonts w:hint="default" w:ascii="Times New Roman" w:hAnsi="Times New Roman" w:eastAsia="黑体" w:cs="Times New Roman"/>
          <w:b w:val="0"/>
          <w:i w:val="0"/>
          <w:iCs/>
          <w:color w:val="auto"/>
          <w:sz w:val="24"/>
          <w:szCs w:val="24"/>
          <w:highlight w:val="none"/>
        </w:rPr>
        <w:t>附件一</w:t>
      </w:r>
      <w:r>
        <w:rPr>
          <w:rFonts w:hint="eastAsia" w:cs="Times New Roman"/>
          <w:b w:val="0"/>
          <w:i w:val="0"/>
          <w:iCs/>
          <w:color w:val="auto"/>
          <w:sz w:val="24"/>
          <w:szCs w:val="24"/>
          <w:highlight w:val="none"/>
          <w:lang w:val="en-US" w:eastAsia="zh-CN"/>
        </w:rPr>
        <w:t xml:space="preserve"> </w:t>
      </w:r>
      <w:r>
        <w:rPr>
          <w:rFonts w:hint="default" w:ascii="Times New Roman" w:hAnsi="Times New Roman" w:eastAsia="黑体" w:cs="Times New Roman"/>
          <w:b w:val="0"/>
          <w:i w:val="0"/>
          <w:iCs/>
          <w:color w:val="auto"/>
          <w:sz w:val="24"/>
          <w:szCs w:val="24"/>
          <w:highlight w:val="none"/>
        </w:rPr>
        <w:t>合同协议书</w:t>
      </w:r>
      <w:bookmarkEnd w:id="1499"/>
      <w:bookmarkEnd w:id="1500"/>
      <w:bookmarkEnd w:id="1501"/>
      <w:bookmarkEnd w:id="1502"/>
    </w:p>
    <w:p w14:paraId="554A0E2C">
      <w:pPr>
        <w:pageBreakBefore w:val="0"/>
        <w:kinsoku/>
        <w:wordWrap w:val="0"/>
        <w:bidi w:val="0"/>
        <w:spacing w:line="440" w:lineRule="exact"/>
        <w:jc w:val="center"/>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合同协议书</w:t>
      </w:r>
    </w:p>
    <w:p w14:paraId="58FB67E5">
      <w:pPr>
        <w:pageBreakBefore w:val="0"/>
        <w:kinsoku/>
        <w:wordWrap w:val="0"/>
        <w:bidi w:val="0"/>
        <w:spacing w:line="440" w:lineRule="exact"/>
        <w:ind w:firstLine="480" w:firstLineChars="200"/>
        <w:rPr>
          <w:rFonts w:hint="default" w:ascii="Times New Roman" w:hAnsi="Times New Roman" w:cs="Times New Roman"/>
          <w:color w:val="auto"/>
          <w:sz w:val="24"/>
          <w:highlight w:val="none"/>
          <w:u w:val="single"/>
        </w:rPr>
      </w:pPr>
    </w:p>
    <w:p w14:paraId="4C38E21E">
      <w:pPr>
        <w:pageBreakBefore w:val="0"/>
        <w:kinsoku/>
        <w:wordWrap w:val="0"/>
        <w:bidi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（发包人名称，以下简称</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发包人</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）为实施</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（项目名称），已接受</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（承包人名称，以下简称</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承包人</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）对该项目</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标段施工的投标。发包人和承包人共同达成如下协议。</w:t>
      </w:r>
    </w:p>
    <w:p w14:paraId="1977061B">
      <w:pPr>
        <w:pageBreakBefore w:val="0"/>
        <w:kinsoku/>
        <w:wordWrap w:val="0"/>
        <w:bidi w:val="0"/>
        <w:spacing w:line="440" w:lineRule="exact"/>
        <w:ind w:firstLine="616" w:firstLineChars="257"/>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 第</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标段由K</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至K</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，长约</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km，公路等级为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，设计速度为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路面，有</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立交</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处；特大桥</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座，计长</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m；大中桥</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座，计长</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m；隧道</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座，计长</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m以及其他构造物工程等。</w:t>
      </w:r>
    </w:p>
    <w:p w14:paraId="16E30C7E">
      <w:pPr>
        <w:pageBreakBefore w:val="0"/>
        <w:kinsoku/>
        <w:wordWrap w:val="0"/>
        <w:bidi w:val="0"/>
        <w:spacing w:line="440" w:lineRule="exact"/>
        <w:ind w:right="34" w:rightChars="16" w:firstLine="616" w:firstLineChars="257"/>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 下列文件应视为构成合同文件的组成部分：</w:t>
      </w:r>
    </w:p>
    <w:p w14:paraId="18BF1A0B">
      <w:pPr>
        <w:pageBreakBefore w:val="0"/>
        <w:kinsoku/>
        <w:wordWrap w:val="0"/>
        <w:bidi w:val="0"/>
        <w:spacing w:line="440" w:lineRule="exact"/>
        <w:ind w:right="34" w:rightChars="16"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（1）本协议书及各种合同附件（含评标期间和合同谈判过程中的澄清文件和补充资料）；</w:t>
      </w:r>
    </w:p>
    <w:p w14:paraId="385F6B26">
      <w:pPr>
        <w:pageBreakBefore w:val="0"/>
        <w:kinsoku/>
        <w:wordWrap w:val="0"/>
        <w:bidi w:val="0"/>
        <w:spacing w:line="440" w:lineRule="exact"/>
        <w:ind w:right="34" w:rightChars="16"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（2）中标通知书；</w:t>
      </w:r>
    </w:p>
    <w:p w14:paraId="19ED4567">
      <w:pPr>
        <w:pageBreakBefore w:val="0"/>
        <w:kinsoku/>
        <w:wordWrap w:val="0"/>
        <w:bidi w:val="0"/>
        <w:spacing w:line="440" w:lineRule="exact"/>
        <w:ind w:right="34" w:rightChars="16"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（3）投标函及投标函附录；</w:t>
      </w:r>
    </w:p>
    <w:p w14:paraId="7CFFD455">
      <w:pPr>
        <w:pageBreakBefore w:val="0"/>
        <w:kinsoku/>
        <w:wordWrap w:val="0"/>
        <w:bidi w:val="0"/>
        <w:spacing w:line="440" w:lineRule="exact"/>
        <w:ind w:right="34" w:rightChars="16"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（4）项目专用合同条款；</w:t>
      </w:r>
    </w:p>
    <w:p w14:paraId="1005F8E3">
      <w:pPr>
        <w:pageBreakBefore w:val="0"/>
        <w:kinsoku/>
        <w:wordWrap w:val="0"/>
        <w:bidi w:val="0"/>
        <w:spacing w:line="440" w:lineRule="exact"/>
        <w:ind w:right="34" w:rightChars="16"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（5）公路工程专用合同条款；</w:t>
      </w:r>
    </w:p>
    <w:p w14:paraId="224CBCB6">
      <w:pPr>
        <w:pageBreakBefore w:val="0"/>
        <w:kinsoku/>
        <w:wordWrap w:val="0"/>
        <w:bidi w:val="0"/>
        <w:spacing w:line="440" w:lineRule="exact"/>
        <w:ind w:right="34" w:rightChars="16"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（6）通用合同条款；</w:t>
      </w:r>
    </w:p>
    <w:p w14:paraId="13771874">
      <w:pPr>
        <w:pageBreakBefore w:val="0"/>
        <w:kinsoku/>
        <w:wordWrap w:val="0"/>
        <w:bidi w:val="0"/>
        <w:spacing w:line="440" w:lineRule="exact"/>
        <w:ind w:right="34" w:rightChars="16"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（7）工程量清单计量规则；</w:t>
      </w:r>
    </w:p>
    <w:p w14:paraId="5E9509E1">
      <w:pPr>
        <w:pageBreakBefore w:val="0"/>
        <w:kinsoku/>
        <w:wordWrap w:val="0"/>
        <w:bidi w:val="0"/>
        <w:spacing w:line="440" w:lineRule="exact"/>
        <w:ind w:right="34" w:rightChars="16"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（8）技术规范；</w:t>
      </w:r>
    </w:p>
    <w:p w14:paraId="204790AA">
      <w:pPr>
        <w:pageBreakBefore w:val="0"/>
        <w:kinsoku/>
        <w:wordWrap w:val="0"/>
        <w:bidi w:val="0"/>
        <w:spacing w:line="440" w:lineRule="exact"/>
        <w:ind w:right="34" w:rightChars="16"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（9）图纸；</w:t>
      </w:r>
    </w:p>
    <w:p w14:paraId="2E2A27E7">
      <w:pPr>
        <w:pageBreakBefore w:val="0"/>
        <w:kinsoku/>
        <w:wordWrap w:val="0"/>
        <w:bidi w:val="0"/>
        <w:spacing w:line="440" w:lineRule="exact"/>
        <w:ind w:right="34" w:rightChars="16"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（10）已标价工程量清单；</w:t>
      </w:r>
    </w:p>
    <w:p w14:paraId="2BC3D312">
      <w:pPr>
        <w:pageBreakBefore w:val="0"/>
        <w:kinsoku/>
        <w:wordWrap w:val="0"/>
        <w:bidi w:val="0"/>
        <w:spacing w:line="440" w:lineRule="exact"/>
        <w:ind w:right="34" w:rightChars="16"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（11）承包人有关人员、设备投入的承诺及投标文件中的施工组织设计；</w:t>
      </w:r>
    </w:p>
    <w:p w14:paraId="5FF5389B">
      <w:pPr>
        <w:pageBreakBefore w:val="0"/>
        <w:kinsoku/>
        <w:wordWrap w:val="0"/>
        <w:bidi w:val="0"/>
        <w:spacing w:line="440" w:lineRule="exact"/>
        <w:ind w:right="34" w:rightChars="16"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（12）其他合同文件。</w:t>
      </w:r>
    </w:p>
    <w:p w14:paraId="49D37493">
      <w:pPr>
        <w:pageBreakBefore w:val="0"/>
        <w:kinsoku/>
        <w:wordWrap w:val="0"/>
        <w:bidi w:val="0"/>
        <w:spacing w:line="440" w:lineRule="exact"/>
        <w:ind w:right="34" w:rightChars="16"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上述合同文件互相补充和解释。如果合同文件之间存在矛盾或不一致之处，以上述文件的排列顺序在先者为准。</w:t>
      </w:r>
    </w:p>
    <w:p w14:paraId="08F76F5D">
      <w:pPr>
        <w:pageBreakBefore w:val="0"/>
        <w:kinsoku/>
        <w:wordWrap w:val="0"/>
        <w:bidi w:val="0"/>
        <w:spacing w:line="440" w:lineRule="exact"/>
        <w:ind w:right="34" w:rightChars="16" w:firstLine="616" w:firstLineChars="257"/>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3.根据工程量清单所列的预计数量和单价或总额价计算的签约合同价：人民币（大写）________元（¥________）。</w:t>
      </w:r>
    </w:p>
    <w:p w14:paraId="1A8B818C">
      <w:pPr>
        <w:pageBreakBefore w:val="0"/>
        <w:kinsoku/>
        <w:wordWrap w:val="0"/>
        <w:bidi w:val="0"/>
        <w:spacing w:line="440" w:lineRule="exact"/>
        <w:ind w:right="34" w:rightChars="16" w:firstLine="616" w:firstLineChars="257"/>
        <w:outlineLvl w:val="9"/>
        <w:rPr>
          <w:rFonts w:hint="default" w:ascii="Times New Roman" w:hAnsi="Times New Roman" w:cs="Times New Roman"/>
          <w:color w:val="auto"/>
          <w:sz w:val="24"/>
          <w:highlight w:val="none"/>
          <w:u w:val="single"/>
        </w:rPr>
      </w:pPr>
      <w:r>
        <w:rPr>
          <w:rFonts w:hint="default" w:ascii="Times New Roman" w:hAnsi="Times New Roman" w:cs="Times New Roman"/>
          <w:color w:val="auto"/>
          <w:sz w:val="24"/>
          <w:highlight w:val="none"/>
        </w:rPr>
        <w:t>4.承包人项目经理：</w:t>
      </w:r>
      <w:r>
        <w:rPr>
          <w:rFonts w:hint="eastAsia" w:cs="Times New Roman"/>
          <w:color w:val="auto"/>
          <w:sz w:val="24"/>
          <w:highlight w:val="none"/>
          <w:u w:val="single"/>
          <w:lang w:val="en-US" w:eastAsia="zh-CN"/>
        </w:rPr>
        <w:t xml:space="preserve">          </w:t>
      </w:r>
      <w:r>
        <w:rPr>
          <w:rFonts w:hint="default" w:ascii="Times New Roman" w:hAnsi="Times New Roman" w:cs="Times New Roman"/>
          <w:color w:val="auto"/>
          <w:sz w:val="24"/>
          <w:highlight w:val="none"/>
        </w:rPr>
        <w:t>。承包人项目总工：</w:t>
      </w:r>
      <w:r>
        <w:rPr>
          <w:rFonts w:hint="eastAsia" w:cs="Times New Roman"/>
          <w:color w:val="auto"/>
          <w:sz w:val="24"/>
          <w:highlight w:val="none"/>
          <w:u w:val="single"/>
          <w:lang w:val="en-US" w:eastAsia="zh-CN"/>
        </w:rPr>
        <w:t xml:space="preserve">          </w:t>
      </w:r>
      <w:r>
        <w:rPr>
          <w:rFonts w:hint="default" w:ascii="Times New Roman" w:hAnsi="Times New Roman" w:cs="Times New Roman"/>
          <w:color w:val="auto"/>
          <w:sz w:val="24"/>
          <w:highlight w:val="none"/>
        </w:rPr>
        <w:t>。</w:t>
      </w:r>
    </w:p>
    <w:p w14:paraId="17C63979">
      <w:pPr>
        <w:pageBreakBefore w:val="0"/>
        <w:kinsoku/>
        <w:wordWrap w:val="0"/>
        <w:bidi w:val="0"/>
        <w:spacing w:line="440" w:lineRule="exact"/>
        <w:ind w:right="34" w:rightChars="16" w:firstLine="616" w:firstLineChars="257"/>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5.工程质量符合标准</w:t>
      </w:r>
      <w:r>
        <w:rPr>
          <w:rFonts w:hint="eastAsia" w:cs="Times New Roman"/>
          <w:color w:val="auto"/>
          <w:sz w:val="24"/>
          <w:highlight w:val="none"/>
          <w:u w:val="single"/>
          <w:lang w:val="en-US" w:eastAsia="zh-CN"/>
        </w:rPr>
        <w:t xml:space="preserve">          </w:t>
      </w:r>
      <w:r>
        <w:rPr>
          <w:rFonts w:hint="default" w:ascii="Times New Roman" w:hAnsi="Times New Roman" w:cs="Times New Roman"/>
          <w:color w:val="auto"/>
          <w:sz w:val="24"/>
          <w:highlight w:val="none"/>
        </w:rPr>
        <w:t>。工程安全目标：</w:t>
      </w:r>
      <w:r>
        <w:rPr>
          <w:rFonts w:hint="eastAsia" w:cs="Times New Roman"/>
          <w:color w:val="auto"/>
          <w:sz w:val="24"/>
          <w:highlight w:val="none"/>
          <w:u w:val="single"/>
          <w:lang w:val="en-US" w:eastAsia="zh-CN"/>
        </w:rPr>
        <w:t xml:space="preserve">          </w:t>
      </w:r>
      <w:r>
        <w:rPr>
          <w:rFonts w:hint="default" w:ascii="Times New Roman" w:hAnsi="Times New Roman" w:cs="Times New Roman"/>
          <w:color w:val="auto"/>
          <w:sz w:val="24"/>
          <w:highlight w:val="none"/>
        </w:rPr>
        <w:t>。</w:t>
      </w:r>
    </w:p>
    <w:p w14:paraId="1767A123">
      <w:pPr>
        <w:pageBreakBefore w:val="0"/>
        <w:kinsoku/>
        <w:wordWrap w:val="0"/>
        <w:bidi w:val="0"/>
        <w:spacing w:line="440" w:lineRule="exact"/>
        <w:ind w:right="34" w:rightChars="16" w:firstLine="616" w:firstLineChars="257"/>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6.承包人承诺按合同约定承担工程的实施、完成及缺陷修复。</w:t>
      </w:r>
    </w:p>
    <w:p w14:paraId="46D3F569">
      <w:pPr>
        <w:pageBreakBefore w:val="0"/>
        <w:kinsoku/>
        <w:wordWrap w:val="0"/>
        <w:bidi w:val="0"/>
        <w:spacing w:line="440" w:lineRule="exact"/>
        <w:ind w:right="34" w:rightChars="16" w:firstLine="616" w:firstLineChars="257"/>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7.发包人承诺按合同约定的条件、时间和方式向承包人支付合同价款。</w:t>
      </w:r>
    </w:p>
    <w:p w14:paraId="79F5C55D">
      <w:pPr>
        <w:pageBreakBefore w:val="0"/>
        <w:kinsoku/>
        <w:wordWrap w:val="0"/>
        <w:bidi w:val="0"/>
        <w:spacing w:line="440" w:lineRule="exact"/>
        <w:ind w:right="34" w:rightChars="16" w:firstLine="616" w:firstLineChars="257"/>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8.承包人应按照监理人指示开工，工期为</w:t>
      </w:r>
      <w:r>
        <w:rPr>
          <w:rFonts w:hint="eastAsia" w:cs="Times New Roman"/>
          <w:color w:val="auto"/>
          <w:sz w:val="24"/>
          <w:highlight w:val="none"/>
          <w:u w:val="single"/>
          <w:lang w:val="en-US" w:eastAsia="zh-CN"/>
        </w:rPr>
        <w:t xml:space="preserve">          </w:t>
      </w:r>
      <w:r>
        <w:rPr>
          <w:rFonts w:hint="default" w:ascii="Times New Roman" w:hAnsi="Times New Roman" w:cs="Times New Roman"/>
          <w:color w:val="auto"/>
          <w:sz w:val="24"/>
          <w:highlight w:val="none"/>
        </w:rPr>
        <w:t>日历天。</w:t>
      </w:r>
    </w:p>
    <w:p w14:paraId="1DE6EA5E">
      <w:pPr>
        <w:pageBreakBefore w:val="0"/>
        <w:kinsoku/>
        <w:wordWrap w:val="0"/>
        <w:bidi w:val="0"/>
        <w:spacing w:line="440" w:lineRule="exact"/>
        <w:ind w:firstLine="616" w:firstLineChars="257"/>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9.本协议书在承包人提供履约保证金后，由双方法定代表人或其委托代理人签署并加盖单位章后生效。全部工程完工后经交工验收合格、缺陷责任期满签发缺陷责任终止证书后失效。</w:t>
      </w:r>
    </w:p>
    <w:p w14:paraId="139B7EC1">
      <w:pPr>
        <w:pageBreakBefore w:val="0"/>
        <w:kinsoku/>
        <w:wordWrap w:val="0"/>
        <w:bidi w:val="0"/>
        <w:spacing w:line="440" w:lineRule="exac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10.本协议书正本二份、副本____份，合同双方各执正本一份，副本____份，当正本与副本的内容不一致时，以正本为准。</w:t>
      </w:r>
    </w:p>
    <w:p w14:paraId="2F8313FE">
      <w:pPr>
        <w:pageBreakBefore w:val="0"/>
        <w:kinsoku/>
        <w:wordWrap w:val="0"/>
        <w:bidi w:val="0"/>
        <w:spacing w:line="440" w:lineRule="exac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11.合同未尽事宜，双方另行签订补充协议。补充协议是合同的组成部分。</w:t>
      </w:r>
    </w:p>
    <w:p w14:paraId="7C282A05">
      <w:pPr>
        <w:pageBreakBefore w:val="0"/>
        <w:kinsoku/>
        <w:wordWrap w:val="0"/>
        <w:bidi w:val="0"/>
        <w:spacing w:line="440" w:lineRule="exact"/>
        <w:rPr>
          <w:rFonts w:hint="default" w:ascii="Times New Roman" w:hAnsi="Times New Roman" w:cs="Times New Roman"/>
          <w:color w:val="auto"/>
          <w:sz w:val="24"/>
          <w:highlight w:val="none"/>
        </w:rPr>
      </w:pPr>
    </w:p>
    <w:p w14:paraId="63B7AF61">
      <w:pPr>
        <w:pageBreakBefore w:val="0"/>
        <w:kinsoku/>
        <w:wordWrap w:val="0"/>
        <w:bidi w:val="0"/>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发包人：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（盖单位章）     承包人：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（盖单位章）</w:t>
      </w:r>
    </w:p>
    <w:p w14:paraId="07BAD0CA">
      <w:pPr>
        <w:pageBreakBefore w:val="0"/>
        <w:kinsoku/>
        <w:wordWrap w:val="0"/>
        <w:bidi w:val="0"/>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法定代表人或其委托代理人：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（签字）  法定代表人或其委托代理人：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（签字）</w:t>
      </w:r>
    </w:p>
    <w:p w14:paraId="7F70320D">
      <w:pPr>
        <w:pageBreakBefore w:val="0"/>
        <w:kinsoku/>
        <w:wordWrap w:val="0"/>
        <w:bidi w:val="0"/>
        <w:spacing w:line="440" w:lineRule="exact"/>
        <w:ind w:firstLine="840" w:firstLineChars="35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月</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日              </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月</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日</w:t>
      </w:r>
    </w:p>
    <w:p w14:paraId="71ED8DAC">
      <w:pPr>
        <w:pageBreakBefore w:val="0"/>
        <w:kinsoku/>
        <w:wordWrap w:val="0"/>
        <w:bidi w:val="0"/>
        <w:spacing w:line="440" w:lineRule="exact"/>
        <w:rPr>
          <w:rFonts w:hint="default" w:ascii="Times New Roman" w:hAnsi="Times New Roman" w:cs="Times New Roman"/>
          <w:color w:val="auto"/>
          <w:sz w:val="24"/>
          <w:highlight w:val="none"/>
        </w:rPr>
      </w:pPr>
    </w:p>
    <w:p w14:paraId="3DCE7E5D">
      <w:pPr>
        <w:pageBreakBefore w:val="0"/>
        <w:kinsoku/>
        <w:wordWrap w:val="0"/>
        <w:bidi w:val="0"/>
        <w:spacing w:line="440" w:lineRule="exact"/>
        <w:rPr>
          <w:rFonts w:hint="default" w:ascii="Times New Roman" w:hAnsi="Times New Roman" w:cs="Times New Roman"/>
          <w:color w:val="auto"/>
          <w:sz w:val="24"/>
          <w:highlight w:val="none"/>
        </w:rPr>
      </w:pPr>
    </w:p>
    <w:p w14:paraId="0E1C7913">
      <w:pPr>
        <w:pStyle w:val="6"/>
        <w:pageBreakBefore w:val="0"/>
        <w:kinsoku/>
        <w:wordWrap w:val="0"/>
        <w:bidi w:val="0"/>
        <w:spacing w:before="0" w:after="0" w:line="380" w:lineRule="atLeast"/>
        <w:jc w:val="both"/>
        <w:outlineLvl w:val="3"/>
        <w:rPr>
          <w:rFonts w:hint="default" w:ascii="Times New Roman" w:hAnsi="Times New Roman" w:eastAsia="黑体" w:cs="Times New Roman"/>
          <w:b w:val="0"/>
          <w:color w:val="auto"/>
          <w:sz w:val="24"/>
          <w:szCs w:val="24"/>
          <w:highlight w:val="none"/>
        </w:rPr>
      </w:pPr>
      <w:r>
        <w:rPr>
          <w:rFonts w:hint="default" w:ascii="Times New Roman" w:hAnsi="Times New Roman" w:eastAsia="黑体" w:cs="Times New Roman"/>
          <w:color w:val="auto"/>
          <w:sz w:val="24"/>
          <w:highlight w:val="none"/>
        </w:rPr>
        <w:br w:type="page"/>
      </w:r>
      <w:bookmarkStart w:id="1503" w:name="_Toc5419"/>
      <w:bookmarkStart w:id="1504" w:name="_Toc234833232"/>
      <w:bookmarkStart w:id="1505" w:name="_Toc22527"/>
      <w:bookmarkStart w:id="1506" w:name="_Toc7242"/>
      <w:r>
        <w:rPr>
          <w:rFonts w:hint="default" w:ascii="Times New Roman" w:hAnsi="Times New Roman" w:eastAsia="黑体" w:cs="Times New Roman"/>
          <w:b w:val="0"/>
          <w:i w:val="0"/>
          <w:iCs/>
          <w:color w:val="auto"/>
          <w:sz w:val="24"/>
          <w:szCs w:val="24"/>
          <w:highlight w:val="none"/>
        </w:rPr>
        <w:t>附件二</w:t>
      </w:r>
      <w:r>
        <w:rPr>
          <w:rFonts w:hint="eastAsia" w:ascii="Times New Roman" w:hAnsi="Times New Roman" w:eastAsia="黑体" w:cs="Times New Roman"/>
          <w:b w:val="0"/>
          <w:i w:val="0"/>
          <w:iCs/>
          <w:color w:val="auto"/>
          <w:sz w:val="24"/>
          <w:szCs w:val="24"/>
          <w:highlight w:val="none"/>
          <w:lang w:val="en-US" w:eastAsia="zh-CN"/>
        </w:rPr>
        <w:t xml:space="preserve"> </w:t>
      </w:r>
      <w:r>
        <w:rPr>
          <w:rFonts w:hint="default" w:ascii="Times New Roman" w:hAnsi="Times New Roman" w:eastAsia="黑体" w:cs="Times New Roman"/>
          <w:b w:val="0"/>
          <w:i w:val="0"/>
          <w:iCs/>
          <w:color w:val="auto"/>
          <w:sz w:val="24"/>
          <w:szCs w:val="24"/>
          <w:highlight w:val="none"/>
        </w:rPr>
        <w:t>廉政合同</w:t>
      </w:r>
      <w:bookmarkEnd w:id="1503"/>
      <w:bookmarkEnd w:id="1504"/>
      <w:bookmarkEnd w:id="1505"/>
      <w:bookmarkEnd w:id="1506"/>
    </w:p>
    <w:p w14:paraId="1CF6C2A9">
      <w:pPr>
        <w:pageBreakBefore w:val="0"/>
        <w:kinsoku/>
        <w:wordWrap w:val="0"/>
        <w:bidi w:val="0"/>
        <w:spacing w:line="440" w:lineRule="exact"/>
        <w:jc w:val="center"/>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廉政合同</w:t>
      </w:r>
    </w:p>
    <w:p w14:paraId="18EBE8D8">
      <w:pPr>
        <w:pageBreakBefore w:val="0"/>
        <w:kinsoku/>
        <w:wordWrap w:val="0"/>
        <w:bidi w:val="0"/>
        <w:spacing w:line="400" w:lineRule="atLeast"/>
        <w:rPr>
          <w:rFonts w:hint="default" w:ascii="Times New Roman" w:hAnsi="Times New Roman" w:eastAsia="黑体" w:cs="Times New Roman"/>
          <w:b/>
          <w:color w:val="auto"/>
          <w:spacing w:val="30"/>
          <w:sz w:val="24"/>
          <w:highlight w:val="none"/>
        </w:rPr>
      </w:pPr>
    </w:p>
    <w:p w14:paraId="1875AA30">
      <w:pPr>
        <w:pageBreakBefore w:val="0"/>
        <w:kinsoku/>
        <w:wordWrap w:val="0"/>
        <w:bidi w:val="0"/>
        <w:spacing w:line="400" w:lineRule="atLeast"/>
        <w:ind w:firstLine="616" w:firstLineChars="257"/>
        <w:rPr>
          <w:rFonts w:hint="default" w:ascii="Times New Roman" w:hAnsi="Times New Roman" w:cs="Times New Roman"/>
          <w:color w:val="auto"/>
          <w:sz w:val="24"/>
          <w:highlight w:val="none"/>
        </w:rPr>
      </w:pPr>
      <w:bookmarkStart w:id="1507" w:name="_Toc7071"/>
      <w:bookmarkStart w:id="1508" w:name="_Toc234833233"/>
      <w:bookmarkStart w:id="1509" w:name="_Toc1095"/>
      <w:bookmarkStart w:id="1510" w:name="_Toc20728"/>
      <w:r>
        <w:rPr>
          <w:rFonts w:hint="default" w:ascii="Times New Roman" w:hAnsi="Times New Roman" w:cs="Times New Roman"/>
          <w:color w:val="auto"/>
          <w:sz w:val="24"/>
          <w:highlight w:val="none"/>
        </w:rPr>
        <w:t>根据《关于在交通基础设施建设中加强廉政建设的若干意见》以及有关工程建设、廉政建设的规定，为做好工程建设中的党风廉政建设，保证工程建设高效优质，保证建设资金的安全和有效使用以及投资效益，</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（项目名称）的项目法人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（项目法人名称，以下简称</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发包人</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）与该项目</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标段的施工单位</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（施工单位名称，以下简称</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承包人</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），特订立如下合同。</w:t>
      </w:r>
    </w:p>
    <w:p w14:paraId="752B0038">
      <w:pPr>
        <w:pageBreakBefore w:val="0"/>
        <w:kinsoku/>
        <w:wordWrap w:val="0"/>
        <w:bidi w:val="0"/>
        <w:spacing w:line="400" w:lineRule="atLeast"/>
        <w:ind w:firstLine="616" w:firstLineChars="257"/>
        <w:outlineLvl w:val="9"/>
        <w:rPr>
          <w:rFonts w:hint="default" w:ascii="Times New Roman" w:hAnsi="Times New Roman" w:eastAsia="黑体" w:cs="Times New Roman"/>
          <w:color w:val="auto"/>
          <w:sz w:val="24"/>
          <w:highlight w:val="none"/>
        </w:rPr>
      </w:pPr>
      <w:bookmarkStart w:id="1511" w:name="_Toc16895"/>
      <w:r>
        <w:rPr>
          <w:rFonts w:hint="default" w:ascii="Times New Roman" w:hAnsi="Times New Roman" w:eastAsia="黑体" w:cs="Times New Roman"/>
          <w:color w:val="auto"/>
          <w:sz w:val="24"/>
          <w:highlight w:val="none"/>
        </w:rPr>
        <w:t>1. 发包人和承包人双方的权利和义务</w:t>
      </w:r>
      <w:bookmarkEnd w:id="1511"/>
    </w:p>
    <w:p w14:paraId="6F0E6838">
      <w:pPr>
        <w:pageBreakBefore w:val="0"/>
        <w:kinsoku/>
        <w:wordWrap w:val="0"/>
        <w:bidi w:val="0"/>
        <w:spacing w:line="400" w:lineRule="atLeast"/>
        <w:ind w:firstLine="616" w:firstLineChars="257"/>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（1）严格遵守党的政策规定和国家有关法律法规及交通运输部的有关规定。</w:t>
      </w:r>
    </w:p>
    <w:p w14:paraId="37536AB8">
      <w:pPr>
        <w:pageBreakBefore w:val="0"/>
        <w:kinsoku/>
        <w:wordWrap w:val="0"/>
        <w:bidi w:val="0"/>
        <w:spacing w:line="400" w:lineRule="atLeast"/>
        <w:ind w:firstLine="616" w:firstLineChars="257"/>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（2）严格执行</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（项目名称）</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标段施工合同文件，自觉按合同办事。</w:t>
      </w:r>
    </w:p>
    <w:p w14:paraId="112AC029">
      <w:pPr>
        <w:pageBreakBefore w:val="0"/>
        <w:kinsoku/>
        <w:wordWrap w:val="0"/>
        <w:bidi w:val="0"/>
        <w:spacing w:line="400" w:lineRule="atLeast"/>
        <w:ind w:firstLine="616" w:firstLineChars="257"/>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（3）双方的业务活动坚持公开、公正、诚信、透明的原则（法律认定的商业秘密和合同文件另有规定除外），不得损害国家和集体利益，不得违反工程建设管理规章制度。</w:t>
      </w:r>
    </w:p>
    <w:p w14:paraId="3BB18B20">
      <w:pPr>
        <w:pageBreakBefore w:val="0"/>
        <w:kinsoku/>
        <w:wordWrap w:val="0"/>
        <w:bidi w:val="0"/>
        <w:spacing w:line="400" w:lineRule="atLeast"/>
        <w:ind w:firstLine="616" w:firstLineChars="257"/>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（4）建立健全廉政制度，开展廉政教育，设立廉政告示牌，公布举报电话，监督并认真查处违法违纪行为。</w:t>
      </w:r>
    </w:p>
    <w:p w14:paraId="5575C7B3">
      <w:pPr>
        <w:pageBreakBefore w:val="0"/>
        <w:kinsoku/>
        <w:wordWrap w:val="0"/>
        <w:bidi w:val="0"/>
        <w:spacing w:line="400" w:lineRule="atLeast"/>
        <w:ind w:firstLine="616" w:firstLineChars="257"/>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（5）发现对方在业务活动中有违反廉政规定的行为，有及时提醒对方纠正的权利和义务。</w:t>
      </w:r>
    </w:p>
    <w:p w14:paraId="4C1424E0">
      <w:pPr>
        <w:pageBreakBefore w:val="0"/>
        <w:kinsoku/>
        <w:wordWrap w:val="0"/>
        <w:bidi w:val="0"/>
        <w:spacing w:line="400" w:lineRule="atLeast"/>
        <w:ind w:firstLine="616" w:firstLineChars="257"/>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（6）发现对方严重违反本合同义务条款的行为，有向其上级有关部门举报、建议给予处理并要求告知处理结果的权利。</w:t>
      </w:r>
    </w:p>
    <w:p w14:paraId="231CAD49">
      <w:pPr>
        <w:pageBreakBefore w:val="0"/>
        <w:kinsoku/>
        <w:wordWrap w:val="0"/>
        <w:bidi w:val="0"/>
        <w:spacing w:line="400" w:lineRule="atLeast"/>
        <w:ind w:firstLine="616" w:firstLineChars="257"/>
        <w:outlineLvl w:val="9"/>
        <w:rPr>
          <w:rFonts w:hint="default" w:ascii="Times New Roman" w:hAnsi="Times New Roman" w:eastAsia="黑体" w:cs="Times New Roman"/>
          <w:color w:val="auto"/>
          <w:sz w:val="24"/>
          <w:highlight w:val="none"/>
        </w:rPr>
      </w:pPr>
      <w:bookmarkStart w:id="1512" w:name="_Toc26938"/>
      <w:r>
        <w:rPr>
          <w:rFonts w:hint="default" w:ascii="Times New Roman" w:hAnsi="Times New Roman" w:eastAsia="黑体" w:cs="Times New Roman"/>
          <w:color w:val="auto"/>
          <w:sz w:val="24"/>
          <w:highlight w:val="none"/>
        </w:rPr>
        <w:t>2. 发包人的义务</w:t>
      </w:r>
      <w:bookmarkEnd w:id="1512"/>
    </w:p>
    <w:p w14:paraId="0AC0C5D7">
      <w:pPr>
        <w:pageBreakBefore w:val="0"/>
        <w:kinsoku/>
        <w:wordWrap w:val="0"/>
        <w:bidi w:val="0"/>
        <w:spacing w:line="400" w:lineRule="atLeast"/>
        <w:ind w:firstLine="616" w:firstLineChars="257"/>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（1）发包人及其工作人员不得索要或接受承包人的礼金、有价证券和贵重物品，不得让承包人报销任何应由发包人或发包人工作人员个人支付的费用等。</w:t>
      </w:r>
    </w:p>
    <w:p w14:paraId="5022CC03">
      <w:pPr>
        <w:pageBreakBefore w:val="0"/>
        <w:kinsoku/>
        <w:wordWrap w:val="0"/>
        <w:bidi w:val="0"/>
        <w:spacing w:line="400" w:lineRule="atLeas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（2）发包人工作人员不得参加承包人安排的超标准宴请和娱乐活动；不得接受承包人提供的通信工具、交通工具和高档办公用品等。</w:t>
      </w:r>
    </w:p>
    <w:p w14:paraId="2FDE1750">
      <w:pPr>
        <w:pageBreakBefore w:val="0"/>
        <w:kinsoku/>
        <w:wordWrap w:val="0"/>
        <w:bidi w:val="0"/>
        <w:spacing w:line="400" w:lineRule="atLeas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（3）发包人及其工作人员不得要求或者接受承包人为其住房装修、婚丧嫁娶活动、配偶子女的工作安排以及出国出境、旅游等提供方便等。</w:t>
      </w:r>
    </w:p>
    <w:p w14:paraId="73A8E434">
      <w:pPr>
        <w:pageBreakBefore w:val="0"/>
        <w:kinsoku/>
        <w:wordWrap w:val="0"/>
        <w:bidi w:val="0"/>
        <w:spacing w:line="400" w:lineRule="atLeas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（4）发包人工作人员及其配偶、子女不得从事与发包人工程有关的材料设备供应、工程分包、劳务等经济活动等。</w:t>
      </w:r>
    </w:p>
    <w:p w14:paraId="13B057ED">
      <w:pPr>
        <w:pageBreakBefore w:val="0"/>
        <w:kinsoku/>
        <w:wordWrap w:val="0"/>
        <w:bidi w:val="0"/>
        <w:spacing w:line="400" w:lineRule="atLeas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（5）发包人及其工作人员不得以任何理由向承包人推荐分包单位或推销材料，不得要求承包人购买合同规定外的材料和设备。</w:t>
      </w:r>
    </w:p>
    <w:p w14:paraId="7275C1F9">
      <w:pPr>
        <w:pageBreakBefore w:val="0"/>
        <w:kinsoku/>
        <w:wordWrap w:val="0"/>
        <w:bidi w:val="0"/>
        <w:spacing w:line="400" w:lineRule="atLeast"/>
        <w:ind w:firstLine="616" w:firstLineChars="257"/>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（6）发包人工作人员要秉公办事，不准营私舞弊，不准利用职权从事各种个人有偿中介活动和安排个人施工队伍。</w:t>
      </w:r>
    </w:p>
    <w:p w14:paraId="021AF2A7">
      <w:pPr>
        <w:pageBreakBefore w:val="0"/>
        <w:kinsoku/>
        <w:wordWrap w:val="0"/>
        <w:bidi w:val="0"/>
        <w:spacing w:line="400" w:lineRule="atLeast"/>
        <w:ind w:firstLine="616" w:firstLineChars="257"/>
        <w:outlineLvl w:val="9"/>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3. 承包人的义务</w:t>
      </w:r>
    </w:p>
    <w:p w14:paraId="4CE86D8A">
      <w:pPr>
        <w:pageBreakBefore w:val="0"/>
        <w:kinsoku/>
        <w:wordWrap w:val="0"/>
        <w:bidi w:val="0"/>
        <w:spacing w:line="400" w:lineRule="atLeas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（1）承包人不得以任何理由向发包人及其工作人员行贿或馈赠礼金、有价证券、贵重礼品。</w:t>
      </w:r>
    </w:p>
    <w:p w14:paraId="6BF76029">
      <w:pPr>
        <w:pageBreakBefore w:val="0"/>
        <w:kinsoku/>
        <w:wordWrap w:val="0"/>
        <w:bidi w:val="0"/>
        <w:spacing w:line="400" w:lineRule="atLeas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（2）承包人不得以任何名义为发包人及其工作人员报销应由发包人单位或个人支付的任何费用。</w:t>
      </w:r>
    </w:p>
    <w:p w14:paraId="2B8A5880">
      <w:pPr>
        <w:pageBreakBefore w:val="0"/>
        <w:kinsoku/>
        <w:wordWrap w:val="0"/>
        <w:bidi w:val="0"/>
        <w:spacing w:line="400" w:lineRule="atLeas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（3）承包人不得以任何理由安排发包人工作人员参加超标准宴请及娱乐活动。</w:t>
      </w:r>
    </w:p>
    <w:p w14:paraId="0A417609">
      <w:pPr>
        <w:pageBreakBefore w:val="0"/>
        <w:kinsoku/>
        <w:wordWrap w:val="0"/>
        <w:bidi w:val="0"/>
        <w:spacing w:line="400" w:lineRule="atLeas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（4）承包人不得为发包人单位和个人购置或提供通信工具、交通工具和高档办公用品等。</w:t>
      </w:r>
    </w:p>
    <w:p w14:paraId="44945F6B">
      <w:pPr>
        <w:pageBreakBefore w:val="0"/>
        <w:kinsoku/>
        <w:wordWrap w:val="0"/>
        <w:bidi w:val="0"/>
        <w:spacing w:line="400" w:lineRule="atLeast"/>
        <w:ind w:firstLine="616" w:firstLineChars="257"/>
        <w:outlineLvl w:val="9"/>
        <w:rPr>
          <w:rFonts w:hint="default" w:ascii="Times New Roman" w:hAnsi="Times New Roman" w:eastAsia="黑体" w:cs="Times New Roman"/>
          <w:color w:val="auto"/>
          <w:sz w:val="24"/>
          <w:highlight w:val="none"/>
        </w:rPr>
      </w:pPr>
      <w:bookmarkStart w:id="1513" w:name="_Toc21007"/>
      <w:r>
        <w:rPr>
          <w:rFonts w:hint="default" w:ascii="Times New Roman" w:hAnsi="Times New Roman" w:eastAsia="黑体" w:cs="Times New Roman"/>
          <w:color w:val="auto"/>
          <w:sz w:val="24"/>
          <w:highlight w:val="none"/>
        </w:rPr>
        <w:t>4. 违约责任</w:t>
      </w:r>
      <w:bookmarkEnd w:id="1513"/>
    </w:p>
    <w:p w14:paraId="00FAEF63">
      <w:pPr>
        <w:pageBreakBefore w:val="0"/>
        <w:kinsoku/>
        <w:wordWrap w:val="0"/>
        <w:bidi w:val="0"/>
        <w:spacing w:line="400" w:lineRule="atLeas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（1）发包人及其工作人员违反本合同第1、2条，按管理权限，依据有关规定给予党纪、政纪或组织处理；涉嫌犯罪的，移交司法机关追究刑事责任；给承包人单位造成经济损失的，应予以赔偿。</w:t>
      </w:r>
    </w:p>
    <w:p w14:paraId="5552E60F">
      <w:pPr>
        <w:pageBreakBefore w:val="0"/>
        <w:kinsoku/>
        <w:wordWrap w:val="0"/>
        <w:bidi w:val="0"/>
        <w:spacing w:line="400" w:lineRule="atLeas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承包人及其工作人员违反本合同第1、3条，按管理权限，依据有关规定给予党纪、政纪或组织处理；给发包人单位造成经济损失的，应予以赔偿；情节严重的，发包人建议交通运输主管部门给予承包人一至三年内不得进入其主管的公路建设市场的处罚。</w:t>
      </w:r>
    </w:p>
    <w:p w14:paraId="3507FA08">
      <w:pPr>
        <w:pageBreakBefore w:val="0"/>
        <w:kinsoku/>
        <w:wordWrap w:val="0"/>
        <w:bidi w:val="0"/>
        <w:spacing w:line="400" w:lineRule="atLeast"/>
        <w:ind w:firstLine="616" w:firstLineChars="257"/>
        <w:rPr>
          <w:rFonts w:hint="default" w:ascii="Times New Roman" w:hAnsi="Times New Roman" w:cs="Times New Roman"/>
          <w:color w:val="auto"/>
          <w:sz w:val="24"/>
          <w:highlight w:val="none"/>
        </w:rPr>
      </w:pPr>
      <w:r>
        <w:rPr>
          <w:rFonts w:hint="default" w:ascii="Times New Roman" w:hAnsi="Times New Roman" w:eastAsia="黑体" w:cs="Times New Roman"/>
          <w:color w:val="auto"/>
          <w:sz w:val="24"/>
          <w:highlight w:val="none"/>
        </w:rPr>
        <w:t>5.</w:t>
      </w:r>
      <w:r>
        <w:rPr>
          <w:rFonts w:hint="default" w:ascii="Times New Roman" w:hAnsi="Times New Roman" w:cs="Times New Roman"/>
          <w:color w:val="auto"/>
          <w:sz w:val="24"/>
          <w:highlight w:val="none"/>
        </w:rPr>
        <w:t xml:space="preserve"> 双方约定：本合同由双方或双方上级单位的纪检监察部门负责监督执行。由发包人或发包人上级单位的纪检监察部门约请承包人或承包人上级单位纪检监察部门对本合同执行情况进行检查，提出在本合同规定范围内的裁定意见。</w:t>
      </w:r>
    </w:p>
    <w:p w14:paraId="3DDED6B2">
      <w:pPr>
        <w:pageBreakBefore w:val="0"/>
        <w:kinsoku/>
        <w:wordWrap w:val="0"/>
        <w:bidi w:val="0"/>
        <w:spacing w:line="400" w:lineRule="atLeast"/>
        <w:ind w:firstLine="616" w:firstLineChars="257"/>
        <w:rPr>
          <w:rFonts w:hint="default" w:ascii="Times New Roman" w:hAnsi="Times New Roman" w:cs="Times New Roman"/>
          <w:color w:val="auto"/>
          <w:sz w:val="24"/>
          <w:highlight w:val="none"/>
        </w:rPr>
      </w:pPr>
      <w:r>
        <w:rPr>
          <w:rFonts w:hint="default" w:ascii="Times New Roman" w:hAnsi="Times New Roman" w:eastAsia="黑体" w:cs="Times New Roman"/>
          <w:color w:val="auto"/>
          <w:sz w:val="24"/>
          <w:highlight w:val="none"/>
        </w:rPr>
        <w:t xml:space="preserve">6. </w:t>
      </w:r>
      <w:r>
        <w:rPr>
          <w:rFonts w:hint="default" w:ascii="Times New Roman" w:hAnsi="Times New Roman" w:cs="Times New Roman"/>
          <w:color w:val="auto"/>
          <w:sz w:val="24"/>
          <w:highlight w:val="none"/>
        </w:rPr>
        <w:t>本合同有效期为发包人和承包人签署之日起至该工程项目竣工验收后止。</w:t>
      </w:r>
    </w:p>
    <w:p w14:paraId="7744FCC1">
      <w:pPr>
        <w:pageBreakBefore w:val="0"/>
        <w:kinsoku/>
        <w:wordWrap w:val="0"/>
        <w:bidi w:val="0"/>
        <w:spacing w:line="400" w:lineRule="atLeast"/>
        <w:ind w:firstLine="616" w:firstLineChars="257"/>
        <w:rPr>
          <w:rFonts w:hint="default" w:ascii="Times New Roman" w:hAnsi="Times New Roman" w:cs="Times New Roman"/>
          <w:color w:val="auto"/>
          <w:sz w:val="24"/>
          <w:highlight w:val="none"/>
        </w:rPr>
      </w:pPr>
      <w:r>
        <w:rPr>
          <w:rFonts w:hint="default" w:ascii="Times New Roman" w:hAnsi="Times New Roman" w:eastAsia="黑体" w:cs="Times New Roman"/>
          <w:color w:val="auto"/>
          <w:sz w:val="24"/>
          <w:highlight w:val="none"/>
        </w:rPr>
        <w:t xml:space="preserve">7. </w:t>
      </w:r>
      <w:r>
        <w:rPr>
          <w:rFonts w:hint="default" w:ascii="Times New Roman" w:hAnsi="Times New Roman" w:cs="Times New Roman"/>
          <w:color w:val="auto"/>
          <w:sz w:val="24"/>
          <w:highlight w:val="none"/>
        </w:rPr>
        <w:t>本合同作为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（项目名称）</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标段施工合同的附件，与工程施工合同具有同等的法律效力，经合同双方签署后立即生效。</w:t>
      </w:r>
    </w:p>
    <w:p w14:paraId="7C6E038D">
      <w:pPr>
        <w:pageBreakBefore w:val="0"/>
        <w:kinsoku/>
        <w:wordWrap w:val="0"/>
        <w:bidi w:val="0"/>
        <w:spacing w:line="400" w:lineRule="atLeast"/>
        <w:ind w:firstLine="616" w:firstLineChars="257"/>
        <w:rPr>
          <w:rFonts w:hint="default" w:ascii="Times New Roman" w:hAnsi="Times New Roman" w:cs="Times New Roman"/>
          <w:color w:val="auto"/>
          <w:sz w:val="24"/>
          <w:highlight w:val="none"/>
        </w:rPr>
      </w:pPr>
      <w:r>
        <w:rPr>
          <w:rFonts w:hint="default" w:ascii="Times New Roman" w:hAnsi="Times New Roman" w:eastAsia="黑体" w:cs="Times New Roman"/>
          <w:color w:val="auto"/>
          <w:sz w:val="24"/>
          <w:highlight w:val="none"/>
        </w:rPr>
        <w:t>8.</w:t>
      </w:r>
      <w:r>
        <w:rPr>
          <w:rFonts w:hint="default" w:ascii="Times New Roman" w:hAnsi="Times New Roman" w:cs="Times New Roman"/>
          <w:color w:val="auto"/>
          <w:sz w:val="24"/>
          <w:highlight w:val="none"/>
        </w:rPr>
        <w:t xml:space="preserve"> 本合同一式四份，由发包人和承包人各执一份，送交发包人和承包人的监督单位各一份。</w:t>
      </w:r>
    </w:p>
    <w:p w14:paraId="5DA13981">
      <w:pPr>
        <w:pageBreakBefore w:val="0"/>
        <w:kinsoku/>
        <w:wordWrap w:val="0"/>
        <w:bidi w:val="0"/>
        <w:spacing w:line="400" w:lineRule="atLeast"/>
        <w:rPr>
          <w:rFonts w:hint="default" w:ascii="Times New Roman" w:hAnsi="Times New Roman" w:cs="Times New Roman"/>
          <w:color w:val="auto"/>
          <w:sz w:val="24"/>
          <w:highlight w:val="none"/>
        </w:rPr>
      </w:pPr>
    </w:p>
    <w:p w14:paraId="1F5D9E04">
      <w:pPr>
        <w:pageBreakBefore w:val="0"/>
        <w:kinsoku/>
        <w:wordWrap w:val="0"/>
        <w:bidi w:val="0"/>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发包人：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（盖单位章）     承包人：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（盖单位章）</w:t>
      </w:r>
    </w:p>
    <w:p w14:paraId="5183336B">
      <w:pPr>
        <w:pageBreakBefore w:val="0"/>
        <w:kinsoku/>
        <w:wordWrap w:val="0"/>
        <w:bidi w:val="0"/>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法定代表人或其委托代理人：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（签字）  法定代表人或其委托代理人：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（签字）</w:t>
      </w:r>
    </w:p>
    <w:p w14:paraId="203FF927">
      <w:pPr>
        <w:pageBreakBefore w:val="0"/>
        <w:kinsoku/>
        <w:wordWrap w:val="0"/>
        <w:bidi w:val="0"/>
        <w:spacing w:line="440" w:lineRule="exact"/>
        <w:ind w:firstLine="840" w:firstLineChars="35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月</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日              </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月</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日</w:t>
      </w:r>
    </w:p>
    <w:p w14:paraId="0EFD99ED">
      <w:pPr>
        <w:pageBreakBefore w:val="0"/>
        <w:kinsoku/>
        <w:wordWrap w:val="0"/>
        <w:bidi w:val="0"/>
        <w:spacing w:line="440" w:lineRule="exact"/>
        <w:ind w:firstLine="360" w:firstLineChars="150"/>
        <w:rPr>
          <w:rFonts w:hint="default" w:ascii="Times New Roman" w:hAnsi="Times New Roman" w:cs="Times New Roman"/>
          <w:color w:val="auto"/>
          <w:sz w:val="24"/>
          <w:highlight w:val="none"/>
        </w:rPr>
      </w:pPr>
    </w:p>
    <w:p w14:paraId="51B1C050">
      <w:pPr>
        <w:pageBreakBefore w:val="0"/>
        <w:kinsoku/>
        <w:wordWrap w:val="0"/>
        <w:bidi w:val="0"/>
        <w:spacing w:line="400" w:lineRule="atLeast"/>
        <w:rPr>
          <w:rFonts w:hint="default" w:ascii="Times New Roman" w:hAnsi="Times New Roman" w:cs="Times New Roman"/>
          <w:color w:val="auto"/>
          <w:sz w:val="24"/>
          <w:highlight w:val="none"/>
          <w:u w:val="single"/>
        </w:rPr>
      </w:pPr>
      <w:r>
        <w:rPr>
          <w:rFonts w:hint="default" w:ascii="Times New Roman" w:hAnsi="Times New Roman" w:cs="Times New Roman"/>
          <w:color w:val="auto"/>
          <w:sz w:val="24"/>
          <w:highlight w:val="none"/>
        </w:rPr>
        <w:t>发包人监督单位：</w:t>
      </w:r>
      <w:r>
        <w:rPr>
          <w:rFonts w:hint="default" w:ascii="Times New Roman" w:hAnsi="Times New Roman" w:cs="Times New Roman"/>
          <w:color w:val="auto"/>
          <w:sz w:val="24"/>
          <w:highlight w:val="none"/>
          <w:u w:val="single"/>
        </w:rPr>
        <w:t>（全称）（盖单位章）</w:t>
      </w:r>
      <w:r>
        <w:rPr>
          <w:rFonts w:hint="default" w:ascii="Times New Roman" w:hAnsi="Times New Roman" w:cs="Times New Roman"/>
          <w:color w:val="auto"/>
          <w:sz w:val="24"/>
          <w:highlight w:val="none"/>
        </w:rPr>
        <w:t xml:space="preserve">   承包人监督单位：</w:t>
      </w:r>
      <w:r>
        <w:rPr>
          <w:rFonts w:hint="default" w:ascii="Times New Roman" w:hAnsi="Times New Roman" w:cs="Times New Roman"/>
          <w:color w:val="auto"/>
          <w:sz w:val="24"/>
          <w:highlight w:val="none"/>
          <w:u w:val="single"/>
        </w:rPr>
        <w:t>（全称）（盖单位章）</w:t>
      </w:r>
    </w:p>
    <w:p w14:paraId="2E8D1927">
      <w:pPr>
        <w:pageBreakBefore w:val="0"/>
        <w:kinsoku/>
        <w:wordWrap w:val="0"/>
        <w:bidi w:val="0"/>
        <w:spacing w:line="400" w:lineRule="atLeast"/>
        <w:rPr>
          <w:rFonts w:hint="default" w:ascii="Times New Roman" w:hAnsi="Times New Roman" w:cs="Times New Roman"/>
          <w:color w:val="auto"/>
          <w:sz w:val="24"/>
          <w:highlight w:val="none"/>
        </w:rPr>
      </w:pPr>
    </w:p>
    <w:p w14:paraId="4C3C0A5C">
      <w:pPr>
        <w:pStyle w:val="6"/>
        <w:pageBreakBefore w:val="0"/>
        <w:kinsoku/>
        <w:wordWrap w:val="0"/>
        <w:bidi w:val="0"/>
        <w:spacing w:before="0" w:after="0" w:line="380" w:lineRule="atLeast"/>
        <w:jc w:val="both"/>
        <w:outlineLvl w:val="3"/>
        <w:rPr>
          <w:rFonts w:hint="default" w:ascii="Times New Roman" w:hAnsi="Times New Roman" w:eastAsia="黑体" w:cs="Times New Roman"/>
          <w:b w:val="0"/>
          <w:color w:val="auto"/>
          <w:sz w:val="24"/>
          <w:szCs w:val="24"/>
          <w:highlight w:val="none"/>
        </w:rPr>
      </w:pPr>
      <w:r>
        <w:rPr>
          <w:rFonts w:hint="default" w:ascii="Times New Roman" w:hAnsi="Times New Roman" w:cs="Times New Roman"/>
          <w:color w:val="auto"/>
          <w:sz w:val="24"/>
          <w:highlight w:val="none"/>
        </w:rPr>
        <w:br w:type="page"/>
      </w:r>
      <w:bookmarkEnd w:id="1507"/>
      <w:bookmarkEnd w:id="1508"/>
      <w:bookmarkEnd w:id="1509"/>
      <w:bookmarkEnd w:id="1510"/>
      <w:bookmarkStart w:id="1514" w:name="_Toc234833234"/>
      <w:bookmarkStart w:id="1515" w:name="_Toc24497"/>
      <w:bookmarkStart w:id="1516" w:name="_Toc5077"/>
      <w:bookmarkStart w:id="1517" w:name="_Toc14696"/>
      <w:r>
        <w:rPr>
          <w:rFonts w:hint="default" w:ascii="Times New Roman" w:hAnsi="Times New Roman" w:eastAsia="黑体" w:cs="Times New Roman"/>
          <w:i w:val="0"/>
          <w:iCs/>
          <w:color w:val="auto"/>
          <w:sz w:val="24"/>
          <w:highlight w:val="none"/>
        </w:rPr>
        <w:t>附件三</w:t>
      </w:r>
      <w:r>
        <w:rPr>
          <w:rFonts w:hint="default" w:ascii="Times New Roman" w:hAnsi="Times New Roman" w:eastAsia="黑体" w:cs="Times New Roman"/>
          <w:i w:val="0"/>
          <w:iCs/>
          <w:color w:val="auto"/>
          <w:sz w:val="24"/>
          <w:highlight w:val="none"/>
          <w:lang w:eastAsia="zh-CN"/>
        </w:rPr>
        <w:t xml:space="preserve"> </w:t>
      </w:r>
      <w:r>
        <w:rPr>
          <w:rFonts w:hint="default" w:ascii="Times New Roman" w:hAnsi="Times New Roman" w:eastAsia="黑体" w:cs="Times New Roman"/>
          <w:i w:val="0"/>
          <w:iCs/>
          <w:color w:val="auto"/>
          <w:sz w:val="24"/>
          <w:highlight w:val="none"/>
        </w:rPr>
        <w:t>安全生产合同</w:t>
      </w:r>
    </w:p>
    <w:p w14:paraId="36CC94D4">
      <w:pPr>
        <w:pageBreakBefore w:val="0"/>
        <w:kinsoku/>
        <w:wordWrap w:val="0"/>
        <w:bidi w:val="0"/>
        <w:spacing w:line="390" w:lineRule="atLeast"/>
        <w:jc w:val="center"/>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安全生产合同</w:t>
      </w:r>
    </w:p>
    <w:p w14:paraId="151E7DB4">
      <w:pPr>
        <w:pageBreakBefore w:val="0"/>
        <w:kinsoku/>
        <w:wordWrap w:val="0"/>
        <w:bidi w:val="0"/>
        <w:spacing w:line="390" w:lineRule="atLeast"/>
        <w:rPr>
          <w:rFonts w:hint="default" w:ascii="Times New Roman" w:hAnsi="Times New Roman" w:eastAsia="黑体" w:cs="Times New Roman"/>
          <w:b/>
          <w:color w:val="auto"/>
          <w:sz w:val="24"/>
          <w:highlight w:val="none"/>
        </w:rPr>
      </w:pPr>
    </w:p>
    <w:p w14:paraId="0895B0D2">
      <w:pPr>
        <w:pageBreakBefore w:val="0"/>
        <w:kinsoku/>
        <w:wordWrap w:val="0"/>
        <w:bidi w:val="0"/>
        <w:spacing w:line="390" w:lineRule="atLeas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为在</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（项目名称）</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标段施工合同的实施过程中创造安全、高效的施工环境，切实搞好本项目的安全管理工作，本项目发包人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（发包人名称，以下简称</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发包人</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）与承包人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（承包人名称，以下简称</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承包人</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）特此签订安全生产合同。</w:t>
      </w:r>
    </w:p>
    <w:p w14:paraId="33F144E9">
      <w:pPr>
        <w:pageBreakBefore w:val="0"/>
        <w:kinsoku/>
        <w:wordWrap w:val="0"/>
        <w:bidi w:val="0"/>
        <w:spacing w:line="390" w:lineRule="atLeast"/>
        <w:ind w:firstLine="616" w:firstLineChars="257"/>
        <w:outlineLvl w:val="9"/>
        <w:rPr>
          <w:rFonts w:hint="default" w:ascii="Times New Roman" w:hAnsi="Times New Roman" w:eastAsia="黑体" w:cs="Times New Roman"/>
          <w:color w:val="auto"/>
          <w:sz w:val="24"/>
          <w:highlight w:val="none"/>
        </w:rPr>
      </w:pPr>
      <w:bookmarkStart w:id="1518" w:name="_Toc19308"/>
      <w:r>
        <w:rPr>
          <w:rFonts w:hint="default" w:ascii="Times New Roman" w:hAnsi="Times New Roman" w:eastAsia="黑体" w:cs="Times New Roman"/>
          <w:color w:val="auto"/>
          <w:sz w:val="24"/>
          <w:highlight w:val="none"/>
        </w:rPr>
        <w:t>1.发包人职责</w:t>
      </w:r>
      <w:bookmarkEnd w:id="1518"/>
    </w:p>
    <w:p w14:paraId="7A372314">
      <w:pPr>
        <w:pageBreakBefore w:val="0"/>
        <w:kinsoku/>
        <w:wordWrap w:val="0"/>
        <w:bidi w:val="0"/>
        <w:spacing w:line="390" w:lineRule="atLeast"/>
        <w:ind w:firstLine="616" w:firstLineChars="257"/>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（1）严格遵守国家有关安全生产的法律法规，认真执行工程承包合同中的有关安全要求。</w:t>
      </w:r>
    </w:p>
    <w:p w14:paraId="144B179A">
      <w:pPr>
        <w:pageBreakBefore w:val="0"/>
        <w:kinsoku/>
        <w:wordWrap w:val="0"/>
        <w:bidi w:val="0"/>
        <w:spacing w:line="390" w:lineRule="atLeast"/>
        <w:ind w:firstLine="616" w:firstLineChars="257"/>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（2）按照</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安全第一、预防为主、综合治理</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和坚持</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管生产必须管安全</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的原则进行安全生产管理，做到生产与安全工作同时计划、布置、检查、总结和评比。</w:t>
      </w:r>
    </w:p>
    <w:p w14:paraId="4C0F0D86">
      <w:pPr>
        <w:pageBreakBefore w:val="0"/>
        <w:kinsoku/>
        <w:wordWrap w:val="0"/>
        <w:bidi w:val="0"/>
        <w:spacing w:line="390" w:lineRule="atLeast"/>
        <w:ind w:firstLine="616" w:firstLineChars="257"/>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（3）重要的安全设施必须坚持与主体工程</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三同时</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的原则，即：同时设计、审批，同时施工，同时验收，投入使用。</w:t>
      </w:r>
    </w:p>
    <w:p w14:paraId="4E2173EA">
      <w:pPr>
        <w:pageBreakBefore w:val="0"/>
        <w:kinsoku/>
        <w:wordWrap w:val="0"/>
        <w:bidi w:val="0"/>
        <w:spacing w:line="390" w:lineRule="atLeast"/>
        <w:ind w:firstLine="616" w:firstLineChars="257"/>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（4）定期召开安全生产调度会，及时传达中央及地方有关安全生产的精神。</w:t>
      </w:r>
    </w:p>
    <w:p w14:paraId="79DBFFDA">
      <w:pPr>
        <w:pageBreakBefore w:val="0"/>
        <w:kinsoku/>
        <w:wordWrap w:val="0"/>
        <w:bidi w:val="0"/>
        <w:spacing w:line="390" w:lineRule="atLeast"/>
        <w:ind w:firstLine="616" w:firstLineChars="257"/>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（5）组织对承包人施工现场进行安全生产检查，监督承包人及时处理发现的各种安全隐患。</w:t>
      </w:r>
    </w:p>
    <w:p w14:paraId="6BF897A0">
      <w:pPr>
        <w:pageBreakBefore w:val="0"/>
        <w:kinsoku/>
        <w:wordWrap w:val="0"/>
        <w:bidi w:val="0"/>
        <w:spacing w:line="390" w:lineRule="atLeast"/>
        <w:ind w:firstLine="616" w:firstLineChars="257"/>
        <w:outlineLvl w:val="9"/>
        <w:rPr>
          <w:rFonts w:hint="default" w:ascii="Times New Roman" w:hAnsi="Times New Roman" w:eastAsia="黑体" w:cs="Times New Roman"/>
          <w:color w:val="auto"/>
          <w:sz w:val="24"/>
          <w:highlight w:val="none"/>
        </w:rPr>
      </w:pPr>
      <w:bookmarkStart w:id="1519" w:name="_Toc18835"/>
      <w:r>
        <w:rPr>
          <w:rFonts w:hint="default" w:ascii="Times New Roman" w:hAnsi="Times New Roman" w:eastAsia="黑体" w:cs="Times New Roman"/>
          <w:color w:val="auto"/>
          <w:sz w:val="24"/>
          <w:highlight w:val="none"/>
        </w:rPr>
        <w:t>2.承包人职责</w:t>
      </w:r>
      <w:bookmarkEnd w:id="1519"/>
    </w:p>
    <w:p w14:paraId="7567041C">
      <w:pPr>
        <w:pageBreakBefore w:val="0"/>
        <w:kinsoku/>
        <w:wordWrap w:val="0"/>
        <w:bidi w:val="0"/>
        <w:spacing w:line="390" w:lineRule="atLeast"/>
        <w:ind w:firstLine="616" w:firstLineChars="257"/>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严格遵守《中华人民共和国安全生产法》《建设工程安全生产管理条例》等国家有关安全生产的法律法规、《公路水运工程安全生产监督管理办法》和《公路工程施工安全技术规范》等有关安全生产的规定。认真执行工程承包合同中的有关安全要求。</w:t>
      </w:r>
    </w:p>
    <w:p w14:paraId="37ACE302">
      <w:pPr>
        <w:pageBreakBefore w:val="0"/>
        <w:kinsoku/>
        <w:wordWrap w:val="0"/>
        <w:bidi w:val="0"/>
        <w:spacing w:line="390" w:lineRule="atLeast"/>
        <w:ind w:firstLine="616" w:firstLineChars="257"/>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（2）坚持</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安全第一、预防为主、综合治理</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和</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管生产必须管安全</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2673D5AB">
      <w:pPr>
        <w:pageBreakBefore w:val="0"/>
        <w:kinsoku/>
        <w:wordWrap w:val="0"/>
        <w:bidi w:val="0"/>
        <w:spacing w:line="390" w:lineRule="atLeast"/>
        <w:ind w:firstLine="616" w:firstLineChars="257"/>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公路水运工程安全生产监督管理办法》规定的最低数量和资质条件配备专职安全生产管理人员，专职负责所有员工的安全和治安保卫工作及预防事故的发生。安全机构人员有权按有关规定发布指令，并采取保护性措施防止事故发生。</w:t>
      </w:r>
    </w:p>
    <w:p w14:paraId="173871B2">
      <w:pPr>
        <w:pageBreakBefore w:val="0"/>
        <w:kinsoku/>
        <w:wordWrap w:val="0"/>
        <w:bidi w:val="0"/>
        <w:spacing w:line="390" w:lineRule="atLeast"/>
        <w:ind w:firstLine="616" w:firstLineChars="257"/>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（4）承包人在任何时候都应采取各种合理的预防措施，防止其员工发生任何违法、违禁、暴力或妨碍治安的行为。</w:t>
      </w:r>
    </w:p>
    <w:p w14:paraId="7D127578">
      <w:pPr>
        <w:pageBreakBefore w:val="0"/>
        <w:kinsoku/>
        <w:wordWrap w:val="0"/>
        <w:bidi w:val="0"/>
        <w:spacing w:line="390" w:lineRule="atLeast"/>
        <w:ind w:firstLine="616" w:firstLineChars="257"/>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1958EBA4">
      <w:pPr>
        <w:pageBreakBefore w:val="0"/>
        <w:kinsoku/>
        <w:wordWrap w:val="0"/>
        <w:bidi w:val="0"/>
        <w:spacing w:line="390" w:lineRule="atLeast"/>
        <w:ind w:firstLine="616" w:firstLineChars="257"/>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对于易燃易爆的材料除应专门妥善保管之外，还应配备有足够的消防设施，所有施工人员都应熟悉消防设备的性能和使用方法；承包人不得将任何种类的爆炸物给予、易货或以其他方式转让给任何人，或允许、容忍上述同样行为。</w:t>
      </w:r>
    </w:p>
    <w:p w14:paraId="7353B943">
      <w:pPr>
        <w:pageBreakBefore w:val="0"/>
        <w:kinsoku/>
        <w:wordWrap w:val="0"/>
        <w:bidi w:val="0"/>
        <w:spacing w:line="390" w:lineRule="atLeast"/>
        <w:ind w:firstLine="616" w:firstLineChars="257"/>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（7）操作人员上岗，必须按规定穿戴防护用品。施工负责人和安全检查员应随时检查劳动防护用品的穿戴情况，不按规定穿戴防护用品的人员不得上岗。</w:t>
      </w:r>
    </w:p>
    <w:p w14:paraId="39A32F52">
      <w:pPr>
        <w:pageBreakBefore w:val="0"/>
        <w:kinsoku/>
        <w:wordWrap w:val="0"/>
        <w:bidi w:val="0"/>
        <w:spacing w:line="390" w:lineRule="atLeast"/>
        <w:ind w:firstLine="616" w:firstLineChars="257"/>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（8）所有施工机具设备和高空作业的设备均应定期检查，并有安全员的签字记录，保证其经常处于完好状态；不合格的机具、设备和劳动保护用品严禁使用。</w:t>
      </w:r>
    </w:p>
    <w:p w14:paraId="46C4F00C">
      <w:pPr>
        <w:pageBreakBefore w:val="0"/>
        <w:kinsoku/>
        <w:wordWrap w:val="0"/>
        <w:bidi w:val="0"/>
        <w:spacing w:line="390" w:lineRule="atLeast"/>
        <w:ind w:firstLine="616" w:firstLineChars="257"/>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（9）施工中采用新技术、新工艺、新设备、新材料时，必须制定相应的安全技术措施，施工现场必须具有相关的安全标志牌。</w:t>
      </w:r>
    </w:p>
    <w:p w14:paraId="1A82961B">
      <w:pPr>
        <w:pageBreakBefore w:val="0"/>
        <w:kinsoku/>
        <w:wordWrap w:val="0"/>
        <w:bidi w:val="0"/>
        <w:spacing w:line="390" w:lineRule="atLeast"/>
        <w:ind w:firstLine="616" w:firstLineChars="257"/>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10）承包人必须按照本工程项目特点，组织制定本工程实施中的生产安全事故应急救援预案；如果发生安全事故，应按照《国务院关于特大安全事故行政责任追究的规定》以及其他有关规定，及时上报有关部门，并坚持</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四不放过</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的原则，严肃处理相关责任人。</w:t>
      </w:r>
    </w:p>
    <w:p w14:paraId="322483E8">
      <w:pPr>
        <w:pageBreakBefore w:val="0"/>
        <w:kinsoku/>
        <w:wordWrap w:val="0"/>
        <w:bidi w:val="0"/>
        <w:spacing w:line="390" w:lineRule="atLeast"/>
        <w:ind w:firstLine="616" w:firstLineChars="257"/>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（11）安全生产费用按照</w:t>
      </w:r>
      <w:bookmarkStart w:id="1520" w:name="_Toc187470650"/>
      <w:r>
        <w:rPr>
          <w:rFonts w:hint="default" w:ascii="Times New Roman" w:hAnsi="Times New Roman" w:cs="Times New Roman"/>
          <w:color w:val="auto"/>
          <w:sz w:val="24"/>
          <w:highlight w:val="none"/>
        </w:rPr>
        <w:t>《公路水运工程安全生产监督管理办法</w:t>
      </w:r>
      <w:bookmarkEnd w:id="1520"/>
      <w:r>
        <w:rPr>
          <w:rFonts w:hint="default" w:ascii="Times New Roman" w:hAnsi="Times New Roman" w:cs="Times New Roman"/>
          <w:color w:val="auto"/>
          <w:sz w:val="24"/>
          <w:highlight w:val="none"/>
        </w:rPr>
        <w:t>》的相关规定使用和管理。</w:t>
      </w:r>
    </w:p>
    <w:p w14:paraId="5FCB4FC4">
      <w:pPr>
        <w:pageBreakBefore w:val="0"/>
        <w:kinsoku/>
        <w:wordWrap w:val="0"/>
        <w:bidi w:val="0"/>
        <w:spacing w:line="390" w:lineRule="atLeast"/>
        <w:ind w:firstLine="616" w:firstLineChars="257"/>
        <w:outlineLvl w:val="9"/>
        <w:rPr>
          <w:rFonts w:hint="default" w:ascii="Times New Roman" w:hAnsi="Times New Roman" w:eastAsia="黑体" w:cs="Times New Roman"/>
          <w:color w:val="auto"/>
          <w:sz w:val="24"/>
          <w:highlight w:val="none"/>
        </w:rPr>
      </w:pPr>
      <w:bookmarkStart w:id="1521" w:name="_Toc19815"/>
      <w:r>
        <w:rPr>
          <w:rFonts w:hint="default" w:ascii="Times New Roman" w:hAnsi="Times New Roman" w:eastAsia="黑体" w:cs="Times New Roman"/>
          <w:color w:val="auto"/>
          <w:sz w:val="24"/>
          <w:highlight w:val="none"/>
        </w:rPr>
        <w:t>3.违约责任</w:t>
      </w:r>
      <w:bookmarkEnd w:id="1521"/>
    </w:p>
    <w:p w14:paraId="7F542210">
      <w:pPr>
        <w:pageBreakBefore w:val="0"/>
        <w:kinsoku/>
        <w:wordWrap w:val="0"/>
        <w:bidi w:val="0"/>
        <w:spacing w:line="390" w:lineRule="atLeast"/>
        <w:ind w:firstLine="616" w:firstLineChars="257"/>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如因发包人或承包人违约造成安全事故，将依法追究责任。</w:t>
      </w:r>
    </w:p>
    <w:p w14:paraId="775C10D0">
      <w:pPr>
        <w:pageBreakBefore w:val="0"/>
        <w:kinsoku/>
        <w:wordWrap w:val="0"/>
        <w:bidi w:val="0"/>
        <w:spacing w:line="390" w:lineRule="atLeas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 本合同由双方法定代表人或其授权的代理人签署并加盖单位章后生效，全部工程竣工验收后失效。</w:t>
      </w:r>
    </w:p>
    <w:p w14:paraId="25529D80">
      <w:pPr>
        <w:pageBreakBefore w:val="0"/>
        <w:kinsoku/>
        <w:wordWrap w:val="0"/>
        <w:bidi w:val="0"/>
        <w:spacing w:line="390" w:lineRule="atLeas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 本合同正本二份、副本____份，合同双方各执正本一份，副本____份，当正本与副本的内容不一致时，以正本为准。</w:t>
      </w:r>
    </w:p>
    <w:p w14:paraId="14A1FECD">
      <w:pPr>
        <w:pageBreakBefore w:val="0"/>
        <w:kinsoku/>
        <w:wordWrap w:val="0"/>
        <w:bidi w:val="0"/>
        <w:spacing w:line="400" w:lineRule="atLeast"/>
        <w:ind w:firstLine="525"/>
        <w:rPr>
          <w:rFonts w:hint="default" w:ascii="Times New Roman" w:hAnsi="Times New Roman" w:cs="Times New Roman"/>
          <w:color w:val="auto"/>
          <w:sz w:val="24"/>
          <w:highlight w:val="none"/>
        </w:rPr>
      </w:pPr>
    </w:p>
    <w:p w14:paraId="72FAB73E">
      <w:pPr>
        <w:pageBreakBefore w:val="0"/>
        <w:kinsoku/>
        <w:wordWrap w:val="0"/>
        <w:bidi w:val="0"/>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发包人：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（盖单位章）     承包人：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（盖单位章）</w:t>
      </w:r>
    </w:p>
    <w:p w14:paraId="5002A0B1">
      <w:pPr>
        <w:pageBreakBefore w:val="0"/>
        <w:kinsoku/>
        <w:wordWrap w:val="0"/>
        <w:bidi w:val="0"/>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法定代表人或其委托代理人：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（签字）  法定代表人或其委托代理人：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（签字）</w:t>
      </w:r>
    </w:p>
    <w:p w14:paraId="7F5A1FCE">
      <w:pPr>
        <w:pageBreakBefore w:val="0"/>
        <w:kinsoku/>
        <w:wordWrap w:val="0"/>
        <w:bidi w:val="0"/>
        <w:spacing w:line="440" w:lineRule="exact"/>
        <w:ind w:firstLine="840" w:firstLineChars="35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月</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日              </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月</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日</w:t>
      </w:r>
    </w:p>
    <w:p w14:paraId="6AB41FA2">
      <w:pPr>
        <w:pStyle w:val="6"/>
        <w:pageBreakBefore w:val="0"/>
        <w:kinsoku/>
        <w:wordWrap w:val="0"/>
        <w:bidi w:val="0"/>
        <w:spacing w:before="0" w:after="0" w:line="380" w:lineRule="atLeast"/>
        <w:jc w:val="both"/>
        <w:outlineLvl w:val="3"/>
        <w:rPr>
          <w:rFonts w:hint="default" w:ascii="Times New Roman" w:hAnsi="Times New Roman" w:eastAsia="黑体" w:cs="Times New Roman"/>
          <w:b w:val="0"/>
          <w:color w:val="auto"/>
          <w:sz w:val="24"/>
          <w:szCs w:val="24"/>
          <w:highlight w:val="none"/>
        </w:rPr>
      </w:pPr>
      <w:r>
        <w:rPr>
          <w:rFonts w:hint="default" w:ascii="Times New Roman" w:hAnsi="Times New Roman" w:eastAsia="黑体" w:cs="Times New Roman"/>
          <w:color w:val="auto"/>
          <w:sz w:val="24"/>
          <w:highlight w:val="none"/>
        </w:rPr>
        <w:br w:type="page"/>
      </w:r>
      <w:r>
        <w:rPr>
          <w:rFonts w:hint="default" w:ascii="Times New Roman" w:hAnsi="Times New Roman" w:eastAsia="黑体" w:cs="Times New Roman"/>
          <w:b w:val="0"/>
          <w:i w:val="0"/>
          <w:iCs/>
          <w:color w:val="auto"/>
          <w:sz w:val="24"/>
          <w:szCs w:val="24"/>
          <w:highlight w:val="none"/>
          <w:lang w:val="en-US" w:eastAsia="zh-CN"/>
        </w:rPr>
        <w:t>附件四</w:t>
      </w:r>
      <w:r>
        <w:rPr>
          <w:rFonts w:hint="eastAsia" w:ascii="Times New Roman" w:hAnsi="Times New Roman" w:eastAsia="黑体" w:cs="Times New Roman"/>
          <w:b w:val="0"/>
          <w:i w:val="0"/>
          <w:iCs/>
          <w:color w:val="auto"/>
          <w:sz w:val="24"/>
          <w:szCs w:val="24"/>
          <w:highlight w:val="none"/>
          <w:lang w:val="en-US" w:eastAsia="zh-CN"/>
        </w:rPr>
        <w:t xml:space="preserve"> </w:t>
      </w:r>
      <w:r>
        <w:rPr>
          <w:rFonts w:hint="default" w:ascii="Times New Roman" w:hAnsi="Times New Roman" w:eastAsia="黑体" w:cs="Times New Roman"/>
          <w:b w:val="0"/>
          <w:i w:val="0"/>
          <w:iCs/>
          <w:color w:val="auto"/>
          <w:sz w:val="24"/>
          <w:szCs w:val="24"/>
          <w:highlight w:val="none"/>
          <w:lang w:val="en-US" w:eastAsia="zh-CN"/>
        </w:rPr>
        <w:t>其他管理和技术人员最低要求</w:t>
      </w:r>
      <w:r>
        <w:rPr>
          <w:rFonts w:hint="default" w:ascii="Times New Roman" w:hAnsi="Times New Roman" w:eastAsia="黑体" w:cs="Times New Roman"/>
          <w:b w:val="0"/>
          <w:i w:val="0"/>
          <w:iCs/>
          <w:color w:val="auto"/>
          <w:sz w:val="24"/>
          <w:szCs w:val="24"/>
          <w:highlight w:val="none"/>
          <w:vertAlign w:val="superscript"/>
        </w:rPr>
        <w:footnoteReference w:id="41"/>
      </w:r>
      <w:bookmarkEnd w:id="1514"/>
      <w:bookmarkEnd w:id="1515"/>
      <w:bookmarkEnd w:id="1516"/>
      <w:bookmarkEnd w:id="1517"/>
    </w:p>
    <w:p w14:paraId="60812B6D">
      <w:pPr>
        <w:pageBreakBefore w:val="0"/>
        <w:kinsoku/>
        <w:wordWrap w:val="0"/>
        <w:bidi w:val="0"/>
        <w:adjustRightInd w:val="0"/>
        <w:snapToGrid w:val="0"/>
        <w:spacing w:line="400" w:lineRule="atLeast"/>
        <w:rPr>
          <w:rFonts w:hint="default" w:ascii="Times New Roman" w:hAnsi="Times New Roman" w:cs="Times New Roman"/>
          <w:color w:val="auto"/>
          <w:sz w:val="24"/>
          <w:highlight w:val="none"/>
        </w:rPr>
      </w:pP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8"/>
        <w:gridCol w:w="2161"/>
        <w:gridCol w:w="4282"/>
      </w:tblGrid>
      <w:tr w14:paraId="3B7F8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2448" w:type="dxa"/>
            <w:noWrap w:val="0"/>
            <w:vAlign w:val="center"/>
          </w:tcPr>
          <w:p w14:paraId="52A2FFA7">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人员</w:t>
            </w:r>
          </w:p>
        </w:tc>
        <w:tc>
          <w:tcPr>
            <w:tcW w:w="2161" w:type="dxa"/>
            <w:noWrap w:val="0"/>
            <w:vAlign w:val="center"/>
          </w:tcPr>
          <w:p w14:paraId="4FF88BDA">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数量</w:t>
            </w:r>
          </w:p>
        </w:tc>
        <w:tc>
          <w:tcPr>
            <w:tcW w:w="4282" w:type="dxa"/>
            <w:noWrap w:val="0"/>
            <w:vAlign w:val="center"/>
          </w:tcPr>
          <w:p w14:paraId="34A045DA">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资格要求</w:t>
            </w:r>
          </w:p>
        </w:tc>
      </w:tr>
      <w:tr w14:paraId="1F2A2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448" w:type="dxa"/>
            <w:noWrap w:val="0"/>
            <w:vAlign w:val="center"/>
          </w:tcPr>
          <w:p w14:paraId="3AE9999A">
            <w:pPr>
              <w:pageBreakBefore w:val="0"/>
              <w:kinsoku/>
              <w:wordWrap w:val="0"/>
              <w:bidi w:val="0"/>
              <w:spacing w:line="400" w:lineRule="atLeast"/>
              <w:jc w:val="center"/>
              <w:rPr>
                <w:rFonts w:hint="default" w:ascii="Times New Roman" w:hAnsi="Times New Roman" w:cs="Times New Roman"/>
                <w:color w:val="auto"/>
                <w:sz w:val="24"/>
                <w:highlight w:val="none"/>
              </w:rPr>
            </w:pPr>
          </w:p>
        </w:tc>
        <w:tc>
          <w:tcPr>
            <w:tcW w:w="2161" w:type="dxa"/>
            <w:noWrap w:val="0"/>
            <w:vAlign w:val="center"/>
          </w:tcPr>
          <w:p w14:paraId="3F9FED53">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4282" w:type="dxa"/>
            <w:noWrap w:val="0"/>
            <w:vAlign w:val="center"/>
          </w:tcPr>
          <w:p w14:paraId="549B1CCC">
            <w:pPr>
              <w:pageBreakBefore w:val="0"/>
              <w:kinsoku/>
              <w:wordWrap w:val="0"/>
              <w:bidi w:val="0"/>
              <w:spacing w:line="400" w:lineRule="atLeast"/>
              <w:rPr>
                <w:rFonts w:hint="default" w:ascii="Times New Roman" w:hAnsi="Times New Roman" w:cs="Times New Roman"/>
                <w:color w:val="auto"/>
                <w:sz w:val="24"/>
                <w:highlight w:val="none"/>
              </w:rPr>
            </w:pPr>
          </w:p>
        </w:tc>
      </w:tr>
      <w:tr w14:paraId="2EED1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448" w:type="dxa"/>
            <w:noWrap w:val="0"/>
            <w:vAlign w:val="center"/>
          </w:tcPr>
          <w:p w14:paraId="26B9A22E">
            <w:pPr>
              <w:pageBreakBefore w:val="0"/>
              <w:kinsoku/>
              <w:wordWrap w:val="0"/>
              <w:bidi w:val="0"/>
              <w:spacing w:line="400" w:lineRule="atLeast"/>
              <w:jc w:val="center"/>
              <w:rPr>
                <w:rFonts w:hint="default" w:ascii="Times New Roman" w:hAnsi="Times New Roman" w:cs="Times New Roman"/>
                <w:color w:val="auto"/>
                <w:sz w:val="24"/>
                <w:highlight w:val="none"/>
              </w:rPr>
            </w:pPr>
          </w:p>
        </w:tc>
        <w:tc>
          <w:tcPr>
            <w:tcW w:w="2161" w:type="dxa"/>
            <w:noWrap w:val="0"/>
            <w:vAlign w:val="center"/>
          </w:tcPr>
          <w:p w14:paraId="045A4739">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4282" w:type="dxa"/>
            <w:noWrap w:val="0"/>
            <w:vAlign w:val="center"/>
          </w:tcPr>
          <w:p w14:paraId="4DA7C695">
            <w:pPr>
              <w:pageBreakBefore w:val="0"/>
              <w:kinsoku/>
              <w:wordWrap w:val="0"/>
              <w:bidi w:val="0"/>
              <w:spacing w:line="400" w:lineRule="atLeast"/>
              <w:rPr>
                <w:rFonts w:hint="default" w:ascii="Times New Roman" w:hAnsi="Times New Roman" w:cs="Times New Roman"/>
                <w:color w:val="auto"/>
                <w:sz w:val="24"/>
                <w:highlight w:val="none"/>
              </w:rPr>
            </w:pPr>
          </w:p>
        </w:tc>
      </w:tr>
      <w:tr w14:paraId="77D14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448" w:type="dxa"/>
            <w:noWrap w:val="0"/>
            <w:vAlign w:val="center"/>
          </w:tcPr>
          <w:p w14:paraId="498719AB">
            <w:pPr>
              <w:pageBreakBefore w:val="0"/>
              <w:kinsoku/>
              <w:wordWrap w:val="0"/>
              <w:bidi w:val="0"/>
              <w:spacing w:line="400" w:lineRule="atLeast"/>
              <w:jc w:val="center"/>
              <w:rPr>
                <w:rFonts w:hint="default" w:ascii="Times New Roman" w:hAnsi="Times New Roman" w:cs="Times New Roman"/>
                <w:color w:val="auto"/>
                <w:sz w:val="24"/>
                <w:highlight w:val="none"/>
              </w:rPr>
            </w:pPr>
          </w:p>
        </w:tc>
        <w:tc>
          <w:tcPr>
            <w:tcW w:w="2161" w:type="dxa"/>
            <w:noWrap w:val="0"/>
            <w:vAlign w:val="center"/>
          </w:tcPr>
          <w:p w14:paraId="013CC2E2">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4282" w:type="dxa"/>
            <w:noWrap w:val="0"/>
            <w:vAlign w:val="center"/>
          </w:tcPr>
          <w:p w14:paraId="018C5BB4">
            <w:pPr>
              <w:pageBreakBefore w:val="0"/>
              <w:kinsoku/>
              <w:wordWrap w:val="0"/>
              <w:bidi w:val="0"/>
              <w:spacing w:line="400" w:lineRule="atLeast"/>
              <w:rPr>
                <w:rFonts w:hint="default" w:ascii="Times New Roman" w:hAnsi="Times New Roman" w:cs="Times New Roman"/>
                <w:color w:val="auto"/>
                <w:sz w:val="24"/>
                <w:highlight w:val="none"/>
              </w:rPr>
            </w:pPr>
          </w:p>
        </w:tc>
      </w:tr>
      <w:tr w14:paraId="539F2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448" w:type="dxa"/>
            <w:noWrap w:val="0"/>
            <w:vAlign w:val="center"/>
          </w:tcPr>
          <w:p w14:paraId="043CF542">
            <w:pPr>
              <w:pageBreakBefore w:val="0"/>
              <w:kinsoku/>
              <w:wordWrap w:val="0"/>
              <w:bidi w:val="0"/>
              <w:spacing w:line="400" w:lineRule="atLeast"/>
              <w:jc w:val="center"/>
              <w:rPr>
                <w:rFonts w:hint="default" w:ascii="Times New Roman" w:hAnsi="Times New Roman" w:cs="Times New Roman"/>
                <w:color w:val="auto"/>
                <w:sz w:val="24"/>
                <w:highlight w:val="none"/>
              </w:rPr>
            </w:pPr>
          </w:p>
        </w:tc>
        <w:tc>
          <w:tcPr>
            <w:tcW w:w="2161" w:type="dxa"/>
            <w:noWrap w:val="0"/>
            <w:vAlign w:val="center"/>
          </w:tcPr>
          <w:p w14:paraId="291F041C">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4282" w:type="dxa"/>
            <w:noWrap w:val="0"/>
            <w:vAlign w:val="center"/>
          </w:tcPr>
          <w:p w14:paraId="4B07ADC7">
            <w:pPr>
              <w:pageBreakBefore w:val="0"/>
              <w:kinsoku/>
              <w:wordWrap w:val="0"/>
              <w:bidi w:val="0"/>
              <w:spacing w:line="400" w:lineRule="atLeast"/>
              <w:rPr>
                <w:rFonts w:hint="default" w:ascii="Times New Roman" w:hAnsi="Times New Roman" w:cs="Times New Roman"/>
                <w:color w:val="auto"/>
                <w:sz w:val="24"/>
                <w:highlight w:val="none"/>
              </w:rPr>
            </w:pPr>
          </w:p>
        </w:tc>
      </w:tr>
      <w:tr w14:paraId="4C640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448" w:type="dxa"/>
            <w:noWrap w:val="0"/>
            <w:vAlign w:val="center"/>
          </w:tcPr>
          <w:p w14:paraId="3879AB81">
            <w:pPr>
              <w:pageBreakBefore w:val="0"/>
              <w:kinsoku/>
              <w:wordWrap w:val="0"/>
              <w:bidi w:val="0"/>
              <w:spacing w:line="400" w:lineRule="atLeast"/>
              <w:jc w:val="center"/>
              <w:rPr>
                <w:rFonts w:hint="default" w:ascii="Times New Roman" w:hAnsi="Times New Roman" w:cs="Times New Roman"/>
                <w:color w:val="auto"/>
                <w:sz w:val="24"/>
                <w:highlight w:val="none"/>
              </w:rPr>
            </w:pPr>
          </w:p>
        </w:tc>
        <w:tc>
          <w:tcPr>
            <w:tcW w:w="2161" w:type="dxa"/>
            <w:noWrap w:val="0"/>
            <w:vAlign w:val="center"/>
          </w:tcPr>
          <w:p w14:paraId="666C2C7F">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4282" w:type="dxa"/>
            <w:noWrap w:val="0"/>
            <w:vAlign w:val="center"/>
          </w:tcPr>
          <w:p w14:paraId="3F6DBE77">
            <w:pPr>
              <w:pageBreakBefore w:val="0"/>
              <w:kinsoku/>
              <w:wordWrap w:val="0"/>
              <w:bidi w:val="0"/>
              <w:spacing w:line="400" w:lineRule="atLeast"/>
              <w:rPr>
                <w:rFonts w:hint="default" w:ascii="Times New Roman" w:hAnsi="Times New Roman" w:cs="Times New Roman"/>
                <w:color w:val="auto"/>
                <w:sz w:val="24"/>
                <w:highlight w:val="none"/>
              </w:rPr>
            </w:pPr>
          </w:p>
        </w:tc>
      </w:tr>
      <w:tr w14:paraId="2088F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448" w:type="dxa"/>
            <w:noWrap w:val="0"/>
            <w:vAlign w:val="center"/>
          </w:tcPr>
          <w:p w14:paraId="410B88BA">
            <w:pPr>
              <w:pageBreakBefore w:val="0"/>
              <w:kinsoku/>
              <w:wordWrap w:val="0"/>
              <w:bidi w:val="0"/>
              <w:spacing w:line="400" w:lineRule="atLeast"/>
              <w:jc w:val="center"/>
              <w:rPr>
                <w:rFonts w:hint="default" w:ascii="Times New Roman" w:hAnsi="Times New Roman" w:cs="Times New Roman"/>
                <w:color w:val="auto"/>
                <w:sz w:val="24"/>
                <w:highlight w:val="none"/>
              </w:rPr>
            </w:pPr>
          </w:p>
        </w:tc>
        <w:tc>
          <w:tcPr>
            <w:tcW w:w="2161" w:type="dxa"/>
            <w:noWrap w:val="0"/>
            <w:vAlign w:val="center"/>
          </w:tcPr>
          <w:p w14:paraId="5A28E9E7">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4282" w:type="dxa"/>
            <w:noWrap w:val="0"/>
            <w:vAlign w:val="center"/>
          </w:tcPr>
          <w:p w14:paraId="428297BE">
            <w:pPr>
              <w:pageBreakBefore w:val="0"/>
              <w:kinsoku/>
              <w:wordWrap w:val="0"/>
              <w:bidi w:val="0"/>
              <w:spacing w:line="400" w:lineRule="atLeast"/>
              <w:rPr>
                <w:rFonts w:hint="default" w:ascii="Times New Roman" w:hAnsi="Times New Roman" w:cs="Times New Roman"/>
                <w:color w:val="auto"/>
                <w:sz w:val="24"/>
                <w:highlight w:val="none"/>
              </w:rPr>
            </w:pPr>
          </w:p>
        </w:tc>
      </w:tr>
      <w:tr w14:paraId="0932B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448" w:type="dxa"/>
            <w:noWrap w:val="0"/>
            <w:vAlign w:val="center"/>
          </w:tcPr>
          <w:p w14:paraId="5EFE01DC">
            <w:pPr>
              <w:pageBreakBefore w:val="0"/>
              <w:kinsoku/>
              <w:wordWrap w:val="0"/>
              <w:bidi w:val="0"/>
              <w:spacing w:line="400" w:lineRule="atLeast"/>
              <w:jc w:val="center"/>
              <w:rPr>
                <w:rFonts w:hint="default" w:ascii="Times New Roman" w:hAnsi="Times New Roman" w:cs="Times New Roman"/>
                <w:color w:val="auto"/>
                <w:sz w:val="24"/>
                <w:highlight w:val="none"/>
              </w:rPr>
            </w:pPr>
          </w:p>
        </w:tc>
        <w:tc>
          <w:tcPr>
            <w:tcW w:w="2161" w:type="dxa"/>
            <w:noWrap w:val="0"/>
            <w:vAlign w:val="center"/>
          </w:tcPr>
          <w:p w14:paraId="789BA224">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4282" w:type="dxa"/>
            <w:noWrap w:val="0"/>
            <w:vAlign w:val="center"/>
          </w:tcPr>
          <w:p w14:paraId="2596F8D4">
            <w:pPr>
              <w:pageBreakBefore w:val="0"/>
              <w:kinsoku/>
              <w:wordWrap w:val="0"/>
              <w:bidi w:val="0"/>
              <w:spacing w:line="400" w:lineRule="atLeast"/>
              <w:rPr>
                <w:rFonts w:hint="default" w:ascii="Times New Roman" w:hAnsi="Times New Roman" w:cs="Times New Roman"/>
                <w:color w:val="auto"/>
                <w:sz w:val="24"/>
                <w:highlight w:val="none"/>
              </w:rPr>
            </w:pPr>
          </w:p>
        </w:tc>
      </w:tr>
      <w:tr w14:paraId="108B5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448" w:type="dxa"/>
            <w:noWrap w:val="0"/>
            <w:vAlign w:val="center"/>
          </w:tcPr>
          <w:p w14:paraId="1D57B6FF">
            <w:pPr>
              <w:pageBreakBefore w:val="0"/>
              <w:kinsoku/>
              <w:wordWrap w:val="0"/>
              <w:bidi w:val="0"/>
              <w:spacing w:line="400" w:lineRule="atLeast"/>
              <w:jc w:val="center"/>
              <w:rPr>
                <w:rFonts w:hint="default" w:ascii="Times New Roman" w:hAnsi="Times New Roman" w:cs="Times New Roman"/>
                <w:color w:val="auto"/>
                <w:sz w:val="24"/>
                <w:highlight w:val="none"/>
              </w:rPr>
            </w:pPr>
          </w:p>
        </w:tc>
        <w:tc>
          <w:tcPr>
            <w:tcW w:w="2161" w:type="dxa"/>
            <w:noWrap w:val="0"/>
            <w:vAlign w:val="center"/>
          </w:tcPr>
          <w:p w14:paraId="79F667F8">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4282" w:type="dxa"/>
            <w:noWrap w:val="0"/>
            <w:vAlign w:val="center"/>
          </w:tcPr>
          <w:p w14:paraId="12DF63B4">
            <w:pPr>
              <w:pageBreakBefore w:val="0"/>
              <w:kinsoku/>
              <w:wordWrap w:val="0"/>
              <w:bidi w:val="0"/>
              <w:spacing w:line="400" w:lineRule="atLeast"/>
              <w:rPr>
                <w:rFonts w:hint="default" w:ascii="Times New Roman" w:hAnsi="Times New Roman" w:cs="Times New Roman"/>
                <w:color w:val="auto"/>
                <w:sz w:val="24"/>
                <w:highlight w:val="none"/>
              </w:rPr>
            </w:pPr>
          </w:p>
        </w:tc>
      </w:tr>
      <w:tr w14:paraId="67FD5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448" w:type="dxa"/>
            <w:noWrap w:val="0"/>
            <w:vAlign w:val="center"/>
          </w:tcPr>
          <w:p w14:paraId="6E861774">
            <w:pPr>
              <w:pageBreakBefore w:val="0"/>
              <w:kinsoku/>
              <w:wordWrap w:val="0"/>
              <w:bidi w:val="0"/>
              <w:spacing w:line="400" w:lineRule="atLeast"/>
              <w:jc w:val="center"/>
              <w:rPr>
                <w:rFonts w:hint="default" w:ascii="Times New Roman" w:hAnsi="Times New Roman" w:cs="Times New Roman"/>
                <w:color w:val="auto"/>
                <w:sz w:val="24"/>
                <w:highlight w:val="none"/>
              </w:rPr>
            </w:pPr>
          </w:p>
        </w:tc>
        <w:tc>
          <w:tcPr>
            <w:tcW w:w="2161" w:type="dxa"/>
            <w:noWrap w:val="0"/>
            <w:vAlign w:val="center"/>
          </w:tcPr>
          <w:p w14:paraId="3E939284">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4282" w:type="dxa"/>
            <w:noWrap w:val="0"/>
            <w:vAlign w:val="center"/>
          </w:tcPr>
          <w:p w14:paraId="2BB14064">
            <w:pPr>
              <w:pageBreakBefore w:val="0"/>
              <w:kinsoku/>
              <w:wordWrap w:val="0"/>
              <w:bidi w:val="0"/>
              <w:spacing w:line="400" w:lineRule="atLeast"/>
              <w:rPr>
                <w:rFonts w:hint="default" w:ascii="Times New Roman" w:hAnsi="Times New Roman" w:cs="Times New Roman"/>
                <w:color w:val="auto"/>
                <w:sz w:val="24"/>
                <w:highlight w:val="none"/>
              </w:rPr>
            </w:pPr>
          </w:p>
        </w:tc>
      </w:tr>
      <w:tr w14:paraId="252DC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448" w:type="dxa"/>
            <w:noWrap w:val="0"/>
            <w:vAlign w:val="center"/>
          </w:tcPr>
          <w:p w14:paraId="7114918D">
            <w:pPr>
              <w:pageBreakBefore w:val="0"/>
              <w:kinsoku/>
              <w:wordWrap w:val="0"/>
              <w:bidi w:val="0"/>
              <w:spacing w:line="400" w:lineRule="atLeast"/>
              <w:jc w:val="center"/>
              <w:rPr>
                <w:rFonts w:hint="default" w:ascii="Times New Roman" w:hAnsi="Times New Roman" w:cs="Times New Roman"/>
                <w:color w:val="auto"/>
                <w:sz w:val="24"/>
                <w:highlight w:val="none"/>
              </w:rPr>
            </w:pPr>
          </w:p>
        </w:tc>
        <w:tc>
          <w:tcPr>
            <w:tcW w:w="2161" w:type="dxa"/>
            <w:noWrap w:val="0"/>
            <w:vAlign w:val="center"/>
          </w:tcPr>
          <w:p w14:paraId="7EADD0E6">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4282" w:type="dxa"/>
            <w:noWrap w:val="0"/>
            <w:vAlign w:val="center"/>
          </w:tcPr>
          <w:p w14:paraId="4FA6EE78">
            <w:pPr>
              <w:pageBreakBefore w:val="0"/>
              <w:kinsoku/>
              <w:wordWrap w:val="0"/>
              <w:bidi w:val="0"/>
              <w:spacing w:line="400" w:lineRule="atLeast"/>
              <w:rPr>
                <w:rFonts w:hint="default" w:ascii="Times New Roman" w:hAnsi="Times New Roman" w:cs="Times New Roman"/>
                <w:color w:val="auto"/>
                <w:sz w:val="24"/>
                <w:highlight w:val="none"/>
              </w:rPr>
            </w:pPr>
          </w:p>
        </w:tc>
      </w:tr>
      <w:tr w14:paraId="32322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24" w:hRule="atLeast"/>
          <w:jc w:val="center"/>
        </w:trPr>
        <w:tc>
          <w:tcPr>
            <w:tcW w:w="2448" w:type="dxa"/>
            <w:noWrap w:val="0"/>
            <w:vAlign w:val="center"/>
          </w:tcPr>
          <w:p w14:paraId="6E2169DC">
            <w:pPr>
              <w:pageBreakBefore w:val="0"/>
              <w:kinsoku/>
              <w:wordWrap w:val="0"/>
              <w:bidi w:val="0"/>
              <w:spacing w:line="400" w:lineRule="atLeast"/>
              <w:jc w:val="center"/>
              <w:rPr>
                <w:rFonts w:hint="default" w:ascii="Times New Roman" w:hAnsi="Times New Roman" w:cs="Times New Roman"/>
                <w:color w:val="auto"/>
                <w:sz w:val="24"/>
                <w:highlight w:val="none"/>
              </w:rPr>
            </w:pPr>
          </w:p>
        </w:tc>
        <w:tc>
          <w:tcPr>
            <w:tcW w:w="2161" w:type="dxa"/>
            <w:noWrap w:val="0"/>
            <w:vAlign w:val="center"/>
          </w:tcPr>
          <w:p w14:paraId="1655E699">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4282" w:type="dxa"/>
            <w:noWrap w:val="0"/>
            <w:vAlign w:val="center"/>
          </w:tcPr>
          <w:p w14:paraId="21438082">
            <w:pPr>
              <w:pageBreakBefore w:val="0"/>
              <w:kinsoku/>
              <w:wordWrap w:val="0"/>
              <w:bidi w:val="0"/>
              <w:spacing w:line="400" w:lineRule="atLeast"/>
              <w:rPr>
                <w:rFonts w:hint="default" w:ascii="Times New Roman" w:hAnsi="Times New Roman" w:cs="Times New Roman"/>
                <w:color w:val="auto"/>
                <w:sz w:val="24"/>
                <w:highlight w:val="none"/>
              </w:rPr>
            </w:pPr>
          </w:p>
        </w:tc>
      </w:tr>
      <w:tr w14:paraId="574D6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448" w:type="dxa"/>
            <w:noWrap w:val="0"/>
            <w:vAlign w:val="center"/>
          </w:tcPr>
          <w:p w14:paraId="2351E9F4">
            <w:pPr>
              <w:pageBreakBefore w:val="0"/>
              <w:kinsoku/>
              <w:wordWrap w:val="0"/>
              <w:bidi w:val="0"/>
              <w:spacing w:line="400" w:lineRule="atLeast"/>
              <w:jc w:val="center"/>
              <w:rPr>
                <w:rFonts w:hint="default" w:ascii="Times New Roman" w:hAnsi="Times New Roman" w:cs="Times New Roman"/>
                <w:color w:val="auto"/>
                <w:sz w:val="24"/>
                <w:highlight w:val="none"/>
              </w:rPr>
            </w:pPr>
          </w:p>
        </w:tc>
        <w:tc>
          <w:tcPr>
            <w:tcW w:w="2161" w:type="dxa"/>
            <w:noWrap w:val="0"/>
            <w:vAlign w:val="center"/>
          </w:tcPr>
          <w:p w14:paraId="501EAC2C">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4282" w:type="dxa"/>
            <w:noWrap w:val="0"/>
            <w:vAlign w:val="center"/>
          </w:tcPr>
          <w:p w14:paraId="3566DA93">
            <w:pPr>
              <w:pageBreakBefore w:val="0"/>
              <w:kinsoku/>
              <w:wordWrap w:val="0"/>
              <w:bidi w:val="0"/>
              <w:spacing w:line="400" w:lineRule="atLeast"/>
              <w:rPr>
                <w:rFonts w:hint="default" w:ascii="Times New Roman" w:hAnsi="Times New Roman" w:cs="Times New Roman"/>
                <w:color w:val="auto"/>
                <w:sz w:val="24"/>
                <w:highlight w:val="none"/>
              </w:rPr>
            </w:pPr>
          </w:p>
        </w:tc>
      </w:tr>
      <w:tr w14:paraId="39A21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448" w:type="dxa"/>
            <w:noWrap w:val="0"/>
            <w:vAlign w:val="center"/>
          </w:tcPr>
          <w:p w14:paraId="70952F63">
            <w:pPr>
              <w:pageBreakBefore w:val="0"/>
              <w:kinsoku/>
              <w:wordWrap w:val="0"/>
              <w:bidi w:val="0"/>
              <w:spacing w:line="400" w:lineRule="atLeast"/>
              <w:jc w:val="center"/>
              <w:rPr>
                <w:rFonts w:hint="default" w:ascii="Times New Roman" w:hAnsi="Times New Roman" w:cs="Times New Roman"/>
                <w:color w:val="auto"/>
                <w:sz w:val="24"/>
                <w:highlight w:val="none"/>
              </w:rPr>
            </w:pPr>
          </w:p>
        </w:tc>
        <w:tc>
          <w:tcPr>
            <w:tcW w:w="2161" w:type="dxa"/>
            <w:noWrap w:val="0"/>
            <w:vAlign w:val="center"/>
          </w:tcPr>
          <w:p w14:paraId="7E8CA072">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4282" w:type="dxa"/>
            <w:noWrap w:val="0"/>
            <w:vAlign w:val="center"/>
          </w:tcPr>
          <w:p w14:paraId="5373738B">
            <w:pPr>
              <w:pageBreakBefore w:val="0"/>
              <w:kinsoku/>
              <w:wordWrap w:val="0"/>
              <w:bidi w:val="0"/>
              <w:spacing w:line="400" w:lineRule="atLeast"/>
              <w:rPr>
                <w:rFonts w:hint="default" w:ascii="Times New Roman" w:hAnsi="Times New Roman" w:cs="Times New Roman"/>
                <w:color w:val="auto"/>
                <w:sz w:val="24"/>
                <w:highlight w:val="none"/>
              </w:rPr>
            </w:pPr>
          </w:p>
        </w:tc>
      </w:tr>
      <w:tr w14:paraId="64162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448" w:type="dxa"/>
            <w:noWrap w:val="0"/>
            <w:vAlign w:val="center"/>
          </w:tcPr>
          <w:p w14:paraId="21725C65">
            <w:pPr>
              <w:pageBreakBefore w:val="0"/>
              <w:kinsoku/>
              <w:wordWrap w:val="0"/>
              <w:bidi w:val="0"/>
              <w:spacing w:line="400" w:lineRule="atLeast"/>
              <w:jc w:val="center"/>
              <w:rPr>
                <w:rFonts w:hint="default" w:ascii="Times New Roman" w:hAnsi="Times New Roman" w:cs="Times New Roman"/>
                <w:color w:val="auto"/>
                <w:sz w:val="24"/>
                <w:highlight w:val="none"/>
              </w:rPr>
            </w:pPr>
          </w:p>
        </w:tc>
        <w:tc>
          <w:tcPr>
            <w:tcW w:w="2161" w:type="dxa"/>
            <w:noWrap w:val="0"/>
            <w:vAlign w:val="center"/>
          </w:tcPr>
          <w:p w14:paraId="17FDD693">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4282" w:type="dxa"/>
            <w:noWrap w:val="0"/>
            <w:vAlign w:val="center"/>
          </w:tcPr>
          <w:p w14:paraId="1FAAB6C4">
            <w:pPr>
              <w:pageBreakBefore w:val="0"/>
              <w:kinsoku/>
              <w:wordWrap w:val="0"/>
              <w:bidi w:val="0"/>
              <w:spacing w:line="400" w:lineRule="atLeast"/>
              <w:rPr>
                <w:rFonts w:hint="default" w:ascii="Times New Roman" w:hAnsi="Times New Roman" w:cs="Times New Roman"/>
                <w:color w:val="auto"/>
                <w:sz w:val="24"/>
                <w:highlight w:val="none"/>
              </w:rPr>
            </w:pPr>
          </w:p>
        </w:tc>
      </w:tr>
      <w:tr w14:paraId="3E10C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448" w:type="dxa"/>
            <w:noWrap w:val="0"/>
            <w:vAlign w:val="center"/>
          </w:tcPr>
          <w:p w14:paraId="1D15F040">
            <w:pPr>
              <w:pageBreakBefore w:val="0"/>
              <w:kinsoku/>
              <w:wordWrap w:val="0"/>
              <w:bidi w:val="0"/>
              <w:spacing w:line="400" w:lineRule="atLeast"/>
              <w:jc w:val="center"/>
              <w:rPr>
                <w:rFonts w:hint="default" w:ascii="Times New Roman" w:hAnsi="Times New Roman" w:cs="Times New Roman"/>
                <w:color w:val="auto"/>
                <w:sz w:val="24"/>
                <w:highlight w:val="none"/>
              </w:rPr>
            </w:pPr>
          </w:p>
        </w:tc>
        <w:tc>
          <w:tcPr>
            <w:tcW w:w="2161" w:type="dxa"/>
            <w:noWrap w:val="0"/>
            <w:vAlign w:val="center"/>
          </w:tcPr>
          <w:p w14:paraId="32BE21AC">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4282" w:type="dxa"/>
            <w:noWrap w:val="0"/>
            <w:vAlign w:val="center"/>
          </w:tcPr>
          <w:p w14:paraId="28B6D4E9">
            <w:pPr>
              <w:pageBreakBefore w:val="0"/>
              <w:kinsoku/>
              <w:wordWrap w:val="0"/>
              <w:bidi w:val="0"/>
              <w:spacing w:line="400" w:lineRule="atLeast"/>
              <w:rPr>
                <w:rFonts w:hint="default" w:ascii="Times New Roman" w:hAnsi="Times New Roman" w:cs="Times New Roman"/>
                <w:color w:val="auto"/>
                <w:sz w:val="24"/>
                <w:highlight w:val="none"/>
              </w:rPr>
            </w:pPr>
          </w:p>
        </w:tc>
      </w:tr>
    </w:tbl>
    <w:p w14:paraId="4936E647">
      <w:pPr>
        <w:pStyle w:val="6"/>
        <w:pageBreakBefore w:val="0"/>
        <w:kinsoku/>
        <w:wordWrap w:val="0"/>
        <w:bidi w:val="0"/>
        <w:spacing w:before="0" w:after="0" w:line="380" w:lineRule="atLeast"/>
        <w:jc w:val="both"/>
        <w:outlineLvl w:val="3"/>
        <w:rPr>
          <w:rFonts w:hint="default" w:ascii="Times New Roman" w:hAnsi="Times New Roman" w:eastAsia="黑体" w:cs="Times New Roman"/>
          <w:i w:val="0"/>
          <w:iCs/>
          <w:color w:val="auto"/>
          <w:sz w:val="24"/>
          <w:highlight w:val="none"/>
        </w:rPr>
      </w:pPr>
      <w:r>
        <w:rPr>
          <w:rFonts w:hint="default" w:ascii="Times New Roman" w:hAnsi="Times New Roman" w:eastAsia="黑体" w:cs="Times New Roman"/>
          <w:color w:val="auto"/>
          <w:sz w:val="24"/>
          <w:highlight w:val="none"/>
        </w:rPr>
        <w:br w:type="page"/>
      </w:r>
      <w:bookmarkStart w:id="1522" w:name="_Toc28190"/>
      <w:bookmarkStart w:id="1523" w:name="_Toc28672"/>
      <w:bookmarkStart w:id="1524" w:name="_Toc234833235"/>
      <w:bookmarkStart w:id="1525" w:name="_Toc22982"/>
      <w:r>
        <w:rPr>
          <w:rFonts w:hint="default" w:ascii="Times New Roman" w:hAnsi="Times New Roman" w:eastAsia="黑体" w:cs="Times New Roman"/>
          <w:i w:val="0"/>
          <w:iCs/>
          <w:color w:val="auto"/>
          <w:sz w:val="24"/>
          <w:highlight w:val="none"/>
        </w:rPr>
        <w:t>附件五</w:t>
      </w:r>
      <w:r>
        <w:rPr>
          <w:rFonts w:hint="eastAsia" w:ascii="Times New Roman" w:hAnsi="Times New Roman" w:eastAsia="黑体" w:cs="Times New Roman"/>
          <w:i w:val="0"/>
          <w:iCs/>
          <w:color w:val="auto"/>
          <w:sz w:val="24"/>
          <w:highlight w:val="none"/>
          <w:lang w:val="en-US" w:eastAsia="zh-CN"/>
        </w:rPr>
        <w:t xml:space="preserve"> </w:t>
      </w:r>
      <w:r>
        <w:rPr>
          <w:rFonts w:hint="default" w:ascii="Times New Roman" w:hAnsi="Times New Roman" w:eastAsia="黑体" w:cs="Times New Roman"/>
          <w:i w:val="0"/>
          <w:iCs/>
          <w:color w:val="auto"/>
          <w:sz w:val="24"/>
          <w:highlight w:val="none"/>
        </w:rPr>
        <w:t>主要机械设备和试验检测设备最低要求</w:t>
      </w:r>
      <w:r>
        <w:rPr>
          <w:rFonts w:hint="default" w:ascii="Times New Roman" w:hAnsi="Times New Roman" w:eastAsia="黑体" w:cs="Times New Roman"/>
          <w:i w:val="0"/>
          <w:iCs/>
          <w:color w:val="auto"/>
          <w:sz w:val="24"/>
          <w:highlight w:val="none"/>
          <w:vertAlign w:val="superscript"/>
        </w:rPr>
        <w:footnoteReference w:id="42"/>
      </w:r>
      <w:bookmarkEnd w:id="1522"/>
      <w:bookmarkEnd w:id="1523"/>
      <w:bookmarkEnd w:id="1524"/>
      <w:bookmarkEnd w:id="1525"/>
    </w:p>
    <w:p w14:paraId="64765A12">
      <w:pPr>
        <w:pageBreakBefore w:val="0"/>
        <w:kinsoku/>
        <w:wordWrap w:val="0"/>
        <w:bidi w:val="0"/>
        <w:spacing w:before="0" w:after="0" w:line="380" w:lineRule="atLeast"/>
        <w:jc w:val="both"/>
        <w:outlineLvl w:val="9"/>
        <w:rPr>
          <w:rFonts w:hint="default" w:ascii="Times New Roman" w:hAnsi="Times New Roman" w:eastAsia="黑体" w:cs="Times New Roman"/>
          <w:i w:val="0"/>
          <w:iCs/>
          <w:color w:val="auto"/>
          <w:sz w:val="24"/>
          <w:highlight w:val="none"/>
        </w:rPr>
      </w:pP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2"/>
        <w:gridCol w:w="2745"/>
        <w:gridCol w:w="1386"/>
        <w:gridCol w:w="2194"/>
      </w:tblGrid>
      <w:tr w14:paraId="67F5E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232" w:type="dxa"/>
            <w:noWrap w:val="0"/>
            <w:vAlign w:val="center"/>
          </w:tcPr>
          <w:p w14:paraId="022457E1">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设备名称</w:t>
            </w:r>
          </w:p>
        </w:tc>
        <w:tc>
          <w:tcPr>
            <w:tcW w:w="2745" w:type="dxa"/>
            <w:noWrap w:val="0"/>
            <w:vAlign w:val="center"/>
          </w:tcPr>
          <w:p w14:paraId="4A12D5FE">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规格、功率及容量</w:t>
            </w:r>
          </w:p>
        </w:tc>
        <w:tc>
          <w:tcPr>
            <w:tcW w:w="1386" w:type="dxa"/>
            <w:noWrap w:val="0"/>
            <w:vAlign w:val="center"/>
          </w:tcPr>
          <w:p w14:paraId="7F42ED7F">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单位</w:t>
            </w:r>
          </w:p>
        </w:tc>
        <w:tc>
          <w:tcPr>
            <w:tcW w:w="2194" w:type="dxa"/>
            <w:noWrap w:val="0"/>
            <w:vAlign w:val="center"/>
          </w:tcPr>
          <w:p w14:paraId="1A656A39">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最低数量要求</w:t>
            </w:r>
          </w:p>
        </w:tc>
      </w:tr>
      <w:tr w14:paraId="49AC4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232" w:type="dxa"/>
            <w:noWrap w:val="0"/>
            <w:vAlign w:val="center"/>
          </w:tcPr>
          <w:p w14:paraId="10A2A00F">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2745" w:type="dxa"/>
            <w:noWrap w:val="0"/>
            <w:vAlign w:val="center"/>
          </w:tcPr>
          <w:p w14:paraId="5106A18A">
            <w:pPr>
              <w:pageBreakBefore w:val="0"/>
              <w:kinsoku/>
              <w:wordWrap w:val="0"/>
              <w:bidi w:val="0"/>
              <w:spacing w:line="400" w:lineRule="atLeast"/>
              <w:rPr>
                <w:rFonts w:hint="default" w:ascii="Times New Roman" w:hAnsi="Times New Roman" w:cs="Times New Roman"/>
                <w:color w:val="auto"/>
                <w:sz w:val="24"/>
                <w:highlight w:val="none"/>
              </w:rPr>
            </w:pPr>
          </w:p>
        </w:tc>
        <w:tc>
          <w:tcPr>
            <w:tcW w:w="1386" w:type="dxa"/>
            <w:noWrap w:val="0"/>
            <w:vAlign w:val="center"/>
          </w:tcPr>
          <w:p w14:paraId="70704E88">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2194" w:type="dxa"/>
            <w:noWrap w:val="0"/>
            <w:vAlign w:val="center"/>
          </w:tcPr>
          <w:p w14:paraId="3BDFA144">
            <w:pPr>
              <w:pageBreakBefore w:val="0"/>
              <w:kinsoku/>
              <w:wordWrap w:val="0"/>
              <w:bidi w:val="0"/>
              <w:spacing w:line="400" w:lineRule="atLeast"/>
              <w:rPr>
                <w:rFonts w:hint="default" w:ascii="Times New Roman" w:hAnsi="Times New Roman" w:cs="Times New Roman"/>
                <w:color w:val="auto"/>
                <w:sz w:val="24"/>
                <w:highlight w:val="none"/>
              </w:rPr>
            </w:pPr>
          </w:p>
        </w:tc>
      </w:tr>
      <w:tr w14:paraId="093E7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232" w:type="dxa"/>
            <w:noWrap w:val="0"/>
            <w:vAlign w:val="center"/>
          </w:tcPr>
          <w:p w14:paraId="431BA588">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2745" w:type="dxa"/>
            <w:noWrap w:val="0"/>
            <w:vAlign w:val="center"/>
          </w:tcPr>
          <w:p w14:paraId="2726C2A9">
            <w:pPr>
              <w:pageBreakBefore w:val="0"/>
              <w:kinsoku/>
              <w:wordWrap w:val="0"/>
              <w:bidi w:val="0"/>
              <w:spacing w:line="400" w:lineRule="atLeast"/>
              <w:rPr>
                <w:rFonts w:hint="default" w:ascii="Times New Roman" w:hAnsi="Times New Roman" w:cs="Times New Roman"/>
                <w:color w:val="auto"/>
                <w:sz w:val="24"/>
                <w:highlight w:val="none"/>
              </w:rPr>
            </w:pPr>
          </w:p>
        </w:tc>
        <w:tc>
          <w:tcPr>
            <w:tcW w:w="1386" w:type="dxa"/>
            <w:noWrap w:val="0"/>
            <w:vAlign w:val="center"/>
          </w:tcPr>
          <w:p w14:paraId="366B21DB">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2194" w:type="dxa"/>
            <w:noWrap w:val="0"/>
            <w:vAlign w:val="center"/>
          </w:tcPr>
          <w:p w14:paraId="52F392B0">
            <w:pPr>
              <w:pageBreakBefore w:val="0"/>
              <w:kinsoku/>
              <w:wordWrap w:val="0"/>
              <w:bidi w:val="0"/>
              <w:spacing w:line="400" w:lineRule="atLeast"/>
              <w:rPr>
                <w:rFonts w:hint="default" w:ascii="Times New Roman" w:hAnsi="Times New Roman" w:cs="Times New Roman"/>
                <w:color w:val="auto"/>
                <w:sz w:val="24"/>
                <w:highlight w:val="none"/>
              </w:rPr>
            </w:pPr>
          </w:p>
        </w:tc>
      </w:tr>
      <w:tr w14:paraId="52CB5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232" w:type="dxa"/>
            <w:noWrap w:val="0"/>
            <w:vAlign w:val="center"/>
          </w:tcPr>
          <w:p w14:paraId="0E1CC239">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2745" w:type="dxa"/>
            <w:noWrap w:val="0"/>
            <w:vAlign w:val="center"/>
          </w:tcPr>
          <w:p w14:paraId="5D976A74">
            <w:pPr>
              <w:pageBreakBefore w:val="0"/>
              <w:kinsoku/>
              <w:wordWrap w:val="0"/>
              <w:bidi w:val="0"/>
              <w:spacing w:line="400" w:lineRule="atLeast"/>
              <w:rPr>
                <w:rFonts w:hint="default" w:ascii="Times New Roman" w:hAnsi="Times New Roman" w:cs="Times New Roman"/>
                <w:color w:val="auto"/>
                <w:sz w:val="24"/>
                <w:highlight w:val="none"/>
              </w:rPr>
            </w:pPr>
          </w:p>
        </w:tc>
        <w:tc>
          <w:tcPr>
            <w:tcW w:w="1386" w:type="dxa"/>
            <w:noWrap w:val="0"/>
            <w:vAlign w:val="center"/>
          </w:tcPr>
          <w:p w14:paraId="612E48FF">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2194" w:type="dxa"/>
            <w:noWrap w:val="0"/>
            <w:vAlign w:val="center"/>
          </w:tcPr>
          <w:p w14:paraId="1B60814B">
            <w:pPr>
              <w:pageBreakBefore w:val="0"/>
              <w:kinsoku/>
              <w:wordWrap w:val="0"/>
              <w:bidi w:val="0"/>
              <w:spacing w:line="400" w:lineRule="atLeast"/>
              <w:rPr>
                <w:rFonts w:hint="default" w:ascii="Times New Roman" w:hAnsi="Times New Roman" w:cs="Times New Roman"/>
                <w:color w:val="auto"/>
                <w:sz w:val="24"/>
                <w:highlight w:val="none"/>
              </w:rPr>
            </w:pPr>
          </w:p>
        </w:tc>
      </w:tr>
      <w:tr w14:paraId="352E2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232" w:type="dxa"/>
            <w:tcBorders>
              <w:top w:val="single" w:color="auto" w:sz="4" w:space="0"/>
              <w:left w:val="single" w:color="auto" w:sz="4" w:space="0"/>
              <w:bottom w:val="single" w:color="auto" w:sz="4" w:space="0"/>
              <w:right w:val="single" w:color="auto" w:sz="4" w:space="0"/>
            </w:tcBorders>
            <w:noWrap w:val="0"/>
            <w:vAlign w:val="center"/>
          </w:tcPr>
          <w:p w14:paraId="2AC7EBB9">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2745" w:type="dxa"/>
            <w:tcBorders>
              <w:top w:val="single" w:color="auto" w:sz="4" w:space="0"/>
              <w:left w:val="single" w:color="auto" w:sz="4" w:space="0"/>
              <w:bottom w:val="single" w:color="auto" w:sz="4" w:space="0"/>
              <w:right w:val="single" w:color="auto" w:sz="4" w:space="0"/>
            </w:tcBorders>
            <w:noWrap w:val="0"/>
            <w:vAlign w:val="center"/>
          </w:tcPr>
          <w:p w14:paraId="64787D7E">
            <w:pPr>
              <w:pageBreakBefore w:val="0"/>
              <w:kinsoku/>
              <w:wordWrap w:val="0"/>
              <w:bidi w:val="0"/>
              <w:spacing w:line="400" w:lineRule="atLeast"/>
              <w:rPr>
                <w:rFonts w:hint="default" w:ascii="Times New Roman" w:hAnsi="Times New Roman" w:cs="Times New Roman"/>
                <w:color w:val="auto"/>
                <w:sz w:val="24"/>
                <w:highlight w:val="none"/>
              </w:rPr>
            </w:pPr>
          </w:p>
        </w:tc>
        <w:tc>
          <w:tcPr>
            <w:tcW w:w="1386" w:type="dxa"/>
            <w:tcBorders>
              <w:top w:val="single" w:color="auto" w:sz="4" w:space="0"/>
              <w:left w:val="single" w:color="auto" w:sz="4" w:space="0"/>
              <w:bottom w:val="single" w:color="auto" w:sz="4" w:space="0"/>
              <w:right w:val="single" w:color="auto" w:sz="4" w:space="0"/>
            </w:tcBorders>
            <w:noWrap w:val="0"/>
            <w:vAlign w:val="center"/>
          </w:tcPr>
          <w:p w14:paraId="0DD8CEF8">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2194" w:type="dxa"/>
            <w:tcBorders>
              <w:top w:val="single" w:color="auto" w:sz="4" w:space="0"/>
              <w:left w:val="single" w:color="auto" w:sz="4" w:space="0"/>
              <w:bottom w:val="single" w:color="auto" w:sz="4" w:space="0"/>
              <w:right w:val="single" w:color="auto" w:sz="4" w:space="0"/>
            </w:tcBorders>
            <w:noWrap w:val="0"/>
            <w:vAlign w:val="center"/>
          </w:tcPr>
          <w:p w14:paraId="55CB2A14">
            <w:pPr>
              <w:pageBreakBefore w:val="0"/>
              <w:kinsoku/>
              <w:wordWrap w:val="0"/>
              <w:bidi w:val="0"/>
              <w:spacing w:line="400" w:lineRule="atLeast"/>
              <w:rPr>
                <w:rFonts w:hint="default" w:ascii="Times New Roman" w:hAnsi="Times New Roman" w:cs="Times New Roman"/>
                <w:color w:val="auto"/>
                <w:sz w:val="24"/>
                <w:highlight w:val="none"/>
              </w:rPr>
            </w:pPr>
          </w:p>
        </w:tc>
      </w:tr>
      <w:tr w14:paraId="1D979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232" w:type="dxa"/>
            <w:tcBorders>
              <w:top w:val="single" w:color="auto" w:sz="4" w:space="0"/>
              <w:left w:val="single" w:color="auto" w:sz="4" w:space="0"/>
              <w:bottom w:val="single" w:color="auto" w:sz="4" w:space="0"/>
              <w:right w:val="single" w:color="auto" w:sz="4" w:space="0"/>
            </w:tcBorders>
            <w:noWrap w:val="0"/>
            <w:vAlign w:val="center"/>
          </w:tcPr>
          <w:p w14:paraId="25FC5BEA">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2745" w:type="dxa"/>
            <w:tcBorders>
              <w:top w:val="single" w:color="auto" w:sz="4" w:space="0"/>
              <w:left w:val="single" w:color="auto" w:sz="4" w:space="0"/>
              <w:bottom w:val="single" w:color="auto" w:sz="4" w:space="0"/>
              <w:right w:val="single" w:color="auto" w:sz="4" w:space="0"/>
            </w:tcBorders>
            <w:noWrap w:val="0"/>
            <w:vAlign w:val="center"/>
          </w:tcPr>
          <w:p w14:paraId="46B3F6FB">
            <w:pPr>
              <w:pageBreakBefore w:val="0"/>
              <w:kinsoku/>
              <w:wordWrap w:val="0"/>
              <w:bidi w:val="0"/>
              <w:spacing w:line="400" w:lineRule="atLeast"/>
              <w:rPr>
                <w:rFonts w:hint="default" w:ascii="Times New Roman" w:hAnsi="Times New Roman" w:cs="Times New Roman"/>
                <w:color w:val="auto"/>
                <w:sz w:val="24"/>
                <w:highlight w:val="none"/>
              </w:rPr>
            </w:pPr>
          </w:p>
        </w:tc>
        <w:tc>
          <w:tcPr>
            <w:tcW w:w="1386" w:type="dxa"/>
            <w:tcBorders>
              <w:top w:val="single" w:color="auto" w:sz="4" w:space="0"/>
              <w:left w:val="single" w:color="auto" w:sz="4" w:space="0"/>
              <w:bottom w:val="single" w:color="auto" w:sz="4" w:space="0"/>
              <w:right w:val="single" w:color="auto" w:sz="4" w:space="0"/>
            </w:tcBorders>
            <w:noWrap w:val="0"/>
            <w:vAlign w:val="center"/>
          </w:tcPr>
          <w:p w14:paraId="1E5A7746">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2194" w:type="dxa"/>
            <w:tcBorders>
              <w:top w:val="single" w:color="auto" w:sz="4" w:space="0"/>
              <w:left w:val="single" w:color="auto" w:sz="4" w:space="0"/>
              <w:bottom w:val="single" w:color="auto" w:sz="4" w:space="0"/>
              <w:right w:val="single" w:color="auto" w:sz="4" w:space="0"/>
            </w:tcBorders>
            <w:noWrap w:val="0"/>
            <w:vAlign w:val="center"/>
          </w:tcPr>
          <w:p w14:paraId="27B59065">
            <w:pPr>
              <w:pageBreakBefore w:val="0"/>
              <w:kinsoku/>
              <w:wordWrap w:val="0"/>
              <w:bidi w:val="0"/>
              <w:spacing w:line="400" w:lineRule="atLeast"/>
              <w:rPr>
                <w:rFonts w:hint="default" w:ascii="Times New Roman" w:hAnsi="Times New Roman" w:cs="Times New Roman"/>
                <w:color w:val="auto"/>
                <w:sz w:val="24"/>
                <w:highlight w:val="none"/>
              </w:rPr>
            </w:pPr>
          </w:p>
        </w:tc>
      </w:tr>
      <w:tr w14:paraId="6BD51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232" w:type="dxa"/>
            <w:tcBorders>
              <w:top w:val="single" w:color="auto" w:sz="4" w:space="0"/>
              <w:left w:val="single" w:color="auto" w:sz="4" w:space="0"/>
              <w:bottom w:val="single" w:color="auto" w:sz="4" w:space="0"/>
              <w:right w:val="single" w:color="auto" w:sz="4" w:space="0"/>
            </w:tcBorders>
            <w:noWrap w:val="0"/>
            <w:vAlign w:val="center"/>
          </w:tcPr>
          <w:p w14:paraId="4CE2B0CC">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2745" w:type="dxa"/>
            <w:tcBorders>
              <w:top w:val="single" w:color="auto" w:sz="4" w:space="0"/>
              <w:left w:val="single" w:color="auto" w:sz="4" w:space="0"/>
              <w:bottom w:val="single" w:color="auto" w:sz="4" w:space="0"/>
              <w:right w:val="single" w:color="auto" w:sz="4" w:space="0"/>
            </w:tcBorders>
            <w:noWrap w:val="0"/>
            <w:vAlign w:val="center"/>
          </w:tcPr>
          <w:p w14:paraId="7548E780">
            <w:pPr>
              <w:pageBreakBefore w:val="0"/>
              <w:kinsoku/>
              <w:wordWrap w:val="0"/>
              <w:bidi w:val="0"/>
              <w:spacing w:line="400" w:lineRule="atLeast"/>
              <w:rPr>
                <w:rFonts w:hint="default" w:ascii="Times New Roman" w:hAnsi="Times New Roman" w:cs="Times New Roman"/>
                <w:color w:val="auto"/>
                <w:sz w:val="24"/>
                <w:highlight w:val="none"/>
              </w:rPr>
            </w:pPr>
          </w:p>
        </w:tc>
        <w:tc>
          <w:tcPr>
            <w:tcW w:w="1386" w:type="dxa"/>
            <w:tcBorders>
              <w:top w:val="single" w:color="auto" w:sz="4" w:space="0"/>
              <w:left w:val="single" w:color="auto" w:sz="4" w:space="0"/>
              <w:bottom w:val="single" w:color="auto" w:sz="4" w:space="0"/>
              <w:right w:val="single" w:color="auto" w:sz="4" w:space="0"/>
            </w:tcBorders>
            <w:noWrap w:val="0"/>
            <w:vAlign w:val="center"/>
          </w:tcPr>
          <w:p w14:paraId="52F9BA06">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2194" w:type="dxa"/>
            <w:tcBorders>
              <w:top w:val="single" w:color="auto" w:sz="4" w:space="0"/>
              <w:left w:val="single" w:color="auto" w:sz="4" w:space="0"/>
              <w:bottom w:val="single" w:color="auto" w:sz="4" w:space="0"/>
              <w:right w:val="single" w:color="auto" w:sz="4" w:space="0"/>
            </w:tcBorders>
            <w:noWrap w:val="0"/>
            <w:vAlign w:val="center"/>
          </w:tcPr>
          <w:p w14:paraId="2C18EF53">
            <w:pPr>
              <w:pageBreakBefore w:val="0"/>
              <w:kinsoku/>
              <w:wordWrap w:val="0"/>
              <w:bidi w:val="0"/>
              <w:spacing w:line="400" w:lineRule="atLeast"/>
              <w:rPr>
                <w:rFonts w:hint="default" w:ascii="Times New Roman" w:hAnsi="Times New Roman" w:cs="Times New Roman"/>
                <w:color w:val="auto"/>
                <w:sz w:val="24"/>
                <w:highlight w:val="none"/>
              </w:rPr>
            </w:pPr>
          </w:p>
        </w:tc>
      </w:tr>
      <w:tr w14:paraId="428D5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232" w:type="dxa"/>
            <w:tcBorders>
              <w:top w:val="single" w:color="auto" w:sz="4" w:space="0"/>
              <w:left w:val="single" w:color="auto" w:sz="4" w:space="0"/>
              <w:bottom w:val="single" w:color="auto" w:sz="4" w:space="0"/>
              <w:right w:val="single" w:color="auto" w:sz="4" w:space="0"/>
            </w:tcBorders>
            <w:noWrap w:val="0"/>
            <w:vAlign w:val="center"/>
          </w:tcPr>
          <w:p w14:paraId="0EBBCC8F">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2745" w:type="dxa"/>
            <w:tcBorders>
              <w:top w:val="single" w:color="auto" w:sz="4" w:space="0"/>
              <w:left w:val="single" w:color="auto" w:sz="4" w:space="0"/>
              <w:bottom w:val="single" w:color="auto" w:sz="4" w:space="0"/>
              <w:right w:val="single" w:color="auto" w:sz="4" w:space="0"/>
            </w:tcBorders>
            <w:noWrap w:val="0"/>
            <w:vAlign w:val="center"/>
          </w:tcPr>
          <w:p w14:paraId="2B6D4793">
            <w:pPr>
              <w:pageBreakBefore w:val="0"/>
              <w:kinsoku/>
              <w:wordWrap w:val="0"/>
              <w:bidi w:val="0"/>
              <w:spacing w:line="400" w:lineRule="atLeast"/>
              <w:rPr>
                <w:rFonts w:hint="default" w:ascii="Times New Roman" w:hAnsi="Times New Roman" w:cs="Times New Roman"/>
                <w:color w:val="auto"/>
                <w:sz w:val="24"/>
                <w:highlight w:val="none"/>
              </w:rPr>
            </w:pPr>
          </w:p>
        </w:tc>
        <w:tc>
          <w:tcPr>
            <w:tcW w:w="1386" w:type="dxa"/>
            <w:tcBorders>
              <w:top w:val="single" w:color="auto" w:sz="4" w:space="0"/>
              <w:left w:val="single" w:color="auto" w:sz="4" w:space="0"/>
              <w:bottom w:val="single" w:color="auto" w:sz="4" w:space="0"/>
              <w:right w:val="single" w:color="auto" w:sz="4" w:space="0"/>
            </w:tcBorders>
            <w:noWrap w:val="0"/>
            <w:vAlign w:val="center"/>
          </w:tcPr>
          <w:p w14:paraId="7764DA88">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2194" w:type="dxa"/>
            <w:tcBorders>
              <w:top w:val="single" w:color="auto" w:sz="4" w:space="0"/>
              <w:left w:val="single" w:color="auto" w:sz="4" w:space="0"/>
              <w:bottom w:val="single" w:color="auto" w:sz="4" w:space="0"/>
              <w:right w:val="single" w:color="auto" w:sz="4" w:space="0"/>
            </w:tcBorders>
            <w:noWrap w:val="0"/>
            <w:vAlign w:val="center"/>
          </w:tcPr>
          <w:p w14:paraId="7460F321">
            <w:pPr>
              <w:pageBreakBefore w:val="0"/>
              <w:kinsoku/>
              <w:wordWrap w:val="0"/>
              <w:bidi w:val="0"/>
              <w:spacing w:line="400" w:lineRule="atLeast"/>
              <w:rPr>
                <w:rFonts w:hint="default" w:ascii="Times New Roman" w:hAnsi="Times New Roman" w:cs="Times New Roman"/>
                <w:color w:val="auto"/>
                <w:sz w:val="24"/>
                <w:highlight w:val="none"/>
              </w:rPr>
            </w:pPr>
          </w:p>
        </w:tc>
      </w:tr>
      <w:tr w14:paraId="498EC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232" w:type="dxa"/>
            <w:tcBorders>
              <w:top w:val="single" w:color="auto" w:sz="4" w:space="0"/>
              <w:left w:val="single" w:color="auto" w:sz="4" w:space="0"/>
              <w:bottom w:val="single" w:color="auto" w:sz="4" w:space="0"/>
              <w:right w:val="single" w:color="auto" w:sz="4" w:space="0"/>
            </w:tcBorders>
            <w:noWrap w:val="0"/>
            <w:vAlign w:val="center"/>
          </w:tcPr>
          <w:p w14:paraId="76353459">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2745" w:type="dxa"/>
            <w:tcBorders>
              <w:top w:val="single" w:color="auto" w:sz="4" w:space="0"/>
              <w:left w:val="single" w:color="auto" w:sz="4" w:space="0"/>
              <w:bottom w:val="single" w:color="auto" w:sz="4" w:space="0"/>
              <w:right w:val="single" w:color="auto" w:sz="4" w:space="0"/>
            </w:tcBorders>
            <w:noWrap w:val="0"/>
            <w:vAlign w:val="center"/>
          </w:tcPr>
          <w:p w14:paraId="4727477C">
            <w:pPr>
              <w:pageBreakBefore w:val="0"/>
              <w:kinsoku/>
              <w:wordWrap w:val="0"/>
              <w:bidi w:val="0"/>
              <w:spacing w:line="400" w:lineRule="atLeast"/>
              <w:rPr>
                <w:rFonts w:hint="default" w:ascii="Times New Roman" w:hAnsi="Times New Roman" w:cs="Times New Roman"/>
                <w:color w:val="auto"/>
                <w:sz w:val="24"/>
                <w:highlight w:val="none"/>
              </w:rPr>
            </w:pPr>
          </w:p>
        </w:tc>
        <w:tc>
          <w:tcPr>
            <w:tcW w:w="1386" w:type="dxa"/>
            <w:tcBorders>
              <w:top w:val="single" w:color="auto" w:sz="4" w:space="0"/>
              <w:left w:val="single" w:color="auto" w:sz="4" w:space="0"/>
              <w:bottom w:val="single" w:color="auto" w:sz="4" w:space="0"/>
              <w:right w:val="single" w:color="auto" w:sz="4" w:space="0"/>
            </w:tcBorders>
            <w:noWrap w:val="0"/>
            <w:vAlign w:val="center"/>
          </w:tcPr>
          <w:p w14:paraId="4734C17B">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2194" w:type="dxa"/>
            <w:tcBorders>
              <w:top w:val="single" w:color="auto" w:sz="4" w:space="0"/>
              <w:left w:val="single" w:color="auto" w:sz="4" w:space="0"/>
              <w:bottom w:val="single" w:color="auto" w:sz="4" w:space="0"/>
              <w:right w:val="single" w:color="auto" w:sz="4" w:space="0"/>
            </w:tcBorders>
            <w:noWrap w:val="0"/>
            <w:vAlign w:val="center"/>
          </w:tcPr>
          <w:p w14:paraId="3568971A">
            <w:pPr>
              <w:pageBreakBefore w:val="0"/>
              <w:kinsoku/>
              <w:wordWrap w:val="0"/>
              <w:bidi w:val="0"/>
              <w:spacing w:line="400" w:lineRule="atLeast"/>
              <w:rPr>
                <w:rFonts w:hint="default" w:ascii="Times New Roman" w:hAnsi="Times New Roman" w:cs="Times New Roman"/>
                <w:color w:val="auto"/>
                <w:sz w:val="24"/>
                <w:highlight w:val="none"/>
              </w:rPr>
            </w:pPr>
          </w:p>
        </w:tc>
      </w:tr>
      <w:tr w14:paraId="7BE1B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232" w:type="dxa"/>
            <w:tcBorders>
              <w:top w:val="single" w:color="auto" w:sz="4" w:space="0"/>
              <w:left w:val="single" w:color="auto" w:sz="4" w:space="0"/>
              <w:bottom w:val="single" w:color="auto" w:sz="4" w:space="0"/>
              <w:right w:val="single" w:color="auto" w:sz="4" w:space="0"/>
            </w:tcBorders>
            <w:noWrap w:val="0"/>
            <w:vAlign w:val="center"/>
          </w:tcPr>
          <w:p w14:paraId="3E6EBDA1">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2745" w:type="dxa"/>
            <w:tcBorders>
              <w:top w:val="single" w:color="auto" w:sz="4" w:space="0"/>
              <w:left w:val="single" w:color="auto" w:sz="4" w:space="0"/>
              <w:bottom w:val="single" w:color="auto" w:sz="4" w:space="0"/>
              <w:right w:val="single" w:color="auto" w:sz="4" w:space="0"/>
            </w:tcBorders>
            <w:noWrap w:val="0"/>
            <w:vAlign w:val="center"/>
          </w:tcPr>
          <w:p w14:paraId="55B120C9">
            <w:pPr>
              <w:pageBreakBefore w:val="0"/>
              <w:kinsoku/>
              <w:wordWrap w:val="0"/>
              <w:bidi w:val="0"/>
              <w:spacing w:line="400" w:lineRule="atLeast"/>
              <w:rPr>
                <w:rFonts w:hint="default" w:ascii="Times New Roman" w:hAnsi="Times New Roman" w:cs="Times New Roman"/>
                <w:color w:val="auto"/>
                <w:sz w:val="24"/>
                <w:highlight w:val="none"/>
              </w:rPr>
            </w:pPr>
          </w:p>
        </w:tc>
        <w:tc>
          <w:tcPr>
            <w:tcW w:w="1386" w:type="dxa"/>
            <w:tcBorders>
              <w:top w:val="single" w:color="auto" w:sz="4" w:space="0"/>
              <w:left w:val="single" w:color="auto" w:sz="4" w:space="0"/>
              <w:bottom w:val="single" w:color="auto" w:sz="4" w:space="0"/>
              <w:right w:val="single" w:color="auto" w:sz="4" w:space="0"/>
            </w:tcBorders>
            <w:noWrap w:val="0"/>
            <w:vAlign w:val="center"/>
          </w:tcPr>
          <w:p w14:paraId="0368CADD">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2194" w:type="dxa"/>
            <w:tcBorders>
              <w:top w:val="single" w:color="auto" w:sz="4" w:space="0"/>
              <w:left w:val="single" w:color="auto" w:sz="4" w:space="0"/>
              <w:bottom w:val="single" w:color="auto" w:sz="4" w:space="0"/>
              <w:right w:val="single" w:color="auto" w:sz="4" w:space="0"/>
            </w:tcBorders>
            <w:noWrap w:val="0"/>
            <w:vAlign w:val="center"/>
          </w:tcPr>
          <w:p w14:paraId="59DE44BF">
            <w:pPr>
              <w:pageBreakBefore w:val="0"/>
              <w:kinsoku/>
              <w:wordWrap w:val="0"/>
              <w:bidi w:val="0"/>
              <w:spacing w:line="400" w:lineRule="atLeast"/>
              <w:rPr>
                <w:rFonts w:hint="default" w:ascii="Times New Roman" w:hAnsi="Times New Roman" w:cs="Times New Roman"/>
                <w:color w:val="auto"/>
                <w:sz w:val="24"/>
                <w:highlight w:val="none"/>
              </w:rPr>
            </w:pPr>
          </w:p>
        </w:tc>
      </w:tr>
      <w:tr w14:paraId="2BB9D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232" w:type="dxa"/>
            <w:tcBorders>
              <w:top w:val="single" w:color="auto" w:sz="4" w:space="0"/>
              <w:left w:val="single" w:color="auto" w:sz="4" w:space="0"/>
              <w:bottom w:val="single" w:color="auto" w:sz="4" w:space="0"/>
              <w:right w:val="single" w:color="auto" w:sz="4" w:space="0"/>
            </w:tcBorders>
            <w:noWrap w:val="0"/>
            <w:vAlign w:val="center"/>
          </w:tcPr>
          <w:p w14:paraId="71F9BDCA">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2745" w:type="dxa"/>
            <w:tcBorders>
              <w:top w:val="single" w:color="auto" w:sz="4" w:space="0"/>
              <w:left w:val="single" w:color="auto" w:sz="4" w:space="0"/>
              <w:bottom w:val="single" w:color="auto" w:sz="4" w:space="0"/>
              <w:right w:val="single" w:color="auto" w:sz="4" w:space="0"/>
            </w:tcBorders>
            <w:noWrap w:val="0"/>
            <w:vAlign w:val="center"/>
          </w:tcPr>
          <w:p w14:paraId="555A0E23">
            <w:pPr>
              <w:pageBreakBefore w:val="0"/>
              <w:kinsoku/>
              <w:wordWrap w:val="0"/>
              <w:bidi w:val="0"/>
              <w:spacing w:line="400" w:lineRule="atLeast"/>
              <w:rPr>
                <w:rFonts w:hint="default" w:ascii="Times New Roman" w:hAnsi="Times New Roman" w:cs="Times New Roman"/>
                <w:color w:val="auto"/>
                <w:sz w:val="24"/>
                <w:highlight w:val="none"/>
              </w:rPr>
            </w:pPr>
          </w:p>
        </w:tc>
        <w:tc>
          <w:tcPr>
            <w:tcW w:w="1386" w:type="dxa"/>
            <w:tcBorders>
              <w:top w:val="single" w:color="auto" w:sz="4" w:space="0"/>
              <w:left w:val="single" w:color="auto" w:sz="4" w:space="0"/>
              <w:bottom w:val="single" w:color="auto" w:sz="4" w:space="0"/>
              <w:right w:val="single" w:color="auto" w:sz="4" w:space="0"/>
            </w:tcBorders>
            <w:noWrap w:val="0"/>
            <w:vAlign w:val="center"/>
          </w:tcPr>
          <w:p w14:paraId="07024358">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2194" w:type="dxa"/>
            <w:tcBorders>
              <w:top w:val="single" w:color="auto" w:sz="4" w:space="0"/>
              <w:left w:val="single" w:color="auto" w:sz="4" w:space="0"/>
              <w:bottom w:val="single" w:color="auto" w:sz="4" w:space="0"/>
              <w:right w:val="single" w:color="auto" w:sz="4" w:space="0"/>
            </w:tcBorders>
            <w:noWrap w:val="0"/>
            <w:vAlign w:val="center"/>
          </w:tcPr>
          <w:p w14:paraId="44C68510">
            <w:pPr>
              <w:pageBreakBefore w:val="0"/>
              <w:kinsoku/>
              <w:wordWrap w:val="0"/>
              <w:bidi w:val="0"/>
              <w:spacing w:line="400" w:lineRule="atLeast"/>
              <w:rPr>
                <w:rFonts w:hint="default" w:ascii="Times New Roman" w:hAnsi="Times New Roman" w:cs="Times New Roman"/>
                <w:color w:val="auto"/>
                <w:sz w:val="24"/>
                <w:highlight w:val="none"/>
              </w:rPr>
            </w:pPr>
          </w:p>
        </w:tc>
      </w:tr>
      <w:tr w14:paraId="2014C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232" w:type="dxa"/>
            <w:tcBorders>
              <w:top w:val="single" w:color="auto" w:sz="4" w:space="0"/>
              <w:left w:val="single" w:color="auto" w:sz="4" w:space="0"/>
              <w:bottom w:val="single" w:color="auto" w:sz="4" w:space="0"/>
              <w:right w:val="single" w:color="auto" w:sz="4" w:space="0"/>
            </w:tcBorders>
            <w:noWrap w:val="0"/>
            <w:vAlign w:val="center"/>
          </w:tcPr>
          <w:p w14:paraId="6D175977">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2745" w:type="dxa"/>
            <w:tcBorders>
              <w:top w:val="single" w:color="auto" w:sz="4" w:space="0"/>
              <w:left w:val="single" w:color="auto" w:sz="4" w:space="0"/>
              <w:bottom w:val="single" w:color="auto" w:sz="4" w:space="0"/>
              <w:right w:val="single" w:color="auto" w:sz="4" w:space="0"/>
            </w:tcBorders>
            <w:noWrap w:val="0"/>
            <w:vAlign w:val="center"/>
          </w:tcPr>
          <w:p w14:paraId="112CF4D9">
            <w:pPr>
              <w:pageBreakBefore w:val="0"/>
              <w:kinsoku/>
              <w:wordWrap w:val="0"/>
              <w:bidi w:val="0"/>
              <w:spacing w:line="400" w:lineRule="atLeast"/>
              <w:rPr>
                <w:rFonts w:hint="default" w:ascii="Times New Roman" w:hAnsi="Times New Roman" w:cs="Times New Roman"/>
                <w:color w:val="auto"/>
                <w:sz w:val="24"/>
                <w:highlight w:val="none"/>
              </w:rPr>
            </w:pPr>
          </w:p>
        </w:tc>
        <w:tc>
          <w:tcPr>
            <w:tcW w:w="1386" w:type="dxa"/>
            <w:tcBorders>
              <w:top w:val="single" w:color="auto" w:sz="4" w:space="0"/>
              <w:left w:val="single" w:color="auto" w:sz="4" w:space="0"/>
              <w:bottom w:val="single" w:color="auto" w:sz="4" w:space="0"/>
              <w:right w:val="single" w:color="auto" w:sz="4" w:space="0"/>
            </w:tcBorders>
            <w:noWrap w:val="0"/>
            <w:vAlign w:val="center"/>
          </w:tcPr>
          <w:p w14:paraId="012E216F">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2194" w:type="dxa"/>
            <w:tcBorders>
              <w:top w:val="single" w:color="auto" w:sz="4" w:space="0"/>
              <w:left w:val="single" w:color="auto" w:sz="4" w:space="0"/>
              <w:bottom w:val="single" w:color="auto" w:sz="4" w:space="0"/>
              <w:right w:val="single" w:color="auto" w:sz="4" w:space="0"/>
            </w:tcBorders>
            <w:noWrap w:val="0"/>
            <w:vAlign w:val="center"/>
          </w:tcPr>
          <w:p w14:paraId="4F5A7B82">
            <w:pPr>
              <w:pageBreakBefore w:val="0"/>
              <w:kinsoku/>
              <w:wordWrap w:val="0"/>
              <w:bidi w:val="0"/>
              <w:spacing w:line="400" w:lineRule="atLeast"/>
              <w:rPr>
                <w:rFonts w:hint="default" w:ascii="Times New Roman" w:hAnsi="Times New Roman" w:cs="Times New Roman"/>
                <w:color w:val="auto"/>
                <w:sz w:val="24"/>
                <w:highlight w:val="none"/>
              </w:rPr>
            </w:pPr>
          </w:p>
        </w:tc>
      </w:tr>
      <w:tr w14:paraId="13498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232" w:type="dxa"/>
            <w:tcBorders>
              <w:top w:val="single" w:color="auto" w:sz="4" w:space="0"/>
              <w:left w:val="single" w:color="auto" w:sz="4" w:space="0"/>
              <w:bottom w:val="single" w:color="auto" w:sz="4" w:space="0"/>
              <w:right w:val="single" w:color="auto" w:sz="4" w:space="0"/>
            </w:tcBorders>
            <w:noWrap w:val="0"/>
            <w:vAlign w:val="center"/>
          </w:tcPr>
          <w:p w14:paraId="5B37823F">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2745" w:type="dxa"/>
            <w:tcBorders>
              <w:top w:val="single" w:color="auto" w:sz="4" w:space="0"/>
              <w:left w:val="single" w:color="auto" w:sz="4" w:space="0"/>
              <w:bottom w:val="single" w:color="auto" w:sz="4" w:space="0"/>
              <w:right w:val="single" w:color="auto" w:sz="4" w:space="0"/>
            </w:tcBorders>
            <w:noWrap w:val="0"/>
            <w:vAlign w:val="center"/>
          </w:tcPr>
          <w:p w14:paraId="6BC90872">
            <w:pPr>
              <w:pageBreakBefore w:val="0"/>
              <w:kinsoku/>
              <w:wordWrap w:val="0"/>
              <w:bidi w:val="0"/>
              <w:spacing w:line="400" w:lineRule="atLeast"/>
              <w:rPr>
                <w:rFonts w:hint="default" w:ascii="Times New Roman" w:hAnsi="Times New Roman" w:cs="Times New Roman"/>
                <w:color w:val="auto"/>
                <w:sz w:val="24"/>
                <w:highlight w:val="none"/>
              </w:rPr>
            </w:pPr>
          </w:p>
        </w:tc>
        <w:tc>
          <w:tcPr>
            <w:tcW w:w="1386" w:type="dxa"/>
            <w:tcBorders>
              <w:top w:val="single" w:color="auto" w:sz="4" w:space="0"/>
              <w:left w:val="single" w:color="auto" w:sz="4" w:space="0"/>
              <w:bottom w:val="single" w:color="auto" w:sz="4" w:space="0"/>
              <w:right w:val="single" w:color="auto" w:sz="4" w:space="0"/>
            </w:tcBorders>
            <w:noWrap w:val="0"/>
            <w:vAlign w:val="center"/>
          </w:tcPr>
          <w:p w14:paraId="3CABDF81">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2194" w:type="dxa"/>
            <w:tcBorders>
              <w:top w:val="single" w:color="auto" w:sz="4" w:space="0"/>
              <w:left w:val="single" w:color="auto" w:sz="4" w:space="0"/>
              <w:bottom w:val="single" w:color="auto" w:sz="4" w:space="0"/>
              <w:right w:val="single" w:color="auto" w:sz="4" w:space="0"/>
            </w:tcBorders>
            <w:noWrap w:val="0"/>
            <w:vAlign w:val="center"/>
          </w:tcPr>
          <w:p w14:paraId="0827E6B7">
            <w:pPr>
              <w:pageBreakBefore w:val="0"/>
              <w:kinsoku/>
              <w:wordWrap w:val="0"/>
              <w:bidi w:val="0"/>
              <w:spacing w:line="400" w:lineRule="atLeast"/>
              <w:rPr>
                <w:rFonts w:hint="default" w:ascii="Times New Roman" w:hAnsi="Times New Roman" w:cs="Times New Roman"/>
                <w:color w:val="auto"/>
                <w:sz w:val="24"/>
                <w:highlight w:val="none"/>
              </w:rPr>
            </w:pPr>
          </w:p>
        </w:tc>
      </w:tr>
      <w:tr w14:paraId="078F7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232" w:type="dxa"/>
            <w:tcBorders>
              <w:top w:val="single" w:color="auto" w:sz="4" w:space="0"/>
              <w:left w:val="single" w:color="auto" w:sz="4" w:space="0"/>
              <w:bottom w:val="single" w:color="auto" w:sz="4" w:space="0"/>
              <w:right w:val="single" w:color="auto" w:sz="4" w:space="0"/>
            </w:tcBorders>
            <w:noWrap w:val="0"/>
            <w:vAlign w:val="center"/>
          </w:tcPr>
          <w:p w14:paraId="7898D522">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2745" w:type="dxa"/>
            <w:tcBorders>
              <w:top w:val="single" w:color="auto" w:sz="4" w:space="0"/>
              <w:left w:val="single" w:color="auto" w:sz="4" w:space="0"/>
              <w:bottom w:val="single" w:color="auto" w:sz="4" w:space="0"/>
              <w:right w:val="single" w:color="auto" w:sz="4" w:space="0"/>
            </w:tcBorders>
            <w:noWrap w:val="0"/>
            <w:vAlign w:val="center"/>
          </w:tcPr>
          <w:p w14:paraId="3103E513">
            <w:pPr>
              <w:pageBreakBefore w:val="0"/>
              <w:kinsoku/>
              <w:wordWrap w:val="0"/>
              <w:bidi w:val="0"/>
              <w:spacing w:line="400" w:lineRule="atLeast"/>
              <w:rPr>
                <w:rFonts w:hint="default" w:ascii="Times New Roman" w:hAnsi="Times New Roman" w:cs="Times New Roman"/>
                <w:color w:val="auto"/>
                <w:sz w:val="24"/>
                <w:highlight w:val="none"/>
              </w:rPr>
            </w:pPr>
          </w:p>
        </w:tc>
        <w:tc>
          <w:tcPr>
            <w:tcW w:w="1386" w:type="dxa"/>
            <w:tcBorders>
              <w:top w:val="single" w:color="auto" w:sz="4" w:space="0"/>
              <w:left w:val="single" w:color="auto" w:sz="4" w:space="0"/>
              <w:bottom w:val="single" w:color="auto" w:sz="4" w:space="0"/>
              <w:right w:val="single" w:color="auto" w:sz="4" w:space="0"/>
            </w:tcBorders>
            <w:noWrap w:val="0"/>
            <w:vAlign w:val="center"/>
          </w:tcPr>
          <w:p w14:paraId="264725CF">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2194" w:type="dxa"/>
            <w:tcBorders>
              <w:top w:val="single" w:color="auto" w:sz="4" w:space="0"/>
              <w:left w:val="single" w:color="auto" w:sz="4" w:space="0"/>
              <w:bottom w:val="single" w:color="auto" w:sz="4" w:space="0"/>
              <w:right w:val="single" w:color="auto" w:sz="4" w:space="0"/>
            </w:tcBorders>
            <w:noWrap w:val="0"/>
            <w:vAlign w:val="center"/>
          </w:tcPr>
          <w:p w14:paraId="3DFCF529">
            <w:pPr>
              <w:pageBreakBefore w:val="0"/>
              <w:kinsoku/>
              <w:wordWrap w:val="0"/>
              <w:bidi w:val="0"/>
              <w:spacing w:line="400" w:lineRule="atLeast"/>
              <w:rPr>
                <w:rFonts w:hint="default" w:ascii="Times New Roman" w:hAnsi="Times New Roman" w:cs="Times New Roman"/>
                <w:color w:val="auto"/>
                <w:sz w:val="24"/>
                <w:highlight w:val="none"/>
              </w:rPr>
            </w:pPr>
          </w:p>
        </w:tc>
      </w:tr>
      <w:tr w14:paraId="30FCF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232" w:type="dxa"/>
            <w:tcBorders>
              <w:top w:val="single" w:color="auto" w:sz="4" w:space="0"/>
              <w:left w:val="single" w:color="auto" w:sz="4" w:space="0"/>
              <w:bottom w:val="single" w:color="auto" w:sz="4" w:space="0"/>
              <w:right w:val="single" w:color="auto" w:sz="4" w:space="0"/>
            </w:tcBorders>
            <w:noWrap w:val="0"/>
            <w:vAlign w:val="center"/>
          </w:tcPr>
          <w:p w14:paraId="317FA1BC">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2745" w:type="dxa"/>
            <w:tcBorders>
              <w:top w:val="single" w:color="auto" w:sz="4" w:space="0"/>
              <w:left w:val="single" w:color="auto" w:sz="4" w:space="0"/>
              <w:bottom w:val="single" w:color="auto" w:sz="4" w:space="0"/>
              <w:right w:val="single" w:color="auto" w:sz="4" w:space="0"/>
            </w:tcBorders>
            <w:noWrap w:val="0"/>
            <w:vAlign w:val="center"/>
          </w:tcPr>
          <w:p w14:paraId="5B7F2DDE">
            <w:pPr>
              <w:pageBreakBefore w:val="0"/>
              <w:kinsoku/>
              <w:wordWrap w:val="0"/>
              <w:bidi w:val="0"/>
              <w:spacing w:line="400" w:lineRule="atLeast"/>
              <w:rPr>
                <w:rFonts w:hint="default" w:ascii="Times New Roman" w:hAnsi="Times New Roman" w:cs="Times New Roman"/>
                <w:color w:val="auto"/>
                <w:sz w:val="24"/>
                <w:highlight w:val="none"/>
              </w:rPr>
            </w:pPr>
          </w:p>
        </w:tc>
        <w:tc>
          <w:tcPr>
            <w:tcW w:w="1386" w:type="dxa"/>
            <w:tcBorders>
              <w:top w:val="single" w:color="auto" w:sz="4" w:space="0"/>
              <w:left w:val="single" w:color="auto" w:sz="4" w:space="0"/>
              <w:bottom w:val="single" w:color="auto" w:sz="4" w:space="0"/>
              <w:right w:val="single" w:color="auto" w:sz="4" w:space="0"/>
            </w:tcBorders>
            <w:noWrap w:val="0"/>
            <w:vAlign w:val="center"/>
          </w:tcPr>
          <w:p w14:paraId="31BB16BD">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2194" w:type="dxa"/>
            <w:tcBorders>
              <w:top w:val="single" w:color="auto" w:sz="4" w:space="0"/>
              <w:left w:val="single" w:color="auto" w:sz="4" w:space="0"/>
              <w:bottom w:val="single" w:color="auto" w:sz="4" w:space="0"/>
              <w:right w:val="single" w:color="auto" w:sz="4" w:space="0"/>
            </w:tcBorders>
            <w:noWrap w:val="0"/>
            <w:vAlign w:val="center"/>
          </w:tcPr>
          <w:p w14:paraId="4A15B7C3">
            <w:pPr>
              <w:pageBreakBefore w:val="0"/>
              <w:kinsoku/>
              <w:wordWrap w:val="0"/>
              <w:bidi w:val="0"/>
              <w:spacing w:line="400" w:lineRule="atLeast"/>
              <w:rPr>
                <w:rFonts w:hint="default" w:ascii="Times New Roman" w:hAnsi="Times New Roman" w:cs="Times New Roman"/>
                <w:color w:val="auto"/>
                <w:sz w:val="24"/>
                <w:highlight w:val="none"/>
              </w:rPr>
            </w:pPr>
          </w:p>
        </w:tc>
      </w:tr>
      <w:tr w14:paraId="00D58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232" w:type="dxa"/>
            <w:tcBorders>
              <w:top w:val="single" w:color="auto" w:sz="4" w:space="0"/>
              <w:left w:val="single" w:color="auto" w:sz="4" w:space="0"/>
              <w:bottom w:val="single" w:color="auto" w:sz="4" w:space="0"/>
              <w:right w:val="single" w:color="auto" w:sz="4" w:space="0"/>
            </w:tcBorders>
            <w:noWrap w:val="0"/>
            <w:vAlign w:val="center"/>
          </w:tcPr>
          <w:p w14:paraId="0966F5E5">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2745" w:type="dxa"/>
            <w:tcBorders>
              <w:top w:val="single" w:color="auto" w:sz="4" w:space="0"/>
              <w:left w:val="single" w:color="auto" w:sz="4" w:space="0"/>
              <w:bottom w:val="single" w:color="auto" w:sz="4" w:space="0"/>
              <w:right w:val="single" w:color="auto" w:sz="4" w:space="0"/>
            </w:tcBorders>
            <w:noWrap w:val="0"/>
            <w:vAlign w:val="center"/>
          </w:tcPr>
          <w:p w14:paraId="4D123DAF">
            <w:pPr>
              <w:pageBreakBefore w:val="0"/>
              <w:kinsoku/>
              <w:wordWrap w:val="0"/>
              <w:bidi w:val="0"/>
              <w:spacing w:line="400" w:lineRule="atLeast"/>
              <w:rPr>
                <w:rFonts w:hint="default" w:ascii="Times New Roman" w:hAnsi="Times New Roman" w:cs="Times New Roman"/>
                <w:color w:val="auto"/>
                <w:sz w:val="24"/>
                <w:highlight w:val="none"/>
              </w:rPr>
            </w:pPr>
          </w:p>
        </w:tc>
        <w:tc>
          <w:tcPr>
            <w:tcW w:w="1386" w:type="dxa"/>
            <w:tcBorders>
              <w:top w:val="single" w:color="auto" w:sz="4" w:space="0"/>
              <w:left w:val="single" w:color="auto" w:sz="4" w:space="0"/>
              <w:bottom w:val="single" w:color="auto" w:sz="4" w:space="0"/>
              <w:right w:val="single" w:color="auto" w:sz="4" w:space="0"/>
            </w:tcBorders>
            <w:noWrap w:val="0"/>
            <w:vAlign w:val="center"/>
          </w:tcPr>
          <w:p w14:paraId="6F6B6AC8">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none"/>
              </w:rPr>
            </w:pPr>
          </w:p>
        </w:tc>
        <w:tc>
          <w:tcPr>
            <w:tcW w:w="2194" w:type="dxa"/>
            <w:tcBorders>
              <w:top w:val="single" w:color="auto" w:sz="4" w:space="0"/>
              <w:left w:val="single" w:color="auto" w:sz="4" w:space="0"/>
              <w:bottom w:val="single" w:color="auto" w:sz="4" w:space="0"/>
              <w:right w:val="single" w:color="auto" w:sz="4" w:space="0"/>
            </w:tcBorders>
            <w:noWrap w:val="0"/>
            <w:vAlign w:val="center"/>
          </w:tcPr>
          <w:p w14:paraId="1F3CD01F">
            <w:pPr>
              <w:pageBreakBefore w:val="0"/>
              <w:kinsoku/>
              <w:wordWrap w:val="0"/>
              <w:bidi w:val="0"/>
              <w:spacing w:line="400" w:lineRule="atLeast"/>
              <w:rPr>
                <w:rFonts w:hint="default" w:ascii="Times New Roman" w:hAnsi="Times New Roman" w:cs="Times New Roman"/>
                <w:color w:val="auto"/>
                <w:sz w:val="24"/>
                <w:highlight w:val="none"/>
              </w:rPr>
            </w:pPr>
          </w:p>
        </w:tc>
      </w:tr>
    </w:tbl>
    <w:p w14:paraId="2DC0CC53">
      <w:pPr>
        <w:pageBreakBefore w:val="0"/>
        <w:kinsoku/>
        <w:wordWrap w:val="0"/>
        <w:bidi w:val="0"/>
        <w:spacing w:line="400" w:lineRule="atLeast"/>
        <w:rPr>
          <w:rFonts w:hint="default" w:ascii="Times New Roman" w:hAnsi="Times New Roman" w:eastAsia="黑体" w:cs="Times New Roman"/>
          <w:color w:val="auto"/>
          <w:sz w:val="24"/>
          <w:highlight w:val="none"/>
        </w:rPr>
      </w:pPr>
    </w:p>
    <w:p w14:paraId="4ED4F958">
      <w:pPr>
        <w:pStyle w:val="6"/>
        <w:pageBreakBefore w:val="0"/>
        <w:kinsoku/>
        <w:wordWrap w:val="0"/>
        <w:bidi w:val="0"/>
        <w:spacing w:before="0" w:after="0" w:line="380" w:lineRule="atLeast"/>
        <w:jc w:val="both"/>
        <w:outlineLvl w:val="3"/>
        <w:rPr>
          <w:rFonts w:hint="default" w:ascii="Times New Roman" w:hAnsi="Times New Roman" w:eastAsia="黑体" w:cs="Times New Roman"/>
          <w:i w:val="0"/>
          <w:iCs/>
          <w:color w:val="auto"/>
          <w:sz w:val="24"/>
          <w:highlight w:val="none"/>
        </w:rPr>
      </w:pPr>
      <w:bookmarkStart w:id="1526" w:name="_Toc13117"/>
      <w:bookmarkStart w:id="1527" w:name="_Toc32399"/>
      <w:bookmarkStart w:id="1528" w:name="_Toc9623"/>
      <w:bookmarkStart w:id="1529" w:name="_Toc234833236"/>
      <w:r>
        <w:rPr>
          <w:rFonts w:hint="default" w:ascii="Times New Roman" w:hAnsi="Times New Roman" w:eastAsia="黑体" w:cs="Times New Roman"/>
          <w:i w:val="0"/>
          <w:iCs/>
          <w:color w:val="auto"/>
          <w:sz w:val="24"/>
          <w:highlight w:val="none"/>
        </w:rPr>
        <w:t>附件六</w:t>
      </w:r>
      <w:r>
        <w:rPr>
          <w:rFonts w:hint="eastAsia" w:ascii="Times New Roman" w:hAnsi="Times New Roman" w:eastAsia="黑体" w:cs="Times New Roman"/>
          <w:i w:val="0"/>
          <w:iCs/>
          <w:color w:val="auto"/>
          <w:sz w:val="24"/>
          <w:highlight w:val="none"/>
          <w:lang w:val="en-US" w:eastAsia="zh-CN"/>
        </w:rPr>
        <w:t xml:space="preserve"> </w:t>
      </w:r>
      <w:r>
        <w:rPr>
          <w:rFonts w:hint="default" w:ascii="Times New Roman" w:hAnsi="Times New Roman" w:eastAsia="黑体" w:cs="Times New Roman"/>
          <w:i w:val="0"/>
          <w:iCs/>
          <w:color w:val="auto"/>
          <w:sz w:val="24"/>
          <w:highlight w:val="none"/>
        </w:rPr>
        <w:t>项目经理委任书</w:t>
      </w:r>
      <w:bookmarkEnd w:id="1526"/>
      <w:bookmarkEnd w:id="1527"/>
      <w:bookmarkEnd w:id="1528"/>
      <w:bookmarkEnd w:id="1529"/>
    </w:p>
    <w:p w14:paraId="6E395060">
      <w:pPr>
        <w:pageBreakBefore w:val="0"/>
        <w:kinsoku/>
        <w:wordWrap w:val="0"/>
        <w:bidi w:val="0"/>
        <w:snapToGrid w:val="0"/>
        <w:spacing w:line="400" w:lineRule="atLeast"/>
        <w:jc w:val="center"/>
        <w:rPr>
          <w:rFonts w:hint="default" w:ascii="Times New Roman" w:hAnsi="Times New Roman" w:eastAsia="黑体" w:cs="Times New Roman"/>
          <w:color w:val="auto"/>
          <w:sz w:val="28"/>
          <w:szCs w:val="28"/>
          <w:highlight w:val="none"/>
          <w:u w:val="single"/>
        </w:rPr>
      </w:pPr>
      <w:r>
        <w:rPr>
          <w:rFonts w:hint="default" w:ascii="Times New Roman" w:hAnsi="Times New Roman" w:eastAsia="黑体" w:cs="Times New Roman"/>
          <w:color w:val="auto"/>
          <w:sz w:val="28"/>
          <w:szCs w:val="28"/>
          <w:highlight w:val="none"/>
          <w:u w:val="single"/>
        </w:rPr>
        <w:t>（承包人全称）</w:t>
      </w:r>
    </w:p>
    <w:p w14:paraId="0F3F5D78">
      <w:pPr>
        <w:pageBreakBefore w:val="0"/>
        <w:kinsoku/>
        <w:wordWrap w:val="0"/>
        <w:bidi w:val="0"/>
        <w:snapToGrid w:val="0"/>
        <w:spacing w:line="400" w:lineRule="atLeast"/>
        <w:jc w:val="center"/>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u w:val="single"/>
        </w:rPr>
        <w:t>（合同工程名称）</w:t>
      </w:r>
      <w:r>
        <w:rPr>
          <w:rFonts w:hint="default" w:ascii="Times New Roman" w:hAnsi="Times New Roman" w:eastAsia="黑体" w:cs="Times New Roman"/>
          <w:color w:val="auto"/>
          <w:sz w:val="28"/>
          <w:szCs w:val="28"/>
          <w:highlight w:val="none"/>
        </w:rPr>
        <w:t>项目经理委任书</w:t>
      </w:r>
    </w:p>
    <w:p w14:paraId="104D86CF">
      <w:pPr>
        <w:pageBreakBefore w:val="0"/>
        <w:kinsoku/>
        <w:wordWrap w:val="0"/>
        <w:bidi w:val="0"/>
        <w:snapToGrid w:val="0"/>
        <w:spacing w:line="400" w:lineRule="atLeast"/>
        <w:rPr>
          <w:rFonts w:hint="default" w:ascii="Times New Roman" w:hAnsi="Times New Roman" w:eastAsia="黑体" w:cs="Times New Roman"/>
          <w:color w:val="auto"/>
          <w:sz w:val="24"/>
          <w:highlight w:val="none"/>
        </w:rPr>
      </w:pPr>
    </w:p>
    <w:p w14:paraId="53A141E1">
      <w:pPr>
        <w:pageBreakBefore w:val="0"/>
        <w:kinsoku/>
        <w:wordWrap w:val="0"/>
        <w:bidi w:val="0"/>
        <w:snapToGrid w:val="0"/>
        <w:spacing w:line="400" w:lineRule="atLeast"/>
        <w:rPr>
          <w:rFonts w:hint="default" w:ascii="Times New Roman" w:hAnsi="Times New Roman" w:eastAsia="黑体" w:cs="Times New Roman"/>
          <w:color w:val="auto"/>
          <w:sz w:val="24"/>
          <w:highlight w:val="none"/>
        </w:rPr>
      </w:pPr>
    </w:p>
    <w:p w14:paraId="339E26F7">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致：</w:t>
      </w:r>
      <w:r>
        <w:rPr>
          <w:rFonts w:hint="default" w:ascii="Times New Roman" w:hAnsi="Times New Roman" w:cs="Times New Roman"/>
          <w:color w:val="auto"/>
          <w:sz w:val="24"/>
          <w:highlight w:val="none"/>
          <w:u w:val="single"/>
        </w:rPr>
        <w:t>（发包人全称）</w:t>
      </w:r>
    </w:p>
    <w:p w14:paraId="078BAD4E">
      <w:pPr>
        <w:pageBreakBefore w:val="0"/>
        <w:kinsoku/>
        <w:wordWrap w:val="0"/>
        <w:bidi w:val="0"/>
        <w:spacing w:line="400" w:lineRule="atLeas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u w:val="single"/>
        </w:rPr>
        <w:t xml:space="preserve">  （承包人全称） </w:t>
      </w:r>
      <w:r>
        <w:rPr>
          <w:rFonts w:hint="default" w:ascii="Times New Roman" w:hAnsi="Times New Roman" w:cs="Times New Roman"/>
          <w:color w:val="auto"/>
          <w:sz w:val="24"/>
          <w:highlight w:val="none"/>
        </w:rPr>
        <w:t>法定代表人</w:t>
      </w:r>
      <w:r>
        <w:rPr>
          <w:rFonts w:hint="default" w:ascii="Times New Roman" w:hAnsi="Times New Roman" w:cs="Times New Roman"/>
          <w:color w:val="auto"/>
          <w:sz w:val="24"/>
          <w:highlight w:val="none"/>
          <w:u w:val="single"/>
        </w:rPr>
        <w:t xml:space="preserve"> （职务、姓名） </w:t>
      </w:r>
      <w:r>
        <w:rPr>
          <w:rFonts w:hint="default" w:ascii="Times New Roman" w:hAnsi="Times New Roman" w:cs="Times New Roman"/>
          <w:color w:val="auto"/>
          <w:sz w:val="24"/>
          <w:highlight w:val="none"/>
        </w:rPr>
        <w:t>代表本单位委任</w:t>
      </w:r>
      <w:r>
        <w:rPr>
          <w:rFonts w:hint="default" w:ascii="Times New Roman" w:hAnsi="Times New Roman" w:cs="Times New Roman"/>
          <w:color w:val="auto"/>
          <w:sz w:val="24"/>
          <w:highlight w:val="none"/>
          <w:u w:val="single"/>
        </w:rPr>
        <w:t xml:space="preserve"> （职务、姓名） </w:t>
      </w:r>
      <w:r>
        <w:rPr>
          <w:rFonts w:hint="default" w:ascii="Times New Roman" w:hAnsi="Times New Roman" w:cs="Times New Roman"/>
          <w:color w:val="auto"/>
          <w:sz w:val="24"/>
          <w:highlight w:val="none"/>
        </w:rPr>
        <w:t>为</w:t>
      </w:r>
      <w:r>
        <w:rPr>
          <w:rFonts w:hint="default" w:ascii="Times New Roman" w:hAnsi="Times New Roman" w:cs="Times New Roman"/>
          <w:color w:val="auto"/>
          <w:sz w:val="24"/>
          <w:highlight w:val="none"/>
          <w:u w:val="single"/>
        </w:rPr>
        <w:t>（合同工程名称）</w:t>
      </w:r>
      <w:r>
        <w:rPr>
          <w:rFonts w:hint="default" w:ascii="Times New Roman" w:hAnsi="Times New Roman" w:cs="Times New Roman"/>
          <w:color w:val="auto"/>
          <w:sz w:val="24"/>
          <w:highlight w:val="none"/>
        </w:rPr>
        <w:t>的项目经理。凡本合同执行中的有关技术、工程进度、现场管理、质量检验、结算与支付等方面工作，由</w:t>
      </w:r>
      <w:r>
        <w:rPr>
          <w:rFonts w:hint="default" w:ascii="Times New Roman" w:hAnsi="Times New Roman" w:cs="Times New Roman"/>
          <w:color w:val="auto"/>
          <w:sz w:val="24"/>
          <w:highlight w:val="none"/>
          <w:u w:val="single"/>
        </w:rPr>
        <w:t xml:space="preserve">  （姓名） </w:t>
      </w:r>
      <w:r>
        <w:rPr>
          <w:rFonts w:hint="default" w:ascii="Times New Roman" w:hAnsi="Times New Roman" w:cs="Times New Roman"/>
          <w:color w:val="auto"/>
          <w:sz w:val="24"/>
          <w:highlight w:val="none"/>
        </w:rPr>
        <w:t>代表本单位全面负责。</w:t>
      </w:r>
    </w:p>
    <w:p w14:paraId="779573C9">
      <w:pPr>
        <w:pageBreakBefore w:val="0"/>
        <w:kinsoku/>
        <w:wordWrap w:val="0"/>
        <w:bidi w:val="0"/>
        <w:spacing w:line="400" w:lineRule="atLeast"/>
        <w:ind w:firstLine="616" w:firstLineChars="257"/>
        <w:rPr>
          <w:rFonts w:hint="default" w:ascii="Times New Roman" w:hAnsi="Times New Roman" w:cs="Times New Roman"/>
          <w:color w:val="auto"/>
          <w:sz w:val="24"/>
          <w:highlight w:val="none"/>
        </w:rPr>
      </w:pPr>
    </w:p>
    <w:p w14:paraId="1A4B4604">
      <w:pPr>
        <w:pageBreakBefore w:val="0"/>
        <w:kinsoku/>
        <w:wordWrap w:val="0"/>
        <w:bidi w:val="0"/>
        <w:snapToGrid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承包人：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（盖单位章）</w:t>
      </w:r>
    </w:p>
    <w:p w14:paraId="282C711A">
      <w:pPr>
        <w:pageBreakBefore w:val="0"/>
        <w:kinsoku/>
        <w:wordWrap w:val="0"/>
        <w:bidi w:val="0"/>
        <w:snapToGrid w:val="0"/>
        <w:spacing w:line="400" w:lineRule="atLeast"/>
        <w:ind w:firstLine="4603" w:firstLineChars="1918"/>
        <w:jc w:val="left"/>
        <w:rPr>
          <w:rFonts w:hint="default" w:ascii="Times New Roman" w:hAnsi="Times New Roman" w:cs="Times New Roman"/>
          <w:color w:val="auto"/>
          <w:sz w:val="24"/>
          <w:highlight w:val="none"/>
          <w:u w:val="single"/>
        </w:rPr>
      </w:pPr>
      <w:r>
        <w:rPr>
          <w:rFonts w:hint="default" w:ascii="Times New Roman" w:hAnsi="Times New Roman" w:cs="Times New Roman"/>
          <w:color w:val="auto"/>
          <w:sz w:val="24"/>
          <w:highlight w:val="none"/>
        </w:rPr>
        <w:t>法定代表人：</w:t>
      </w:r>
      <w:r>
        <w:rPr>
          <w:rFonts w:hint="default" w:ascii="Times New Roman" w:hAnsi="Times New Roman" w:cs="Times New Roman"/>
          <w:color w:val="auto"/>
          <w:sz w:val="24"/>
          <w:highlight w:val="none"/>
          <w:u w:val="single"/>
        </w:rPr>
        <w:t xml:space="preserve">       （职务）        </w:t>
      </w:r>
    </w:p>
    <w:p w14:paraId="704BA689">
      <w:pPr>
        <w:pageBreakBefore w:val="0"/>
        <w:kinsoku/>
        <w:wordWrap w:val="0"/>
        <w:bidi w:val="0"/>
        <w:snapToGrid w:val="0"/>
        <w:spacing w:line="400" w:lineRule="atLeast"/>
        <w:rPr>
          <w:rFonts w:hint="default" w:ascii="Times New Roman" w:hAnsi="Times New Roman" w:cs="Times New Roman"/>
          <w:color w:val="auto"/>
          <w:sz w:val="24"/>
          <w:highlight w:val="none"/>
          <w:u w:val="single"/>
        </w:rPr>
      </w:pPr>
      <w:r>
        <w:rPr>
          <w:rFonts w:hint="default" w:ascii="Times New Roman" w:hAnsi="Times New Roman" w:cs="Times New Roman"/>
          <w:color w:val="auto"/>
          <w:sz w:val="24"/>
          <w:highlight w:val="none"/>
        </w:rPr>
        <w:t xml:space="preserve">                                                   </w:t>
      </w:r>
      <w:r>
        <w:rPr>
          <w:rFonts w:hint="default" w:ascii="Times New Roman" w:hAnsi="Times New Roman" w:cs="Times New Roman"/>
          <w:color w:val="auto"/>
          <w:sz w:val="24"/>
          <w:highlight w:val="none"/>
          <w:u w:val="single"/>
        </w:rPr>
        <w:t xml:space="preserve">       （姓名）       </w:t>
      </w:r>
    </w:p>
    <w:p w14:paraId="308C8BCD">
      <w:pPr>
        <w:pageBreakBefore w:val="0"/>
        <w:kinsoku/>
        <w:wordWrap w:val="0"/>
        <w:bidi w:val="0"/>
        <w:snapToGrid w:val="0"/>
        <w:spacing w:line="400" w:lineRule="atLeast"/>
        <w:rPr>
          <w:rFonts w:hint="default" w:ascii="Times New Roman" w:hAnsi="Times New Roman" w:cs="Times New Roman"/>
          <w:color w:val="auto"/>
          <w:sz w:val="24"/>
          <w:highlight w:val="none"/>
          <w:u w:val="single"/>
        </w:rPr>
      </w:pPr>
      <w:r>
        <w:rPr>
          <w:rFonts w:hint="default" w:ascii="Times New Roman" w:hAnsi="Times New Roman" w:cs="Times New Roman"/>
          <w:color w:val="auto"/>
          <w:sz w:val="24"/>
          <w:highlight w:val="none"/>
        </w:rPr>
        <w:t xml:space="preserve">                                                   </w:t>
      </w:r>
      <w:r>
        <w:rPr>
          <w:rFonts w:hint="default" w:ascii="Times New Roman" w:hAnsi="Times New Roman" w:cs="Times New Roman"/>
          <w:color w:val="auto"/>
          <w:sz w:val="24"/>
          <w:highlight w:val="none"/>
          <w:u w:val="single"/>
        </w:rPr>
        <w:t xml:space="preserve">       （签字）       </w:t>
      </w:r>
    </w:p>
    <w:p w14:paraId="7EF2FD54">
      <w:pPr>
        <w:pageBreakBefore w:val="0"/>
        <w:kinsoku/>
        <w:wordWrap w:val="0"/>
        <w:bidi w:val="0"/>
        <w:snapToGrid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月</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日</w:t>
      </w:r>
    </w:p>
    <w:p w14:paraId="181D7C33">
      <w:pPr>
        <w:pStyle w:val="28"/>
        <w:pageBreakBefore w:val="0"/>
        <w:tabs>
          <w:tab w:val="clear" w:pos="4153"/>
          <w:tab w:val="clear" w:pos="8306"/>
        </w:tabs>
        <w:kinsoku/>
        <w:wordWrap w:val="0"/>
        <w:bidi w:val="0"/>
        <w:spacing w:line="400" w:lineRule="atLeas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  </w:t>
      </w:r>
    </w:p>
    <w:p w14:paraId="6D1AB8DE">
      <w:pPr>
        <w:pStyle w:val="28"/>
        <w:pageBreakBefore w:val="0"/>
        <w:tabs>
          <w:tab w:val="clear" w:pos="4153"/>
          <w:tab w:val="clear" w:pos="8306"/>
        </w:tabs>
        <w:kinsoku/>
        <w:wordWrap w:val="0"/>
        <w:bidi w:val="0"/>
        <w:spacing w:line="400" w:lineRule="atLeast"/>
        <w:rPr>
          <w:rFonts w:hint="default" w:ascii="Times New Roman" w:hAnsi="Times New Roman" w:cs="Times New Roman"/>
          <w:color w:val="auto"/>
          <w:sz w:val="24"/>
          <w:szCs w:val="24"/>
          <w:highlight w:val="none"/>
        </w:rPr>
      </w:pPr>
    </w:p>
    <w:p w14:paraId="17C5F632">
      <w:pPr>
        <w:pageBreakBefore w:val="0"/>
        <w:kinsoku/>
        <w:wordWrap w:val="0"/>
        <w:bidi w:val="0"/>
        <w:snapToGrid w:val="0"/>
        <w:spacing w:line="400" w:lineRule="atLeast"/>
        <w:rPr>
          <w:rFonts w:hint="default" w:ascii="Times New Roman" w:hAnsi="Times New Roman" w:cs="Times New Roman"/>
          <w:color w:val="auto"/>
          <w:sz w:val="24"/>
          <w:highlight w:val="none"/>
        </w:rPr>
      </w:pPr>
    </w:p>
    <w:p w14:paraId="739D49B1">
      <w:pPr>
        <w:pageBreakBefore w:val="0"/>
        <w:kinsoku/>
        <w:wordWrap w:val="0"/>
        <w:bidi w:val="0"/>
        <w:snapToGrid w:val="0"/>
        <w:spacing w:line="400" w:lineRule="atLeast"/>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抄送：</w:t>
      </w:r>
      <w:r>
        <w:rPr>
          <w:rFonts w:hint="default" w:ascii="Times New Roman" w:hAnsi="Times New Roman" w:cs="Times New Roman"/>
          <w:color w:val="auto"/>
          <w:sz w:val="24"/>
          <w:highlight w:val="none"/>
          <w:u w:val="single"/>
        </w:rPr>
        <w:t xml:space="preserve">  （监理人）  </w:t>
      </w:r>
      <w:r>
        <w:rPr>
          <w:rFonts w:hint="default" w:ascii="Times New Roman" w:hAnsi="Times New Roman" w:cs="Times New Roman"/>
          <w:color w:val="auto"/>
          <w:sz w:val="24"/>
          <w:highlight w:val="none"/>
        </w:rPr>
        <w:br w:type="page"/>
      </w:r>
    </w:p>
    <w:p w14:paraId="5B974FE2">
      <w:pPr>
        <w:pStyle w:val="6"/>
        <w:pageBreakBefore w:val="0"/>
        <w:kinsoku/>
        <w:wordWrap w:val="0"/>
        <w:bidi w:val="0"/>
        <w:spacing w:before="0" w:after="0" w:line="380" w:lineRule="atLeast"/>
        <w:jc w:val="both"/>
        <w:outlineLvl w:val="3"/>
        <w:rPr>
          <w:rFonts w:hint="default" w:ascii="Times New Roman" w:hAnsi="Times New Roman" w:eastAsia="黑体" w:cs="Times New Roman"/>
          <w:b w:val="0"/>
          <w:i w:val="0"/>
          <w:iCs/>
          <w:color w:val="auto"/>
          <w:sz w:val="24"/>
          <w:szCs w:val="24"/>
          <w:highlight w:val="none"/>
        </w:rPr>
      </w:pPr>
      <w:r>
        <w:rPr>
          <w:rFonts w:hint="default" w:ascii="Times New Roman" w:hAnsi="Times New Roman" w:eastAsia="黑体" w:cs="Times New Roman"/>
          <w:b w:val="0"/>
          <w:i w:val="0"/>
          <w:iCs/>
          <w:color w:val="auto"/>
          <w:sz w:val="24"/>
          <w:szCs w:val="24"/>
          <w:highlight w:val="none"/>
          <w:lang w:val="en-US" w:eastAsia="zh-CN"/>
        </w:rPr>
        <w:t>附件七</w:t>
      </w:r>
      <w:r>
        <w:rPr>
          <w:rFonts w:hint="eastAsia" w:ascii="Times New Roman" w:hAnsi="Times New Roman" w:eastAsia="黑体" w:cs="Times New Roman"/>
          <w:b w:val="0"/>
          <w:i w:val="0"/>
          <w:iCs/>
          <w:color w:val="auto"/>
          <w:sz w:val="24"/>
          <w:szCs w:val="24"/>
          <w:highlight w:val="none"/>
          <w:lang w:val="en-US" w:eastAsia="zh-CN"/>
        </w:rPr>
        <w:t xml:space="preserve"> </w:t>
      </w:r>
      <w:r>
        <w:rPr>
          <w:rFonts w:hint="default" w:ascii="Times New Roman" w:hAnsi="Times New Roman" w:eastAsia="黑体" w:cs="Times New Roman"/>
          <w:b w:val="0"/>
          <w:i w:val="0"/>
          <w:iCs/>
          <w:color w:val="auto"/>
          <w:sz w:val="24"/>
          <w:szCs w:val="24"/>
          <w:highlight w:val="none"/>
          <w:lang w:val="en-US" w:eastAsia="zh-CN"/>
        </w:rPr>
        <w:t>履约保证金格式</w:t>
      </w:r>
    </w:p>
    <w:p w14:paraId="78CE23F1">
      <w:pPr>
        <w:pageBreakBefore w:val="0"/>
        <w:kinsoku/>
        <w:wordWrap w:val="0"/>
        <w:bidi w:val="0"/>
        <w:spacing w:line="400" w:lineRule="atLeast"/>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如采用银行保函，格式如下。</w:t>
      </w:r>
    </w:p>
    <w:p w14:paraId="6BDCE1BF">
      <w:pPr>
        <w:pageBreakBefore w:val="0"/>
        <w:kinsoku/>
        <w:wordWrap w:val="0"/>
        <w:bidi w:val="0"/>
        <w:spacing w:line="400" w:lineRule="atLeast"/>
        <w:ind w:firstLine="3360" w:firstLineChars="1200"/>
        <w:rPr>
          <w:rFonts w:hint="default" w:ascii="Times New Roman" w:hAnsi="Times New Roman" w:eastAsia="黑体" w:cs="Times New Roman"/>
          <w:color w:val="auto"/>
          <w:sz w:val="28"/>
          <w:szCs w:val="28"/>
          <w:highlight w:val="none"/>
        </w:rPr>
      </w:pPr>
    </w:p>
    <w:p w14:paraId="7B437576">
      <w:pPr>
        <w:pageBreakBefore w:val="0"/>
        <w:kinsoku/>
        <w:wordWrap w:val="0"/>
        <w:bidi w:val="0"/>
        <w:spacing w:line="400" w:lineRule="atLeast"/>
        <w:jc w:val="center"/>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履约保证金</w:t>
      </w:r>
    </w:p>
    <w:p w14:paraId="223730E9">
      <w:pPr>
        <w:pageBreakBefore w:val="0"/>
        <w:kinsoku/>
        <w:wordWrap w:val="0"/>
        <w:bidi w:val="0"/>
        <w:spacing w:line="400" w:lineRule="atLeast"/>
        <w:rPr>
          <w:rFonts w:hint="default" w:ascii="Times New Roman" w:hAnsi="Times New Roman" w:cs="Times New Roman"/>
          <w:color w:val="auto"/>
          <w:sz w:val="24"/>
          <w:highlight w:val="none"/>
        </w:rPr>
      </w:pPr>
    </w:p>
    <w:p w14:paraId="5F93E186">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u w:val="single"/>
        </w:rPr>
        <w:tab/>
      </w:r>
      <w:r>
        <w:rPr>
          <w:rFonts w:hint="default" w:ascii="Times New Roman" w:hAnsi="Times New Roman" w:cs="Times New Roman"/>
          <w:color w:val="auto"/>
          <w:sz w:val="24"/>
          <w:highlight w:val="none"/>
          <w:u w:val="single"/>
        </w:rPr>
        <w:tab/>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（发包人名称）：</w:t>
      </w:r>
    </w:p>
    <w:p w14:paraId="798F6A4F">
      <w:pPr>
        <w:pageBreakBefore w:val="0"/>
        <w:kinsoku/>
        <w:wordWrap w:val="0"/>
        <w:bidi w:val="0"/>
        <w:spacing w:line="400" w:lineRule="atLeast"/>
        <w:rPr>
          <w:rFonts w:hint="default" w:ascii="Times New Roman" w:hAnsi="Times New Roman" w:cs="Times New Roman"/>
          <w:color w:val="auto"/>
          <w:sz w:val="24"/>
          <w:highlight w:val="none"/>
        </w:rPr>
      </w:pPr>
    </w:p>
    <w:p w14:paraId="0FCDD719">
      <w:pPr>
        <w:pageBreakBefore w:val="0"/>
        <w:kinsoku/>
        <w:wordWrap w:val="0"/>
        <w:bidi w:val="0"/>
        <w:spacing w:line="400" w:lineRule="atLeast"/>
        <w:ind w:firstLine="600" w:firstLineChars="25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鉴于</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（发包人名称，以下简称</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发包人</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）接受</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（承包人名称，以下简称</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承包人</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）于</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月</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日参加</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（项目名称）</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标段施工的投标。我方愿意无条件地、不可撤销地就承包人履行与你方订立的合同，向你方提供担保。</w:t>
      </w:r>
    </w:p>
    <w:p w14:paraId="03F2A582">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 担保金额人民币（大写）</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 元（¥</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w:t>
      </w:r>
    </w:p>
    <w:p w14:paraId="39FE78A6">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 担保有效期自发包人与承包人签订的合同生效之日起至发包人签发交工验收证书且承包人按照合同约定缴纳质量保证金之日止。</w:t>
      </w:r>
      <w:r>
        <w:rPr>
          <w:rStyle w:val="48"/>
          <w:rFonts w:hint="default" w:ascii="Times New Roman" w:hAnsi="Times New Roman" w:eastAsia="黑体" w:cs="Times New Roman"/>
          <w:color w:val="auto"/>
          <w:sz w:val="28"/>
          <w:szCs w:val="28"/>
          <w:highlight w:val="none"/>
        </w:rPr>
        <w:footnoteReference w:id="43"/>
      </w:r>
    </w:p>
    <w:p w14:paraId="482B2552">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 在本担保有效期内，因承包人违反合同约定的义务给你方造成经济损失时，我方在收到你方以书面形式提出的在担保金额内的赔偿要求后，在7日内无条件支付，无须你方出具证明或陈述理由。</w:t>
      </w:r>
    </w:p>
    <w:p w14:paraId="70539777">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 发包人和承包人按合同条款第15条变更合同时，无论我方是否收到该变更，我方承担本担保规定的义务不变。</w:t>
      </w:r>
    </w:p>
    <w:p w14:paraId="2BCEC8FC">
      <w:pPr>
        <w:pageBreakBefore w:val="0"/>
        <w:kinsoku/>
        <w:wordWrap w:val="0"/>
        <w:bidi w:val="0"/>
        <w:spacing w:line="400" w:lineRule="atLeast"/>
        <w:rPr>
          <w:rFonts w:hint="default" w:ascii="Times New Roman" w:hAnsi="Times New Roman" w:cs="Times New Roman"/>
          <w:color w:val="auto"/>
          <w:sz w:val="24"/>
          <w:highlight w:val="none"/>
        </w:rPr>
      </w:pPr>
    </w:p>
    <w:p w14:paraId="30B709CE">
      <w:pPr>
        <w:pageBreakBefore w:val="0"/>
        <w:kinsoku/>
        <w:wordWrap w:val="0"/>
        <w:bidi w:val="0"/>
        <w:spacing w:line="400" w:lineRule="atLeast"/>
        <w:rPr>
          <w:rFonts w:hint="default" w:ascii="Times New Roman" w:hAnsi="Times New Roman" w:cs="Times New Roman"/>
          <w:color w:val="auto"/>
          <w:sz w:val="24"/>
          <w:highlight w:val="none"/>
        </w:rPr>
      </w:pPr>
    </w:p>
    <w:p w14:paraId="4281545E">
      <w:pPr>
        <w:pageBreakBefore w:val="0"/>
        <w:kinsoku/>
        <w:wordWrap w:val="0"/>
        <w:bidi w:val="0"/>
        <w:spacing w:line="400" w:lineRule="atLeast"/>
        <w:ind w:firstLine="3496" w:firstLineChars="14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担保人名称：</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（盖单位章）</w:t>
      </w:r>
    </w:p>
    <w:p w14:paraId="2B9C3CD6">
      <w:pPr>
        <w:pageBreakBefore w:val="0"/>
        <w:kinsoku/>
        <w:wordWrap w:val="0"/>
        <w:bidi w:val="0"/>
        <w:spacing w:line="400" w:lineRule="atLeast"/>
        <w:ind w:firstLine="3496" w:firstLineChars="14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法定代表人或其委托代理人：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（签字）</w:t>
      </w:r>
    </w:p>
    <w:p w14:paraId="37D96521">
      <w:pPr>
        <w:pageBreakBefore w:val="0"/>
        <w:kinsoku/>
        <w:wordWrap w:val="0"/>
        <w:bidi w:val="0"/>
        <w:spacing w:line="400" w:lineRule="atLeast"/>
        <w:ind w:firstLine="3496" w:firstLineChars="14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地    址：</w:t>
      </w:r>
      <w:r>
        <w:rPr>
          <w:rFonts w:hint="default" w:ascii="Times New Roman" w:hAnsi="Times New Roman" w:cs="Times New Roman"/>
          <w:color w:val="auto"/>
          <w:sz w:val="24"/>
          <w:highlight w:val="none"/>
          <w:u w:val="single"/>
        </w:rPr>
        <w:tab/>
      </w:r>
      <w:r>
        <w:rPr>
          <w:rFonts w:hint="default" w:ascii="Times New Roman" w:hAnsi="Times New Roman" w:cs="Times New Roman"/>
          <w:color w:val="auto"/>
          <w:sz w:val="24"/>
          <w:highlight w:val="none"/>
          <w:u w:val="single"/>
        </w:rPr>
        <w:tab/>
      </w:r>
      <w:r>
        <w:rPr>
          <w:rFonts w:hint="default" w:ascii="Times New Roman" w:hAnsi="Times New Roman" w:cs="Times New Roman"/>
          <w:color w:val="auto"/>
          <w:sz w:val="24"/>
          <w:highlight w:val="none"/>
          <w:u w:val="single"/>
        </w:rPr>
        <w:tab/>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u w:val="single"/>
        </w:rPr>
        <w:tab/>
      </w:r>
      <w:r>
        <w:rPr>
          <w:rFonts w:hint="default" w:ascii="Times New Roman" w:hAnsi="Times New Roman" w:cs="Times New Roman"/>
          <w:color w:val="auto"/>
          <w:sz w:val="24"/>
          <w:highlight w:val="none"/>
          <w:u w:val="single"/>
        </w:rPr>
        <w:tab/>
      </w:r>
      <w:r>
        <w:rPr>
          <w:rFonts w:hint="default" w:ascii="Times New Roman" w:hAnsi="Times New Roman" w:cs="Times New Roman"/>
          <w:color w:val="auto"/>
          <w:sz w:val="24"/>
          <w:highlight w:val="none"/>
          <w:u w:val="single"/>
        </w:rPr>
        <w:tab/>
      </w:r>
    </w:p>
    <w:p w14:paraId="4D2FC985">
      <w:pPr>
        <w:pageBreakBefore w:val="0"/>
        <w:kinsoku/>
        <w:wordWrap w:val="0"/>
        <w:bidi w:val="0"/>
        <w:spacing w:line="400" w:lineRule="atLeast"/>
        <w:ind w:firstLine="3496" w:firstLineChars="14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邮政编码：</w:t>
      </w:r>
      <w:r>
        <w:rPr>
          <w:rFonts w:hint="default" w:ascii="Times New Roman" w:hAnsi="Times New Roman" w:cs="Times New Roman"/>
          <w:color w:val="auto"/>
          <w:sz w:val="24"/>
          <w:highlight w:val="none"/>
          <w:u w:val="single"/>
        </w:rPr>
        <w:tab/>
      </w:r>
      <w:r>
        <w:rPr>
          <w:rFonts w:hint="default" w:ascii="Times New Roman" w:hAnsi="Times New Roman" w:cs="Times New Roman"/>
          <w:color w:val="auto"/>
          <w:sz w:val="24"/>
          <w:highlight w:val="none"/>
          <w:u w:val="single"/>
        </w:rPr>
        <w:tab/>
      </w:r>
      <w:r>
        <w:rPr>
          <w:rFonts w:hint="default" w:ascii="Times New Roman" w:hAnsi="Times New Roman" w:cs="Times New Roman"/>
          <w:color w:val="auto"/>
          <w:sz w:val="24"/>
          <w:highlight w:val="none"/>
          <w:u w:val="single"/>
        </w:rPr>
        <w:tab/>
      </w:r>
      <w:r>
        <w:rPr>
          <w:rFonts w:hint="default" w:ascii="Times New Roman" w:hAnsi="Times New Roman" w:cs="Times New Roman"/>
          <w:color w:val="auto"/>
          <w:sz w:val="24"/>
          <w:highlight w:val="none"/>
          <w:u w:val="single"/>
        </w:rPr>
        <w:tab/>
      </w:r>
      <w:r>
        <w:rPr>
          <w:rFonts w:hint="default" w:ascii="Times New Roman" w:hAnsi="Times New Roman" w:cs="Times New Roman"/>
          <w:color w:val="auto"/>
          <w:sz w:val="24"/>
          <w:highlight w:val="none"/>
          <w:u w:val="single"/>
        </w:rPr>
        <w:tab/>
      </w:r>
      <w:r>
        <w:rPr>
          <w:rFonts w:hint="default" w:ascii="Times New Roman" w:hAnsi="Times New Roman" w:cs="Times New Roman"/>
          <w:color w:val="auto"/>
          <w:sz w:val="24"/>
          <w:highlight w:val="none"/>
          <w:u w:val="single"/>
        </w:rPr>
        <w:tab/>
      </w:r>
      <w:r>
        <w:rPr>
          <w:rFonts w:hint="default" w:ascii="Times New Roman" w:hAnsi="Times New Roman" w:cs="Times New Roman"/>
          <w:color w:val="auto"/>
          <w:sz w:val="24"/>
          <w:highlight w:val="none"/>
          <w:u w:val="single"/>
        </w:rPr>
        <w:tab/>
      </w:r>
      <w:r>
        <w:rPr>
          <w:rFonts w:hint="default" w:ascii="Times New Roman" w:hAnsi="Times New Roman" w:cs="Times New Roman"/>
          <w:color w:val="auto"/>
          <w:sz w:val="24"/>
          <w:highlight w:val="none"/>
          <w:u w:val="single"/>
        </w:rPr>
        <w:tab/>
      </w:r>
      <w:r>
        <w:rPr>
          <w:rFonts w:hint="default" w:ascii="Times New Roman" w:hAnsi="Times New Roman" w:cs="Times New Roman"/>
          <w:color w:val="auto"/>
          <w:sz w:val="24"/>
          <w:highlight w:val="none"/>
          <w:u w:val="single"/>
        </w:rPr>
        <w:tab/>
      </w:r>
    </w:p>
    <w:p w14:paraId="61FB1DA8">
      <w:pPr>
        <w:pageBreakBefore w:val="0"/>
        <w:kinsoku/>
        <w:wordWrap w:val="0"/>
        <w:bidi w:val="0"/>
        <w:spacing w:line="400" w:lineRule="atLeast"/>
        <w:ind w:firstLine="3496" w:firstLineChars="14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电    话：</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 </w:t>
      </w:r>
    </w:p>
    <w:p w14:paraId="26680E0F">
      <w:pPr>
        <w:pageBreakBefore w:val="0"/>
        <w:kinsoku/>
        <w:wordWrap w:val="0"/>
        <w:bidi w:val="0"/>
        <w:spacing w:line="400" w:lineRule="atLeast"/>
        <w:ind w:firstLine="3496" w:firstLineChars="14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传    真：</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 </w:t>
      </w:r>
    </w:p>
    <w:p w14:paraId="24D335D6">
      <w:pPr>
        <w:pageBreakBefore w:val="0"/>
        <w:kinsoku/>
        <w:wordWrap w:val="0"/>
        <w:bidi w:val="0"/>
        <w:spacing w:line="400" w:lineRule="atLeast"/>
        <w:ind w:firstLine="4216" w:firstLineChars="1757"/>
        <w:jc w:val="righ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 年</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月 </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日</w:t>
      </w:r>
    </w:p>
    <w:p w14:paraId="3A844DC5">
      <w:pPr>
        <w:pageBreakBefore w:val="0"/>
        <w:kinsoku/>
        <w:wordWrap w:val="0"/>
        <w:bidi w:val="0"/>
        <w:spacing w:line="400" w:lineRule="atLeast"/>
        <w:rPr>
          <w:rFonts w:hint="default" w:ascii="Times New Roman" w:hAnsi="Times New Roman" w:cs="Times New Roman"/>
          <w:color w:val="auto"/>
          <w:sz w:val="24"/>
          <w:highlight w:val="none"/>
        </w:rPr>
      </w:pPr>
    </w:p>
    <w:p w14:paraId="2FCEDF54">
      <w:pPr>
        <w:pageBreakBefore w:val="0"/>
        <w:kinsoku/>
        <w:wordWrap w:val="0"/>
        <w:bidi w:val="0"/>
        <w:spacing w:line="400" w:lineRule="atLeast"/>
        <w:rPr>
          <w:rFonts w:hint="default" w:ascii="Times New Roman" w:hAnsi="Times New Roman" w:eastAsia="黑体" w:cs="Times New Roman"/>
          <w:color w:val="auto"/>
          <w:sz w:val="24"/>
          <w:highlight w:val="none"/>
        </w:rPr>
      </w:pPr>
    </w:p>
    <w:p w14:paraId="266F3195">
      <w:pPr>
        <w:pStyle w:val="6"/>
        <w:pageBreakBefore w:val="0"/>
        <w:kinsoku/>
        <w:wordWrap w:val="0"/>
        <w:bidi w:val="0"/>
        <w:spacing w:before="0" w:after="0" w:line="380" w:lineRule="atLeast"/>
        <w:jc w:val="both"/>
        <w:outlineLvl w:val="3"/>
        <w:rPr>
          <w:rFonts w:hint="default" w:ascii="Times New Roman" w:hAnsi="Times New Roman" w:eastAsia="黑体" w:cs="Times New Roman"/>
          <w:b w:val="0"/>
          <w:color w:val="auto"/>
          <w:sz w:val="24"/>
          <w:szCs w:val="24"/>
          <w:highlight w:val="none"/>
        </w:rPr>
      </w:pPr>
      <w:r>
        <w:rPr>
          <w:rFonts w:hint="default" w:ascii="Times New Roman" w:hAnsi="Times New Roman" w:eastAsia="黑体" w:cs="Times New Roman"/>
          <w:color w:val="auto"/>
          <w:sz w:val="24"/>
          <w:highlight w:val="none"/>
        </w:rPr>
        <w:br w:type="page"/>
      </w:r>
      <w:bookmarkStart w:id="1530" w:name="_Toc21835"/>
      <w:bookmarkStart w:id="1531" w:name="_Toc18852"/>
      <w:bookmarkStart w:id="1532" w:name="_Toc234833238"/>
      <w:bookmarkStart w:id="1533" w:name="_Toc24417"/>
      <w:r>
        <w:rPr>
          <w:rFonts w:hint="default" w:ascii="Times New Roman" w:hAnsi="Times New Roman" w:eastAsia="黑体" w:cs="Times New Roman"/>
          <w:b w:val="0"/>
          <w:i w:val="0"/>
          <w:iCs/>
          <w:color w:val="auto"/>
          <w:sz w:val="24"/>
          <w:szCs w:val="24"/>
          <w:highlight w:val="none"/>
        </w:rPr>
        <w:t>附件八</w:t>
      </w:r>
      <w:r>
        <w:rPr>
          <w:rFonts w:hint="default" w:ascii="Times New Roman" w:hAnsi="Times New Roman" w:eastAsia="黑体" w:cs="Times New Roman"/>
          <w:b w:val="0"/>
          <w:i w:val="0"/>
          <w:iCs/>
          <w:color w:val="auto"/>
          <w:sz w:val="24"/>
          <w:szCs w:val="24"/>
          <w:highlight w:val="none"/>
          <w:lang w:eastAsia="zh-CN"/>
        </w:rPr>
        <w:t xml:space="preserve"> </w:t>
      </w:r>
      <w:r>
        <w:rPr>
          <w:rFonts w:hint="default" w:ascii="Times New Roman" w:hAnsi="Times New Roman" w:eastAsia="黑体" w:cs="Times New Roman"/>
          <w:b w:val="0"/>
          <w:i w:val="0"/>
          <w:iCs/>
          <w:color w:val="auto"/>
          <w:sz w:val="24"/>
          <w:szCs w:val="24"/>
          <w:highlight w:val="none"/>
        </w:rPr>
        <w:t>工程资金监管协议格式</w:t>
      </w:r>
      <w:bookmarkEnd w:id="1530"/>
      <w:bookmarkEnd w:id="1531"/>
      <w:bookmarkEnd w:id="1532"/>
      <w:bookmarkEnd w:id="1533"/>
    </w:p>
    <w:p w14:paraId="6E31E48B">
      <w:pPr>
        <w:pageBreakBefore w:val="0"/>
        <w:kinsoku/>
        <w:wordWrap w:val="0"/>
        <w:bidi w:val="0"/>
        <w:spacing w:line="38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（发包人与承包人签订合同协议书时应与发包人指定的银行签署工程资金监管协议，工程资金监管协议内容在保证本项目资金有效监管的前提下由三方共同商定）</w:t>
      </w:r>
    </w:p>
    <w:p w14:paraId="10662783">
      <w:pPr>
        <w:pageBreakBefore w:val="0"/>
        <w:kinsoku/>
        <w:wordWrap w:val="0"/>
        <w:bidi w:val="0"/>
        <w:spacing w:line="380" w:lineRule="atLeast"/>
        <w:rPr>
          <w:rFonts w:hint="default" w:ascii="Times New Roman" w:hAnsi="Times New Roman" w:eastAsia="黑体" w:cs="Times New Roman"/>
          <w:color w:val="auto"/>
          <w:sz w:val="24"/>
          <w:highlight w:val="none"/>
        </w:rPr>
      </w:pPr>
    </w:p>
    <w:p w14:paraId="504CE6D2">
      <w:pPr>
        <w:pageBreakBefore w:val="0"/>
        <w:kinsoku/>
        <w:wordWrap w:val="0"/>
        <w:bidi w:val="0"/>
        <w:spacing w:line="380" w:lineRule="atLeast"/>
        <w:jc w:val="center"/>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工程资金监管协议</w:t>
      </w:r>
    </w:p>
    <w:p w14:paraId="7CBC1821">
      <w:pPr>
        <w:pageBreakBefore w:val="0"/>
        <w:kinsoku/>
        <w:wordWrap w:val="0"/>
        <w:bidi w:val="0"/>
        <w:spacing w:line="380" w:lineRule="atLeast"/>
        <w:jc w:val="center"/>
        <w:rPr>
          <w:rFonts w:hint="default" w:ascii="Times New Roman" w:hAnsi="Times New Roman" w:eastAsia="黑体" w:cs="Times New Roman"/>
          <w:color w:val="auto"/>
          <w:sz w:val="28"/>
          <w:szCs w:val="28"/>
          <w:highlight w:val="none"/>
        </w:rPr>
      </w:pPr>
    </w:p>
    <w:p w14:paraId="13DB93F1">
      <w:pPr>
        <w:pageBreakBefore w:val="0"/>
        <w:kinsoku/>
        <w:wordWrap w:val="0"/>
        <w:bidi w:val="0"/>
        <w:spacing w:line="380" w:lineRule="atLeast"/>
        <w:rPr>
          <w:rFonts w:hint="default" w:ascii="Times New Roman" w:hAnsi="Times New Roman" w:cs="Times New Roman"/>
          <w:color w:val="auto"/>
          <w:sz w:val="24"/>
          <w:highlight w:val="none"/>
        </w:rPr>
      </w:pPr>
      <w:bookmarkStart w:id="1534" w:name="_Toc234833239"/>
      <w:r>
        <w:rPr>
          <w:rFonts w:hint="default" w:ascii="Times New Roman" w:hAnsi="Times New Roman" w:cs="Times New Roman"/>
          <w:color w:val="auto"/>
          <w:sz w:val="24"/>
          <w:highlight w:val="none"/>
        </w:rPr>
        <w:t>发包人：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（以下简称</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甲方</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w:t>
      </w:r>
      <w:bookmarkEnd w:id="1534"/>
    </w:p>
    <w:p w14:paraId="1DD56B80">
      <w:pPr>
        <w:pageBreakBefore w:val="0"/>
        <w:kinsoku/>
        <w:wordWrap w:val="0"/>
        <w:bidi w:val="0"/>
        <w:spacing w:line="38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（以下简称</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乙方</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w:t>
      </w:r>
    </w:p>
    <w:p w14:paraId="335A2157">
      <w:pPr>
        <w:pageBreakBefore w:val="0"/>
        <w:kinsoku/>
        <w:wordWrap w:val="0"/>
        <w:bidi w:val="0"/>
        <w:spacing w:line="38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经办银行：</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（以下简称</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丙方</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w:t>
      </w:r>
    </w:p>
    <w:p w14:paraId="09052958">
      <w:pPr>
        <w:pageBreakBefore w:val="0"/>
        <w:kinsoku/>
        <w:wordWrap w:val="0"/>
        <w:bidi w:val="0"/>
        <w:spacing w:line="380" w:lineRule="atLeast"/>
        <w:jc w:val="left"/>
        <w:rPr>
          <w:rFonts w:hint="default" w:ascii="Times New Roman" w:hAnsi="Times New Roman" w:cs="Times New Roman"/>
          <w:color w:val="auto"/>
          <w:sz w:val="24"/>
          <w:highlight w:val="none"/>
        </w:rPr>
      </w:pPr>
    </w:p>
    <w:p w14:paraId="3D2AD694">
      <w:pPr>
        <w:pageBreakBefore w:val="0"/>
        <w:kinsoku/>
        <w:wordWrap w:val="0"/>
        <w:bidi w:val="0"/>
        <w:spacing w:line="38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为了促进</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（项目名称）的顺利实施，管好用好建设资金，确保工程资金专款专用，同时为承包人提供便捷有效的银行业务服务，根据</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（项目名称）合同条款有关规定，经甲、乙、丙三方协商，达成协议如下：</w:t>
      </w:r>
    </w:p>
    <w:p w14:paraId="722460D7">
      <w:pPr>
        <w:pageBreakBefore w:val="0"/>
        <w:kinsoku/>
        <w:wordWrap w:val="0"/>
        <w:bidi w:val="0"/>
        <w:spacing w:line="38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 资金管理的内容</w:t>
      </w:r>
    </w:p>
    <w:p w14:paraId="0FEB7E11">
      <w:pPr>
        <w:pageBreakBefore w:val="0"/>
        <w:kinsoku/>
        <w:wordWrap w:val="0"/>
        <w:bidi w:val="0"/>
        <w:spacing w:line="38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（1）乙方为完成</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（项目名称）工程成立的项目经理部在丙方开设基本结算户；</w:t>
      </w:r>
    </w:p>
    <w:p w14:paraId="30B16078">
      <w:pPr>
        <w:pageBreakBefore w:val="0"/>
        <w:kinsoku/>
        <w:wordWrap w:val="0"/>
        <w:bidi w:val="0"/>
        <w:spacing w:line="38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（2）甲方应按合同规定将工程款汇入乙方在丙方开设的账户；</w:t>
      </w:r>
    </w:p>
    <w:p w14:paraId="4C745CCD">
      <w:pPr>
        <w:pageBreakBefore w:val="0"/>
        <w:kinsoku/>
        <w:wordWrap w:val="0"/>
        <w:bidi w:val="0"/>
        <w:spacing w:line="38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（3）乙方应将流动资金及甲方所拨付资金专项用于</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（项目名称）；</w:t>
      </w:r>
    </w:p>
    <w:p w14:paraId="4ED88207">
      <w:pPr>
        <w:pageBreakBefore w:val="0"/>
        <w:kinsoku/>
        <w:wordWrap w:val="0"/>
        <w:bidi w:val="0"/>
        <w:spacing w:line="38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（4）丙方应为乙方提供便捷有效的银行业务服务，并接受甲方委托对乙方在丙方开设的基本结算户资金使用情况进行监督。</w:t>
      </w:r>
    </w:p>
    <w:p w14:paraId="3F0F602E">
      <w:pPr>
        <w:pageBreakBefore w:val="0"/>
        <w:kinsoku/>
        <w:wordWrap w:val="0"/>
        <w:bidi w:val="0"/>
        <w:spacing w:line="38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 甲方的权责</w:t>
      </w:r>
    </w:p>
    <w:p w14:paraId="3F551000">
      <w:pPr>
        <w:pageBreakBefore w:val="0"/>
        <w:kinsoku/>
        <w:wordWrap w:val="0"/>
        <w:bidi w:val="0"/>
        <w:spacing w:line="38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（1）按照</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（项目名称）合同有关条款规定的时间和方式，向乙方支付工程款；</w:t>
      </w:r>
    </w:p>
    <w:p w14:paraId="02E98D25">
      <w:pPr>
        <w:pageBreakBefore w:val="0"/>
        <w:kinsoku/>
        <w:wordWrap w:val="0"/>
        <w:bidi w:val="0"/>
        <w:spacing w:line="38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（2）在发现乙方将本项目资金挪用、转移时，甲方有权中止工程支付，直至乙方改正为止；</w:t>
      </w:r>
    </w:p>
    <w:p w14:paraId="06C47B96">
      <w:pPr>
        <w:pageBreakBefore w:val="0"/>
        <w:kinsoku/>
        <w:wordWrap w:val="0"/>
        <w:bidi w:val="0"/>
        <w:spacing w:line="38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（3）不定期审查丙方对乙方的资金使用监督情况，如丙方不能履行其责任，甲方有权随时终止本协议；</w:t>
      </w:r>
    </w:p>
    <w:p w14:paraId="74A38BF2">
      <w:pPr>
        <w:pageBreakBefore w:val="0"/>
        <w:kinsoku/>
        <w:wordWrap w:val="0"/>
        <w:bidi w:val="0"/>
        <w:spacing w:line="38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（4）在乙、丙双方发生争议时，甲方应负责协调、解决。</w:t>
      </w:r>
    </w:p>
    <w:p w14:paraId="08F7C078">
      <w:pPr>
        <w:pageBreakBefore w:val="0"/>
        <w:kinsoku/>
        <w:wordWrap w:val="0"/>
        <w:bidi w:val="0"/>
        <w:spacing w:line="38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 乙方的权责</w:t>
      </w:r>
    </w:p>
    <w:p w14:paraId="634FECA3">
      <w:pPr>
        <w:pageBreakBefore w:val="0"/>
        <w:kinsoku/>
        <w:wordWrap w:val="0"/>
        <w:bidi w:val="0"/>
        <w:spacing w:line="38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（1）项目经理部成立以后，乙方应尽快在丙方开设基本结算户；</w:t>
      </w:r>
    </w:p>
    <w:p w14:paraId="1C95E0DA">
      <w:pPr>
        <w:pageBreakBefore w:val="0"/>
        <w:kinsoku/>
        <w:wordWrap w:val="0"/>
        <w:bidi w:val="0"/>
        <w:spacing w:line="38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（2）确保本项目资金专款专用，不发生挪用、转移资金的现象；保证不通过权益转让、抵押、担保承担债务等任何其他方式使用基本结算户的资金；</w:t>
      </w:r>
    </w:p>
    <w:p w14:paraId="17993F09">
      <w:pPr>
        <w:pageBreakBefore w:val="0"/>
        <w:kinsoku/>
        <w:wordWrap w:val="0"/>
        <w:bidi w:val="0"/>
        <w:spacing w:line="38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（3）办理材料、设备等采购业务金额在</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万元以上的，应出示购货合同、协议和发票；在办理总额超过</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万元以上的采购业务时，应将合同、协议和发票复印件送丙方备案；购买应急材料、设备时可先办理支付手续，但事后必须补备有关资料；</w:t>
      </w:r>
    </w:p>
    <w:p w14:paraId="022A9C86">
      <w:pPr>
        <w:pageBreakBefore w:val="0"/>
        <w:kinsoku/>
        <w:wordWrap w:val="0"/>
        <w:bidi w:val="0"/>
        <w:spacing w:line="38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（4）用银行转账支票办理支付款项时，必须将转账支票送交丙方，由丙方负责办理支票转付手续；</w:t>
      </w:r>
    </w:p>
    <w:p w14:paraId="3A90C807">
      <w:pPr>
        <w:pageBreakBefore w:val="0"/>
        <w:kinsoku/>
        <w:wordWrap w:val="0"/>
        <w:bidi w:val="0"/>
        <w:spacing w:line="38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（5）向分包单位支付工程进度款时，应附甲方批准分包的文件；</w:t>
      </w:r>
    </w:p>
    <w:p w14:paraId="7D5DD901">
      <w:pPr>
        <w:pageBreakBefore w:val="0"/>
        <w:kinsoku/>
        <w:wordWrap w:val="0"/>
        <w:bidi w:val="0"/>
        <w:spacing w:line="38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（6）向上级单位缴纳管理费、机械设备及周转材料租赁摊销费等款项时，应附上级单位出具的转账通知等有关资料，以确保资金专款专用。</w:t>
      </w:r>
    </w:p>
    <w:p w14:paraId="53F5DA16">
      <w:pPr>
        <w:pageBreakBefore w:val="0"/>
        <w:kinsoku/>
        <w:wordWrap w:val="0"/>
        <w:bidi w:val="0"/>
        <w:spacing w:line="38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 丙方的权责</w:t>
      </w:r>
    </w:p>
    <w:p w14:paraId="30B7BAF1">
      <w:pPr>
        <w:pageBreakBefore w:val="0"/>
        <w:kinsoku/>
        <w:wordWrap w:val="0"/>
        <w:bidi w:val="0"/>
        <w:spacing w:line="38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（1）成立</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（项目名称）工程资金管理服务小组，明确业务流程，提高工作效率，杜绝</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压票</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现象；</w:t>
      </w:r>
    </w:p>
    <w:p w14:paraId="2723026C">
      <w:pPr>
        <w:pageBreakBefore w:val="0"/>
        <w:kinsoku/>
        <w:wordWrap w:val="0"/>
        <w:bidi w:val="0"/>
        <w:spacing w:line="38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w:t>
      </w:r>
      <w:r>
        <w:rPr>
          <w:rFonts w:hint="default" w:ascii="Times New Roman" w:hAnsi="Times New Roman" w:cs="Times New Roman"/>
          <w:color w:val="auto"/>
          <w:spacing w:val="-6"/>
          <w:sz w:val="24"/>
          <w:highlight w:val="none"/>
        </w:rPr>
        <w:t>根据乙方提供的购货合同、协议和发票，检查其所购材料、设备是否用于</w:t>
      </w:r>
      <w:r>
        <w:rPr>
          <w:rFonts w:hint="default" w:ascii="Times New Roman" w:hAnsi="Times New Roman" w:cs="Times New Roman"/>
          <w:color w:val="auto"/>
          <w:spacing w:val="-6"/>
          <w:sz w:val="24"/>
          <w:highlight w:val="none"/>
          <w:u w:val="single"/>
        </w:rPr>
        <w:t xml:space="preserve">   </w:t>
      </w:r>
      <w:r>
        <w:rPr>
          <w:rFonts w:hint="default" w:ascii="Times New Roman" w:hAnsi="Times New Roman" w:cs="Times New Roman"/>
          <w:color w:val="auto"/>
          <w:sz w:val="24"/>
          <w:highlight w:val="none"/>
        </w:rPr>
        <w:t>（项目名称）工程建设，对本标段以外的购货款项，有权拒绝办理，并及时报告甲方；</w:t>
      </w:r>
    </w:p>
    <w:p w14:paraId="08B5C85F">
      <w:pPr>
        <w:pageBreakBefore w:val="0"/>
        <w:kinsoku/>
        <w:wordWrap w:val="0"/>
        <w:bidi w:val="0"/>
        <w:spacing w:line="38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（3）根据乙方与分包单位签订的合同及支付文件，检查其支付款项是否符合有关条件，向分包单位以外单位的支付有权拒绝办理，并及时报告甲方；</w:t>
      </w:r>
    </w:p>
    <w:p w14:paraId="37A6FE23">
      <w:pPr>
        <w:pageBreakBefore w:val="0"/>
        <w:kinsoku/>
        <w:wordWrap w:val="0"/>
        <w:bidi w:val="0"/>
        <w:spacing w:line="38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（4）根据乙方提供的上级单位出具的转账通知等有关资料，办理管理费、机械设备及周转材料租赁摊销费等款项的支付；对超出转账通知等有关资料以外的支付，有权拒绝办理，并及时报告甲方；</w:t>
      </w:r>
    </w:p>
    <w:p w14:paraId="4EF1F19C">
      <w:pPr>
        <w:pageBreakBefore w:val="0"/>
        <w:kinsoku/>
        <w:wordWrap w:val="0"/>
        <w:bidi w:val="0"/>
        <w:spacing w:line="38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（5）定期将乙方前一个周期的支付情况，整理后书面报送甲方；乙方复印备案的材料一并送甲方。</w:t>
      </w:r>
    </w:p>
    <w:p w14:paraId="16D6EBF4">
      <w:pPr>
        <w:pageBreakBefore w:val="0"/>
        <w:kinsoku/>
        <w:wordWrap w:val="0"/>
        <w:bidi w:val="0"/>
        <w:spacing w:line="38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 甲、乙、丙三方都应履行保密责任，不得将其他两方的业务情况透露给三方以外的其他单位或个人。</w:t>
      </w:r>
    </w:p>
    <w:p w14:paraId="4CC5F732">
      <w:pPr>
        <w:pageBreakBefore w:val="0"/>
        <w:kinsoku/>
        <w:wordWrap w:val="0"/>
        <w:bidi w:val="0"/>
        <w:spacing w:line="38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 本协议有效期自乙方在丙方开户起，至工程交工验收甲方向乙方颁发交工验收证书后结束。</w:t>
      </w:r>
    </w:p>
    <w:p w14:paraId="44075BAF">
      <w:pPr>
        <w:pageBreakBefore w:val="0"/>
        <w:kinsoku/>
        <w:wordWrap w:val="0"/>
        <w:bidi w:val="0"/>
        <w:spacing w:line="38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7. 本协议未尽事宜，由甲方牵头，三方协商解决。</w:t>
      </w:r>
    </w:p>
    <w:p w14:paraId="18EA7CB9">
      <w:pPr>
        <w:pageBreakBefore w:val="0"/>
        <w:kinsoku/>
        <w:wordWrap w:val="0"/>
        <w:bidi w:val="0"/>
        <w:spacing w:line="38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8. 本协议正本三份、副本</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份。合同三方各执正本一份、副本</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份，当正本与副本内容不一致时，以正本为准。</w:t>
      </w:r>
    </w:p>
    <w:p w14:paraId="2A2DB9FB">
      <w:pPr>
        <w:pageBreakBefore w:val="0"/>
        <w:kinsoku/>
        <w:wordWrap w:val="0"/>
        <w:bidi w:val="0"/>
        <w:spacing w:line="340" w:lineRule="atLeast"/>
        <w:outlineLvl w:val="9"/>
        <w:rPr>
          <w:rFonts w:hint="default" w:ascii="Times New Roman" w:hAnsi="Times New Roman" w:cs="Times New Roman"/>
          <w:b/>
          <w:color w:val="auto"/>
          <w:sz w:val="24"/>
          <w:highlight w:val="none"/>
        </w:rPr>
      </w:pPr>
    </w:p>
    <w:p w14:paraId="2091F5DA">
      <w:pPr>
        <w:pageBreakBefore w:val="0"/>
        <w:kinsoku/>
        <w:wordWrap w:val="0"/>
        <w:bidi w:val="0"/>
        <w:spacing w:line="34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发包人：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（盖单位章）    </w:t>
      </w:r>
    </w:p>
    <w:p w14:paraId="3CEE4CC0">
      <w:pPr>
        <w:pageBreakBefore w:val="0"/>
        <w:kinsoku/>
        <w:wordWrap w:val="0"/>
        <w:bidi w:val="0"/>
        <w:spacing w:line="340" w:lineRule="atLeast"/>
        <w:outlineLvl w:val="9"/>
        <w:rPr>
          <w:rFonts w:hint="default" w:ascii="Times New Roman" w:hAnsi="Times New Roman" w:cs="Times New Roman"/>
          <w:color w:val="auto"/>
          <w:sz w:val="24"/>
          <w:highlight w:val="none"/>
        </w:rPr>
      </w:pPr>
      <w:bookmarkStart w:id="1535" w:name="_Toc27026"/>
      <w:bookmarkStart w:id="1536" w:name="_Toc25487"/>
      <w:r>
        <w:rPr>
          <w:rFonts w:hint="default" w:ascii="Times New Roman" w:hAnsi="Times New Roman" w:cs="Times New Roman"/>
          <w:color w:val="auto"/>
          <w:sz w:val="24"/>
          <w:highlight w:val="none"/>
        </w:rPr>
        <w:t>法定代表人或其委托代理人：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（签字）</w:t>
      </w:r>
      <w:bookmarkEnd w:id="1535"/>
      <w:bookmarkEnd w:id="1536"/>
      <w:r>
        <w:rPr>
          <w:rFonts w:hint="default" w:ascii="Times New Roman" w:hAnsi="Times New Roman" w:cs="Times New Roman"/>
          <w:color w:val="auto"/>
          <w:sz w:val="24"/>
          <w:highlight w:val="none"/>
        </w:rPr>
        <w:t xml:space="preserve">  </w:t>
      </w:r>
    </w:p>
    <w:p w14:paraId="42D786FC">
      <w:pPr>
        <w:pageBreakBefore w:val="0"/>
        <w:kinsoku/>
        <w:wordWrap w:val="0"/>
        <w:bidi w:val="0"/>
        <w:spacing w:line="340" w:lineRule="atLeast"/>
        <w:ind w:firstLine="1920" w:firstLineChars="800"/>
        <w:rPr>
          <w:rFonts w:hint="default" w:ascii="Times New Roman" w:hAnsi="Times New Roman" w:cs="Times New Roman"/>
          <w:b/>
          <w:bCs/>
          <w:color w:val="auto"/>
          <w:sz w:val="44"/>
          <w:highlight w:val="none"/>
        </w:rPr>
      </w:pP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月 </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 日    </w:t>
      </w:r>
    </w:p>
    <w:p w14:paraId="1C28BC1D">
      <w:pPr>
        <w:pageBreakBefore w:val="0"/>
        <w:kinsoku/>
        <w:wordWrap w:val="0"/>
        <w:bidi w:val="0"/>
        <w:spacing w:line="340" w:lineRule="atLeast"/>
        <w:rPr>
          <w:rFonts w:hint="default" w:ascii="Times New Roman" w:hAnsi="Times New Roman" w:cs="Times New Roman"/>
          <w:color w:val="auto"/>
          <w:sz w:val="24"/>
          <w:highlight w:val="none"/>
        </w:rPr>
      </w:pPr>
    </w:p>
    <w:p w14:paraId="1414C8CA">
      <w:pPr>
        <w:pageBreakBefore w:val="0"/>
        <w:kinsoku/>
        <w:wordWrap w:val="0"/>
        <w:bidi w:val="0"/>
        <w:spacing w:line="34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（盖单位章）    </w:t>
      </w:r>
    </w:p>
    <w:p w14:paraId="30AE40FF">
      <w:pPr>
        <w:pageBreakBefore w:val="0"/>
        <w:kinsoku/>
        <w:wordWrap w:val="0"/>
        <w:bidi w:val="0"/>
        <w:spacing w:line="34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法定代表人或其委托代理人：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（签字）  </w:t>
      </w:r>
    </w:p>
    <w:p w14:paraId="00458D6D">
      <w:pPr>
        <w:pageBreakBefore w:val="0"/>
        <w:kinsoku/>
        <w:wordWrap w:val="0"/>
        <w:bidi w:val="0"/>
        <w:spacing w:line="340" w:lineRule="atLeast"/>
        <w:ind w:firstLine="1920" w:firstLineChars="800"/>
        <w:rPr>
          <w:rFonts w:hint="default" w:ascii="Times New Roman" w:hAnsi="Times New Roman" w:cs="Times New Roman"/>
          <w:b/>
          <w:bCs/>
          <w:color w:val="auto"/>
          <w:sz w:val="44"/>
          <w:highlight w:val="none"/>
        </w:rPr>
      </w:pP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月 </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 日    </w:t>
      </w:r>
    </w:p>
    <w:p w14:paraId="7A7D099A">
      <w:pPr>
        <w:pageBreakBefore w:val="0"/>
        <w:kinsoku/>
        <w:wordWrap w:val="0"/>
        <w:bidi w:val="0"/>
        <w:spacing w:line="340" w:lineRule="atLeast"/>
        <w:rPr>
          <w:rFonts w:hint="default" w:ascii="Times New Roman" w:hAnsi="Times New Roman" w:cs="Times New Roman"/>
          <w:color w:val="auto"/>
          <w:sz w:val="24"/>
          <w:highlight w:val="none"/>
        </w:rPr>
      </w:pPr>
    </w:p>
    <w:p w14:paraId="785C2B32">
      <w:pPr>
        <w:pageBreakBefore w:val="0"/>
        <w:kinsoku/>
        <w:wordWrap w:val="0"/>
        <w:bidi w:val="0"/>
        <w:spacing w:line="34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经办银行：</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（盖单位章）    </w:t>
      </w:r>
    </w:p>
    <w:p w14:paraId="3CFEF524">
      <w:pPr>
        <w:pageBreakBefore w:val="0"/>
        <w:kinsoku/>
        <w:wordWrap w:val="0"/>
        <w:bidi w:val="0"/>
        <w:spacing w:line="34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法定代表人或其委托代理人：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（签字）  </w:t>
      </w:r>
    </w:p>
    <w:p w14:paraId="3F2B6691">
      <w:pPr>
        <w:pageBreakBefore w:val="0"/>
        <w:kinsoku/>
        <w:wordWrap w:val="0"/>
        <w:bidi w:val="0"/>
        <w:spacing w:line="340" w:lineRule="atLeast"/>
        <w:ind w:firstLine="1920" w:firstLineChars="800"/>
        <w:rPr>
          <w:rFonts w:hint="default" w:ascii="Times New Roman" w:hAnsi="Times New Roman" w:cs="Times New Roman"/>
          <w:color w:val="auto"/>
          <w:sz w:val="24"/>
          <w:highlight w:val="none"/>
        </w:rPr>
        <w:sectPr>
          <w:headerReference r:id="rId31" w:type="default"/>
          <w:footerReference r:id="rId32" w:type="default"/>
          <w:footnotePr>
            <w:numFmt w:val="decimalEnclosedCircleChinese"/>
            <w:numRestart w:val="eachPage"/>
          </w:footnotePr>
          <w:pgSz w:w="11907" w:h="16840"/>
          <w:pgMar w:top="1588" w:right="1588" w:bottom="1474" w:left="1644" w:header="851" w:footer="851" w:gutter="0"/>
          <w:pgNumType w:fmt="decimal"/>
          <w:cols w:space="720" w:num="1"/>
          <w:docGrid w:linePitch="312" w:charSpace="0"/>
        </w:sectPr>
      </w:pP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月 </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 日  </w:t>
      </w:r>
    </w:p>
    <w:p w14:paraId="07D6095F">
      <w:pPr>
        <w:pageBreakBefore w:val="0"/>
        <w:kinsoku/>
        <w:wordWrap w:val="0"/>
        <w:bidi w:val="0"/>
        <w:spacing w:line="340" w:lineRule="atLeast"/>
        <w:rPr>
          <w:rFonts w:hint="default" w:ascii="Times New Roman" w:hAnsi="Times New Roman" w:cs="Times New Roman"/>
          <w:b/>
          <w:bCs/>
          <w:color w:val="auto"/>
          <w:sz w:val="44"/>
          <w:highlight w:val="none"/>
        </w:rPr>
      </w:pPr>
    </w:p>
    <w:p w14:paraId="31670C83">
      <w:pPr>
        <w:pageBreakBefore w:val="0"/>
        <w:kinsoku/>
        <w:wordWrap w:val="0"/>
        <w:bidi w:val="0"/>
        <w:spacing w:line="400" w:lineRule="exact"/>
        <w:rPr>
          <w:rFonts w:hint="default" w:ascii="Times New Roman" w:hAnsi="Times New Roman" w:cs="Times New Roman"/>
          <w:color w:val="auto"/>
          <w:sz w:val="24"/>
          <w:highlight w:val="none"/>
        </w:rPr>
      </w:pPr>
    </w:p>
    <w:p w14:paraId="4698DADF">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15B4446D">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3A813B16">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41513AE8">
      <w:pPr>
        <w:pageBreakBefore w:val="0"/>
        <w:kinsoku/>
        <w:wordWrap w:val="0"/>
        <w:bidi w:val="0"/>
        <w:spacing w:line="440" w:lineRule="exact"/>
        <w:jc w:val="center"/>
        <w:rPr>
          <w:rFonts w:hint="default" w:ascii="Times New Roman" w:hAnsi="Times New Roman" w:eastAsia="黑体" w:cs="Times New Roman"/>
          <w:color w:val="auto"/>
          <w:sz w:val="29"/>
          <w:szCs w:val="29"/>
          <w:highlight w:val="yellow"/>
        </w:rPr>
      </w:pPr>
    </w:p>
    <w:p w14:paraId="6E7342BC">
      <w:pPr>
        <w:pageBreakBefore w:val="0"/>
        <w:kinsoku/>
        <w:wordWrap w:val="0"/>
        <w:bidi w:val="0"/>
        <w:spacing w:line="440" w:lineRule="exact"/>
        <w:jc w:val="center"/>
        <w:rPr>
          <w:rFonts w:hint="default" w:ascii="Times New Roman" w:hAnsi="Times New Roman" w:eastAsia="黑体" w:cs="Times New Roman"/>
          <w:color w:val="auto"/>
          <w:sz w:val="29"/>
          <w:szCs w:val="29"/>
          <w:highlight w:val="yellow"/>
        </w:rPr>
      </w:pPr>
    </w:p>
    <w:p w14:paraId="02CDB162">
      <w:pPr>
        <w:pageBreakBefore w:val="0"/>
        <w:kinsoku/>
        <w:wordWrap w:val="0"/>
        <w:bidi w:val="0"/>
        <w:spacing w:before="0" w:after="0" w:line="380" w:lineRule="atLeast"/>
        <w:jc w:val="center"/>
        <w:outlineLvl w:val="9"/>
        <w:rPr>
          <w:rFonts w:hint="default" w:ascii="Times New Roman" w:hAnsi="Times New Roman" w:eastAsia="黑体" w:cs="Times New Roman"/>
          <w:b w:val="0"/>
          <w:color w:val="auto"/>
          <w:sz w:val="56"/>
          <w:szCs w:val="56"/>
          <w:highlight w:val="yellow"/>
        </w:rPr>
      </w:pPr>
    </w:p>
    <w:p w14:paraId="3F4884D9">
      <w:pPr>
        <w:pageBreakBefore w:val="0"/>
        <w:kinsoku/>
        <w:wordWrap w:val="0"/>
        <w:bidi w:val="0"/>
        <w:spacing w:before="0" w:after="0" w:line="380" w:lineRule="atLeast"/>
        <w:jc w:val="center"/>
        <w:outlineLvl w:val="9"/>
        <w:rPr>
          <w:rFonts w:hint="default" w:ascii="Times New Roman" w:hAnsi="Times New Roman" w:eastAsia="黑体" w:cs="Times New Roman"/>
          <w:b w:val="0"/>
          <w:color w:val="auto"/>
          <w:sz w:val="56"/>
          <w:szCs w:val="56"/>
          <w:highlight w:val="yellow"/>
        </w:rPr>
      </w:pPr>
    </w:p>
    <w:p w14:paraId="2E6FB1D1">
      <w:pPr>
        <w:pageBreakBefore w:val="0"/>
        <w:kinsoku/>
        <w:wordWrap w:val="0"/>
        <w:bidi w:val="0"/>
        <w:spacing w:before="0" w:after="0" w:line="380" w:lineRule="atLeast"/>
        <w:jc w:val="center"/>
        <w:outlineLvl w:val="9"/>
        <w:rPr>
          <w:rFonts w:hint="default" w:ascii="Times New Roman" w:hAnsi="Times New Roman" w:eastAsia="黑体" w:cs="Times New Roman"/>
          <w:b w:val="0"/>
          <w:color w:val="auto"/>
          <w:sz w:val="56"/>
          <w:szCs w:val="56"/>
          <w:highlight w:val="yellow"/>
        </w:rPr>
      </w:pPr>
    </w:p>
    <w:p w14:paraId="34A12DB1">
      <w:pPr>
        <w:pageBreakBefore w:val="0"/>
        <w:kinsoku/>
        <w:wordWrap w:val="0"/>
        <w:bidi w:val="0"/>
        <w:spacing w:before="0" w:after="480" w:afterLines="200" w:line="380" w:lineRule="atLeast"/>
        <w:ind w:firstLine="1680" w:firstLineChars="300"/>
        <w:jc w:val="both"/>
        <w:outlineLvl w:val="1"/>
        <w:rPr>
          <w:rFonts w:hint="default" w:ascii="Times New Roman" w:hAnsi="Times New Roman" w:eastAsia="黑体" w:cs="Times New Roman"/>
          <w:b w:val="0"/>
          <w:color w:val="auto"/>
          <w:sz w:val="32"/>
          <w:szCs w:val="32"/>
          <w:highlight w:val="none"/>
        </w:rPr>
        <w:sectPr>
          <w:headerReference r:id="rId33" w:type="default"/>
          <w:footerReference r:id="rId34" w:type="default"/>
          <w:footnotePr>
            <w:numFmt w:val="decimalEnclosedCircleChinese"/>
            <w:numRestart w:val="eachPage"/>
          </w:footnotePr>
          <w:pgSz w:w="11907" w:h="16840"/>
          <w:pgMar w:top="1588" w:right="1588" w:bottom="1474" w:left="1644" w:header="851" w:footer="851" w:gutter="0"/>
          <w:pgNumType w:fmt="decimal"/>
          <w:cols w:space="720" w:num="1"/>
          <w:docGrid w:linePitch="312" w:charSpace="0"/>
        </w:sectPr>
      </w:pPr>
      <w:bookmarkStart w:id="1537" w:name="_Toc234835927"/>
      <w:bookmarkStart w:id="1538" w:name="_Toc234833240"/>
      <w:bookmarkStart w:id="1539" w:name="_Toc28723"/>
      <w:bookmarkStart w:id="1540" w:name="_Toc15757"/>
      <w:bookmarkStart w:id="1541" w:name="_Toc3845"/>
      <w:bookmarkStart w:id="1542" w:name="_Toc14742"/>
      <w:r>
        <w:rPr>
          <w:rFonts w:hint="default" w:ascii="Times New Roman" w:hAnsi="Times New Roman" w:eastAsia="黑体" w:cs="Times New Roman"/>
          <w:color w:val="auto"/>
          <w:sz w:val="56"/>
          <w:szCs w:val="56"/>
          <w:highlight w:val="none"/>
        </w:rPr>
        <w:t>第五章</w:t>
      </w:r>
      <w:r>
        <w:rPr>
          <w:rFonts w:hint="eastAsia" w:eastAsia="黑体" w:cs="Times New Roman"/>
          <w:color w:val="auto"/>
          <w:sz w:val="56"/>
          <w:szCs w:val="56"/>
          <w:highlight w:val="none"/>
          <w:lang w:val="en-US" w:eastAsia="zh-CN"/>
        </w:rPr>
        <w:t xml:space="preserve"> </w:t>
      </w:r>
      <w:r>
        <w:rPr>
          <w:rFonts w:hint="default" w:ascii="Times New Roman" w:hAnsi="Times New Roman" w:eastAsia="黑体" w:cs="Times New Roman"/>
          <w:color w:val="auto"/>
          <w:sz w:val="56"/>
          <w:szCs w:val="56"/>
          <w:highlight w:val="none"/>
        </w:rPr>
        <w:t>工程量清单</w:t>
      </w:r>
      <w:bookmarkEnd w:id="1537"/>
      <w:bookmarkEnd w:id="1538"/>
      <w:bookmarkEnd w:id="1539"/>
      <w:bookmarkEnd w:id="1540"/>
      <w:bookmarkStart w:id="1543" w:name="_Toc234833241"/>
      <w:r>
        <w:rPr>
          <w:rStyle w:val="48"/>
          <w:rFonts w:hint="default" w:ascii="Times New Roman" w:hAnsi="Times New Roman" w:eastAsia="黑体" w:cs="Times New Roman"/>
          <w:b w:val="0"/>
          <w:color w:val="auto"/>
          <w:sz w:val="56"/>
          <w:szCs w:val="56"/>
          <w:highlight w:val="none"/>
        </w:rPr>
        <w:footnoteReference w:id="44"/>
      </w:r>
      <w:bookmarkEnd w:id="1541"/>
      <w:bookmarkEnd w:id="1542"/>
    </w:p>
    <w:p w14:paraId="25F2D036">
      <w:pPr>
        <w:pageBreakBefore w:val="0"/>
        <w:kinsoku/>
        <w:wordWrap w:val="0"/>
        <w:bidi w:val="0"/>
        <w:spacing w:before="0" w:after="480" w:afterLines="200" w:line="380" w:lineRule="atLeast"/>
        <w:jc w:val="center"/>
        <w:outlineLvl w:val="9"/>
        <w:rPr>
          <w:rFonts w:hint="default" w:ascii="Times New Roman" w:hAnsi="Times New Roman" w:eastAsia="黑体" w:cs="Times New Roman"/>
          <w:b w:val="0"/>
          <w:color w:val="auto"/>
          <w:sz w:val="32"/>
          <w:szCs w:val="32"/>
          <w:highlight w:val="none"/>
        </w:rPr>
      </w:pPr>
      <w:bookmarkStart w:id="1544" w:name="_Toc3537"/>
      <w:bookmarkStart w:id="1545" w:name="_Toc9304"/>
      <w:bookmarkStart w:id="1546" w:name="_Toc2221"/>
      <w:r>
        <w:rPr>
          <w:rFonts w:hint="default" w:ascii="Times New Roman" w:hAnsi="Times New Roman" w:eastAsia="黑体" w:cs="Times New Roman"/>
          <w:b w:val="0"/>
          <w:color w:val="auto"/>
          <w:sz w:val="32"/>
          <w:szCs w:val="32"/>
          <w:highlight w:val="none"/>
        </w:rPr>
        <w:t>第五章</w:t>
      </w:r>
      <w:r>
        <w:rPr>
          <w:rFonts w:hint="eastAsia" w:eastAsia="黑体" w:cs="Times New Roman"/>
          <w:b w:val="0"/>
          <w:color w:val="auto"/>
          <w:sz w:val="32"/>
          <w:szCs w:val="32"/>
          <w:highlight w:val="none"/>
          <w:lang w:val="en-US" w:eastAsia="zh-CN"/>
        </w:rPr>
        <w:t xml:space="preserve"> </w:t>
      </w:r>
      <w:r>
        <w:rPr>
          <w:rFonts w:hint="default" w:ascii="Times New Roman" w:hAnsi="Times New Roman" w:eastAsia="黑体" w:cs="Times New Roman"/>
          <w:b w:val="0"/>
          <w:color w:val="auto"/>
          <w:sz w:val="32"/>
          <w:szCs w:val="32"/>
          <w:highlight w:val="none"/>
        </w:rPr>
        <w:t>工程量清单</w:t>
      </w:r>
      <w:bookmarkEnd w:id="1543"/>
      <w:bookmarkEnd w:id="1544"/>
      <w:bookmarkEnd w:id="1545"/>
      <w:bookmarkEnd w:id="1546"/>
    </w:p>
    <w:p w14:paraId="74AA9323">
      <w:pPr>
        <w:pStyle w:val="5"/>
        <w:pageBreakBefore w:val="0"/>
        <w:kinsoku/>
        <w:wordWrap w:val="0"/>
        <w:bidi w:val="0"/>
        <w:spacing w:before="240" w:beforeLines="100" w:after="240" w:afterLines="100" w:line="380" w:lineRule="atLeast"/>
        <w:jc w:val="both"/>
        <w:outlineLvl w:val="2"/>
        <w:rPr>
          <w:rFonts w:hint="default" w:ascii="Times New Roman" w:hAnsi="Times New Roman" w:eastAsia="黑体" w:cs="Times New Roman"/>
          <w:b w:val="0"/>
          <w:color w:val="auto"/>
          <w:sz w:val="28"/>
          <w:szCs w:val="28"/>
          <w:highlight w:val="none"/>
        </w:rPr>
      </w:pPr>
      <w:bookmarkStart w:id="1547" w:name="_Toc32385"/>
      <w:bookmarkStart w:id="1548" w:name="_Toc27094"/>
      <w:bookmarkStart w:id="1549" w:name="_Toc234833242"/>
      <w:bookmarkStart w:id="1550" w:name="_Toc7467"/>
      <w:bookmarkStart w:id="1551" w:name="_Toc21336"/>
      <w:bookmarkStart w:id="1552" w:name="_Toc30480"/>
      <w:bookmarkStart w:id="1553" w:name="_Toc30213"/>
      <w:bookmarkStart w:id="1554" w:name="_Toc14229"/>
      <w:bookmarkStart w:id="1555" w:name="_Toc234833246"/>
      <w:bookmarkStart w:id="1556" w:name="_Toc18734"/>
      <w:r>
        <w:rPr>
          <w:rFonts w:hint="default" w:ascii="Times New Roman" w:hAnsi="Times New Roman" w:eastAsia="黑体" w:cs="Times New Roman"/>
          <w:b w:val="0"/>
          <w:color w:val="auto"/>
          <w:sz w:val="28"/>
          <w:szCs w:val="28"/>
          <w:highlight w:val="none"/>
        </w:rPr>
        <w:t>1. 工程量清单说明</w:t>
      </w:r>
      <w:bookmarkEnd w:id="1547"/>
      <w:bookmarkEnd w:id="1548"/>
      <w:bookmarkEnd w:id="1549"/>
      <w:bookmarkEnd w:id="1550"/>
      <w:bookmarkEnd w:id="1551"/>
      <w:bookmarkEnd w:id="1552"/>
    </w:p>
    <w:p w14:paraId="7DF73EB9">
      <w:pPr>
        <w:pageBreakBefore w:val="0"/>
        <w:kinsoku/>
        <w:wordWrap w:val="0"/>
        <w:bidi w:val="0"/>
        <w:spacing w:line="400" w:lineRule="atLeast"/>
        <w:ind w:firstLine="540" w:firstLineChars="225"/>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 本工程量清单是根据招标文件中包括的有合同约束力的工程量清单计量规则、图纸以及有关工程量清单的国家标准、行业标准、合同条款中约定的其他规则编制。约定计量规则中没有的子目，其工程量按照有合同约束力的图纸所标示尺寸的理论净量计算。计量采用中华人民共和国法定计量单位。</w:t>
      </w:r>
    </w:p>
    <w:p w14:paraId="14FD2F4A">
      <w:pPr>
        <w:pageBreakBefore w:val="0"/>
        <w:kinsoku/>
        <w:wordWrap w:val="0"/>
        <w:bidi w:val="0"/>
        <w:spacing w:line="400" w:lineRule="atLeast"/>
        <w:ind w:firstLine="540" w:firstLineChars="225"/>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1.2 本工程量清单应与招标文件中的投标人须知、通用合同条款、专用合同条款、工程量清单计量规则、技术规范及图纸等一起阅读和理解。</w:t>
      </w:r>
    </w:p>
    <w:p w14:paraId="6CD07294">
      <w:pPr>
        <w:pageBreakBefore w:val="0"/>
        <w:kinsoku/>
        <w:wordWrap w:val="0"/>
        <w:bidi w:val="0"/>
        <w:spacing w:line="400" w:lineRule="atLeast"/>
        <w:ind w:firstLine="540" w:firstLineChars="225"/>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1.3 本工程量清单中所列工程数量是估算的或设计的预计数量，仅作为投标报价的共同基础，不能作为最终结算与支付的依据。实际支付应按实际完成的工程量，由承包人按工程量清单计量规则规定的计量方法，以监理人认可的尺寸、断面计量，按本工程量清单的单价和总额价计算支付金额；或根据具体情况，按合同条款第15.4款的规定，按监理人确定的单价或总额价计算支付额。</w:t>
      </w:r>
    </w:p>
    <w:p w14:paraId="787DBCF5">
      <w:pPr>
        <w:pageBreakBefore w:val="0"/>
        <w:kinsoku/>
        <w:wordWrap w:val="0"/>
        <w:bidi w:val="0"/>
        <w:spacing w:line="400" w:lineRule="atLeast"/>
        <w:ind w:firstLine="540" w:firstLineChars="225"/>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1.4 工程量清单各章是按第八章</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工程量清单计量规则</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、第七章</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技术规范</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的相应章次编号的，因此，工程量清单中各章的工程子目的范围与计量等应与</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工程量清单计量规则</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 xml:space="preserve"> </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技术规范</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相应章节的范围、计量与支付条款结合起来理解或解释。</w:t>
      </w:r>
    </w:p>
    <w:p w14:paraId="43318341">
      <w:pPr>
        <w:pageBreakBefore w:val="0"/>
        <w:kinsoku/>
        <w:wordWrap w:val="0"/>
        <w:bidi w:val="0"/>
        <w:spacing w:line="400" w:lineRule="atLeast"/>
        <w:ind w:firstLine="540" w:firstLineChars="225"/>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1.5 对作业和材料的一般说明或规定，未重复写入工程量清单内，在给工程量清单各子目标价前，应参阅第七章</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技术规范</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的有关内容。</w:t>
      </w:r>
    </w:p>
    <w:p w14:paraId="4416225F">
      <w:pPr>
        <w:pageBreakBefore w:val="0"/>
        <w:kinsoku/>
        <w:wordWrap w:val="0"/>
        <w:bidi w:val="0"/>
        <w:spacing w:line="400" w:lineRule="atLeast"/>
        <w:ind w:firstLine="540" w:firstLineChars="225"/>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1.6 工程量清单中所列工程量的变动，丝毫不会降低或影响合同条款的效力，也不免除承包人按规定的标准进行施工和修复缺陷的责任。</w:t>
      </w:r>
    </w:p>
    <w:p w14:paraId="248D3D8F">
      <w:pPr>
        <w:pageBreakBefore w:val="0"/>
        <w:kinsoku/>
        <w:wordWrap w:val="0"/>
        <w:bidi w:val="0"/>
        <w:spacing w:line="400" w:lineRule="atLeast"/>
        <w:ind w:firstLine="540" w:firstLineChars="225"/>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1.7 图纸中所列的工程数量表及数量汇总表仅是提供资料，不是工程量清单的外延。当图纸与工程量清单所列数量不一致时，以工程量清单所列数量作为报价的依据。</w:t>
      </w:r>
    </w:p>
    <w:p w14:paraId="6B1344A4">
      <w:pPr>
        <w:pStyle w:val="5"/>
        <w:pageBreakBefore w:val="0"/>
        <w:kinsoku/>
        <w:wordWrap w:val="0"/>
        <w:bidi w:val="0"/>
        <w:spacing w:before="240" w:beforeLines="100" w:after="240" w:afterLines="100" w:line="380" w:lineRule="atLeast"/>
        <w:jc w:val="both"/>
        <w:outlineLvl w:val="2"/>
        <w:rPr>
          <w:rFonts w:hint="default" w:ascii="Times New Roman" w:hAnsi="Times New Roman" w:eastAsia="黑体" w:cs="Times New Roman"/>
          <w:b w:val="0"/>
          <w:color w:val="auto"/>
          <w:sz w:val="28"/>
          <w:szCs w:val="28"/>
          <w:highlight w:val="none"/>
          <w:lang w:val="en-US" w:eastAsia="zh-CN"/>
        </w:rPr>
      </w:pPr>
      <w:bookmarkStart w:id="1557" w:name="_Toc31685"/>
      <w:bookmarkStart w:id="1558" w:name="_Toc26778"/>
      <w:bookmarkStart w:id="1559" w:name="_Toc234833243"/>
      <w:bookmarkStart w:id="1560" w:name="_Toc29747"/>
      <w:bookmarkStart w:id="1561" w:name="_Toc16502"/>
      <w:bookmarkStart w:id="1562" w:name="_Toc28425"/>
      <w:r>
        <w:rPr>
          <w:rFonts w:hint="default" w:ascii="Times New Roman" w:hAnsi="Times New Roman" w:eastAsia="黑体" w:cs="Times New Roman"/>
          <w:b w:val="0"/>
          <w:color w:val="auto"/>
          <w:sz w:val="28"/>
          <w:szCs w:val="28"/>
          <w:highlight w:val="none"/>
          <w:lang w:val="en-US" w:eastAsia="zh-CN"/>
        </w:rPr>
        <w:t>2. 投标报价说明</w:t>
      </w:r>
      <w:bookmarkEnd w:id="1557"/>
      <w:bookmarkEnd w:id="1558"/>
      <w:bookmarkEnd w:id="1559"/>
      <w:bookmarkEnd w:id="1560"/>
      <w:bookmarkEnd w:id="1561"/>
      <w:bookmarkEnd w:id="1562"/>
    </w:p>
    <w:p w14:paraId="57C801BE">
      <w:pPr>
        <w:pageBreakBefore w:val="0"/>
        <w:kinsoku/>
        <w:wordWrap w:val="0"/>
        <w:bidi w:val="0"/>
        <w:spacing w:line="400" w:lineRule="atLeast"/>
        <w:ind w:firstLine="540" w:firstLineChars="225"/>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2.1 工程量清单中的每一子目须填入单价或价格，且只允许有一个报价。</w:t>
      </w:r>
    </w:p>
    <w:p w14:paraId="1408669A">
      <w:pPr>
        <w:pageBreakBefore w:val="0"/>
        <w:kinsoku/>
        <w:wordWrap w:val="0"/>
        <w:bidi w:val="0"/>
        <w:spacing w:line="400" w:lineRule="atLeast"/>
        <w:ind w:firstLine="540" w:firstLineChars="225"/>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2.2 除非合同另有规定，工程量清单中有标价的单价和总额价均已包括了为实施和完成合同工程所需的劳务、材料、机械、质检（自检）、安装、缺陷修复、管理、保险、税费、利润等费用，以及合同明示或暗示的所有责任、义务和一般风险。</w:t>
      </w:r>
    </w:p>
    <w:p w14:paraId="5C5EA108">
      <w:pPr>
        <w:pageBreakBefore w:val="0"/>
        <w:kinsoku/>
        <w:wordWrap w:val="0"/>
        <w:bidi w:val="0"/>
        <w:spacing w:line="400" w:lineRule="atLeast"/>
        <w:ind w:firstLine="540" w:firstLineChars="225"/>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2.3 工程量清单中投标人没有填入单价或价格的子目，其费用视为已分摊在工程量清单中其他相关子目的单价或价格之中。承包人必须按监理人指令完成工程量清单中未填入单价或价格的子目，但不能得到结算与支付。</w:t>
      </w:r>
    </w:p>
    <w:p w14:paraId="2353488D">
      <w:pPr>
        <w:pageBreakBefore w:val="0"/>
        <w:kinsoku/>
        <w:wordWrap w:val="0"/>
        <w:bidi w:val="0"/>
        <w:spacing w:line="400" w:lineRule="atLeast"/>
        <w:ind w:firstLine="540" w:firstLineChars="225"/>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2.4 符合合同条款规定的全部费用应认为已被计入有标价的工程量清单所列各子目之中，未列子目不予计量的工作，其费用应视为已分摊在本合同工程的有关子目的单价或总额价之中。</w:t>
      </w:r>
    </w:p>
    <w:p w14:paraId="54BE21C6">
      <w:pPr>
        <w:pageBreakBefore w:val="0"/>
        <w:kinsoku/>
        <w:wordWrap w:val="0"/>
        <w:bidi w:val="0"/>
        <w:spacing w:line="400" w:lineRule="atLeast"/>
        <w:ind w:firstLine="540" w:firstLineChars="225"/>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2.5 承包人用于本合同工程的各类装备的提供、运输、维护、拆卸、拼装等支付的费用，已包括在工程量清单的单价与总额价之中。</w:t>
      </w:r>
    </w:p>
    <w:p w14:paraId="63E7945B">
      <w:pPr>
        <w:pageBreakBefore w:val="0"/>
        <w:kinsoku/>
        <w:wordWrap w:val="0"/>
        <w:bidi w:val="0"/>
        <w:spacing w:line="400" w:lineRule="atLeast"/>
        <w:ind w:firstLine="540" w:firstLineChars="225"/>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2.6 工程量清单中各项金额均以人民币（元）结算。</w:t>
      </w:r>
    </w:p>
    <w:p w14:paraId="4D473AD3">
      <w:pPr>
        <w:pageBreakBefore w:val="0"/>
        <w:kinsoku/>
        <w:wordWrap w:val="0"/>
        <w:bidi w:val="0"/>
        <w:spacing w:line="400" w:lineRule="atLeast"/>
        <w:ind w:firstLine="540" w:firstLineChars="225"/>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2.7 暂列金额（不含计日工总额）的数量及拟用子目的说明：</w:t>
      </w:r>
      <w:r>
        <w:rPr>
          <w:rFonts w:hint="default" w:ascii="Times New Roman" w:hAnsi="Times New Roman" w:cs="Times New Roman"/>
          <w:color w:val="auto"/>
          <w:sz w:val="24"/>
          <w:highlight w:val="none"/>
          <w:u w:val="single"/>
        </w:rPr>
        <w:t xml:space="preserve">       </w:t>
      </w:r>
      <w:r>
        <w:rPr>
          <w:rFonts w:hint="eastAsia" w:cs="Times New Roman"/>
          <w:color w:val="auto"/>
          <w:sz w:val="24"/>
          <w:highlight w:val="none"/>
          <w:u w:val="single"/>
          <w:lang w:val="en-US" w:eastAsia="zh-CN"/>
        </w:rPr>
        <w:t>/</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w:t>
      </w:r>
    </w:p>
    <w:p w14:paraId="5B46AEC1">
      <w:pPr>
        <w:pageBreakBefore w:val="0"/>
        <w:kinsoku/>
        <w:wordWrap w:val="0"/>
        <w:bidi w:val="0"/>
        <w:spacing w:line="400" w:lineRule="atLeast"/>
        <w:ind w:firstLine="540" w:firstLineChars="225"/>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2.8 暂估价的数量及拟用子目的说明：</w:t>
      </w:r>
      <w:r>
        <w:rPr>
          <w:rFonts w:hint="default" w:ascii="Times New Roman" w:hAnsi="Times New Roman" w:cs="Times New Roman"/>
          <w:color w:val="auto"/>
          <w:sz w:val="24"/>
          <w:highlight w:val="none"/>
          <w:u w:val="single"/>
        </w:rPr>
        <w:t xml:space="preserve">          </w:t>
      </w:r>
      <w:r>
        <w:rPr>
          <w:rFonts w:hint="eastAsia" w:cs="Times New Roman"/>
          <w:color w:val="auto"/>
          <w:sz w:val="24"/>
          <w:highlight w:val="none"/>
          <w:u w:val="single"/>
          <w:lang w:val="en-US" w:eastAsia="zh-CN"/>
        </w:rPr>
        <w:t>/</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w:t>
      </w:r>
    </w:p>
    <w:p w14:paraId="4DA4166C">
      <w:pPr>
        <w:pStyle w:val="5"/>
        <w:pageBreakBefore w:val="0"/>
        <w:kinsoku/>
        <w:wordWrap w:val="0"/>
        <w:bidi w:val="0"/>
        <w:spacing w:before="240" w:beforeLines="100" w:after="240" w:afterLines="100" w:line="380" w:lineRule="atLeast"/>
        <w:jc w:val="both"/>
        <w:outlineLvl w:val="2"/>
        <w:rPr>
          <w:rFonts w:hint="default" w:ascii="Times New Roman" w:hAnsi="Times New Roman" w:eastAsia="黑体" w:cs="Times New Roman"/>
          <w:b w:val="0"/>
          <w:color w:val="auto"/>
          <w:sz w:val="28"/>
          <w:szCs w:val="28"/>
          <w:highlight w:val="none"/>
          <w:lang w:val="en-US" w:eastAsia="zh-CN"/>
        </w:rPr>
      </w:pPr>
      <w:bookmarkStart w:id="1563" w:name="_Toc19"/>
      <w:bookmarkStart w:id="1564" w:name="_Toc17693"/>
      <w:bookmarkStart w:id="1565" w:name="_Toc17259"/>
      <w:bookmarkStart w:id="1566" w:name="_Toc234833244"/>
      <w:bookmarkStart w:id="1567" w:name="_Toc3776"/>
      <w:bookmarkStart w:id="1568" w:name="_Toc6852"/>
      <w:r>
        <w:rPr>
          <w:rFonts w:hint="default" w:ascii="Times New Roman" w:hAnsi="Times New Roman" w:eastAsia="黑体" w:cs="Times New Roman"/>
          <w:b w:val="0"/>
          <w:color w:val="auto"/>
          <w:sz w:val="28"/>
          <w:szCs w:val="28"/>
          <w:highlight w:val="none"/>
          <w:lang w:val="en-US" w:eastAsia="zh-CN"/>
        </w:rPr>
        <w:t>3. 计日工说明</w:t>
      </w:r>
      <w:bookmarkEnd w:id="1563"/>
      <w:bookmarkEnd w:id="1564"/>
      <w:bookmarkEnd w:id="1565"/>
      <w:bookmarkEnd w:id="1566"/>
      <w:bookmarkEnd w:id="1567"/>
      <w:bookmarkEnd w:id="1568"/>
    </w:p>
    <w:p w14:paraId="40D52F62">
      <w:pPr>
        <w:pageBreakBefore w:val="0"/>
        <w:kinsoku/>
        <w:wordWrap w:val="0"/>
        <w:bidi w:val="0"/>
        <w:spacing w:line="400" w:lineRule="atLeast"/>
        <w:ind w:firstLine="540" w:firstLineChars="225"/>
        <w:outlineLvl w:val="9"/>
        <w:rPr>
          <w:rFonts w:hint="default" w:ascii="Times New Roman" w:hAnsi="Times New Roman" w:cs="Times New Roman"/>
          <w:color w:val="auto"/>
          <w:sz w:val="24"/>
          <w:highlight w:val="none"/>
        </w:rPr>
      </w:pPr>
      <w:bookmarkStart w:id="1569" w:name="_Toc4285"/>
      <w:r>
        <w:rPr>
          <w:rFonts w:hint="default" w:ascii="Times New Roman" w:hAnsi="Times New Roman" w:cs="Times New Roman"/>
          <w:color w:val="auto"/>
          <w:sz w:val="24"/>
          <w:highlight w:val="none"/>
        </w:rPr>
        <w:t>3.1 总则</w:t>
      </w:r>
      <w:bookmarkEnd w:id="1569"/>
    </w:p>
    <w:p w14:paraId="11ED0BA7">
      <w:pPr>
        <w:pageBreakBefore w:val="0"/>
        <w:kinsoku/>
        <w:wordWrap w:val="0"/>
        <w:bidi w:val="0"/>
        <w:spacing w:line="400" w:lineRule="atLeast"/>
        <w:ind w:firstLine="540" w:firstLineChars="225"/>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（1）本说明应参照通用合同条款第15.7款一并理解。</w:t>
      </w:r>
    </w:p>
    <w:p w14:paraId="332E422E">
      <w:pPr>
        <w:pageBreakBefore w:val="0"/>
        <w:kinsoku/>
        <w:wordWrap w:val="0"/>
        <w:bidi w:val="0"/>
        <w:spacing w:line="400" w:lineRule="atLeast"/>
        <w:ind w:firstLine="540" w:firstLineChars="225"/>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（2）未经监理人书面指令，任何工程不得按计日工施工；接到监理人按计日工施工的书面指令，承包人也不得拒绝。</w:t>
      </w:r>
    </w:p>
    <w:p w14:paraId="244A2C99">
      <w:pPr>
        <w:pageBreakBefore w:val="0"/>
        <w:kinsoku/>
        <w:wordWrap w:val="0"/>
        <w:bidi w:val="0"/>
        <w:spacing w:line="400" w:lineRule="atLeast"/>
        <w:ind w:firstLine="540" w:firstLineChars="225"/>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投标人应在计日工单价表中填列计日工子目的基本单价或租价，该基本单价或租价适用于监理人指令的任何数量的计日工的结算与支付。计日工的劳务、材料和施工机械由招标人（或发包人）列出正常的估计数量，投标人报出单价，计算出计日工总额后列入工程量清单汇总表中并进入评标价。</w:t>
      </w:r>
    </w:p>
    <w:p w14:paraId="0FE8FD8D">
      <w:pPr>
        <w:pageBreakBefore w:val="0"/>
        <w:kinsoku/>
        <w:wordWrap w:val="0"/>
        <w:bidi w:val="0"/>
        <w:spacing w:line="400" w:lineRule="atLeast"/>
        <w:ind w:firstLine="540" w:firstLineChars="225"/>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（4）计日工不调价。</w:t>
      </w:r>
    </w:p>
    <w:p w14:paraId="141FB53A">
      <w:pPr>
        <w:pageBreakBefore w:val="0"/>
        <w:kinsoku/>
        <w:wordWrap w:val="0"/>
        <w:bidi w:val="0"/>
        <w:spacing w:line="400" w:lineRule="atLeast"/>
        <w:ind w:firstLine="540" w:firstLineChars="225"/>
        <w:outlineLvl w:val="9"/>
        <w:rPr>
          <w:rFonts w:hint="default" w:ascii="Times New Roman" w:hAnsi="Times New Roman" w:cs="Times New Roman"/>
          <w:color w:val="auto"/>
          <w:sz w:val="24"/>
          <w:highlight w:val="none"/>
        </w:rPr>
      </w:pPr>
      <w:bookmarkStart w:id="1570" w:name="_Toc20973"/>
      <w:r>
        <w:rPr>
          <w:rFonts w:hint="default" w:ascii="Times New Roman" w:hAnsi="Times New Roman" w:cs="Times New Roman"/>
          <w:color w:val="auto"/>
          <w:sz w:val="24"/>
          <w:highlight w:val="none"/>
        </w:rPr>
        <w:t>3.2 计日工劳务</w:t>
      </w:r>
      <w:bookmarkEnd w:id="1570"/>
    </w:p>
    <w:p w14:paraId="37C66B9E">
      <w:pPr>
        <w:pageBreakBefore w:val="0"/>
        <w:kinsoku/>
        <w:wordWrap w:val="0"/>
        <w:bidi w:val="0"/>
        <w:spacing w:line="400" w:lineRule="atLeast"/>
        <w:ind w:firstLine="540" w:firstLineChars="225"/>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在计算应付给承包人的计日工工资时，工时应从工人到达施工现场，并开始从事指定的工作算起，到返回原出发地点为止，扣去用餐和休息的时间。只有直接从事指定的工作，且能胜任该工作的工人才能计工，随同工人一起做工的班长应计算在内，但不包括领工（工长）和其他质检管理人员。</w:t>
      </w:r>
    </w:p>
    <w:p w14:paraId="134A059E">
      <w:pPr>
        <w:pageBreakBefore w:val="0"/>
        <w:kinsoku/>
        <w:wordWrap w:val="0"/>
        <w:bidi w:val="0"/>
        <w:spacing w:line="400" w:lineRule="atLeast"/>
        <w:ind w:firstLine="540" w:firstLineChars="225"/>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（2）承包人可以得到用于计日工劳务的全部工时的支付，此支付按承包人填报的</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计日工劳务单价表</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所列单价计算，该单价应包括基本单价及承包人的管理费、税费、利润等所有附加费，说明如下：</w:t>
      </w:r>
    </w:p>
    <w:p w14:paraId="67332940">
      <w:pPr>
        <w:pageBreakBefore w:val="0"/>
        <w:kinsoku/>
        <w:wordWrap w:val="0"/>
        <w:bidi w:val="0"/>
        <w:spacing w:line="400" w:lineRule="atLeast"/>
        <w:ind w:firstLine="540" w:firstLineChars="225"/>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a. 劳务基本单价包括：承包人劳务的全部直接费用，如：工资、加班费、津贴、福利费及劳动保护费等。</w:t>
      </w:r>
    </w:p>
    <w:p w14:paraId="6181D141">
      <w:pPr>
        <w:pageBreakBefore w:val="0"/>
        <w:kinsoku/>
        <w:wordWrap w:val="0"/>
        <w:bidi w:val="0"/>
        <w:spacing w:line="400" w:lineRule="atLeast"/>
        <w:ind w:firstLine="540" w:firstLineChars="225"/>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b. 承包人的利润、管理、质检、保险、税费；易耗品的使用，水电及照明费，工作台、脚手架、临时设施费，手动机具与工具的使用及维修，以及上述各项伴随而来的费用。</w:t>
      </w:r>
    </w:p>
    <w:p w14:paraId="2798D1E5">
      <w:pPr>
        <w:pageBreakBefore w:val="0"/>
        <w:kinsoku/>
        <w:wordWrap w:val="0"/>
        <w:bidi w:val="0"/>
        <w:spacing w:line="400" w:lineRule="atLeast"/>
        <w:ind w:firstLine="540" w:firstLineChars="225"/>
        <w:outlineLvl w:val="9"/>
        <w:rPr>
          <w:rFonts w:hint="default" w:ascii="Times New Roman" w:hAnsi="Times New Roman" w:cs="Times New Roman"/>
          <w:color w:val="auto"/>
          <w:sz w:val="24"/>
          <w:highlight w:val="none"/>
        </w:rPr>
      </w:pPr>
      <w:bookmarkStart w:id="1571" w:name="_Toc6706"/>
      <w:r>
        <w:rPr>
          <w:rFonts w:hint="default" w:ascii="Times New Roman" w:hAnsi="Times New Roman" w:cs="Times New Roman"/>
          <w:color w:val="auto"/>
          <w:sz w:val="24"/>
          <w:highlight w:val="none"/>
        </w:rPr>
        <w:t>3.3 计日工材料</w:t>
      </w:r>
      <w:bookmarkEnd w:id="1571"/>
    </w:p>
    <w:p w14:paraId="57D5BAAE">
      <w:pPr>
        <w:pageBreakBefore w:val="0"/>
        <w:kinsoku/>
        <w:wordWrap w:val="0"/>
        <w:bidi w:val="0"/>
        <w:spacing w:line="400" w:lineRule="atLeast"/>
        <w:ind w:firstLine="540" w:firstLineChars="225"/>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承包人可以得到计日工使用的材料费用（上述3.2款已计入劳务费内的材料费用除外）的支付，此费用按承包人</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计日工材料单价表</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中所填报的单价计算，该单价应包括基本单价及承包人的管理费、税费、利润等所有附加费，说明如下：</w:t>
      </w:r>
    </w:p>
    <w:p w14:paraId="784D4256">
      <w:pPr>
        <w:pageBreakBefore w:val="0"/>
        <w:kinsoku/>
        <w:wordWrap w:val="0"/>
        <w:bidi w:val="0"/>
        <w:spacing w:line="400" w:lineRule="atLeast"/>
        <w:ind w:firstLine="540" w:firstLineChars="225"/>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（1）材料基本单价按供货价加运杂费（到达承包人现场仓库）、保险费、仓库管理费以及运输损耗等计算；</w:t>
      </w:r>
    </w:p>
    <w:p w14:paraId="78A9A03B">
      <w:pPr>
        <w:pageBreakBefore w:val="0"/>
        <w:kinsoku/>
        <w:wordWrap w:val="0"/>
        <w:bidi w:val="0"/>
        <w:spacing w:line="400" w:lineRule="atLeast"/>
        <w:ind w:firstLine="540" w:firstLineChars="225"/>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（2）承包人的利润、管理、质检、保险、税费及其他附加费；</w:t>
      </w:r>
    </w:p>
    <w:p w14:paraId="083EF417">
      <w:pPr>
        <w:pageBreakBefore w:val="0"/>
        <w:kinsoku/>
        <w:wordWrap w:val="0"/>
        <w:bidi w:val="0"/>
        <w:spacing w:line="400" w:lineRule="atLeast"/>
        <w:ind w:firstLine="540" w:firstLineChars="225"/>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（3）从现场运至使用地点的人工费和施工机械使用费不包括在上述基本单价内。</w:t>
      </w:r>
    </w:p>
    <w:p w14:paraId="6419F4B3">
      <w:pPr>
        <w:pageBreakBefore w:val="0"/>
        <w:kinsoku/>
        <w:wordWrap w:val="0"/>
        <w:bidi w:val="0"/>
        <w:spacing w:line="400" w:lineRule="atLeast"/>
        <w:ind w:firstLine="540" w:firstLineChars="225"/>
        <w:outlineLvl w:val="9"/>
        <w:rPr>
          <w:rFonts w:hint="default" w:ascii="Times New Roman" w:hAnsi="Times New Roman" w:cs="Times New Roman"/>
          <w:color w:val="auto"/>
          <w:sz w:val="24"/>
          <w:highlight w:val="none"/>
        </w:rPr>
      </w:pPr>
      <w:bookmarkStart w:id="1572" w:name="_Toc4756"/>
      <w:r>
        <w:rPr>
          <w:rFonts w:hint="default" w:ascii="Times New Roman" w:hAnsi="Times New Roman" w:cs="Times New Roman"/>
          <w:color w:val="auto"/>
          <w:sz w:val="24"/>
          <w:highlight w:val="none"/>
        </w:rPr>
        <w:t>3.4 计日工施工机械</w:t>
      </w:r>
      <w:bookmarkEnd w:id="1572"/>
    </w:p>
    <w:p w14:paraId="6D4860E0">
      <w:pPr>
        <w:pageBreakBefore w:val="0"/>
        <w:kinsoku/>
        <w:wordWrap w:val="0"/>
        <w:bidi w:val="0"/>
        <w:spacing w:line="400" w:lineRule="atLeast"/>
        <w:ind w:firstLine="540" w:firstLineChars="225"/>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（1）承包人可以得到用于计日工作的施工机械费用的支付，该费用按承包人填报的</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计日工施工机械单价表</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中的租价计算。该租价应包括施工机械的折旧、利息、维修、保养、零配件、油燃料、保险和其他消耗品的费用以及全部有关使用这些机械的管理费、税费、利润和司机与助手的劳务费等费用。</w:t>
      </w:r>
    </w:p>
    <w:p w14:paraId="153DC117">
      <w:pPr>
        <w:pageBreakBefore w:val="0"/>
        <w:kinsoku/>
        <w:wordWrap w:val="0"/>
        <w:bidi w:val="0"/>
        <w:spacing w:line="400" w:lineRule="atLeast"/>
        <w:ind w:firstLine="540" w:firstLineChars="225"/>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在计日工作业中，承包人计算所用的施工机械费用时，应按实际工作小时支付。除非经监理人的同意，计算的工作小时才能将施工机械从现场某处运到监理人指令的计日工作业的另一现场往返运送时间包括在内。</w:t>
      </w:r>
    </w:p>
    <w:p w14:paraId="505D5221">
      <w:pPr>
        <w:pStyle w:val="5"/>
        <w:pageBreakBefore w:val="0"/>
        <w:kinsoku/>
        <w:wordWrap w:val="0"/>
        <w:bidi w:val="0"/>
        <w:spacing w:before="360" w:beforeLines="150" w:after="240" w:afterLines="100" w:line="380" w:lineRule="atLeast"/>
        <w:jc w:val="both"/>
        <w:outlineLvl w:val="2"/>
        <w:rPr>
          <w:rFonts w:hint="default" w:ascii="Times New Roman" w:hAnsi="Times New Roman" w:eastAsia="黑体" w:cs="Times New Roman"/>
          <w:b w:val="0"/>
          <w:color w:val="auto"/>
          <w:sz w:val="28"/>
          <w:szCs w:val="28"/>
          <w:highlight w:val="none"/>
        </w:rPr>
      </w:pPr>
      <w:bookmarkStart w:id="1573" w:name="_Toc234833245"/>
      <w:bookmarkStart w:id="1574" w:name="_Toc27598"/>
      <w:bookmarkStart w:id="1575" w:name="_Toc28230"/>
      <w:bookmarkStart w:id="1576" w:name="_Toc8597"/>
      <w:bookmarkStart w:id="1577" w:name="_Toc2204"/>
      <w:bookmarkStart w:id="1578" w:name="_Toc12492"/>
      <w:r>
        <w:rPr>
          <w:rFonts w:hint="default" w:ascii="Times New Roman" w:hAnsi="Times New Roman" w:eastAsia="黑体" w:cs="Times New Roman"/>
          <w:b w:val="0"/>
          <w:color w:val="auto"/>
          <w:sz w:val="28"/>
          <w:szCs w:val="28"/>
          <w:highlight w:val="none"/>
        </w:rPr>
        <w:t>4. 其他说明</w:t>
      </w:r>
      <w:bookmarkEnd w:id="1573"/>
      <w:bookmarkEnd w:id="1574"/>
      <w:bookmarkEnd w:id="1575"/>
      <w:bookmarkEnd w:id="1576"/>
      <w:bookmarkEnd w:id="1577"/>
      <w:bookmarkEnd w:id="1578"/>
    </w:p>
    <w:p w14:paraId="17BF6E77">
      <w:pPr>
        <w:rPr>
          <w:rFonts w:hint="eastAsia" w:eastAsia="黑体" w:cs="Times New Roman"/>
          <w:b w:val="0"/>
          <w:color w:val="auto"/>
          <w:sz w:val="28"/>
          <w:szCs w:val="28"/>
          <w:highlight w:val="none"/>
          <w:lang w:val="en-US" w:eastAsia="zh-CN"/>
        </w:rPr>
      </w:pPr>
      <w:r>
        <w:rPr>
          <w:rFonts w:hint="eastAsia" w:eastAsia="黑体" w:cs="Times New Roman"/>
          <w:b w:val="0"/>
          <w:color w:val="auto"/>
          <w:sz w:val="28"/>
          <w:szCs w:val="28"/>
          <w:highlight w:val="none"/>
          <w:lang w:val="en-US" w:eastAsia="zh-CN"/>
        </w:rPr>
        <w:t>无</w:t>
      </w:r>
    </w:p>
    <w:p w14:paraId="316D970D">
      <w:pPr>
        <w:rPr>
          <w:rFonts w:hint="default" w:ascii="Times New Roman" w:hAnsi="Times New Roman" w:eastAsia="黑体" w:cs="Times New Roman"/>
          <w:b w:val="0"/>
          <w:color w:val="auto"/>
          <w:sz w:val="28"/>
          <w:szCs w:val="28"/>
          <w:highlight w:val="none"/>
        </w:rPr>
      </w:pPr>
    </w:p>
    <w:p w14:paraId="13966896">
      <w:pPr>
        <w:pStyle w:val="5"/>
        <w:pageBreakBefore w:val="0"/>
        <w:kinsoku/>
        <w:wordWrap w:val="0"/>
        <w:bidi w:val="0"/>
        <w:spacing w:before="240" w:beforeLines="100" w:after="240" w:afterLines="100" w:line="380" w:lineRule="atLeast"/>
        <w:jc w:val="both"/>
        <w:outlineLvl w:val="2"/>
        <w:rPr>
          <w:rFonts w:hint="eastAsia" w:eastAsia="黑体" w:cs="Times New Roman"/>
          <w:color w:val="auto"/>
          <w:sz w:val="29"/>
          <w:szCs w:val="29"/>
          <w:highlight w:val="none"/>
          <w:lang w:val="en-US" w:eastAsia="zh-CN"/>
        </w:rPr>
      </w:pPr>
      <w:bookmarkStart w:id="1579" w:name="_Toc8596"/>
      <w:bookmarkStart w:id="1580" w:name="_Toc26230"/>
      <w:r>
        <w:rPr>
          <w:rFonts w:hint="default" w:ascii="Times New Roman" w:hAnsi="Times New Roman" w:eastAsia="黑体" w:cs="Times New Roman"/>
          <w:b w:val="0"/>
          <w:color w:val="auto"/>
          <w:sz w:val="28"/>
          <w:szCs w:val="28"/>
          <w:highlight w:val="none"/>
          <w:lang w:val="en-US" w:eastAsia="zh-CN"/>
        </w:rPr>
        <w:t>5.工程量清单</w:t>
      </w:r>
      <w:bookmarkEnd w:id="1553"/>
      <w:bookmarkEnd w:id="1554"/>
      <w:bookmarkEnd w:id="1555"/>
      <w:bookmarkEnd w:id="1556"/>
      <w:bookmarkEnd w:id="1579"/>
      <w:bookmarkEnd w:id="1580"/>
    </w:p>
    <w:p w14:paraId="2D3A36D8">
      <w:pPr>
        <w:shd w:val="clear"/>
        <w:rPr>
          <w:rFonts w:hint="default" w:eastAsia="黑体" w:cs="Times New Roman"/>
          <w:b w:val="0"/>
          <w:color w:val="auto"/>
          <w:sz w:val="28"/>
          <w:szCs w:val="28"/>
          <w:highlight w:val="none"/>
          <w:lang w:val="en-US" w:eastAsia="zh-CN"/>
        </w:rPr>
      </w:pPr>
      <w:r>
        <w:rPr>
          <w:rFonts w:hint="default" w:eastAsia="黑体" w:cs="Times New Roman"/>
          <w:b w:val="0"/>
          <w:color w:val="auto"/>
          <w:sz w:val="28"/>
          <w:szCs w:val="28"/>
          <w:highlight w:val="none"/>
          <w:lang w:val="en-US" w:eastAsia="zh-CN"/>
        </w:rPr>
        <w:t>（另册）</w:t>
      </w:r>
    </w:p>
    <w:p w14:paraId="72CCB794">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7BA45DFD">
      <w:pPr>
        <w:rPr>
          <w:rFonts w:hint="default" w:ascii="Times New Roman" w:hAnsi="Times New Roman" w:eastAsia="黑体" w:cs="Times New Roman"/>
          <w:color w:val="auto"/>
          <w:sz w:val="29"/>
          <w:szCs w:val="29"/>
          <w:highlight w:val="none"/>
        </w:rPr>
      </w:pPr>
      <w:r>
        <w:rPr>
          <w:rFonts w:hint="default" w:ascii="Times New Roman" w:hAnsi="Times New Roman" w:eastAsia="黑体" w:cs="Times New Roman"/>
          <w:color w:val="auto"/>
          <w:sz w:val="29"/>
          <w:szCs w:val="29"/>
          <w:highlight w:val="none"/>
        </w:rPr>
        <w:br w:type="page"/>
      </w:r>
    </w:p>
    <w:p w14:paraId="09AE00ED">
      <w:pPr>
        <w:pageBreakBefore w:val="0"/>
        <w:kinsoku/>
        <w:wordWrap w:val="0"/>
        <w:bidi w:val="0"/>
        <w:spacing w:line="440" w:lineRule="exact"/>
        <w:jc w:val="center"/>
        <w:rPr>
          <w:rFonts w:hint="default" w:ascii="Times New Roman" w:hAnsi="Times New Roman" w:eastAsia="黑体" w:cs="Times New Roman"/>
          <w:color w:val="auto"/>
          <w:sz w:val="29"/>
          <w:szCs w:val="29"/>
          <w:highlight w:val="yellow"/>
        </w:rPr>
      </w:pPr>
    </w:p>
    <w:p w14:paraId="10446614">
      <w:pPr>
        <w:pageBreakBefore w:val="0"/>
        <w:kinsoku/>
        <w:wordWrap w:val="0"/>
        <w:bidi w:val="0"/>
        <w:spacing w:line="440" w:lineRule="exact"/>
        <w:jc w:val="center"/>
        <w:rPr>
          <w:rFonts w:hint="default" w:ascii="Times New Roman" w:hAnsi="Times New Roman" w:eastAsia="黑体" w:cs="Times New Roman"/>
          <w:color w:val="auto"/>
          <w:sz w:val="29"/>
          <w:szCs w:val="29"/>
          <w:highlight w:val="yellow"/>
        </w:rPr>
      </w:pPr>
    </w:p>
    <w:p w14:paraId="41A73432">
      <w:pPr>
        <w:pageBreakBefore w:val="0"/>
        <w:kinsoku/>
        <w:wordWrap w:val="0"/>
        <w:bidi w:val="0"/>
        <w:spacing w:line="440" w:lineRule="exact"/>
        <w:jc w:val="center"/>
        <w:rPr>
          <w:rFonts w:hint="default" w:ascii="Times New Roman" w:hAnsi="Times New Roman" w:eastAsia="黑体" w:cs="Times New Roman"/>
          <w:color w:val="auto"/>
          <w:sz w:val="29"/>
          <w:szCs w:val="29"/>
          <w:highlight w:val="yellow"/>
        </w:rPr>
      </w:pPr>
    </w:p>
    <w:p w14:paraId="54855565">
      <w:pPr>
        <w:pageBreakBefore w:val="0"/>
        <w:kinsoku/>
        <w:wordWrap w:val="0"/>
        <w:bidi w:val="0"/>
        <w:spacing w:line="440" w:lineRule="exact"/>
        <w:jc w:val="center"/>
        <w:rPr>
          <w:rFonts w:hint="default" w:ascii="Times New Roman" w:hAnsi="Times New Roman" w:eastAsia="黑体" w:cs="Times New Roman"/>
          <w:color w:val="auto"/>
          <w:sz w:val="29"/>
          <w:szCs w:val="29"/>
          <w:highlight w:val="yellow"/>
        </w:rPr>
      </w:pPr>
    </w:p>
    <w:p w14:paraId="7F2FCD6B">
      <w:pPr>
        <w:pageBreakBefore w:val="0"/>
        <w:kinsoku/>
        <w:wordWrap w:val="0"/>
        <w:bidi w:val="0"/>
        <w:spacing w:line="440" w:lineRule="exact"/>
        <w:jc w:val="center"/>
        <w:rPr>
          <w:rFonts w:hint="default" w:ascii="Times New Roman" w:hAnsi="Times New Roman" w:eastAsia="黑体" w:cs="Times New Roman"/>
          <w:color w:val="auto"/>
          <w:sz w:val="29"/>
          <w:szCs w:val="29"/>
          <w:highlight w:val="yellow"/>
        </w:rPr>
      </w:pPr>
    </w:p>
    <w:p w14:paraId="3A102300">
      <w:pPr>
        <w:pageBreakBefore w:val="0"/>
        <w:kinsoku/>
        <w:wordWrap w:val="0"/>
        <w:bidi w:val="0"/>
        <w:spacing w:line="440" w:lineRule="exact"/>
        <w:jc w:val="center"/>
        <w:rPr>
          <w:rFonts w:hint="default" w:ascii="Times New Roman" w:hAnsi="Times New Roman" w:eastAsia="黑体" w:cs="Times New Roman"/>
          <w:color w:val="auto"/>
          <w:sz w:val="29"/>
          <w:szCs w:val="29"/>
          <w:highlight w:val="yellow"/>
        </w:rPr>
      </w:pPr>
    </w:p>
    <w:p w14:paraId="746FBECB">
      <w:pPr>
        <w:pageBreakBefore w:val="0"/>
        <w:kinsoku/>
        <w:wordWrap w:val="0"/>
        <w:bidi w:val="0"/>
        <w:spacing w:line="440" w:lineRule="exact"/>
        <w:jc w:val="center"/>
        <w:rPr>
          <w:rFonts w:hint="default" w:ascii="Times New Roman" w:hAnsi="Times New Roman" w:eastAsia="黑体" w:cs="Times New Roman"/>
          <w:color w:val="auto"/>
          <w:sz w:val="29"/>
          <w:szCs w:val="29"/>
          <w:highlight w:val="yellow"/>
        </w:rPr>
      </w:pPr>
    </w:p>
    <w:p w14:paraId="119F096A">
      <w:pPr>
        <w:pageBreakBefore w:val="0"/>
        <w:kinsoku/>
        <w:wordWrap w:val="0"/>
        <w:bidi w:val="0"/>
        <w:spacing w:line="440" w:lineRule="exact"/>
        <w:jc w:val="center"/>
        <w:rPr>
          <w:rFonts w:hint="default" w:ascii="Times New Roman" w:hAnsi="Times New Roman" w:eastAsia="黑体" w:cs="Times New Roman"/>
          <w:color w:val="auto"/>
          <w:sz w:val="29"/>
          <w:szCs w:val="29"/>
          <w:highlight w:val="yellow"/>
        </w:rPr>
      </w:pPr>
    </w:p>
    <w:p w14:paraId="5DF923B5">
      <w:pPr>
        <w:pageBreakBefore w:val="0"/>
        <w:kinsoku/>
        <w:wordWrap w:val="0"/>
        <w:bidi w:val="0"/>
        <w:spacing w:line="440" w:lineRule="exact"/>
        <w:jc w:val="center"/>
        <w:rPr>
          <w:rFonts w:hint="default" w:ascii="Times New Roman" w:hAnsi="Times New Roman" w:eastAsia="黑体" w:cs="Times New Roman"/>
          <w:color w:val="auto"/>
          <w:sz w:val="29"/>
          <w:szCs w:val="29"/>
          <w:highlight w:val="yellow"/>
        </w:rPr>
      </w:pPr>
    </w:p>
    <w:p w14:paraId="302BD80E">
      <w:pPr>
        <w:pageBreakBefore w:val="0"/>
        <w:kinsoku/>
        <w:wordWrap w:val="0"/>
        <w:bidi w:val="0"/>
        <w:spacing w:line="440" w:lineRule="exact"/>
        <w:jc w:val="center"/>
        <w:rPr>
          <w:rFonts w:hint="default" w:ascii="Times New Roman" w:hAnsi="Times New Roman" w:eastAsia="黑体" w:cs="Times New Roman"/>
          <w:color w:val="auto"/>
          <w:sz w:val="29"/>
          <w:szCs w:val="29"/>
          <w:highlight w:val="yellow"/>
        </w:rPr>
      </w:pPr>
    </w:p>
    <w:p w14:paraId="4E256A44">
      <w:pPr>
        <w:pageBreakBefore w:val="0"/>
        <w:kinsoku/>
        <w:wordWrap w:val="0"/>
        <w:bidi w:val="0"/>
        <w:spacing w:line="440" w:lineRule="exact"/>
        <w:jc w:val="center"/>
        <w:rPr>
          <w:rFonts w:hint="default" w:ascii="Times New Roman" w:hAnsi="Times New Roman" w:eastAsia="黑体" w:cs="Times New Roman"/>
          <w:color w:val="auto"/>
          <w:sz w:val="29"/>
          <w:szCs w:val="29"/>
          <w:highlight w:val="yellow"/>
        </w:rPr>
      </w:pPr>
    </w:p>
    <w:p w14:paraId="18B04572">
      <w:pPr>
        <w:pageBreakBefore w:val="0"/>
        <w:kinsoku/>
        <w:wordWrap w:val="0"/>
        <w:bidi w:val="0"/>
        <w:spacing w:line="440" w:lineRule="exact"/>
        <w:jc w:val="center"/>
        <w:rPr>
          <w:rFonts w:hint="default" w:ascii="Times New Roman" w:hAnsi="Times New Roman" w:eastAsia="黑体" w:cs="Times New Roman"/>
          <w:color w:val="auto"/>
          <w:sz w:val="29"/>
          <w:szCs w:val="29"/>
          <w:highlight w:val="yellow"/>
        </w:rPr>
      </w:pPr>
    </w:p>
    <w:p w14:paraId="44888A01">
      <w:pPr>
        <w:pageBreakBefore w:val="0"/>
        <w:kinsoku/>
        <w:wordWrap w:val="0"/>
        <w:bidi w:val="0"/>
        <w:jc w:val="center"/>
        <w:outlineLvl w:val="0"/>
        <w:rPr>
          <w:rFonts w:hint="default" w:ascii="Times New Roman" w:hAnsi="Times New Roman" w:eastAsia="黑体" w:cs="Times New Roman"/>
          <w:color w:val="auto"/>
          <w:sz w:val="76"/>
          <w:szCs w:val="76"/>
          <w:highlight w:val="none"/>
        </w:rPr>
      </w:pPr>
      <w:bookmarkStart w:id="1581" w:name="_Toc234833247"/>
      <w:bookmarkStart w:id="1582" w:name="_Toc30494"/>
      <w:bookmarkStart w:id="1583" w:name="_Toc9041"/>
      <w:bookmarkStart w:id="1584" w:name="_Toc7411"/>
      <w:bookmarkStart w:id="1585" w:name="_Toc21475"/>
      <w:r>
        <w:rPr>
          <w:rFonts w:hint="default" w:ascii="Times New Roman" w:hAnsi="Times New Roman" w:eastAsia="黑体" w:cs="Times New Roman"/>
          <w:color w:val="auto"/>
          <w:sz w:val="76"/>
          <w:szCs w:val="76"/>
          <w:highlight w:val="none"/>
        </w:rPr>
        <w:t>第</w:t>
      </w:r>
      <w:r>
        <w:rPr>
          <w:rFonts w:hint="eastAsia" w:eastAsia="黑体" w:cs="Times New Roman"/>
          <w:color w:val="auto"/>
          <w:sz w:val="76"/>
          <w:szCs w:val="76"/>
          <w:highlight w:val="none"/>
          <w:lang w:val="en-US" w:eastAsia="zh-CN"/>
        </w:rPr>
        <w:t xml:space="preserve"> </w:t>
      </w:r>
      <w:r>
        <w:rPr>
          <w:rFonts w:hint="default" w:ascii="Times New Roman" w:hAnsi="Times New Roman" w:eastAsia="黑体" w:cs="Times New Roman"/>
          <w:color w:val="auto"/>
          <w:sz w:val="76"/>
          <w:szCs w:val="76"/>
          <w:highlight w:val="none"/>
        </w:rPr>
        <w:t>二</w:t>
      </w:r>
      <w:r>
        <w:rPr>
          <w:rFonts w:hint="eastAsia" w:eastAsia="黑体" w:cs="Times New Roman"/>
          <w:color w:val="auto"/>
          <w:sz w:val="76"/>
          <w:szCs w:val="76"/>
          <w:highlight w:val="none"/>
          <w:lang w:val="en-US" w:eastAsia="zh-CN"/>
        </w:rPr>
        <w:t xml:space="preserve"> </w:t>
      </w:r>
      <w:r>
        <w:rPr>
          <w:rFonts w:hint="default" w:ascii="Times New Roman" w:hAnsi="Times New Roman" w:eastAsia="黑体" w:cs="Times New Roman"/>
          <w:color w:val="auto"/>
          <w:sz w:val="76"/>
          <w:szCs w:val="76"/>
          <w:highlight w:val="none"/>
        </w:rPr>
        <w:t>卷</w:t>
      </w:r>
      <w:bookmarkEnd w:id="1581"/>
      <w:bookmarkEnd w:id="1582"/>
      <w:bookmarkEnd w:id="1583"/>
      <w:bookmarkEnd w:id="1584"/>
      <w:bookmarkEnd w:id="1585"/>
    </w:p>
    <w:p w14:paraId="556346CB">
      <w:pPr>
        <w:pageBreakBefore w:val="0"/>
        <w:kinsoku/>
        <w:wordWrap w:val="0"/>
        <w:bidi w:val="0"/>
        <w:jc w:val="center"/>
        <w:rPr>
          <w:rFonts w:hint="default" w:ascii="Times New Roman" w:hAnsi="Times New Roman" w:eastAsia="黑体" w:cs="Times New Roman"/>
          <w:color w:val="auto"/>
          <w:sz w:val="76"/>
          <w:szCs w:val="76"/>
          <w:highlight w:val="none"/>
        </w:rPr>
      </w:pPr>
    </w:p>
    <w:p w14:paraId="2AEFA81B">
      <w:pPr>
        <w:pageBreakBefore w:val="0"/>
        <w:kinsoku/>
        <w:wordWrap w:val="0"/>
        <w:bidi w:val="0"/>
        <w:jc w:val="center"/>
        <w:rPr>
          <w:rFonts w:hint="default" w:ascii="Times New Roman" w:hAnsi="Times New Roman" w:eastAsia="黑体" w:cs="Times New Roman"/>
          <w:color w:val="auto"/>
          <w:sz w:val="76"/>
          <w:szCs w:val="76"/>
          <w:highlight w:val="none"/>
        </w:rPr>
        <w:sectPr>
          <w:headerReference r:id="rId35" w:type="default"/>
          <w:footerReference r:id="rId37" w:type="default"/>
          <w:headerReference r:id="rId36" w:type="even"/>
          <w:footerReference r:id="rId38" w:type="even"/>
          <w:footnotePr>
            <w:numFmt w:val="decimalEnclosedCircleChinese"/>
            <w:numRestart w:val="eachPage"/>
          </w:footnotePr>
          <w:pgSz w:w="11907" w:h="16840"/>
          <w:pgMar w:top="1588" w:right="1588" w:bottom="1474" w:left="1644" w:header="851" w:footer="851" w:gutter="0"/>
          <w:pgNumType w:fmt="decimal"/>
          <w:cols w:space="720" w:num="1"/>
          <w:docGrid w:linePitch="312" w:charSpace="0"/>
        </w:sectPr>
      </w:pPr>
    </w:p>
    <w:p w14:paraId="23DA96CC">
      <w:pPr>
        <w:pageBreakBefore w:val="0"/>
        <w:kinsoku/>
        <w:wordWrap w:val="0"/>
        <w:bidi w:val="0"/>
        <w:jc w:val="center"/>
        <w:rPr>
          <w:rFonts w:hint="default" w:ascii="Times New Roman" w:hAnsi="Times New Roman" w:eastAsia="黑体" w:cs="Times New Roman"/>
          <w:color w:val="auto"/>
          <w:sz w:val="76"/>
          <w:szCs w:val="76"/>
          <w:highlight w:val="none"/>
        </w:rPr>
      </w:pPr>
    </w:p>
    <w:p w14:paraId="122814CF">
      <w:pPr>
        <w:pageBreakBefore w:val="0"/>
        <w:kinsoku/>
        <w:wordWrap w:val="0"/>
        <w:bidi w:val="0"/>
        <w:spacing w:line="440" w:lineRule="exact"/>
        <w:ind w:firstLine="3045" w:firstLineChars="1050"/>
        <w:rPr>
          <w:rFonts w:hint="default" w:ascii="Times New Roman" w:hAnsi="Times New Roman" w:eastAsia="黑体" w:cs="Times New Roman"/>
          <w:color w:val="auto"/>
          <w:sz w:val="29"/>
          <w:szCs w:val="29"/>
          <w:highlight w:val="none"/>
        </w:rPr>
      </w:pPr>
    </w:p>
    <w:p w14:paraId="0FA241E3">
      <w:pPr>
        <w:pageBreakBefore w:val="0"/>
        <w:kinsoku/>
        <w:wordWrap w:val="0"/>
        <w:bidi w:val="0"/>
        <w:spacing w:line="440" w:lineRule="exact"/>
        <w:ind w:firstLine="3045" w:firstLineChars="1050"/>
        <w:rPr>
          <w:rFonts w:hint="default" w:ascii="Times New Roman" w:hAnsi="Times New Roman" w:eastAsia="黑体" w:cs="Times New Roman"/>
          <w:color w:val="auto"/>
          <w:sz w:val="29"/>
          <w:szCs w:val="29"/>
          <w:highlight w:val="none"/>
        </w:rPr>
      </w:pPr>
    </w:p>
    <w:p w14:paraId="363FBE4D">
      <w:pPr>
        <w:pageBreakBefore w:val="0"/>
        <w:kinsoku/>
        <w:wordWrap w:val="0"/>
        <w:bidi w:val="0"/>
        <w:spacing w:line="440" w:lineRule="exact"/>
        <w:ind w:firstLine="3045" w:firstLineChars="1050"/>
        <w:rPr>
          <w:rFonts w:hint="default" w:ascii="Times New Roman" w:hAnsi="Times New Roman" w:eastAsia="黑体" w:cs="Times New Roman"/>
          <w:color w:val="auto"/>
          <w:sz w:val="29"/>
          <w:szCs w:val="29"/>
          <w:highlight w:val="none"/>
        </w:rPr>
      </w:pPr>
    </w:p>
    <w:p w14:paraId="2184957E">
      <w:pPr>
        <w:pageBreakBefore w:val="0"/>
        <w:kinsoku/>
        <w:wordWrap w:val="0"/>
        <w:bidi w:val="0"/>
        <w:spacing w:line="440" w:lineRule="exact"/>
        <w:ind w:firstLine="3045" w:firstLineChars="1050"/>
        <w:rPr>
          <w:rFonts w:hint="default" w:ascii="Times New Roman" w:hAnsi="Times New Roman" w:eastAsia="黑体" w:cs="Times New Roman"/>
          <w:color w:val="auto"/>
          <w:sz w:val="29"/>
          <w:szCs w:val="29"/>
          <w:highlight w:val="none"/>
        </w:rPr>
      </w:pPr>
    </w:p>
    <w:p w14:paraId="65414D6C">
      <w:pPr>
        <w:pageBreakBefore w:val="0"/>
        <w:kinsoku/>
        <w:wordWrap w:val="0"/>
        <w:bidi w:val="0"/>
        <w:spacing w:line="440" w:lineRule="exact"/>
        <w:ind w:firstLine="3045" w:firstLineChars="1050"/>
        <w:rPr>
          <w:rFonts w:hint="default" w:ascii="Times New Roman" w:hAnsi="Times New Roman" w:eastAsia="黑体" w:cs="Times New Roman"/>
          <w:color w:val="auto"/>
          <w:sz w:val="29"/>
          <w:szCs w:val="29"/>
          <w:highlight w:val="none"/>
        </w:rPr>
      </w:pPr>
    </w:p>
    <w:p w14:paraId="3DE6B7C7">
      <w:pPr>
        <w:pageBreakBefore w:val="0"/>
        <w:kinsoku/>
        <w:wordWrap w:val="0"/>
        <w:bidi w:val="0"/>
        <w:spacing w:line="440" w:lineRule="exact"/>
        <w:ind w:firstLine="3045" w:firstLineChars="1050"/>
        <w:rPr>
          <w:rFonts w:hint="default" w:ascii="Times New Roman" w:hAnsi="Times New Roman" w:eastAsia="黑体" w:cs="Times New Roman"/>
          <w:color w:val="auto"/>
          <w:sz w:val="29"/>
          <w:szCs w:val="29"/>
          <w:highlight w:val="none"/>
        </w:rPr>
      </w:pPr>
    </w:p>
    <w:p w14:paraId="0629B61A">
      <w:pPr>
        <w:pageBreakBefore w:val="0"/>
        <w:kinsoku/>
        <w:wordWrap w:val="0"/>
        <w:bidi w:val="0"/>
        <w:spacing w:line="440" w:lineRule="exact"/>
        <w:ind w:firstLine="3045" w:firstLineChars="1050"/>
        <w:rPr>
          <w:rFonts w:hint="default" w:ascii="Times New Roman" w:hAnsi="Times New Roman" w:eastAsia="黑体" w:cs="Times New Roman"/>
          <w:color w:val="auto"/>
          <w:sz w:val="29"/>
          <w:szCs w:val="29"/>
          <w:highlight w:val="none"/>
        </w:rPr>
      </w:pPr>
    </w:p>
    <w:p w14:paraId="241704FF">
      <w:pPr>
        <w:pageBreakBefore w:val="0"/>
        <w:kinsoku/>
        <w:wordWrap w:val="0"/>
        <w:bidi w:val="0"/>
        <w:spacing w:line="440" w:lineRule="exact"/>
        <w:ind w:firstLine="3045" w:firstLineChars="1050"/>
        <w:rPr>
          <w:rFonts w:hint="default" w:ascii="Times New Roman" w:hAnsi="Times New Roman" w:eastAsia="黑体" w:cs="Times New Roman"/>
          <w:color w:val="auto"/>
          <w:sz w:val="29"/>
          <w:szCs w:val="29"/>
          <w:highlight w:val="none"/>
        </w:rPr>
      </w:pPr>
    </w:p>
    <w:p w14:paraId="1B7B7A06">
      <w:pPr>
        <w:pageBreakBefore w:val="0"/>
        <w:kinsoku/>
        <w:wordWrap w:val="0"/>
        <w:bidi w:val="0"/>
        <w:spacing w:line="440" w:lineRule="exact"/>
        <w:ind w:firstLine="3045" w:firstLineChars="1050"/>
        <w:rPr>
          <w:rFonts w:hint="default" w:ascii="Times New Roman" w:hAnsi="Times New Roman" w:eastAsia="黑体" w:cs="Times New Roman"/>
          <w:color w:val="auto"/>
          <w:sz w:val="29"/>
          <w:szCs w:val="29"/>
          <w:highlight w:val="none"/>
        </w:rPr>
      </w:pPr>
    </w:p>
    <w:p w14:paraId="216BB743">
      <w:pPr>
        <w:pStyle w:val="3"/>
        <w:pageBreakBefore w:val="0"/>
        <w:kinsoku/>
        <w:wordWrap w:val="0"/>
        <w:bidi w:val="0"/>
        <w:spacing w:before="360" w:beforeLines="150" w:after="240" w:afterLines="100" w:line="380" w:lineRule="atLeast"/>
        <w:jc w:val="center"/>
        <w:outlineLvl w:val="1"/>
        <w:rPr>
          <w:rFonts w:hint="default" w:ascii="Times New Roman" w:hAnsi="Times New Roman" w:eastAsia="黑体" w:cs="Times New Roman"/>
          <w:b w:val="0"/>
          <w:i w:val="0"/>
          <w:iCs w:val="0"/>
          <w:color w:val="auto"/>
          <w:sz w:val="56"/>
          <w:szCs w:val="56"/>
          <w:highlight w:val="yellow"/>
        </w:rPr>
      </w:pPr>
      <w:bookmarkStart w:id="1586" w:name="_Toc16205"/>
      <w:bookmarkStart w:id="1587" w:name="_Toc15063"/>
      <w:bookmarkStart w:id="1588" w:name="_Toc4896"/>
      <w:bookmarkStart w:id="1589" w:name="_Toc16740"/>
      <w:bookmarkStart w:id="1590" w:name="_Toc234833248"/>
      <w:r>
        <w:rPr>
          <w:rFonts w:hint="default" w:ascii="Times New Roman" w:hAnsi="Times New Roman" w:eastAsia="黑体" w:cs="Times New Roman"/>
          <w:b w:val="0"/>
          <w:i w:val="0"/>
          <w:iCs w:val="0"/>
          <w:color w:val="auto"/>
          <w:sz w:val="56"/>
          <w:szCs w:val="56"/>
          <w:highlight w:val="none"/>
        </w:rPr>
        <w:t>第六章</w:t>
      </w:r>
      <w:r>
        <w:rPr>
          <w:rFonts w:hint="eastAsia" w:cs="Times New Roman"/>
          <w:b w:val="0"/>
          <w:i w:val="0"/>
          <w:iCs w:val="0"/>
          <w:color w:val="auto"/>
          <w:sz w:val="56"/>
          <w:szCs w:val="56"/>
          <w:highlight w:val="none"/>
          <w:lang w:val="en-US" w:eastAsia="zh-CN"/>
        </w:rPr>
        <w:t xml:space="preserve"> </w:t>
      </w:r>
      <w:r>
        <w:rPr>
          <w:rFonts w:hint="default" w:ascii="Times New Roman" w:hAnsi="Times New Roman" w:eastAsia="黑体" w:cs="Times New Roman"/>
          <w:b w:val="0"/>
          <w:i w:val="0"/>
          <w:iCs w:val="0"/>
          <w:color w:val="auto"/>
          <w:sz w:val="56"/>
          <w:szCs w:val="56"/>
          <w:highlight w:val="none"/>
        </w:rPr>
        <w:t>图纸（另册）</w:t>
      </w:r>
      <w:bookmarkEnd w:id="1586"/>
      <w:bookmarkEnd w:id="1587"/>
      <w:bookmarkEnd w:id="1588"/>
      <w:bookmarkEnd w:id="1589"/>
      <w:bookmarkEnd w:id="1590"/>
    </w:p>
    <w:p w14:paraId="4D1C4E11">
      <w:pPr>
        <w:pStyle w:val="2"/>
        <w:pageBreakBefore w:val="0"/>
        <w:kinsoku/>
        <w:wordWrap w:val="0"/>
        <w:bidi w:val="0"/>
        <w:spacing w:before="360" w:beforeLines="150" w:after="240" w:afterLines="100" w:line="380" w:lineRule="atLeast"/>
        <w:jc w:val="center"/>
        <w:outlineLvl w:val="9"/>
        <w:rPr>
          <w:rFonts w:hint="default" w:ascii="Times New Roman" w:hAnsi="Times New Roman" w:eastAsia="黑体" w:cs="Times New Roman"/>
          <w:color w:val="auto"/>
          <w:sz w:val="20"/>
          <w:szCs w:val="20"/>
          <w:highlight w:val="yellow"/>
        </w:rPr>
        <w:sectPr>
          <w:footnotePr>
            <w:numFmt w:val="decimalEnclosedCircleChinese"/>
            <w:numRestart w:val="eachPage"/>
          </w:footnotePr>
          <w:pgSz w:w="11907" w:h="16840"/>
          <w:pgMar w:top="1588" w:right="1588" w:bottom="1474" w:left="1644" w:header="851" w:footer="851" w:gutter="0"/>
          <w:pgNumType w:fmt="decimal"/>
          <w:cols w:space="720" w:num="1"/>
          <w:docGrid w:linePitch="312" w:charSpace="0"/>
        </w:sectPr>
      </w:pPr>
    </w:p>
    <w:p w14:paraId="280CBD88">
      <w:pPr>
        <w:pageBreakBefore w:val="0"/>
        <w:kinsoku/>
        <w:wordWrap w:val="0"/>
        <w:bidi w:val="0"/>
        <w:spacing w:before="360" w:beforeLines="150" w:after="240" w:afterLines="100" w:line="380" w:lineRule="atLeast"/>
        <w:jc w:val="center"/>
        <w:outlineLvl w:val="9"/>
        <w:rPr>
          <w:rFonts w:hint="default" w:ascii="Times New Roman" w:hAnsi="Times New Roman" w:eastAsia="黑体" w:cs="Times New Roman"/>
          <w:color w:val="auto"/>
          <w:sz w:val="20"/>
          <w:szCs w:val="20"/>
          <w:highlight w:val="yellow"/>
        </w:rPr>
      </w:pPr>
    </w:p>
    <w:p w14:paraId="106B60BE">
      <w:pPr>
        <w:pageBreakBefore w:val="0"/>
        <w:kinsoku/>
        <w:wordWrap w:val="0"/>
        <w:bidi w:val="0"/>
        <w:spacing w:line="440" w:lineRule="exact"/>
        <w:jc w:val="center"/>
        <w:rPr>
          <w:rFonts w:hint="default" w:ascii="Times New Roman" w:hAnsi="Times New Roman" w:eastAsia="黑体" w:cs="Times New Roman"/>
          <w:color w:val="auto"/>
          <w:sz w:val="29"/>
          <w:szCs w:val="29"/>
          <w:highlight w:val="yellow"/>
        </w:rPr>
      </w:pPr>
    </w:p>
    <w:p w14:paraId="4A47834C">
      <w:pPr>
        <w:pageBreakBefore w:val="0"/>
        <w:kinsoku/>
        <w:wordWrap w:val="0"/>
        <w:bidi w:val="0"/>
        <w:spacing w:line="440" w:lineRule="exact"/>
        <w:jc w:val="center"/>
        <w:rPr>
          <w:rFonts w:hint="default" w:ascii="Times New Roman" w:hAnsi="Times New Roman" w:eastAsia="黑体" w:cs="Times New Roman"/>
          <w:color w:val="auto"/>
          <w:sz w:val="29"/>
          <w:szCs w:val="29"/>
          <w:highlight w:val="yellow"/>
        </w:rPr>
      </w:pPr>
    </w:p>
    <w:p w14:paraId="4CA85834">
      <w:pPr>
        <w:pageBreakBefore w:val="0"/>
        <w:kinsoku/>
        <w:wordWrap w:val="0"/>
        <w:bidi w:val="0"/>
        <w:spacing w:line="440" w:lineRule="exact"/>
        <w:jc w:val="center"/>
        <w:rPr>
          <w:rFonts w:hint="default" w:ascii="Times New Roman" w:hAnsi="Times New Roman" w:eastAsia="黑体" w:cs="Times New Roman"/>
          <w:color w:val="auto"/>
          <w:sz w:val="29"/>
          <w:szCs w:val="29"/>
          <w:highlight w:val="yellow"/>
        </w:rPr>
      </w:pPr>
    </w:p>
    <w:p w14:paraId="3C4328E9">
      <w:pPr>
        <w:pageBreakBefore w:val="0"/>
        <w:kinsoku/>
        <w:wordWrap w:val="0"/>
        <w:bidi w:val="0"/>
        <w:spacing w:line="440" w:lineRule="exact"/>
        <w:jc w:val="center"/>
        <w:rPr>
          <w:rFonts w:hint="default" w:ascii="Times New Roman" w:hAnsi="Times New Roman" w:eastAsia="黑体" w:cs="Times New Roman"/>
          <w:color w:val="auto"/>
          <w:sz w:val="29"/>
          <w:szCs w:val="29"/>
          <w:highlight w:val="yellow"/>
        </w:rPr>
      </w:pPr>
    </w:p>
    <w:p w14:paraId="09FBD8FE">
      <w:pPr>
        <w:pageBreakBefore w:val="0"/>
        <w:kinsoku/>
        <w:wordWrap w:val="0"/>
        <w:bidi w:val="0"/>
        <w:spacing w:line="440" w:lineRule="exact"/>
        <w:jc w:val="center"/>
        <w:rPr>
          <w:rFonts w:hint="default" w:ascii="Times New Roman" w:hAnsi="Times New Roman" w:eastAsia="黑体" w:cs="Times New Roman"/>
          <w:color w:val="auto"/>
          <w:sz w:val="29"/>
          <w:szCs w:val="29"/>
          <w:highlight w:val="yellow"/>
        </w:rPr>
      </w:pPr>
    </w:p>
    <w:p w14:paraId="3C5CFA2D">
      <w:pPr>
        <w:pageBreakBefore w:val="0"/>
        <w:kinsoku/>
        <w:wordWrap w:val="0"/>
        <w:bidi w:val="0"/>
        <w:spacing w:line="440" w:lineRule="exact"/>
        <w:jc w:val="center"/>
        <w:rPr>
          <w:rFonts w:hint="default" w:ascii="Times New Roman" w:hAnsi="Times New Roman" w:eastAsia="黑体" w:cs="Times New Roman"/>
          <w:color w:val="auto"/>
          <w:sz w:val="29"/>
          <w:szCs w:val="29"/>
          <w:highlight w:val="yellow"/>
        </w:rPr>
      </w:pPr>
    </w:p>
    <w:p w14:paraId="5D5E4A0A">
      <w:pPr>
        <w:pageBreakBefore w:val="0"/>
        <w:kinsoku/>
        <w:wordWrap w:val="0"/>
        <w:bidi w:val="0"/>
        <w:spacing w:line="440" w:lineRule="exact"/>
        <w:jc w:val="center"/>
        <w:rPr>
          <w:rFonts w:hint="default" w:ascii="Times New Roman" w:hAnsi="Times New Roman" w:eastAsia="黑体" w:cs="Times New Roman"/>
          <w:color w:val="auto"/>
          <w:sz w:val="29"/>
          <w:szCs w:val="29"/>
          <w:highlight w:val="yellow"/>
        </w:rPr>
      </w:pPr>
    </w:p>
    <w:p w14:paraId="49C6639B">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3F36F954">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68C6291D">
      <w:pPr>
        <w:pageBreakBefore w:val="0"/>
        <w:kinsoku/>
        <w:wordWrap w:val="0"/>
        <w:bidi w:val="0"/>
        <w:jc w:val="center"/>
        <w:outlineLvl w:val="0"/>
        <w:rPr>
          <w:rFonts w:hint="default" w:ascii="Times New Roman" w:hAnsi="Times New Roman" w:eastAsia="黑体" w:cs="Times New Roman"/>
          <w:color w:val="auto"/>
          <w:sz w:val="76"/>
          <w:szCs w:val="76"/>
          <w:highlight w:val="yellow"/>
        </w:rPr>
      </w:pPr>
      <w:bookmarkStart w:id="1591" w:name="_Toc234833249"/>
      <w:bookmarkStart w:id="1592" w:name="_Toc26586"/>
      <w:bookmarkStart w:id="1593" w:name="_Toc1328"/>
      <w:bookmarkStart w:id="1594" w:name="_Toc5182"/>
      <w:bookmarkStart w:id="1595" w:name="_Toc13842"/>
      <w:r>
        <w:rPr>
          <w:rFonts w:hint="default" w:ascii="Times New Roman" w:hAnsi="Times New Roman" w:eastAsia="黑体" w:cs="Times New Roman"/>
          <w:color w:val="auto"/>
          <w:sz w:val="76"/>
          <w:szCs w:val="76"/>
          <w:highlight w:val="none"/>
        </w:rPr>
        <w:t>第</w:t>
      </w:r>
      <w:r>
        <w:rPr>
          <w:rFonts w:hint="eastAsia" w:eastAsia="黑体" w:cs="Times New Roman"/>
          <w:color w:val="auto"/>
          <w:sz w:val="76"/>
          <w:szCs w:val="76"/>
          <w:highlight w:val="none"/>
          <w:lang w:val="en-US" w:eastAsia="zh-CN"/>
        </w:rPr>
        <w:t xml:space="preserve"> </w:t>
      </w:r>
      <w:r>
        <w:rPr>
          <w:rFonts w:hint="default" w:ascii="Times New Roman" w:hAnsi="Times New Roman" w:eastAsia="黑体" w:cs="Times New Roman"/>
          <w:color w:val="auto"/>
          <w:sz w:val="76"/>
          <w:szCs w:val="76"/>
          <w:highlight w:val="none"/>
        </w:rPr>
        <w:t>三</w:t>
      </w:r>
      <w:r>
        <w:rPr>
          <w:rFonts w:hint="eastAsia" w:eastAsia="黑体" w:cs="Times New Roman"/>
          <w:color w:val="auto"/>
          <w:sz w:val="76"/>
          <w:szCs w:val="76"/>
          <w:highlight w:val="none"/>
          <w:lang w:val="en-US" w:eastAsia="zh-CN"/>
        </w:rPr>
        <w:t xml:space="preserve"> </w:t>
      </w:r>
      <w:r>
        <w:rPr>
          <w:rFonts w:hint="default" w:ascii="Times New Roman" w:hAnsi="Times New Roman" w:eastAsia="黑体" w:cs="Times New Roman"/>
          <w:color w:val="auto"/>
          <w:sz w:val="76"/>
          <w:szCs w:val="76"/>
          <w:highlight w:val="none"/>
        </w:rPr>
        <w:t>卷</w:t>
      </w:r>
      <w:bookmarkEnd w:id="1591"/>
      <w:r>
        <w:rPr>
          <w:rFonts w:hint="default" w:ascii="Times New Roman" w:hAnsi="Times New Roman" w:eastAsia="黑体" w:cs="Times New Roman"/>
          <w:color w:val="auto"/>
          <w:sz w:val="76"/>
          <w:szCs w:val="76"/>
          <w:highlight w:val="yellow"/>
        </w:rPr>
        <w:br w:type="page"/>
      </w:r>
      <w:bookmarkEnd w:id="1592"/>
      <w:bookmarkEnd w:id="1593"/>
      <w:bookmarkEnd w:id="1594"/>
      <w:bookmarkEnd w:id="1595"/>
    </w:p>
    <w:p w14:paraId="0695BDFB">
      <w:pPr>
        <w:pageBreakBefore w:val="0"/>
        <w:kinsoku/>
        <w:wordWrap w:val="0"/>
        <w:bidi w:val="0"/>
        <w:spacing w:line="440" w:lineRule="exact"/>
        <w:jc w:val="center"/>
        <w:rPr>
          <w:rFonts w:hint="default" w:ascii="Times New Roman" w:hAnsi="Times New Roman" w:eastAsia="黑体" w:cs="Times New Roman"/>
          <w:color w:val="auto"/>
          <w:sz w:val="29"/>
          <w:szCs w:val="29"/>
          <w:highlight w:val="yellow"/>
        </w:rPr>
      </w:pPr>
    </w:p>
    <w:p w14:paraId="0550DDE8">
      <w:pPr>
        <w:pageBreakBefore w:val="0"/>
        <w:kinsoku/>
        <w:wordWrap w:val="0"/>
        <w:bidi w:val="0"/>
        <w:spacing w:line="440" w:lineRule="exact"/>
        <w:jc w:val="center"/>
        <w:rPr>
          <w:rFonts w:hint="default" w:ascii="Times New Roman" w:hAnsi="Times New Roman" w:eastAsia="黑体" w:cs="Times New Roman"/>
          <w:color w:val="auto"/>
          <w:sz w:val="29"/>
          <w:szCs w:val="29"/>
          <w:highlight w:val="yellow"/>
        </w:rPr>
      </w:pPr>
    </w:p>
    <w:p w14:paraId="40EBF862">
      <w:pPr>
        <w:pageBreakBefore w:val="0"/>
        <w:kinsoku/>
        <w:wordWrap w:val="0"/>
        <w:bidi w:val="0"/>
        <w:spacing w:line="440" w:lineRule="exact"/>
        <w:jc w:val="center"/>
        <w:rPr>
          <w:rFonts w:hint="default" w:ascii="Times New Roman" w:hAnsi="Times New Roman" w:eastAsia="黑体" w:cs="Times New Roman"/>
          <w:color w:val="auto"/>
          <w:sz w:val="29"/>
          <w:szCs w:val="29"/>
          <w:highlight w:val="yellow"/>
        </w:rPr>
      </w:pPr>
    </w:p>
    <w:p w14:paraId="1CFA239F">
      <w:pPr>
        <w:pageBreakBefore w:val="0"/>
        <w:kinsoku/>
        <w:wordWrap w:val="0"/>
        <w:bidi w:val="0"/>
        <w:spacing w:line="440" w:lineRule="exact"/>
        <w:jc w:val="center"/>
        <w:rPr>
          <w:rFonts w:hint="default" w:ascii="Times New Roman" w:hAnsi="Times New Roman" w:eastAsia="黑体" w:cs="Times New Roman"/>
          <w:color w:val="auto"/>
          <w:sz w:val="29"/>
          <w:szCs w:val="29"/>
          <w:highlight w:val="yellow"/>
        </w:rPr>
      </w:pPr>
    </w:p>
    <w:p w14:paraId="0517FC75">
      <w:pPr>
        <w:pageBreakBefore w:val="0"/>
        <w:kinsoku/>
        <w:wordWrap w:val="0"/>
        <w:bidi w:val="0"/>
        <w:spacing w:line="440" w:lineRule="exact"/>
        <w:jc w:val="center"/>
        <w:rPr>
          <w:rFonts w:hint="default" w:ascii="Times New Roman" w:hAnsi="Times New Roman" w:eastAsia="黑体" w:cs="Times New Roman"/>
          <w:color w:val="auto"/>
          <w:sz w:val="29"/>
          <w:szCs w:val="29"/>
          <w:highlight w:val="yellow"/>
        </w:rPr>
      </w:pPr>
    </w:p>
    <w:p w14:paraId="0495687D">
      <w:pPr>
        <w:pageBreakBefore w:val="0"/>
        <w:kinsoku/>
        <w:wordWrap w:val="0"/>
        <w:bidi w:val="0"/>
        <w:spacing w:line="440" w:lineRule="exact"/>
        <w:jc w:val="center"/>
        <w:rPr>
          <w:rFonts w:hint="default" w:ascii="Times New Roman" w:hAnsi="Times New Roman" w:eastAsia="黑体" w:cs="Times New Roman"/>
          <w:color w:val="auto"/>
          <w:sz w:val="29"/>
          <w:szCs w:val="29"/>
          <w:highlight w:val="yellow"/>
        </w:rPr>
      </w:pPr>
    </w:p>
    <w:p w14:paraId="379E9F11">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6BF13A19">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1C1890F7">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73DA3A34">
      <w:pPr>
        <w:pStyle w:val="3"/>
        <w:pageBreakBefore w:val="0"/>
        <w:kinsoku/>
        <w:wordWrap w:val="0"/>
        <w:bidi w:val="0"/>
        <w:spacing w:before="360" w:beforeLines="150" w:after="240" w:afterLines="100" w:line="380" w:lineRule="atLeast"/>
        <w:jc w:val="center"/>
        <w:rPr>
          <w:rFonts w:hint="default" w:ascii="Times New Roman" w:hAnsi="Times New Roman" w:eastAsia="黑体" w:cs="Times New Roman"/>
          <w:b w:val="0"/>
          <w:color w:val="auto"/>
          <w:sz w:val="56"/>
          <w:szCs w:val="56"/>
          <w:highlight w:val="none"/>
        </w:rPr>
      </w:pPr>
      <w:bookmarkStart w:id="1596" w:name="_Toc15579"/>
      <w:bookmarkStart w:id="1597" w:name="_Toc15033"/>
      <w:bookmarkStart w:id="1598" w:name="_Toc234833250"/>
      <w:bookmarkStart w:id="1599" w:name="_Toc29070"/>
      <w:bookmarkStart w:id="1600" w:name="_Toc16845"/>
      <w:r>
        <w:rPr>
          <w:rFonts w:hint="default" w:ascii="Times New Roman" w:hAnsi="Times New Roman" w:eastAsia="黑体" w:cs="Times New Roman"/>
          <w:b w:val="0"/>
          <w:i w:val="0"/>
          <w:iCs w:val="0"/>
          <w:color w:val="auto"/>
          <w:sz w:val="56"/>
          <w:szCs w:val="56"/>
          <w:highlight w:val="none"/>
        </w:rPr>
        <w:t>第七章</w:t>
      </w:r>
      <w:r>
        <w:rPr>
          <w:rFonts w:hint="eastAsia" w:cs="Times New Roman"/>
          <w:b w:val="0"/>
          <w:i w:val="0"/>
          <w:iCs w:val="0"/>
          <w:color w:val="auto"/>
          <w:sz w:val="56"/>
          <w:szCs w:val="56"/>
          <w:highlight w:val="none"/>
          <w:lang w:val="en-US" w:eastAsia="zh-CN"/>
        </w:rPr>
        <w:t xml:space="preserve"> </w:t>
      </w:r>
      <w:r>
        <w:rPr>
          <w:rFonts w:hint="default" w:ascii="Times New Roman" w:hAnsi="Times New Roman" w:eastAsia="黑体" w:cs="Times New Roman"/>
          <w:b w:val="0"/>
          <w:i w:val="0"/>
          <w:iCs w:val="0"/>
          <w:color w:val="auto"/>
          <w:sz w:val="56"/>
          <w:szCs w:val="56"/>
          <w:highlight w:val="none"/>
        </w:rPr>
        <w:t>技术规范（另册）</w:t>
      </w:r>
      <w:bookmarkEnd w:id="1596"/>
      <w:bookmarkEnd w:id="1597"/>
      <w:bookmarkEnd w:id="1598"/>
      <w:r>
        <w:rPr>
          <w:rFonts w:hint="default" w:ascii="Times New Roman" w:hAnsi="Times New Roman" w:eastAsia="黑体" w:cs="Times New Roman"/>
          <w:b w:val="0"/>
          <w:bCs w:val="0"/>
          <w:i w:val="0"/>
          <w:iCs w:val="0"/>
          <w:color w:val="auto"/>
          <w:sz w:val="28"/>
          <w:szCs w:val="36"/>
          <w:highlight w:val="none"/>
          <w:vertAlign w:val="superscript"/>
        </w:rPr>
        <w:footnoteReference w:id="45"/>
      </w:r>
      <w:bookmarkEnd w:id="1599"/>
      <w:bookmarkEnd w:id="1600"/>
    </w:p>
    <w:p w14:paraId="76A7601E">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3A71B386">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2BE7CC53">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7D14957B">
      <w:pPr>
        <w:pageBreakBefore w:val="0"/>
        <w:kinsoku/>
        <w:wordWrap w:val="0"/>
        <w:bidi w:val="0"/>
        <w:jc w:val="center"/>
        <w:rPr>
          <w:rFonts w:hint="default" w:ascii="Times New Roman" w:hAnsi="Times New Roman" w:eastAsia="黑体" w:cs="Times New Roman"/>
          <w:color w:val="auto"/>
          <w:sz w:val="76"/>
          <w:szCs w:val="76"/>
          <w:highlight w:val="yellow"/>
        </w:rPr>
      </w:pPr>
      <w:r>
        <w:rPr>
          <w:rFonts w:hint="default" w:ascii="Times New Roman" w:hAnsi="Times New Roman" w:eastAsia="黑体" w:cs="Times New Roman"/>
          <w:color w:val="auto"/>
          <w:sz w:val="20"/>
          <w:szCs w:val="20"/>
          <w:highlight w:val="none"/>
        </w:rPr>
        <w:br w:type="page"/>
      </w:r>
    </w:p>
    <w:p w14:paraId="422EA939">
      <w:pPr>
        <w:pageBreakBefore w:val="0"/>
        <w:kinsoku/>
        <w:wordWrap w:val="0"/>
        <w:bidi w:val="0"/>
        <w:spacing w:line="440" w:lineRule="exact"/>
        <w:jc w:val="center"/>
        <w:rPr>
          <w:rFonts w:hint="default" w:ascii="Times New Roman" w:hAnsi="Times New Roman" w:eastAsia="黑体" w:cs="Times New Roman"/>
          <w:color w:val="auto"/>
          <w:sz w:val="29"/>
          <w:szCs w:val="29"/>
          <w:highlight w:val="yellow"/>
        </w:rPr>
      </w:pPr>
    </w:p>
    <w:p w14:paraId="20A23421">
      <w:pPr>
        <w:pageBreakBefore w:val="0"/>
        <w:kinsoku/>
        <w:wordWrap w:val="0"/>
        <w:bidi w:val="0"/>
        <w:spacing w:line="440" w:lineRule="exact"/>
        <w:jc w:val="center"/>
        <w:rPr>
          <w:rFonts w:hint="default" w:ascii="Times New Roman" w:hAnsi="Times New Roman" w:eastAsia="黑体" w:cs="Times New Roman"/>
          <w:color w:val="auto"/>
          <w:sz w:val="29"/>
          <w:szCs w:val="29"/>
          <w:highlight w:val="yellow"/>
        </w:rPr>
      </w:pPr>
    </w:p>
    <w:p w14:paraId="433FF4A1">
      <w:pPr>
        <w:pageBreakBefore w:val="0"/>
        <w:kinsoku/>
        <w:wordWrap w:val="0"/>
        <w:bidi w:val="0"/>
        <w:spacing w:line="440" w:lineRule="exact"/>
        <w:jc w:val="center"/>
        <w:rPr>
          <w:rFonts w:hint="default" w:ascii="Times New Roman" w:hAnsi="Times New Roman" w:eastAsia="黑体" w:cs="Times New Roman"/>
          <w:color w:val="auto"/>
          <w:sz w:val="29"/>
          <w:szCs w:val="29"/>
          <w:highlight w:val="yellow"/>
        </w:rPr>
      </w:pPr>
    </w:p>
    <w:p w14:paraId="0228E220">
      <w:pPr>
        <w:pageBreakBefore w:val="0"/>
        <w:kinsoku/>
        <w:wordWrap w:val="0"/>
        <w:bidi w:val="0"/>
        <w:spacing w:line="440" w:lineRule="exact"/>
        <w:jc w:val="center"/>
        <w:rPr>
          <w:rFonts w:hint="default" w:ascii="Times New Roman" w:hAnsi="Times New Roman" w:eastAsia="黑体" w:cs="Times New Roman"/>
          <w:color w:val="auto"/>
          <w:sz w:val="29"/>
          <w:szCs w:val="29"/>
          <w:highlight w:val="yellow"/>
        </w:rPr>
      </w:pPr>
    </w:p>
    <w:p w14:paraId="114F2D20">
      <w:pPr>
        <w:pageBreakBefore w:val="0"/>
        <w:kinsoku/>
        <w:wordWrap w:val="0"/>
        <w:bidi w:val="0"/>
        <w:spacing w:line="440" w:lineRule="exact"/>
        <w:jc w:val="center"/>
        <w:rPr>
          <w:rFonts w:hint="default" w:ascii="Times New Roman" w:hAnsi="Times New Roman" w:eastAsia="黑体" w:cs="Times New Roman"/>
          <w:color w:val="auto"/>
          <w:sz w:val="29"/>
          <w:szCs w:val="29"/>
          <w:highlight w:val="yellow"/>
        </w:rPr>
      </w:pPr>
    </w:p>
    <w:p w14:paraId="35DA7267">
      <w:pPr>
        <w:pageBreakBefore w:val="0"/>
        <w:kinsoku/>
        <w:wordWrap w:val="0"/>
        <w:bidi w:val="0"/>
        <w:spacing w:line="440" w:lineRule="exact"/>
        <w:jc w:val="center"/>
        <w:rPr>
          <w:rFonts w:hint="default" w:ascii="Times New Roman" w:hAnsi="Times New Roman" w:eastAsia="黑体" w:cs="Times New Roman"/>
          <w:color w:val="auto"/>
          <w:sz w:val="29"/>
          <w:szCs w:val="29"/>
          <w:highlight w:val="yellow"/>
        </w:rPr>
      </w:pPr>
    </w:p>
    <w:p w14:paraId="4105072F">
      <w:pPr>
        <w:pageBreakBefore w:val="0"/>
        <w:kinsoku/>
        <w:wordWrap w:val="0"/>
        <w:bidi w:val="0"/>
        <w:spacing w:line="440" w:lineRule="exact"/>
        <w:jc w:val="center"/>
        <w:rPr>
          <w:rFonts w:hint="default" w:ascii="Times New Roman" w:hAnsi="Times New Roman" w:eastAsia="黑体" w:cs="Times New Roman"/>
          <w:color w:val="auto"/>
          <w:sz w:val="29"/>
          <w:szCs w:val="29"/>
          <w:highlight w:val="yellow"/>
        </w:rPr>
      </w:pPr>
    </w:p>
    <w:p w14:paraId="78611DE0">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3BE2583E">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14F735AC">
      <w:pPr>
        <w:pStyle w:val="3"/>
        <w:pageBreakBefore w:val="0"/>
        <w:kinsoku/>
        <w:wordWrap w:val="0"/>
        <w:bidi w:val="0"/>
        <w:spacing w:before="360" w:beforeLines="150" w:after="240" w:afterLines="100" w:line="380" w:lineRule="atLeast"/>
        <w:jc w:val="center"/>
        <w:rPr>
          <w:rFonts w:hint="default" w:ascii="Times New Roman" w:hAnsi="Times New Roman" w:eastAsia="黑体" w:cs="Times New Roman"/>
          <w:b w:val="0"/>
          <w:color w:val="auto"/>
          <w:sz w:val="56"/>
          <w:szCs w:val="56"/>
          <w:highlight w:val="none"/>
        </w:rPr>
      </w:pPr>
      <w:bookmarkStart w:id="1601" w:name="_Toc11545"/>
      <w:bookmarkStart w:id="1602" w:name="_Toc31352"/>
      <w:bookmarkStart w:id="1603" w:name="_Toc7638"/>
      <w:bookmarkStart w:id="1604" w:name="_Toc12046"/>
      <w:r>
        <w:rPr>
          <w:rFonts w:hint="default" w:ascii="Times New Roman" w:hAnsi="Times New Roman" w:eastAsia="黑体" w:cs="Times New Roman"/>
          <w:b w:val="0"/>
          <w:i w:val="0"/>
          <w:iCs w:val="0"/>
          <w:color w:val="auto"/>
          <w:sz w:val="56"/>
          <w:szCs w:val="56"/>
          <w:highlight w:val="none"/>
        </w:rPr>
        <w:t>第八章</w:t>
      </w:r>
      <w:r>
        <w:rPr>
          <w:rFonts w:hint="eastAsia" w:cs="Times New Roman"/>
          <w:b w:val="0"/>
          <w:i w:val="0"/>
          <w:iCs w:val="0"/>
          <w:color w:val="auto"/>
          <w:sz w:val="56"/>
          <w:szCs w:val="56"/>
          <w:highlight w:val="none"/>
          <w:lang w:val="en-US" w:eastAsia="zh-CN"/>
        </w:rPr>
        <w:t xml:space="preserve"> </w:t>
      </w:r>
      <w:r>
        <w:rPr>
          <w:rFonts w:hint="default" w:ascii="Times New Roman" w:hAnsi="Times New Roman" w:eastAsia="黑体" w:cs="Times New Roman"/>
          <w:b w:val="0"/>
          <w:i w:val="0"/>
          <w:iCs w:val="0"/>
          <w:color w:val="auto"/>
          <w:sz w:val="56"/>
          <w:szCs w:val="56"/>
          <w:highlight w:val="none"/>
        </w:rPr>
        <w:t>工程量清单计量规则</w:t>
      </w:r>
      <w:bookmarkEnd w:id="1601"/>
      <w:bookmarkEnd w:id="1602"/>
      <w:r>
        <w:rPr>
          <w:rFonts w:hint="default" w:ascii="Times New Roman" w:hAnsi="Times New Roman" w:eastAsia="黑体" w:cs="Times New Roman"/>
          <w:b w:val="0"/>
          <w:bCs w:val="0"/>
          <w:i w:val="0"/>
          <w:iCs w:val="0"/>
          <w:color w:val="auto"/>
          <w:sz w:val="28"/>
          <w:szCs w:val="36"/>
          <w:highlight w:val="none"/>
          <w:vertAlign w:val="superscript"/>
        </w:rPr>
        <w:footnoteReference w:id="46"/>
      </w:r>
      <w:bookmarkEnd w:id="1603"/>
      <w:bookmarkEnd w:id="1604"/>
    </w:p>
    <w:p w14:paraId="6A576EA8">
      <w:pPr>
        <w:pageBreakBefore w:val="0"/>
        <w:kinsoku/>
        <w:wordWrap w:val="0"/>
        <w:bidi w:val="0"/>
        <w:spacing w:before="360" w:beforeLines="150" w:after="240" w:afterLines="100" w:line="380" w:lineRule="atLeast"/>
        <w:jc w:val="center"/>
        <w:outlineLvl w:val="9"/>
        <w:rPr>
          <w:rFonts w:hint="default" w:ascii="Times New Roman" w:hAnsi="Times New Roman" w:eastAsia="黑体" w:cs="Times New Roman"/>
          <w:b w:val="0"/>
          <w:color w:val="auto"/>
          <w:sz w:val="56"/>
          <w:szCs w:val="56"/>
          <w:highlight w:val="none"/>
        </w:rPr>
      </w:pPr>
      <w:bookmarkStart w:id="1605" w:name="_Toc501257474"/>
      <w:bookmarkStart w:id="1606" w:name="_Toc470752702"/>
      <w:r>
        <w:rPr>
          <w:rFonts w:hint="default" w:ascii="Times New Roman" w:hAnsi="Times New Roman" w:eastAsia="黑体" w:cs="Times New Roman"/>
          <w:b w:val="0"/>
          <w:color w:val="auto"/>
          <w:sz w:val="56"/>
          <w:szCs w:val="56"/>
          <w:highlight w:val="none"/>
        </w:rPr>
        <w:t>（另册）</w:t>
      </w:r>
      <w:bookmarkEnd w:id="1605"/>
      <w:bookmarkEnd w:id="1606"/>
    </w:p>
    <w:p w14:paraId="4A333769">
      <w:pPr>
        <w:spacing w:after="240" w:line="360" w:lineRule="auto"/>
        <w:ind w:left="2100" w:leftChars="1000"/>
        <w:jc w:val="both"/>
        <w:rPr>
          <w:rFonts w:hint="default" w:ascii="Times New Roman" w:hAnsi="Times New Roman" w:eastAsia="黑体" w:cs="Times New Roman"/>
          <w:b w:val="0"/>
          <w:bCs w:val="0"/>
          <w:color w:val="auto"/>
          <w:sz w:val="28"/>
          <w:szCs w:val="36"/>
          <w:highlight w:val="none"/>
        </w:rPr>
      </w:pPr>
    </w:p>
    <w:p w14:paraId="4757F579">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7F8B045B">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5122E353">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2942CE7A">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5EDD04F2">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0C204DFC">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r>
        <w:rPr>
          <w:rFonts w:hint="default" w:ascii="Times New Roman" w:hAnsi="Times New Roman" w:eastAsia="黑体" w:cs="Times New Roman"/>
          <w:color w:val="auto"/>
          <w:sz w:val="20"/>
          <w:szCs w:val="20"/>
          <w:highlight w:val="none"/>
        </w:rPr>
        <w:br w:type="page"/>
      </w:r>
    </w:p>
    <w:p w14:paraId="2E1EBF28">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270301C0">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56F6855A">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15E468BA">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326762BC">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0C8A36BC">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4972FF3E">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4C160D5E">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362CD9B0">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4120E016">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7BACD21D">
      <w:pPr>
        <w:pageBreakBefore w:val="0"/>
        <w:kinsoku/>
        <w:wordWrap w:val="0"/>
        <w:bidi w:val="0"/>
        <w:jc w:val="center"/>
        <w:outlineLvl w:val="0"/>
        <w:rPr>
          <w:rFonts w:hint="default" w:ascii="Times New Roman" w:hAnsi="Times New Roman" w:eastAsia="黑体" w:cs="Times New Roman"/>
          <w:color w:val="auto"/>
          <w:sz w:val="29"/>
          <w:szCs w:val="29"/>
          <w:highlight w:val="yellow"/>
        </w:rPr>
      </w:pPr>
      <w:bookmarkStart w:id="1607" w:name="_Toc234833251"/>
      <w:bookmarkStart w:id="1608" w:name="_Toc30898"/>
      <w:bookmarkStart w:id="1609" w:name="_Toc13633"/>
      <w:bookmarkStart w:id="1610" w:name="_Toc2682"/>
      <w:bookmarkStart w:id="1611" w:name="_Toc27378"/>
      <w:r>
        <w:rPr>
          <w:rFonts w:hint="default" w:ascii="Times New Roman" w:hAnsi="Times New Roman" w:eastAsia="黑体" w:cs="Times New Roman"/>
          <w:color w:val="auto"/>
          <w:sz w:val="76"/>
          <w:szCs w:val="76"/>
          <w:highlight w:val="none"/>
        </w:rPr>
        <w:t>第</w:t>
      </w:r>
      <w:r>
        <w:rPr>
          <w:rFonts w:hint="eastAsia" w:eastAsia="黑体" w:cs="Times New Roman"/>
          <w:color w:val="auto"/>
          <w:sz w:val="76"/>
          <w:szCs w:val="76"/>
          <w:highlight w:val="none"/>
          <w:lang w:val="en-US" w:eastAsia="zh-CN"/>
        </w:rPr>
        <w:t xml:space="preserve"> </w:t>
      </w:r>
      <w:r>
        <w:rPr>
          <w:rFonts w:hint="default" w:ascii="Times New Roman" w:hAnsi="Times New Roman" w:eastAsia="黑体" w:cs="Times New Roman"/>
          <w:color w:val="auto"/>
          <w:sz w:val="76"/>
          <w:szCs w:val="76"/>
          <w:highlight w:val="none"/>
        </w:rPr>
        <w:t>四</w:t>
      </w:r>
      <w:r>
        <w:rPr>
          <w:rFonts w:hint="eastAsia" w:eastAsia="黑体" w:cs="Times New Roman"/>
          <w:color w:val="auto"/>
          <w:sz w:val="76"/>
          <w:szCs w:val="76"/>
          <w:highlight w:val="none"/>
          <w:lang w:val="en-US" w:eastAsia="zh-CN"/>
        </w:rPr>
        <w:t xml:space="preserve"> </w:t>
      </w:r>
      <w:r>
        <w:rPr>
          <w:rFonts w:hint="default" w:ascii="Times New Roman" w:hAnsi="Times New Roman" w:eastAsia="黑体" w:cs="Times New Roman"/>
          <w:color w:val="auto"/>
          <w:sz w:val="76"/>
          <w:szCs w:val="76"/>
          <w:highlight w:val="none"/>
        </w:rPr>
        <w:t>卷</w:t>
      </w:r>
      <w:bookmarkEnd w:id="1607"/>
      <w:r>
        <w:rPr>
          <w:rFonts w:hint="default" w:ascii="Times New Roman" w:hAnsi="Times New Roman" w:eastAsia="黑体" w:cs="Times New Roman"/>
          <w:color w:val="auto"/>
          <w:sz w:val="76"/>
          <w:szCs w:val="76"/>
          <w:highlight w:val="yellow"/>
        </w:rPr>
        <w:br w:type="page"/>
      </w:r>
      <w:bookmarkEnd w:id="1608"/>
      <w:bookmarkEnd w:id="1609"/>
      <w:bookmarkEnd w:id="1610"/>
      <w:bookmarkEnd w:id="1611"/>
    </w:p>
    <w:p w14:paraId="35F22E74">
      <w:pPr>
        <w:pageBreakBefore w:val="0"/>
        <w:kinsoku/>
        <w:wordWrap w:val="0"/>
        <w:bidi w:val="0"/>
        <w:spacing w:line="440" w:lineRule="exact"/>
        <w:jc w:val="center"/>
        <w:rPr>
          <w:rFonts w:hint="default" w:ascii="Times New Roman" w:hAnsi="Times New Roman" w:eastAsia="黑体" w:cs="Times New Roman"/>
          <w:color w:val="auto"/>
          <w:sz w:val="29"/>
          <w:szCs w:val="29"/>
          <w:highlight w:val="yellow"/>
        </w:rPr>
      </w:pPr>
    </w:p>
    <w:p w14:paraId="0BF91E45">
      <w:pPr>
        <w:pageBreakBefore w:val="0"/>
        <w:kinsoku/>
        <w:wordWrap w:val="0"/>
        <w:bidi w:val="0"/>
        <w:spacing w:line="440" w:lineRule="exact"/>
        <w:jc w:val="center"/>
        <w:rPr>
          <w:rFonts w:hint="default" w:ascii="Times New Roman" w:hAnsi="Times New Roman" w:eastAsia="黑体" w:cs="Times New Roman"/>
          <w:color w:val="auto"/>
          <w:sz w:val="29"/>
          <w:szCs w:val="29"/>
          <w:highlight w:val="yellow"/>
        </w:rPr>
      </w:pPr>
    </w:p>
    <w:p w14:paraId="7A01D338">
      <w:pPr>
        <w:pageBreakBefore w:val="0"/>
        <w:kinsoku/>
        <w:wordWrap w:val="0"/>
        <w:bidi w:val="0"/>
        <w:spacing w:line="440" w:lineRule="exact"/>
        <w:jc w:val="center"/>
        <w:rPr>
          <w:rFonts w:hint="default" w:ascii="Times New Roman" w:hAnsi="Times New Roman" w:eastAsia="黑体" w:cs="Times New Roman"/>
          <w:color w:val="auto"/>
          <w:sz w:val="29"/>
          <w:szCs w:val="29"/>
          <w:highlight w:val="yellow"/>
        </w:rPr>
      </w:pPr>
    </w:p>
    <w:p w14:paraId="5519D1C1">
      <w:pPr>
        <w:pageBreakBefore w:val="0"/>
        <w:kinsoku/>
        <w:wordWrap w:val="0"/>
        <w:bidi w:val="0"/>
        <w:spacing w:line="440" w:lineRule="exact"/>
        <w:jc w:val="center"/>
        <w:rPr>
          <w:rFonts w:hint="default" w:ascii="Times New Roman" w:hAnsi="Times New Roman" w:eastAsia="黑体" w:cs="Times New Roman"/>
          <w:color w:val="auto"/>
          <w:sz w:val="29"/>
          <w:szCs w:val="29"/>
          <w:highlight w:val="yellow"/>
        </w:rPr>
      </w:pPr>
    </w:p>
    <w:p w14:paraId="08C3E3EB">
      <w:pPr>
        <w:pageBreakBefore w:val="0"/>
        <w:kinsoku/>
        <w:wordWrap w:val="0"/>
        <w:bidi w:val="0"/>
        <w:spacing w:line="440" w:lineRule="exact"/>
        <w:jc w:val="center"/>
        <w:rPr>
          <w:rFonts w:hint="default" w:ascii="Times New Roman" w:hAnsi="Times New Roman" w:eastAsia="黑体" w:cs="Times New Roman"/>
          <w:color w:val="auto"/>
          <w:sz w:val="29"/>
          <w:szCs w:val="29"/>
          <w:highlight w:val="yellow"/>
        </w:rPr>
      </w:pPr>
    </w:p>
    <w:p w14:paraId="1DE567F8">
      <w:pPr>
        <w:pageBreakBefore w:val="0"/>
        <w:kinsoku/>
        <w:wordWrap w:val="0"/>
        <w:bidi w:val="0"/>
        <w:spacing w:line="440" w:lineRule="exact"/>
        <w:jc w:val="center"/>
        <w:rPr>
          <w:rFonts w:hint="default" w:ascii="Times New Roman" w:hAnsi="Times New Roman" w:eastAsia="黑体" w:cs="Times New Roman"/>
          <w:color w:val="auto"/>
          <w:sz w:val="29"/>
          <w:szCs w:val="29"/>
          <w:highlight w:val="yellow"/>
        </w:rPr>
      </w:pPr>
    </w:p>
    <w:p w14:paraId="1FA5D38D">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69FD4D8A">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2E53AC45">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36971F2E">
      <w:pPr>
        <w:pStyle w:val="3"/>
        <w:pageBreakBefore w:val="0"/>
        <w:kinsoku/>
        <w:wordWrap w:val="0"/>
        <w:bidi w:val="0"/>
        <w:spacing w:before="360" w:beforeLines="150" w:after="240" w:afterLines="100" w:line="380" w:lineRule="atLeast"/>
        <w:jc w:val="center"/>
        <w:outlineLvl w:val="1"/>
        <w:rPr>
          <w:rFonts w:hint="default" w:ascii="Times New Roman" w:hAnsi="Times New Roman" w:eastAsia="黑体" w:cs="Times New Roman"/>
          <w:b w:val="0"/>
          <w:i w:val="0"/>
          <w:iCs w:val="0"/>
          <w:color w:val="auto"/>
          <w:sz w:val="56"/>
          <w:szCs w:val="56"/>
          <w:highlight w:val="none"/>
        </w:rPr>
      </w:pPr>
      <w:bookmarkStart w:id="1612" w:name="_Toc29271"/>
      <w:bookmarkStart w:id="1613" w:name="_Toc12509"/>
      <w:bookmarkStart w:id="1614" w:name="_Toc12459"/>
      <w:bookmarkStart w:id="1615" w:name="_Toc234833252"/>
      <w:bookmarkStart w:id="1616" w:name="_Toc14222"/>
      <w:r>
        <w:rPr>
          <w:rFonts w:hint="default" w:ascii="Times New Roman" w:hAnsi="Times New Roman" w:eastAsia="黑体" w:cs="Times New Roman"/>
          <w:b w:val="0"/>
          <w:i w:val="0"/>
          <w:iCs w:val="0"/>
          <w:color w:val="auto"/>
          <w:sz w:val="56"/>
          <w:szCs w:val="56"/>
          <w:highlight w:val="none"/>
        </w:rPr>
        <w:t>第九章</w:t>
      </w:r>
      <w:r>
        <w:rPr>
          <w:rFonts w:hint="eastAsia" w:cs="Times New Roman"/>
          <w:b w:val="0"/>
          <w:i w:val="0"/>
          <w:iCs w:val="0"/>
          <w:color w:val="auto"/>
          <w:sz w:val="56"/>
          <w:szCs w:val="56"/>
          <w:highlight w:val="none"/>
          <w:lang w:val="en-US" w:eastAsia="zh-CN"/>
        </w:rPr>
        <w:t xml:space="preserve"> </w:t>
      </w:r>
      <w:r>
        <w:rPr>
          <w:rFonts w:hint="default" w:ascii="Times New Roman" w:hAnsi="Times New Roman" w:eastAsia="黑体" w:cs="Times New Roman"/>
          <w:b w:val="0"/>
          <w:i w:val="0"/>
          <w:iCs w:val="0"/>
          <w:color w:val="auto"/>
          <w:sz w:val="56"/>
          <w:szCs w:val="56"/>
          <w:highlight w:val="none"/>
        </w:rPr>
        <w:t>投标文件格式</w:t>
      </w:r>
      <w:r>
        <w:rPr>
          <w:rStyle w:val="48"/>
          <w:rFonts w:hint="default" w:ascii="Times New Roman" w:hAnsi="Times New Roman" w:eastAsia="黑体" w:cs="Times New Roman"/>
          <w:i w:val="0"/>
          <w:iCs w:val="0"/>
          <w:color w:val="auto"/>
          <w:sz w:val="56"/>
          <w:szCs w:val="56"/>
          <w:highlight w:val="none"/>
        </w:rPr>
        <w:footnoteReference w:id="47"/>
      </w:r>
      <w:bookmarkEnd w:id="1612"/>
      <w:bookmarkEnd w:id="1613"/>
      <w:bookmarkEnd w:id="1614"/>
      <w:bookmarkEnd w:id="1615"/>
      <w:bookmarkEnd w:id="1616"/>
    </w:p>
    <w:p w14:paraId="5AB668CE">
      <w:pPr>
        <w:pageBreakBefore w:val="0"/>
        <w:kinsoku/>
        <w:wordWrap w:val="0"/>
        <w:bidi w:val="0"/>
        <w:spacing w:line="440" w:lineRule="exact"/>
        <w:jc w:val="center"/>
        <w:rPr>
          <w:rFonts w:hint="default" w:ascii="Times New Roman" w:hAnsi="Times New Roman" w:eastAsia="黑体" w:cs="Times New Roman"/>
          <w:color w:val="auto"/>
          <w:sz w:val="36"/>
          <w:szCs w:val="36"/>
          <w:highlight w:val="none"/>
        </w:rPr>
      </w:pPr>
    </w:p>
    <w:p w14:paraId="09495DCF">
      <w:pPr>
        <w:pageBreakBefore w:val="0"/>
        <w:kinsoku/>
        <w:wordWrap w:val="0"/>
        <w:bidi w:val="0"/>
        <w:spacing w:line="440" w:lineRule="exact"/>
        <w:rPr>
          <w:rFonts w:hint="eastAsia" w:ascii="Times New Roman" w:hAnsi="Times New Roman" w:eastAsia="黑体" w:cs="Times New Roman"/>
          <w:color w:val="auto"/>
          <w:sz w:val="20"/>
          <w:szCs w:val="20"/>
          <w:highlight w:val="none"/>
          <w:lang w:eastAsia="zh-CN"/>
        </w:rPr>
      </w:pPr>
    </w:p>
    <w:p w14:paraId="6FA8FCE0">
      <w:pPr>
        <w:pageBreakBefore w:val="0"/>
        <w:kinsoku/>
        <w:wordWrap w:val="0"/>
        <w:bidi w:val="0"/>
        <w:spacing w:line="440" w:lineRule="exact"/>
        <w:rPr>
          <w:rFonts w:hint="default"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br w:type="page"/>
      </w:r>
    </w:p>
    <w:p w14:paraId="6B73A0E1">
      <w:pPr>
        <w:pageBreakBefore w:val="0"/>
        <w:kinsoku/>
        <w:wordWrap w:val="0"/>
        <w:bidi w:val="0"/>
        <w:spacing w:line="440" w:lineRule="exact"/>
        <w:jc w:val="center"/>
        <w:rPr>
          <w:rFonts w:hint="default" w:ascii="Times New Roman" w:hAnsi="Times New Roman" w:eastAsia="黑体" w:cs="Times New Roman"/>
          <w:b w:val="0"/>
          <w:bCs w:val="0"/>
          <w:color w:val="auto"/>
          <w:sz w:val="31"/>
          <w:szCs w:val="31"/>
          <w:highlight w:val="none"/>
          <w:u w:val="single"/>
          <w:lang w:val="en-US"/>
        </w:rPr>
      </w:pPr>
      <w:r>
        <w:rPr>
          <w:rFonts w:hint="eastAsia" w:ascii="Times New Roman" w:hAnsi="Times New Roman" w:eastAsia="黑体" w:cs="Times New Roman"/>
          <w:b w:val="0"/>
          <w:bCs w:val="0"/>
          <w:color w:val="auto"/>
          <w:sz w:val="31"/>
          <w:szCs w:val="31"/>
          <w:highlight w:val="none"/>
          <w:u w:val="single"/>
          <w:lang w:eastAsia="zh-CN"/>
        </w:rPr>
        <w:t>辽宁省</w:t>
      </w:r>
    </w:p>
    <w:p w14:paraId="4AACFF54">
      <w:pPr>
        <w:pageBreakBefore w:val="0"/>
        <w:kinsoku/>
        <w:wordWrap w:val="0"/>
        <w:bidi w:val="0"/>
        <w:spacing w:line="440" w:lineRule="exact"/>
        <w:rPr>
          <w:rFonts w:hint="default" w:ascii="Times New Roman" w:hAnsi="Times New Roman" w:eastAsia="黑体" w:cs="Times New Roman"/>
          <w:color w:val="auto"/>
          <w:sz w:val="24"/>
          <w:highlight w:val="none"/>
          <w:lang w:val="en-US"/>
        </w:rPr>
      </w:pPr>
      <w:r>
        <w:rPr>
          <w:rFonts w:hint="default" w:ascii="Times New Roman" w:hAnsi="Times New Roman" w:eastAsia="黑体" w:cs="Times New Roman"/>
          <w:b w:val="0"/>
          <w:bCs w:val="0"/>
          <w:color w:val="auto"/>
          <w:sz w:val="31"/>
          <w:szCs w:val="31"/>
          <w:highlight w:val="none"/>
          <w:u w:val="single"/>
        </w:rPr>
        <w:t xml:space="preserve">          </w:t>
      </w:r>
      <w:r>
        <w:rPr>
          <w:rFonts w:hint="default" w:ascii="Times New Roman" w:hAnsi="Times New Roman" w:eastAsia="黑体" w:cs="Times New Roman"/>
          <w:b w:val="0"/>
          <w:bCs w:val="0"/>
          <w:color w:val="auto"/>
          <w:sz w:val="31"/>
          <w:szCs w:val="31"/>
          <w:highlight w:val="none"/>
        </w:rPr>
        <w:t>（项目名称）</w:t>
      </w:r>
      <w:r>
        <w:rPr>
          <w:rFonts w:hint="default" w:ascii="Times New Roman" w:hAnsi="Times New Roman" w:eastAsia="黑体" w:cs="Times New Roman"/>
          <w:b w:val="0"/>
          <w:bCs w:val="0"/>
          <w:color w:val="auto"/>
          <w:sz w:val="31"/>
          <w:szCs w:val="31"/>
          <w:highlight w:val="none"/>
          <w:u w:val="single"/>
        </w:rPr>
        <w:t xml:space="preserve">          </w:t>
      </w:r>
      <w:r>
        <w:rPr>
          <w:rFonts w:hint="default" w:ascii="Times New Roman" w:hAnsi="Times New Roman" w:eastAsia="黑体" w:cs="Times New Roman"/>
          <w:b w:val="0"/>
          <w:bCs w:val="0"/>
          <w:color w:val="auto"/>
          <w:sz w:val="31"/>
          <w:szCs w:val="31"/>
          <w:highlight w:val="none"/>
        </w:rPr>
        <w:t>（</w:t>
      </w:r>
      <w:r>
        <w:rPr>
          <w:rFonts w:hint="default" w:ascii="Times New Roman" w:hAnsi="Times New Roman" w:eastAsia="黑体" w:cs="Times New Roman"/>
          <w:b w:val="0"/>
          <w:bCs w:val="0"/>
          <w:color w:val="auto"/>
          <w:sz w:val="31"/>
          <w:szCs w:val="31"/>
          <w:highlight w:val="none"/>
          <w:lang w:val="en-US" w:eastAsia="zh-CN"/>
        </w:rPr>
        <w:t>标段</w:t>
      </w:r>
      <w:r>
        <w:rPr>
          <w:rFonts w:hint="default" w:ascii="Times New Roman" w:hAnsi="Times New Roman" w:eastAsia="黑体" w:cs="Times New Roman"/>
          <w:b w:val="0"/>
          <w:bCs w:val="0"/>
          <w:color w:val="auto"/>
          <w:sz w:val="31"/>
          <w:szCs w:val="31"/>
          <w:highlight w:val="none"/>
        </w:rPr>
        <w:t>名称</w:t>
      </w:r>
      <w:r>
        <w:rPr>
          <w:rFonts w:hint="default" w:ascii="Times New Roman" w:hAnsi="Times New Roman" w:eastAsia="黑体" w:cs="Times New Roman"/>
          <w:b w:val="0"/>
          <w:bCs w:val="0"/>
          <w:color w:val="auto"/>
          <w:sz w:val="31"/>
          <w:szCs w:val="31"/>
          <w:highlight w:val="none"/>
          <w:lang w:eastAsia="zh-CN"/>
        </w:rPr>
        <w:t>）</w:t>
      </w:r>
      <w:r>
        <w:rPr>
          <w:rFonts w:hint="default" w:ascii="Times New Roman" w:hAnsi="Times New Roman" w:eastAsia="黑体" w:cs="Times New Roman"/>
          <w:b w:val="0"/>
          <w:bCs w:val="0"/>
          <w:color w:val="auto"/>
          <w:sz w:val="31"/>
          <w:szCs w:val="31"/>
          <w:highlight w:val="none"/>
          <w:lang w:val="en-US" w:eastAsia="zh-CN"/>
        </w:rPr>
        <w:t>施工招标</w:t>
      </w:r>
    </w:p>
    <w:p w14:paraId="256C0CAC">
      <w:pPr>
        <w:pageBreakBefore w:val="0"/>
        <w:kinsoku/>
        <w:wordWrap w:val="0"/>
        <w:bidi w:val="0"/>
        <w:spacing w:line="440" w:lineRule="exact"/>
        <w:rPr>
          <w:rFonts w:hint="default"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 xml:space="preserve"> </w:t>
      </w:r>
    </w:p>
    <w:p w14:paraId="6CE278DB">
      <w:pPr>
        <w:pageBreakBefore w:val="0"/>
        <w:kinsoku/>
        <w:wordWrap w:val="0"/>
        <w:bidi w:val="0"/>
        <w:spacing w:line="440" w:lineRule="exact"/>
        <w:rPr>
          <w:rFonts w:hint="default" w:ascii="Times New Roman" w:hAnsi="Times New Roman" w:eastAsia="黑体" w:cs="Times New Roman"/>
          <w:color w:val="auto"/>
          <w:sz w:val="40"/>
          <w:szCs w:val="40"/>
          <w:highlight w:val="none"/>
        </w:rPr>
      </w:pPr>
    </w:p>
    <w:p w14:paraId="3D8CF1C4">
      <w:pPr>
        <w:pageBreakBefore w:val="0"/>
        <w:kinsoku/>
        <w:wordWrap w:val="0"/>
        <w:bidi w:val="0"/>
        <w:spacing w:line="440" w:lineRule="exact"/>
        <w:jc w:val="center"/>
        <w:rPr>
          <w:rFonts w:hint="default" w:ascii="Times New Roman" w:hAnsi="Times New Roman" w:eastAsia="黑体" w:cs="Times New Roman"/>
          <w:color w:val="auto"/>
          <w:sz w:val="40"/>
          <w:szCs w:val="40"/>
          <w:highlight w:val="none"/>
        </w:rPr>
      </w:pPr>
    </w:p>
    <w:p w14:paraId="36BC6158">
      <w:pPr>
        <w:pStyle w:val="17"/>
        <w:rPr>
          <w:rFonts w:hint="default" w:ascii="Times New Roman" w:hAnsi="Times New Roman" w:eastAsia="黑体" w:cs="Times New Roman"/>
          <w:color w:val="auto"/>
          <w:sz w:val="40"/>
          <w:szCs w:val="40"/>
          <w:highlight w:val="none"/>
        </w:rPr>
      </w:pPr>
    </w:p>
    <w:p w14:paraId="6A8FB2D8">
      <w:pPr>
        <w:pStyle w:val="17"/>
        <w:rPr>
          <w:rFonts w:hint="default" w:ascii="Times New Roman" w:hAnsi="Times New Roman" w:eastAsia="黑体" w:cs="Times New Roman"/>
          <w:color w:val="auto"/>
          <w:sz w:val="40"/>
          <w:szCs w:val="40"/>
          <w:highlight w:val="none"/>
        </w:rPr>
      </w:pPr>
    </w:p>
    <w:p w14:paraId="497518FF">
      <w:pPr>
        <w:pStyle w:val="17"/>
        <w:rPr>
          <w:rFonts w:hint="default" w:ascii="Times New Roman" w:hAnsi="Times New Roman" w:eastAsia="黑体" w:cs="Times New Roman"/>
          <w:color w:val="auto"/>
          <w:sz w:val="40"/>
          <w:szCs w:val="40"/>
          <w:highlight w:val="none"/>
        </w:rPr>
      </w:pPr>
    </w:p>
    <w:p w14:paraId="6922AFC4">
      <w:pPr>
        <w:pageBreakBefore w:val="0"/>
        <w:kinsoku/>
        <w:wordWrap w:val="0"/>
        <w:bidi w:val="0"/>
        <w:spacing w:line="440" w:lineRule="exact"/>
        <w:jc w:val="center"/>
        <w:rPr>
          <w:rFonts w:hint="default" w:ascii="Times New Roman" w:hAnsi="Times New Roman" w:eastAsia="黑体" w:cs="Times New Roman"/>
          <w:color w:val="auto"/>
          <w:sz w:val="40"/>
          <w:szCs w:val="40"/>
          <w:highlight w:val="none"/>
        </w:rPr>
      </w:pPr>
    </w:p>
    <w:p w14:paraId="60BBD2C9">
      <w:pPr>
        <w:pageBreakBefore w:val="0"/>
        <w:kinsoku/>
        <w:wordWrap w:val="0"/>
        <w:bidi w:val="0"/>
        <w:spacing w:line="440" w:lineRule="exact"/>
        <w:jc w:val="center"/>
        <w:rPr>
          <w:rFonts w:hint="default" w:ascii="Times New Roman" w:hAnsi="Times New Roman" w:eastAsia="黑体" w:cs="Times New Roman"/>
          <w:color w:val="auto"/>
          <w:sz w:val="40"/>
          <w:szCs w:val="40"/>
          <w:highlight w:val="none"/>
        </w:rPr>
      </w:pPr>
    </w:p>
    <w:p w14:paraId="182923A7">
      <w:pPr>
        <w:pageBreakBefore w:val="0"/>
        <w:kinsoku/>
        <w:wordWrap/>
        <w:bidi w:val="0"/>
        <w:spacing w:before="0" w:after="0" w:line="360" w:lineRule="auto"/>
        <w:jc w:val="center"/>
        <w:outlineLvl w:val="9"/>
        <w:rPr>
          <w:rFonts w:hint="default" w:ascii="Times New Roman" w:hAnsi="Times New Roman" w:eastAsia="黑体" w:cs="Times New Roman"/>
          <w:b w:val="0"/>
          <w:color w:val="auto"/>
          <w:sz w:val="30"/>
          <w:szCs w:val="30"/>
          <w:highlight w:val="none"/>
        </w:rPr>
      </w:pPr>
      <w:bookmarkStart w:id="1617" w:name="_Toc1346"/>
      <w:bookmarkStart w:id="1618" w:name="_Toc26407"/>
      <w:bookmarkStart w:id="1619" w:name="_Toc11253"/>
      <w:bookmarkStart w:id="1620" w:name="_Toc11276"/>
      <w:bookmarkStart w:id="1621" w:name="_Toc23497"/>
      <w:r>
        <w:rPr>
          <w:rFonts w:hint="default" w:ascii="Times New Roman" w:hAnsi="Times New Roman" w:eastAsia="黑体" w:cs="Times New Roman"/>
          <w:b w:val="0"/>
          <w:color w:val="auto"/>
          <w:sz w:val="72"/>
          <w:szCs w:val="72"/>
          <w:highlight w:val="none"/>
        </w:rPr>
        <w:t xml:space="preserve">投  标  文  件 </w:t>
      </w:r>
    </w:p>
    <w:p w14:paraId="6E0425BC">
      <w:pPr>
        <w:pageBreakBefore w:val="0"/>
        <w:kinsoku/>
        <w:wordWrap/>
        <w:bidi w:val="0"/>
        <w:spacing w:before="0" w:after="0" w:line="360" w:lineRule="auto"/>
        <w:jc w:val="center"/>
        <w:outlineLvl w:val="2"/>
        <w:rPr>
          <w:rFonts w:hint="default" w:ascii="Times New Roman" w:hAnsi="Times New Roman" w:eastAsia="黑体" w:cs="Times New Roman"/>
          <w:b w:val="0"/>
          <w:color w:val="auto"/>
          <w:sz w:val="30"/>
          <w:szCs w:val="30"/>
          <w:highlight w:val="none"/>
        </w:rPr>
      </w:pPr>
      <w:bookmarkStart w:id="1622" w:name="_Toc27427"/>
      <w:bookmarkStart w:id="1623" w:name="_Toc274"/>
      <w:r>
        <w:rPr>
          <w:rFonts w:hint="default" w:ascii="Times New Roman" w:hAnsi="Times New Roman" w:eastAsia="黑体" w:cs="Times New Roman"/>
          <w:b w:val="0"/>
          <w:color w:val="auto"/>
          <w:sz w:val="32"/>
          <w:szCs w:val="32"/>
          <w:highlight w:val="none"/>
        </w:rPr>
        <w:t>（</w:t>
      </w:r>
      <w:r>
        <w:rPr>
          <w:rFonts w:hint="default" w:ascii="Times New Roman" w:hAnsi="Times New Roman" w:eastAsia="黑体" w:cs="Times New Roman"/>
          <w:b w:val="0"/>
          <w:color w:val="auto"/>
          <w:sz w:val="32"/>
          <w:szCs w:val="32"/>
          <w:highlight w:val="none"/>
          <w:lang w:val="en-US" w:eastAsia="zh-CN"/>
        </w:rPr>
        <w:t>第一个信封</w:t>
      </w:r>
      <w:r>
        <w:rPr>
          <w:rFonts w:hint="default" w:ascii="Times New Roman" w:hAnsi="Times New Roman" w:cs="Times New Roman"/>
          <w:b w:val="0"/>
          <w:color w:val="auto"/>
          <w:sz w:val="32"/>
          <w:szCs w:val="32"/>
          <w:highlight w:val="none"/>
          <w:lang w:val="en-US" w:eastAsia="zh-CN"/>
        </w:rPr>
        <w:t xml:space="preserve"> </w:t>
      </w:r>
      <w:r>
        <w:rPr>
          <w:rFonts w:hint="default" w:ascii="Times New Roman" w:hAnsi="Times New Roman" w:eastAsia="黑体" w:cs="Times New Roman"/>
          <w:b w:val="0"/>
          <w:color w:val="auto"/>
          <w:sz w:val="32"/>
          <w:szCs w:val="32"/>
          <w:highlight w:val="none"/>
        </w:rPr>
        <w:t>商务及技术文件）</w:t>
      </w:r>
      <w:bookmarkEnd w:id="1617"/>
      <w:bookmarkEnd w:id="1618"/>
      <w:bookmarkEnd w:id="1619"/>
      <w:bookmarkEnd w:id="1620"/>
      <w:bookmarkEnd w:id="1621"/>
      <w:bookmarkEnd w:id="1622"/>
      <w:bookmarkEnd w:id="1623"/>
    </w:p>
    <w:p w14:paraId="402C06F8">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255776A4">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6FA65414">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2D632F45">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1CDFB713">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5CE50113">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41024175">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7DD1FC89">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588A15B4">
      <w:pPr>
        <w:pageBreakBefore w:val="0"/>
        <w:kinsoku/>
        <w:wordWrap w:val="0"/>
        <w:bidi w:val="0"/>
        <w:spacing w:line="440" w:lineRule="exact"/>
        <w:jc w:val="center"/>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投标人：</w:t>
      </w:r>
      <w:r>
        <w:rPr>
          <w:rFonts w:hint="default" w:ascii="Times New Roman" w:hAnsi="Times New Roman" w:eastAsia="黑体" w:cs="Times New Roman"/>
          <w:color w:val="auto"/>
          <w:sz w:val="28"/>
          <w:szCs w:val="28"/>
          <w:highlight w:val="none"/>
          <w:u w:val="single"/>
        </w:rPr>
        <w:t xml:space="preserve">                                  </w:t>
      </w:r>
      <w:r>
        <w:rPr>
          <w:rFonts w:hint="default" w:ascii="Times New Roman" w:hAnsi="Times New Roman" w:eastAsia="黑体" w:cs="Times New Roman"/>
          <w:color w:val="auto"/>
          <w:sz w:val="28"/>
          <w:szCs w:val="28"/>
          <w:highlight w:val="none"/>
        </w:rPr>
        <w:t>（</w:t>
      </w:r>
      <w:r>
        <w:rPr>
          <w:rFonts w:hint="default" w:ascii="Times New Roman" w:hAnsi="Times New Roman" w:eastAsia="黑体" w:cs="Times New Roman"/>
          <w:color w:val="auto"/>
          <w:sz w:val="28"/>
          <w:highlight w:val="none"/>
          <w:lang w:eastAsia="zh-CN"/>
        </w:rPr>
        <w:t>盖单位电子印章</w:t>
      </w:r>
      <w:r>
        <w:rPr>
          <w:rFonts w:hint="default" w:ascii="Times New Roman" w:hAnsi="Times New Roman" w:eastAsia="黑体" w:cs="Times New Roman"/>
          <w:color w:val="auto"/>
          <w:sz w:val="28"/>
          <w:szCs w:val="28"/>
          <w:highlight w:val="none"/>
        </w:rPr>
        <w:t>）</w:t>
      </w:r>
    </w:p>
    <w:p w14:paraId="2E8B68DF">
      <w:pPr>
        <w:pageBreakBefore w:val="0"/>
        <w:kinsoku/>
        <w:wordWrap w:val="0"/>
        <w:bidi w:val="0"/>
        <w:spacing w:line="440" w:lineRule="exact"/>
        <w:rPr>
          <w:rFonts w:hint="default" w:ascii="Times New Roman" w:hAnsi="Times New Roman" w:eastAsia="黑体" w:cs="Times New Roman"/>
          <w:color w:val="auto"/>
          <w:sz w:val="28"/>
          <w:szCs w:val="28"/>
          <w:highlight w:val="none"/>
        </w:rPr>
      </w:pPr>
    </w:p>
    <w:p w14:paraId="17119C57">
      <w:pPr>
        <w:pageBreakBefore w:val="0"/>
        <w:kinsoku/>
        <w:wordWrap w:val="0"/>
        <w:bidi w:val="0"/>
        <w:spacing w:line="440" w:lineRule="exact"/>
        <w:jc w:val="center"/>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u w:val="single"/>
        </w:rPr>
        <w:t xml:space="preserve">        </w:t>
      </w:r>
      <w:r>
        <w:rPr>
          <w:rFonts w:hint="default" w:ascii="Times New Roman" w:hAnsi="Times New Roman" w:eastAsia="黑体" w:cs="Times New Roman"/>
          <w:color w:val="auto"/>
          <w:sz w:val="28"/>
          <w:szCs w:val="28"/>
          <w:highlight w:val="none"/>
        </w:rPr>
        <w:t>年</w:t>
      </w:r>
      <w:r>
        <w:rPr>
          <w:rFonts w:hint="default" w:ascii="Times New Roman" w:hAnsi="Times New Roman" w:eastAsia="黑体" w:cs="Times New Roman"/>
          <w:color w:val="auto"/>
          <w:sz w:val="28"/>
          <w:szCs w:val="28"/>
          <w:highlight w:val="none"/>
          <w:u w:val="single"/>
        </w:rPr>
        <w:t xml:space="preserve">        </w:t>
      </w:r>
      <w:r>
        <w:rPr>
          <w:rFonts w:hint="default" w:ascii="Times New Roman" w:hAnsi="Times New Roman" w:eastAsia="黑体" w:cs="Times New Roman"/>
          <w:color w:val="auto"/>
          <w:sz w:val="28"/>
          <w:szCs w:val="28"/>
          <w:highlight w:val="none"/>
        </w:rPr>
        <w:t>月</w:t>
      </w:r>
      <w:r>
        <w:rPr>
          <w:rFonts w:hint="default" w:ascii="Times New Roman" w:hAnsi="Times New Roman" w:eastAsia="黑体" w:cs="Times New Roman"/>
          <w:color w:val="auto"/>
          <w:sz w:val="28"/>
          <w:szCs w:val="28"/>
          <w:highlight w:val="none"/>
          <w:u w:val="single"/>
        </w:rPr>
        <w:t xml:space="preserve">         </w:t>
      </w:r>
      <w:r>
        <w:rPr>
          <w:rFonts w:hint="default" w:ascii="Times New Roman" w:hAnsi="Times New Roman" w:eastAsia="黑体" w:cs="Times New Roman"/>
          <w:color w:val="auto"/>
          <w:sz w:val="28"/>
          <w:szCs w:val="28"/>
          <w:highlight w:val="none"/>
        </w:rPr>
        <w:t>日</w:t>
      </w:r>
    </w:p>
    <w:p w14:paraId="49D47572">
      <w:pPr>
        <w:pageBreakBefore w:val="0"/>
        <w:kinsoku/>
        <w:wordWrap w:val="0"/>
        <w:bidi w:val="0"/>
        <w:spacing w:line="440" w:lineRule="exact"/>
        <w:rPr>
          <w:rFonts w:hint="default" w:ascii="Times New Roman" w:hAnsi="Times New Roman" w:eastAsia="黑体" w:cs="Times New Roman"/>
          <w:color w:val="auto"/>
          <w:sz w:val="28"/>
          <w:szCs w:val="28"/>
          <w:highlight w:val="none"/>
        </w:rPr>
      </w:pPr>
    </w:p>
    <w:p w14:paraId="1644843C">
      <w:pPr>
        <w:pageBreakBefore w:val="0"/>
        <w:kinsoku/>
        <w:wordWrap w:val="0"/>
        <w:bidi w:val="0"/>
        <w:spacing w:line="440" w:lineRule="exact"/>
        <w:rPr>
          <w:rFonts w:hint="default" w:ascii="Times New Roman" w:hAnsi="Times New Roman" w:eastAsia="黑体" w:cs="Times New Roman"/>
          <w:color w:val="auto"/>
          <w:sz w:val="28"/>
          <w:szCs w:val="28"/>
          <w:highlight w:val="none"/>
        </w:rPr>
      </w:pPr>
    </w:p>
    <w:p w14:paraId="0F6FA0FC">
      <w:pPr>
        <w:pageBreakBefore w:val="0"/>
        <w:kinsoku/>
        <w:wordWrap w:val="0"/>
        <w:bidi w:val="0"/>
        <w:spacing w:before="360" w:beforeLines="150" w:after="240" w:afterLines="100" w:line="380" w:lineRule="atLeast"/>
        <w:jc w:val="center"/>
        <w:outlineLvl w:val="9"/>
        <w:rPr>
          <w:rFonts w:hint="default" w:ascii="Times New Roman" w:hAnsi="Times New Roman" w:eastAsia="黑体" w:cs="Times New Roman"/>
          <w:b w:val="0"/>
          <w:color w:val="auto"/>
          <w:sz w:val="30"/>
          <w:szCs w:val="30"/>
          <w:highlight w:val="none"/>
        </w:rPr>
      </w:pPr>
      <w:r>
        <w:rPr>
          <w:rFonts w:hint="default" w:ascii="Times New Roman" w:hAnsi="Times New Roman" w:eastAsia="黑体" w:cs="Times New Roman"/>
          <w:color w:val="auto"/>
          <w:sz w:val="20"/>
          <w:szCs w:val="20"/>
          <w:highlight w:val="none"/>
        </w:rPr>
        <w:br w:type="page"/>
      </w:r>
      <w:bookmarkStart w:id="1624" w:name="_Toc23660"/>
      <w:bookmarkStart w:id="1625" w:name="_Toc16968"/>
      <w:bookmarkStart w:id="1626" w:name="_Toc234833253"/>
      <w:bookmarkStart w:id="1627" w:name="_Toc18939"/>
      <w:r>
        <w:rPr>
          <w:rFonts w:hint="default" w:ascii="Times New Roman" w:hAnsi="Times New Roman" w:eastAsia="黑体" w:cs="Times New Roman"/>
          <w:b w:val="0"/>
          <w:color w:val="auto"/>
          <w:sz w:val="30"/>
          <w:szCs w:val="30"/>
          <w:highlight w:val="none"/>
        </w:rPr>
        <w:t>目录</w:t>
      </w:r>
      <w:bookmarkEnd w:id="1624"/>
      <w:bookmarkEnd w:id="1625"/>
      <w:bookmarkEnd w:id="1626"/>
      <w:bookmarkEnd w:id="1627"/>
    </w:p>
    <w:p w14:paraId="4D7293D9">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6E14032D">
      <w:pPr>
        <w:pageBreakBefore w:val="0"/>
        <w:kinsoku/>
        <w:wordWrap w:val="0"/>
        <w:bidi w:val="0"/>
        <w:spacing w:line="440" w:lineRule="exact"/>
        <w:ind w:left="1619" w:leftChars="771" w:firstLine="1"/>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一、投标函及投标函附录</w:t>
      </w:r>
    </w:p>
    <w:p w14:paraId="7018F981">
      <w:pPr>
        <w:pageBreakBefore w:val="0"/>
        <w:kinsoku/>
        <w:wordWrap w:val="0"/>
        <w:bidi w:val="0"/>
        <w:spacing w:line="440" w:lineRule="exact"/>
        <w:ind w:left="1619" w:leftChars="771" w:firstLine="1"/>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二、授权委托书或法定代表人身份证明</w:t>
      </w:r>
    </w:p>
    <w:p w14:paraId="7C6E1D71">
      <w:pPr>
        <w:pageBreakBefore w:val="0"/>
        <w:kinsoku/>
        <w:wordWrap w:val="0"/>
        <w:bidi w:val="0"/>
        <w:spacing w:line="440" w:lineRule="exact"/>
        <w:ind w:left="1619" w:leftChars="771" w:firstLine="1"/>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三、联合体协议书</w:t>
      </w:r>
    </w:p>
    <w:p w14:paraId="57B96CA8">
      <w:pPr>
        <w:pageBreakBefore w:val="0"/>
        <w:kinsoku/>
        <w:wordWrap w:val="0"/>
        <w:bidi w:val="0"/>
        <w:spacing w:line="440" w:lineRule="exact"/>
        <w:ind w:left="1619" w:leftChars="771" w:firstLine="1"/>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四、投标保证金</w:t>
      </w:r>
    </w:p>
    <w:p w14:paraId="3E49CC26">
      <w:pPr>
        <w:pageBreakBefore w:val="0"/>
        <w:kinsoku/>
        <w:wordWrap w:val="0"/>
        <w:bidi w:val="0"/>
        <w:spacing w:line="440" w:lineRule="exact"/>
        <w:ind w:left="1619" w:leftChars="771" w:firstLine="1"/>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五、施工组织设计</w:t>
      </w:r>
    </w:p>
    <w:p w14:paraId="72FFFA9C">
      <w:pPr>
        <w:pageBreakBefore w:val="0"/>
        <w:kinsoku/>
        <w:wordWrap w:val="0"/>
        <w:bidi w:val="0"/>
        <w:spacing w:line="440" w:lineRule="exact"/>
        <w:ind w:left="1619" w:leftChars="771" w:firstLine="1"/>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六、项目管理机构</w:t>
      </w:r>
    </w:p>
    <w:p w14:paraId="28630471">
      <w:pPr>
        <w:pageBreakBefore w:val="0"/>
        <w:kinsoku/>
        <w:wordWrap w:val="0"/>
        <w:bidi w:val="0"/>
        <w:spacing w:line="440" w:lineRule="exact"/>
        <w:ind w:left="1619" w:leftChars="771" w:firstLine="1"/>
        <w:rPr>
          <w:rFonts w:hint="default" w:cs="Times New Roman"/>
          <w:color w:val="auto"/>
          <w:sz w:val="24"/>
          <w:highlight w:val="none"/>
          <w:lang w:val="en-US" w:eastAsia="zh-CN"/>
        </w:rPr>
      </w:pPr>
      <w:r>
        <w:rPr>
          <w:rFonts w:hint="eastAsia" w:cs="Times New Roman"/>
          <w:color w:val="auto"/>
          <w:sz w:val="24"/>
          <w:highlight w:val="none"/>
          <w:lang w:val="en-US" w:eastAsia="zh-CN"/>
        </w:rPr>
        <w:t>七、拟分包项目情况表</w:t>
      </w:r>
    </w:p>
    <w:p w14:paraId="0DA4D9D0">
      <w:pPr>
        <w:pageBreakBefore w:val="0"/>
        <w:kinsoku/>
        <w:wordWrap w:val="0"/>
        <w:bidi w:val="0"/>
        <w:spacing w:line="440" w:lineRule="exact"/>
        <w:ind w:left="1619" w:leftChars="771" w:firstLine="1"/>
        <w:rPr>
          <w:rFonts w:hint="default" w:ascii="Times New Roman" w:hAnsi="Times New Roman" w:cs="Times New Roman"/>
          <w:color w:val="auto"/>
          <w:sz w:val="24"/>
          <w:highlight w:val="none"/>
        </w:rPr>
      </w:pPr>
      <w:r>
        <w:rPr>
          <w:rFonts w:hint="eastAsia" w:cs="Times New Roman"/>
          <w:color w:val="auto"/>
          <w:sz w:val="24"/>
          <w:highlight w:val="none"/>
          <w:lang w:val="en-US" w:eastAsia="zh-CN"/>
        </w:rPr>
        <w:t>八</w:t>
      </w:r>
      <w:r>
        <w:rPr>
          <w:rFonts w:hint="default" w:ascii="Times New Roman" w:hAnsi="Times New Roman" w:cs="Times New Roman"/>
          <w:color w:val="auto"/>
          <w:sz w:val="24"/>
          <w:highlight w:val="none"/>
        </w:rPr>
        <w:t>、资格审查资料</w:t>
      </w:r>
    </w:p>
    <w:p w14:paraId="4690C6A6">
      <w:pPr>
        <w:pageBreakBefore w:val="0"/>
        <w:kinsoku/>
        <w:wordWrap w:val="0"/>
        <w:overflowPunct/>
        <w:bidi w:val="0"/>
        <w:spacing w:line="440" w:lineRule="exact"/>
        <w:ind w:left="1619" w:leftChars="771" w:firstLine="1"/>
        <w:rPr>
          <w:rFonts w:hint="default" w:ascii="Times New Roman" w:hAnsi="Times New Roman" w:cs="Times New Roman"/>
          <w:color w:val="auto"/>
          <w:sz w:val="24"/>
          <w:highlight w:val="none"/>
        </w:rPr>
      </w:pPr>
      <w:r>
        <w:rPr>
          <w:rFonts w:hint="eastAsia" w:cs="Times New Roman"/>
          <w:color w:val="auto"/>
          <w:sz w:val="24"/>
          <w:highlight w:val="none"/>
          <w:lang w:val="en-US" w:eastAsia="zh-CN"/>
        </w:rPr>
        <w:t>九</w:t>
      </w:r>
      <w:r>
        <w:rPr>
          <w:rFonts w:hint="default" w:ascii="Times New Roman" w:hAnsi="Times New Roman" w:cs="Times New Roman"/>
          <w:color w:val="auto"/>
          <w:sz w:val="24"/>
          <w:highlight w:val="none"/>
        </w:rPr>
        <w:t>、投标人告知承诺函</w:t>
      </w:r>
    </w:p>
    <w:p w14:paraId="64A59930">
      <w:pPr>
        <w:pageBreakBefore w:val="0"/>
        <w:kinsoku/>
        <w:wordWrap w:val="0"/>
        <w:bidi w:val="0"/>
        <w:spacing w:line="440" w:lineRule="exact"/>
        <w:ind w:left="1619" w:leftChars="771" w:firstLine="1"/>
        <w:rPr>
          <w:rFonts w:hint="default" w:ascii="Times New Roman" w:hAnsi="Times New Roman" w:cs="Times New Roman"/>
          <w:color w:val="auto"/>
          <w:sz w:val="24"/>
          <w:highlight w:val="none"/>
        </w:rPr>
      </w:pPr>
      <w:r>
        <w:rPr>
          <w:rFonts w:hint="eastAsia" w:cs="Times New Roman"/>
          <w:color w:val="auto"/>
          <w:sz w:val="24"/>
          <w:highlight w:val="none"/>
          <w:lang w:val="en-US" w:eastAsia="zh-CN"/>
        </w:rPr>
        <w:t>十</w:t>
      </w:r>
      <w:r>
        <w:rPr>
          <w:rFonts w:hint="default"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rPr>
        <w:t>其他资料</w:t>
      </w:r>
    </w:p>
    <w:p w14:paraId="61F53621">
      <w:pPr>
        <w:pageBreakBefore w:val="0"/>
        <w:kinsoku/>
        <w:wordWrap w:val="0"/>
        <w:bidi w:val="0"/>
        <w:spacing w:before="360" w:beforeLines="150" w:after="240" w:afterLines="100" w:line="380" w:lineRule="atLeast"/>
        <w:jc w:val="center"/>
        <w:outlineLvl w:val="9"/>
        <w:rPr>
          <w:rFonts w:hint="default" w:ascii="Times New Roman" w:hAnsi="Times New Roman" w:eastAsia="黑体" w:cs="Times New Roman"/>
          <w:color w:val="auto"/>
          <w:sz w:val="20"/>
          <w:szCs w:val="20"/>
          <w:highlight w:val="none"/>
        </w:rPr>
      </w:pPr>
    </w:p>
    <w:p w14:paraId="63ED4AEA">
      <w:pPr>
        <w:pStyle w:val="2"/>
        <w:pageBreakBefore w:val="0"/>
        <w:kinsoku/>
        <w:wordWrap w:val="0"/>
        <w:bidi w:val="0"/>
        <w:spacing w:before="360" w:beforeLines="150" w:after="240" w:afterLines="100" w:line="380" w:lineRule="atLeast"/>
        <w:jc w:val="center"/>
        <w:outlineLvl w:val="9"/>
        <w:rPr>
          <w:rFonts w:hint="default" w:ascii="Times New Roman" w:hAnsi="Times New Roman" w:eastAsia="黑体" w:cs="Times New Roman"/>
          <w:b w:val="0"/>
          <w:color w:val="auto"/>
          <w:sz w:val="30"/>
          <w:szCs w:val="30"/>
          <w:highlight w:val="none"/>
        </w:rPr>
        <w:sectPr>
          <w:footnotePr>
            <w:numFmt w:val="decimalEnclosedCircleChinese"/>
            <w:numRestart w:val="eachPage"/>
          </w:footnotePr>
          <w:pgSz w:w="11907" w:h="16840"/>
          <w:pgMar w:top="1588" w:right="1588" w:bottom="1474" w:left="1644" w:header="851" w:footer="851" w:gutter="0"/>
          <w:pgNumType w:fmt="decimal"/>
          <w:cols w:space="720" w:num="1"/>
          <w:docGrid w:linePitch="312" w:charSpace="0"/>
        </w:sectPr>
      </w:pPr>
      <w:bookmarkStart w:id="1628" w:name="_Toc234833254"/>
    </w:p>
    <w:bookmarkEnd w:id="1628"/>
    <w:p w14:paraId="77231354">
      <w:pPr>
        <w:pStyle w:val="6"/>
        <w:pageBreakBefore w:val="0"/>
        <w:kinsoku/>
        <w:wordWrap w:val="0"/>
        <w:bidi w:val="0"/>
        <w:spacing w:before="0" w:after="0" w:line="400" w:lineRule="atLeast"/>
        <w:jc w:val="center"/>
        <w:outlineLvl w:val="3"/>
        <w:rPr>
          <w:rFonts w:hint="default" w:ascii="Times New Roman" w:hAnsi="Times New Roman" w:eastAsia="黑体" w:cs="Times New Roman"/>
          <w:b w:val="0"/>
          <w:i w:val="0"/>
          <w:iCs/>
          <w:color w:val="auto"/>
          <w:sz w:val="30"/>
          <w:szCs w:val="30"/>
          <w:highlight w:val="none"/>
          <w:lang w:val="en-US" w:eastAsia="zh-CN"/>
        </w:rPr>
      </w:pPr>
      <w:bookmarkStart w:id="1629" w:name="_Toc25446"/>
      <w:bookmarkStart w:id="1630" w:name="_Toc234833255"/>
      <w:bookmarkStart w:id="1631" w:name="_Toc21625"/>
      <w:r>
        <w:rPr>
          <w:rFonts w:hint="default" w:ascii="Times New Roman" w:hAnsi="Times New Roman" w:eastAsia="黑体" w:cs="Times New Roman"/>
          <w:b w:val="0"/>
          <w:i w:val="0"/>
          <w:iCs/>
          <w:color w:val="auto"/>
          <w:sz w:val="30"/>
          <w:szCs w:val="30"/>
          <w:highlight w:val="none"/>
          <w:lang w:val="en-US" w:eastAsia="zh-CN"/>
        </w:rPr>
        <w:t>一、投标函及投标函附录</w:t>
      </w:r>
      <w:bookmarkEnd w:id="1629"/>
      <w:bookmarkEnd w:id="1630"/>
      <w:bookmarkEnd w:id="1631"/>
    </w:p>
    <w:p w14:paraId="30CA9826">
      <w:pPr>
        <w:pageBreakBefore w:val="0"/>
        <w:kinsoku/>
        <w:wordWrap w:val="0"/>
        <w:bidi w:val="0"/>
        <w:spacing w:before="360" w:beforeLines="150" w:after="240" w:afterLines="100" w:line="360" w:lineRule="atLeast"/>
        <w:jc w:val="center"/>
        <w:outlineLvl w:val="9"/>
        <w:rPr>
          <w:rFonts w:hint="default" w:ascii="Times New Roman" w:hAnsi="Times New Roman" w:eastAsia="黑体" w:cs="Times New Roman"/>
          <w:b w:val="0"/>
          <w:i w:val="0"/>
          <w:iCs/>
          <w:color w:val="auto"/>
          <w:sz w:val="28"/>
          <w:szCs w:val="28"/>
          <w:highlight w:val="none"/>
        </w:rPr>
      </w:pPr>
      <w:bookmarkStart w:id="1632" w:name="_Toc585"/>
      <w:bookmarkStart w:id="1633" w:name="_Toc18251"/>
      <w:bookmarkStart w:id="1634" w:name="_Toc234833256"/>
      <w:r>
        <w:rPr>
          <w:rFonts w:hint="default" w:ascii="Times New Roman" w:hAnsi="Times New Roman" w:eastAsia="黑体" w:cs="Times New Roman"/>
          <w:b w:val="0"/>
          <w:i w:val="0"/>
          <w:iCs/>
          <w:color w:val="auto"/>
          <w:sz w:val="28"/>
          <w:szCs w:val="28"/>
          <w:highlight w:val="none"/>
        </w:rPr>
        <w:t>（一） 投 标 函</w:t>
      </w:r>
      <w:bookmarkEnd w:id="1632"/>
      <w:bookmarkEnd w:id="1633"/>
      <w:bookmarkEnd w:id="1634"/>
    </w:p>
    <w:p w14:paraId="7E4156A3">
      <w:pPr>
        <w:pageBreakBefore w:val="0"/>
        <w:kinsoku/>
        <w:wordWrap w:val="0"/>
        <w:bidi w:val="0"/>
        <w:spacing w:before="240" w:beforeLines="100" w:after="120" w:afterLines="50" w:line="36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（招标人名称）：</w:t>
      </w:r>
    </w:p>
    <w:p w14:paraId="7D566353">
      <w:pPr>
        <w:pageBreakBefore w:val="0"/>
        <w:kinsoku/>
        <w:wordWrap w:val="0"/>
        <w:bidi w:val="0"/>
        <w:spacing w:line="36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1．我方已仔细研究</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（项目名称）</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u w:val="none"/>
        </w:rPr>
        <w:t>（标段名称）</w:t>
      </w:r>
      <w:r>
        <w:rPr>
          <w:rFonts w:hint="default" w:ascii="Times New Roman" w:hAnsi="Times New Roman" w:cs="Times New Roman"/>
          <w:color w:val="auto"/>
          <w:sz w:val="24"/>
          <w:highlight w:val="none"/>
        </w:rPr>
        <w:t>施工招标文件的全部内容（含补遗书第___号至第___号），在考察工程现场后，愿意以第二个信封（报价文件）中的投标总报价（或根据招标文件规定修正核实后确定的另一金额），按合同约定实施和完成承包工程，修补工程中的任何缺陷。</w:t>
      </w:r>
    </w:p>
    <w:p w14:paraId="6043E1B6">
      <w:pPr>
        <w:pageBreakBefore w:val="0"/>
        <w:kinsoku/>
        <w:wordWrap w:val="0"/>
        <w:bidi w:val="0"/>
        <w:spacing w:line="36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2．我方承诺在招标文件规定的投标有效期内不撤销投标文件。</w:t>
      </w:r>
    </w:p>
    <w:p w14:paraId="1FB3067B">
      <w:pPr>
        <w:pageBreakBefore w:val="0"/>
        <w:kinsoku/>
        <w:wordWrap w:val="0"/>
        <w:bidi w:val="0"/>
        <w:spacing w:line="36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3．工程质量：</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，安全目标：</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，工期：</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日历天。</w:t>
      </w:r>
    </w:p>
    <w:p w14:paraId="3D6FA87D">
      <w:pPr>
        <w:pageBreakBefore w:val="0"/>
        <w:kinsoku/>
        <w:wordWrap w:val="0"/>
        <w:bidi w:val="0"/>
        <w:spacing w:line="36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4．如我方中标，我方承诺：</w:t>
      </w:r>
    </w:p>
    <w:p w14:paraId="47B969E3">
      <w:pPr>
        <w:pageBreakBefore w:val="0"/>
        <w:kinsoku/>
        <w:wordWrap w:val="0"/>
        <w:bidi w:val="0"/>
        <w:spacing w:line="36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（1）在收到中标通知书后，在中标通知书规定的期限内与你方签订合同；</w:t>
      </w:r>
    </w:p>
    <w:p w14:paraId="74A9A331">
      <w:pPr>
        <w:pageBreakBefore w:val="0"/>
        <w:kinsoku/>
        <w:wordWrap w:val="0"/>
        <w:bidi w:val="0"/>
        <w:spacing w:line="36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（2）在签订合同时不向你方提出附加条件；</w:t>
      </w:r>
    </w:p>
    <w:p w14:paraId="4A80A6E3">
      <w:pPr>
        <w:pageBreakBefore w:val="0"/>
        <w:kinsoku/>
        <w:wordWrap w:val="0"/>
        <w:bidi w:val="0"/>
        <w:spacing w:line="36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（3）按照招标文件要求提交履约保证金；</w:t>
      </w:r>
      <w:bookmarkStart w:id="1635" w:name="_Toc352691658"/>
      <w:bookmarkStart w:id="1636" w:name="_Toc1187"/>
      <w:bookmarkStart w:id="1637" w:name="_Toc369531694"/>
    </w:p>
    <w:p w14:paraId="7DF198BB">
      <w:pPr>
        <w:pageBreakBefore w:val="0"/>
        <w:kinsoku/>
        <w:wordWrap w:val="0"/>
        <w:bidi w:val="0"/>
        <w:spacing w:line="36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（4）在合</w:t>
      </w:r>
      <w:bookmarkEnd w:id="1635"/>
      <w:bookmarkEnd w:id="1636"/>
      <w:bookmarkEnd w:id="1637"/>
      <w:r>
        <w:rPr>
          <w:rFonts w:hint="default" w:ascii="Times New Roman" w:hAnsi="Times New Roman" w:cs="Times New Roman"/>
          <w:color w:val="auto"/>
          <w:sz w:val="24"/>
          <w:highlight w:val="none"/>
        </w:rPr>
        <w:t>同约定的期限内完成合同规定的全部义务；</w:t>
      </w:r>
    </w:p>
    <w:p w14:paraId="57B623BE">
      <w:pPr>
        <w:pageBreakBefore w:val="0"/>
        <w:kinsoku/>
        <w:wordWrap w:val="0"/>
        <w:bidi w:val="0"/>
        <w:spacing w:line="360" w:lineRule="atLeast"/>
        <w:ind w:firstLine="480" w:firstLineChars="200"/>
        <w:rPr>
          <w:rFonts w:hint="default" w:ascii="Times New Roman" w:hAnsi="Times New Roman" w:cs="Times New Roman"/>
          <w:color w:val="auto"/>
          <w:sz w:val="24"/>
          <w:highlight w:val="none"/>
          <w:vertAlign w:val="superscript"/>
        </w:rPr>
      </w:pPr>
      <w:r>
        <w:rPr>
          <w:rFonts w:hint="default" w:ascii="Times New Roman" w:hAnsi="Times New Roman" w:cs="Times New Roman"/>
          <w:color w:val="auto"/>
          <w:sz w:val="24"/>
          <w:highlight w:val="none"/>
        </w:rPr>
        <w:t>（5）在你方和我方进行合同谈判之前，我方将按照合同附件提出的最低要求填报派驻本标段的其他管理和技术人员及主要机械设备和试验检测设备，经你方审批后作为派驻本标段的项目管理机构主要人员和主要设备且不进行更换。如我方拟派驻的人员和设备不满足合同附件要求，你方有权取消我方中标资格。</w:t>
      </w:r>
      <w:r>
        <w:rPr>
          <w:rFonts w:hint="default" w:ascii="Times New Roman" w:hAnsi="Times New Roman" w:cs="Times New Roman"/>
          <w:color w:val="auto"/>
          <w:sz w:val="24"/>
          <w:highlight w:val="none"/>
          <w:vertAlign w:val="superscript"/>
        </w:rPr>
        <w:footnoteReference w:id="48"/>
      </w:r>
    </w:p>
    <w:p w14:paraId="5F015631">
      <w:pPr>
        <w:pageBreakBefore w:val="0"/>
        <w:kinsoku/>
        <w:wordWrap w:val="0"/>
        <w:bidi w:val="0"/>
        <w:spacing w:line="36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5．我方在此声明，所递交的投标文件及有关资料内容完整、真实和准确，且不存在招标文件第二章</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投标人须知</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第1.4.3项和第1.4.4项规定的任何一种情形。</w:t>
      </w:r>
    </w:p>
    <w:p w14:paraId="17CB1718">
      <w:pPr>
        <w:pageBreakBefore w:val="0"/>
        <w:kinsoku/>
        <w:wordWrap w:val="0"/>
        <w:bidi w:val="0"/>
        <w:spacing w:line="36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6．在合同协议书正式签署生效之前，本投标函连同你方的中标通知书将构成我们双方之间共同遵守的文件，对双方具有约束力。</w:t>
      </w:r>
    </w:p>
    <w:p w14:paraId="144FC7EA">
      <w:pPr>
        <w:pageBreakBefore w:val="0"/>
        <w:kinsoku/>
        <w:wordWrap w:val="0"/>
        <w:bidi w:val="0"/>
        <w:spacing w:line="36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7．</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（其他补充说明）。</w:t>
      </w:r>
    </w:p>
    <w:p w14:paraId="3A18563E">
      <w:pPr>
        <w:pageBreakBefore w:val="0"/>
        <w:kinsoku/>
        <w:wordWrap w:val="0"/>
        <w:bidi w:val="0"/>
        <w:spacing w:line="360" w:lineRule="atLeast"/>
        <w:ind w:firstLine="480" w:firstLineChars="200"/>
        <w:rPr>
          <w:rFonts w:hint="default" w:ascii="Times New Roman" w:hAnsi="Times New Roman" w:cs="Times New Roman"/>
          <w:color w:val="auto"/>
          <w:sz w:val="24"/>
          <w:highlight w:val="none"/>
        </w:rPr>
      </w:pPr>
    </w:p>
    <w:p w14:paraId="7697C0A9">
      <w:pPr>
        <w:keepNext w:val="0"/>
        <w:keepLines w:val="0"/>
        <w:pageBreakBefore w:val="0"/>
        <w:widowControl w:val="0"/>
        <w:kinsoku/>
        <w:wordWrap w:val="0"/>
        <w:overflowPunct/>
        <w:topLinePunct w:val="0"/>
        <w:autoSpaceDE/>
        <w:autoSpaceDN/>
        <w:bidi w:val="0"/>
        <w:adjustRightInd/>
        <w:snapToGrid/>
        <w:spacing w:line="400" w:lineRule="atLeast"/>
        <w:ind w:firstLine="1440" w:firstLineChars="6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投 标 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（盖单位</w:t>
      </w:r>
      <w:r>
        <w:rPr>
          <w:rFonts w:hint="default" w:ascii="Times New Roman" w:hAnsi="Times New Roman" w:cs="Times New Roman"/>
          <w:color w:val="auto"/>
          <w:sz w:val="24"/>
          <w:highlight w:val="none"/>
          <w:lang w:val="en-US" w:eastAsia="zh-CN"/>
        </w:rPr>
        <w:t>电子印</w:t>
      </w:r>
      <w:r>
        <w:rPr>
          <w:rFonts w:hint="default" w:ascii="Times New Roman" w:hAnsi="Times New Roman" w:cs="Times New Roman"/>
          <w:color w:val="auto"/>
          <w:sz w:val="24"/>
          <w:highlight w:val="none"/>
        </w:rPr>
        <w:t>章）</w:t>
      </w:r>
    </w:p>
    <w:p w14:paraId="2684FFE7">
      <w:pPr>
        <w:keepNext w:val="0"/>
        <w:keepLines w:val="0"/>
        <w:pageBreakBefore w:val="0"/>
        <w:widowControl w:val="0"/>
        <w:kinsoku/>
        <w:wordWrap w:val="0"/>
        <w:overflowPunct/>
        <w:topLinePunct w:val="0"/>
        <w:autoSpaceDE/>
        <w:autoSpaceDN/>
        <w:bidi w:val="0"/>
        <w:adjustRightInd/>
        <w:snapToGrid/>
        <w:spacing w:line="400" w:lineRule="atLeast"/>
        <w:ind w:firstLine="1440" w:firstLineChars="600"/>
        <w:textAlignment w:val="auto"/>
        <w:outlineLvl w:val="9"/>
        <w:rPr>
          <w:rFonts w:hint="default" w:ascii="Times New Roman" w:hAnsi="Times New Roman" w:cs="Times New Roman"/>
          <w:color w:val="auto"/>
          <w:sz w:val="24"/>
          <w:highlight w:val="none"/>
        </w:rPr>
      </w:pPr>
      <w:bookmarkStart w:id="1638" w:name="_Toc23140"/>
      <w:bookmarkStart w:id="1639" w:name="_Toc26277"/>
      <w:r>
        <w:rPr>
          <w:rFonts w:hint="default" w:ascii="Times New Roman" w:hAnsi="Times New Roman" w:cs="Times New Roman"/>
          <w:color w:val="auto"/>
          <w:sz w:val="24"/>
          <w:highlight w:val="none"/>
        </w:rPr>
        <w:t>法定代表人或其委托代理人：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（个人</w:t>
      </w:r>
      <w:r>
        <w:rPr>
          <w:rFonts w:hint="eastAsia" w:cs="Times New Roman"/>
          <w:color w:val="auto"/>
          <w:sz w:val="24"/>
          <w:highlight w:val="none"/>
          <w:lang w:eastAsia="zh-CN"/>
        </w:rPr>
        <w:t>电子签名</w:t>
      </w:r>
      <w:r>
        <w:rPr>
          <w:rFonts w:hint="default" w:ascii="Times New Roman" w:hAnsi="Times New Roman" w:cs="Times New Roman"/>
          <w:color w:val="auto"/>
          <w:sz w:val="24"/>
          <w:highlight w:val="none"/>
        </w:rPr>
        <w:t>或个人电子印章）</w:t>
      </w:r>
      <w:bookmarkEnd w:id="1638"/>
      <w:bookmarkEnd w:id="1639"/>
    </w:p>
    <w:p w14:paraId="2795EC33">
      <w:pPr>
        <w:keepNext w:val="0"/>
        <w:keepLines w:val="0"/>
        <w:pageBreakBefore w:val="0"/>
        <w:widowControl w:val="0"/>
        <w:kinsoku/>
        <w:wordWrap w:val="0"/>
        <w:overflowPunct/>
        <w:topLinePunct w:val="0"/>
        <w:autoSpaceDE/>
        <w:autoSpaceDN/>
        <w:bidi w:val="0"/>
        <w:adjustRightInd/>
        <w:snapToGrid/>
        <w:spacing w:line="400" w:lineRule="atLeast"/>
        <w:ind w:firstLine="1440" w:firstLineChars="6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地    址：</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 </w:t>
      </w:r>
    </w:p>
    <w:p w14:paraId="6708B33B">
      <w:pPr>
        <w:keepNext w:val="0"/>
        <w:keepLines w:val="0"/>
        <w:pageBreakBefore w:val="0"/>
        <w:widowControl w:val="0"/>
        <w:kinsoku/>
        <w:wordWrap w:val="0"/>
        <w:overflowPunct/>
        <w:topLinePunct w:val="0"/>
        <w:autoSpaceDE/>
        <w:autoSpaceDN/>
        <w:bidi w:val="0"/>
        <w:adjustRightInd/>
        <w:snapToGrid/>
        <w:spacing w:line="400" w:lineRule="atLeast"/>
        <w:ind w:firstLine="1440" w:firstLineChars="6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网    址：</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u w:val="single"/>
          <w:lang w:val="en-US" w:eastAsia="zh-CN"/>
        </w:rPr>
        <w:t xml:space="preserve">  </w:t>
      </w:r>
      <w:r>
        <w:rPr>
          <w:rFonts w:hint="default" w:ascii="Times New Roman" w:hAnsi="Times New Roman" w:cs="Times New Roman"/>
          <w:color w:val="auto"/>
          <w:sz w:val="24"/>
          <w:highlight w:val="none"/>
          <w:u w:val="single"/>
        </w:rPr>
        <w:t xml:space="preserve">   </w:t>
      </w:r>
    </w:p>
    <w:p w14:paraId="29F14A03">
      <w:pPr>
        <w:keepNext w:val="0"/>
        <w:keepLines w:val="0"/>
        <w:pageBreakBefore w:val="0"/>
        <w:widowControl w:val="0"/>
        <w:kinsoku/>
        <w:wordWrap w:val="0"/>
        <w:overflowPunct/>
        <w:topLinePunct w:val="0"/>
        <w:autoSpaceDE/>
        <w:autoSpaceDN/>
        <w:bidi w:val="0"/>
        <w:adjustRightInd/>
        <w:snapToGrid/>
        <w:spacing w:line="400" w:lineRule="atLeast"/>
        <w:ind w:firstLine="1440" w:firstLineChars="6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电    话：</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u w:val="single"/>
          <w:lang w:val="en-US" w:eastAsia="zh-CN"/>
        </w:rPr>
        <w:t xml:space="preserve"> </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 </w:t>
      </w:r>
    </w:p>
    <w:p w14:paraId="6A147F65">
      <w:pPr>
        <w:keepNext w:val="0"/>
        <w:keepLines w:val="0"/>
        <w:pageBreakBefore w:val="0"/>
        <w:widowControl w:val="0"/>
        <w:kinsoku/>
        <w:wordWrap w:val="0"/>
        <w:overflowPunct/>
        <w:topLinePunct w:val="0"/>
        <w:autoSpaceDE/>
        <w:autoSpaceDN/>
        <w:bidi w:val="0"/>
        <w:adjustRightInd/>
        <w:snapToGrid/>
        <w:spacing w:line="400" w:lineRule="atLeast"/>
        <w:ind w:firstLine="1440" w:firstLineChars="6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传    真：</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 </w:t>
      </w:r>
    </w:p>
    <w:p w14:paraId="4A21CD34">
      <w:pPr>
        <w:keepNext w:val="0"/>
        <w:keepLines w:val="0"/>
        <w:pageBreakBefore w:val="0"/>
        <w:widowControl w:val="0"/>
        <w:kinsoku/>
        <w:wordWrap w:val="0"/>
        <w:overflowPunct/>
        <w:topLinePunct w:val="0"/>
        <w:autoSpaceDE/>
        <w:autoSpaceDN/>
        <w:bidi w:val="0"/>
        <w:adjustRightInd/>
        <w:snapToGrid/>
        <w:spacing w:line="400" w:lineRule="atLeast"/>
        <w:ind w:firstLine="1440" w:firstLineChars="6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邮政编码：</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u w:val="single"/>
          <w:lang w:val="en-US" w:eastAsia="zh-CN"/>
        </w:rPr>
        <w:t xml:space="preserve">          </w:t>
      </w:r>
      <w:r>
        <w:rPr>
          <w:rFonts w:hint="default" w:ascii="Times New Roman" w:hAnsi="Times New Roman" w:cs="Times New Roman"/>
          <w:color w:val="auto"/>
          <w:sz w:val="24"/>
          <w:highlight w:val="none"/>
          <w:u w:val="single"/>
        </w:rPr>
        <w:t xml:space="preserve">   </w:t>
      </w:r>
    </w:p>
    <w:p w14:paraId="1DCA1303">
      <w:pPr>
        <w:pageBreakBefore w:val="0"/>
        <w:kinsoku/>
        <w:wordWrap w:val="0"/>
        <w:overflowPunct/>
        <w:bidi w:val="0"/>
        <w:spacing w:line="400" w:lineRule="atLeast"/>
        <w:ind w:firstLine="4740" w:firstLineChars="1975"/>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月</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日</w:t>
      </w:r>
    </w:p>
    <w:p w14:paraId="1163857D">
      <w:pPr>
        <w:pageBreakBefore w:val="0"/>
        <w:kinsoku/>
        <w:wordWrap w:val="0"/>
        <w:bidi w:val="0"/>
        <w:spacing w:before="360" w:beforeLines="150" w:after="240" w:afterLines="100" w:line="360" w:lineRule="atLeast"/>
        <w:jc w:val="center"/>
        <w:outlineLvl w:val="9"/>
        <w:rPr>
          <w:rFonts w:hint="default" w:ascii="Times New Roman" w:hAnsi="Times New Roman" w:eastAsia="黑体" w:cs="Times New Roman"/>
          <w:b w:val="0"/>
          <w:i w:val="0"/>
          <w:iCs/>
          <w:color w:val="auto"/>
          <w:sz w:val="28"/>
          <w:szCs w:val="28"/>
          <w:highlight w:val="none"/>
        </w:rPr>
      </w:pPr>
      <w:r>
        <w:rPr>
          <w:rFonts w:hint="default" w:ascii="Times New Roman" w:hAnsi="Times New Roman" w:eastAsia="黑体" w:cs="Times New Roman"/>
          <w:color w:val="auto"/>
          <w:sz w:val="23"/>
          <w:szCs w:val="23"/>
          <w:highlight w:val="none"/>
        </w:rPr>
        <w:br w:type="page"/>
      </w:r>
      <w:bookmarkStart w:id="1640" w:name="_Toc27025"/>
      <w:bookmarkStart w:id="1641" w:name="_Toc234833257"/>
      <w:bookmarkStart w:id="1642" w:name="_Toc27486"/>
      <w:r>
        <w:rPr>
          <w:rFonts w:hint="default" w:ascii="Times New Roman" w:hAnsi="Times New Roman" w:eastAsia="黑体" w:cs="Times New Roman"/>
          <w:b w:val="0"/>
          <w:i w:val="0"/>
          <w:iCs/>
          <w:color w:val="auto"/>
          <w:sz w:val="28"/>
          <w:szCs w:val="28"/>
          <w:highlight w:val="none"/>
        </w:rPr>
        <w:t>（二）投标函附录</w:t>
      </w:r>
      <w:bookmarkEnd w:id="1640"/>
      <w:bookmarkEnd w:id="1641"/>
      <w:bookmarkEnd w:id="1642"/>
    </w:p>
    <w:tbl>
      <w:tblPr>
        <w:tblStyle w:val="4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2710"/>
        <w:gridCol w:w="1185"/>
        <w:gridCol w:w="3613"/>
        <w:gridCol w:w="749"/>
      </w:tblGrid>
      <w:tr w14:paraId="52680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2" w:type="dxa"/>
            <w:noWrap w:val="0"/>
            <w:vAlign w:val="center"/>
          </w:tcPr>
          <w:p w14:paraId="6C782BA7">
            <w:pPr>
              <w:pageBreakBefore w:val="0"/>
              <w:kinsoku/>
              <w:wordWrap w:val="0"/>
              <w:bidi w:val="0"/>
              <w:spacing w:line="400" w:lineRule="atLeast"/>
              <w:ind w:left="-105" w:leftChars="-50" w:right="-105" w:rightChars="-5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序号</w:t>
            </w:r>
          </w:p>
        </w:tc>
        <w:tc>
          <w:tcPr>
            <w:tcW w:w="2710" w:type="dxa"/>
            <w:noWrap w:val="0"/>
            <w:vAlign w:val="center"/>
          </w:tcPr>
          <w:p w14:paraId="613FF8AB">
            <w:pPr>
              <w:pageBreakBefore w:val="0"/>
              <w:kinsoku/>
              <w:wordWrap w:val="0"/>
              <w:bidi w:val="0"/>
              <w:spacing w:line="400" w:lineRule="atLeast"/>
              <w:ind w:left="-105" w:leftChars="-50" w:right="-105" w:rightChars="-5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条款名称</w:t>
            </w:r>
          </w:p>
        </w:tc>
        <w:tc>
          <w:tcPr>
            <w:tcW w:w="1185" w:type="dxa"/>
            <w:noWrap w:val="0"/>
            <w:vAlign w:val="center"/>
          </w:tcPr>
          <w:p w14:paraId="3FF346B2">
            <w:pPr>
              <w:pageBreakBefore w:val="0"/>
              <w:kinsoku/>
              <w:wordWrap w:val="0"/>
              <w:bidi w:val="0"/>
              <w:spacing w:line="400" w:lineRule="atLeast"/>
              <w:ind w:left="-105" w:leftChars="-50" w:right="-105" w:rightChars="-5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合同条目号</w:t>
            </w:r>
          </w:p>
        </w:tc>
        <w:tc>
          <w:tcPr>
            <w:tcW w:w="3613" w:type="dxa"/>
            <w:noWrap w:val="0"/>
            <w:vAlign w:val="center"/>
          </w:tcPr>
          <w:p w14:paraId="33ABCB86">
            <w:pPr>
              <w:pageBreakBefore w:val="0"/>
              <w:kinsoku/>
              <w:wordWrap w:val="0"/>
              <w:bidi w:val="0"/>
              <w:spacing w:line="400" w:lineRule="atLeast"/>
              <w:ind w:left="-105" w:leftChars="-50" w:right="-105" w:rightChars="-5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约定内容</w:t>
            </w:r>
          </w:p>
        </w:tc>
        <w:tc>
          <w:tcPr>
            <w:tcW w:w="749" w:type="dxa"/>
            <w:noWrap w:val="0"/>
            <w:vAlign w:val="center"/>
          </w:tcPr>
          <w:p w14:paraId="38E05B9F">
            <w:pPr>
              <w:pageBreakBefore w:val="0"/>
              <w:kinsoku/>
              <w:wordWrap w:val="0"/>
              <w:bidi w:val="0"/>
              <w:spacing w:line="400" w:lineRule="atLeast"/>
              <w:ind w:left="-105" w:leftChars="-50" w:right="-105" w:rightChars="-5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备注</w:t>
            </w:r>
          </w:p>
        </w:tc>
      </w:tr>
      <w:tr w14:paraId="2234F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2" w:type="dxa"/>
            <w:noWrap w:val="0"/>
            <w:vAlign w:val="center"/>
          </w:tcPr>
          <w:p w14:paraId="7720398A">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2710" w:type="dxa"/>
            <w:noWrap w:val="0"/>
            <w:vAlign w:val="center"/>
          </w:tcPr>
          <w:p w14:paraId="01370F4B">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缺陷责任期</w:t>
            </w:r>
          </w:p>
        </w:tc>
        <w:tc>
          <w:tcPr>
            <w:tcW w:w="1185" w:type="dxa"/>
            <w:noWrap w:val="0"/>
            <w:vAlign w:val="center"/>
          </w:tcPr>
          <w:p w14:paraId="6C3C1893">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1.1.4.5</w:t>
            </w:r>
          </w:p>
        </w:tc>
        <w:tc>
          <w:tcPr>
            <w:tcW w:w="3613" w:type="dxa"/>
            <w:noWrap w:val="0"/>
            <w:vAlign w:val="center"/>
          </w:tcPr>
          <w:p w14:paraId="27CBCA9A">
            <w:pPr>
              <w:pageBreakBefore w:val="0"/>
              <w:kinsoku/>
              <w:wordWrap w:val="0"/>
              <w:bidi w:val="0"/>
              <w:spacing w:line="40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自实际交工日期起计算</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年</w:t>
            </w:r>
          </w:p>
        </w:tc>
        <w:tc>
          <w:tcPr>
            <w:tcW w:w="749" w:type="dxa"/>
            <w:noWrap w:val="0"/>
            <w:vAlign w:val="center"/>
          </w:tcPr>
          <w:p w14:paraId="07F17618">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5E90E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2" w:type="dxa"/>
            <w:noWrap w:val="0"/>
            <w:vAlign w:val="center"/>
          </w:tcPr>
          <w:p w14:paraId="4169E405">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2710" w:type="dxa"/>
            <w:noWrap w:val="0"/>
            <w:vAlign w:val="center"/>
          </w:tcPr>
          <w:p w14:paraId="2F9F6D47">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逾期交工违约金</w:t>
            </w:r>
          </w:p>
        </w:tc>
        <w:tc>
          <w:tcPr>
            <w:tcW w:w="1185" w:type="dxa"/>
            <w:noWrap w:val="0"/>
            <w:vAlign w:val="center"/>
          </w:tcPr>
          <w:p w14:paraId="63C1D62C">
            <w:pPr>
              <w:pageBreakBefore w:val="0"/>
              <w:kinsoku/>
              <w:wordWrap w:val="0"/>
              <w:bidi w:val="0"/>
              <w:snapToGrid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11.5（3）</w:t>
            </w:r>
          </w:p>
        </w:tc>
        <w:tc>
          <w:tcPr>
            <w:tcW w:w="3613" w:type="dxa"/>
            <w:noWrap w:val="0"/>
            <w:vAlign w:val="center"/>
          </w:tcPr>
          <w:p w14:paraId="79E212B6">
            <w:pPr>
              <w:pageBreakBefore w:val="0"/>
              <w:kinsoku/>
              <w:wordWrap w:val="0"/>
              <w:bidi w:val="0"/>
              <w:snapToGrid w:val="0"/>
              <w:spacing w:line="40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元/天</w:t>
            </w:r>
          </w:p>
        </w:tc>
        <w:tc>
          <w:tcPr>
            <w:tcW w:w="749" w:type="dxa"/>
            <w:noWrap w:val="0"/>
            <w:vAlign w:val="center"/>
          </w:tcPr>
          <w:p w14:paraId="0D30D9FF">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7E1E9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2" w:type="dxa"/>
            <w:noWrap w:val="0"/>
            <w:vAlign w:val="center"/>
          </w:tcPr>
          <w:p w14:paraId="6EF80C30">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w:t>
            </w:r>
          </w:p>
        </w:tc>
        <w:tc>
          <w:tcPr>
            <w:tcW w:w="2710" w:type="dxa"/>
            <w:noWrap w:val="0"/>
            <w:vAlign w:val="center"/>
          </w:tcPr>
          <w:p w14:paraId="2BD2BF14">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逾期交工违约金限额</w:t>
            </w:r>
          </w:p>
        </w:tc>
        <w:tc>
          <w:tcPr>
            <w:tcW w:w="1185" w:type="dxa"/>
            <w:noWrap w:val="0"/>
            <w:vAlign w:val="center"/>
          </w:tcPr>
          <w:p w14:paraId="3F7C18E4">
            <w:pPr>
              <w:pageBreakBefore w:val="0"/>
              <w:kinsoku/>
              <w:wordWrap w:val="0"/>
              <w:bidi w:val="0"/>
              <w:snapToGrid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11.5（3）</w:t>
            </w:r>
          </w:p>
        </w:tc>
        <w:tc>
          <w:tcPr>
            <w:tcW w:w="3613" w:type="dxa"/>
            <w:noWrap w:val="0"/>
            <w:vAlign w:val="center"/>
          </w:tcPr>
          <w:p w14:paraId="53CF120A">
            <w:pPr>
              <w:pageBreakBefore w:val="0"/>
              <w:kinsoku/>
              <w:wordWrap w:val="0"/>
              <w:bidi w:val="0"/>
              <w:snapToGrid w:val="0"/>
              <w:spacing w:line="40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%签约合同价</w:t>
            </w:r>
          </w:p>
        </w:tc>
        <w:tc>
          <w:tcPr>
            <w:tcW w:w="749" w:type="dxa"/>
            <w:noWrap w:val="0"/>
            <w:vAlign w:val="center"/>
          </w:tcPr>
          <w:p w14:paraId="6E728773">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3F168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2" w:type="dxa"/>
            <w:noWrap w:val="0"/>
            <w:vAlign w:val="center"/>
          </w:tcPr>
          <w:p w14:paraId="251A93CD">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w:t>
            </w:r>
          </w:p>
        </w:tc>
        <w:tc>
          <w:tcPr>
            <w:tcW w:w="2710" w:type="dxa"/>
            <w:noWrap w:val="0"/>
            <w:vAlign w:val="center"/>
          </w:tcPr>
          <w:p w14:paraId="7EF07E0B">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提前交工的奖金 </w:t>
            </w:r>
          </w:p>
        </w:tc>
        <w:tc>
          <w:tcPr>
            <w:tcW w:w="1185" w:type="dxa"/>
            <w:noWrap w:val="0"/>
            <w:vAlign w:val="center"/>
          </w:tcPr>
          <w:p w14:paraId="445E8533">
            <w:pPr>
              <w:pageBreakBefore w:val="0"/>
              <w:kinsoku/>
              <w:wordWrap w:val="0"/>
              <w:bidi w:val="0"/>
              <w:snapToGrid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11.6</w:t>
            </w:r>
          </w:p>
        </w:tc>
        <w:tc>
          <w:tcPr>
            <w:tcW w:w="3613" w:type="dxa"/>
            <w:noWrap w:val="0"/>
            <w:vAlign w:val="center"/>
          </w:tcPr>
          <w:p w14:paraId="0C3C19B3">
            <w:pPr>
              <w:pageBreakBefore w:val="0"/>
              <w:kinsoku/>
              <w:wordWrap w:val="0"/>
              <w:bidi w:val="0"/>
              <w:snapToGrid w:val="0"/>
              <w:spacing w:line="40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元/天</w:t>
            </w:r>
          </w:p>
        </w:tc>
        <w:tc>
          <w:tcPr>
            <w:tcW w:w="749" w:type="dxa"/>
            <w:noWrap w:val="0"/>
            <w:vAlign w:val="center"/>
          </w:tcPr>
          <w:p w14:paraId="3EB06A0C">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22DC8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2" w:type="dxa"/>
            <w:noWrap w:val="0"/>
            <w:vAlign w:val="center"/>
          </w:tcPr>
          <w:p w14:paraId="5E1ED169">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w:t>
            </w:r>
          </w:p>
        </w:tc>
        <w:tc>
          <w:tcPr>
            <w:tcW w:w="2710" w:type="dxa"/>
            <w:noWrap w:val="0"/>
            <w:vAlign w:val="center"/>
          </w:tcPr>
          <w:p w14:paraId="580DC616">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提前交工的奖金限额</w:t>
            </w:r>
          </w:p>
        </w:tc>
        <w:tc>
          <w:tcPr>
            <w:tcW w:w="1185" w:type="dxa"/>
            <w:noWrap w:val="0"/>
            <w:vAlign w:val="center"/>
          </w:tcPr>
          <w:p w14:paraId="5D0F9DD9">
            <w:pPr>
              <w:pageBreakBefore w:val="0"/>
              <w:kinsoku/>
              <w:wordWrap w:val="0"/>
              <w:bidi w:val="0"/>
              <w:snapToGrid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11.6</w:t>
            </w:r>
          </w:p>
        </w:tc>
        <w:tc>
          <w:tcPr>
            <w:tcW w:w="3613" w:type="dxa"/>
            <w:noWrap w:val="0"/>
            <w:vAlign w:val="center"/>
          </w:tcPr>
          <w:p w14:paraId="589AFAF2">
            <w:pPr>
              <w:pageBreakBefore w:val="0"/>
              <w:kinsoku/>
              <w:wordWrap w:val="0"/>
              <w:bidi w:val="0"/>
              <w:snapToGrid w:val="0"/>
              <w:spacing w:line="40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%签约合同价</w:t>
            </w:r>
          </w:p>
        </w:tc>
        <w:tc>
          <w:tcPr>
            <w:tcW w:w="749" w:type="dxa"/>
            <w:noWrap w:val="0"/>
            <w:vAlign w:val="center"/>
          </w:tcPr>
          <w:p w14:paraId="254BD016">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17ACB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2" w:type="dxa"/>
            <w:noWrap w:val="0"/>
            <w:vAlign w:val="center"/>
          </w:tcPr>
          <w:p w14:paraId="7F7DB783">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w:t>
            </w:r>
          </w:p>
        </w:tc>
        <w:tc>
          <w:tcPr>
            <w:tcW w:w="2710" w:type="dxa"/>
            <w:noWrap w:val="0"/>
            <w:vAlign w:val="center"/>
          </w:tcPr>
          <w:p w14:paraId="6EEA03DA">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价格调整的差额计算</w:t>
            </w:r>
          </w:p>
        </w:tc>
        <w:tc>
          <w:tcPr>
            <w:tcW w:w="1185" w:type="dxa"/>
            <w:noWrap w:val="0"/>
            <w:vAlign w:val="center"/>
          </w:tcPr>
          <w:p w14:paraId="7DB4B497">
            <w:pPr>
              <w:pageBreakBefore w:val="0"/>
              <w:kinsoku/>
              <w:wordWrap w:val="0"/>
              <w:bidi w:val="0"/>
              <w:snapToGrid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16.1.1</w:t>
            </w:r>
          </w:p>
        </w:tc>
        <w:tc>
          <w:tcPr>
            <w:tcW w:w="3613" w:type="dxa"/>
            <w:noWrap w:val="0"/>
            <w:vAlign w:val="center"/>
          </w:tcPr>
          <w:p w14:paraId="3B73F9D7">
            <w:pPr>
              <w:pageBreakBefore w:val="0"/>
              <w:kinsoku/>
              <w:wordWrap w:val="0"/>
              <w:bidi w:val="0"/>
              <w:snapToGrid w:val="0"/>
              <w:spacing w:line="40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见价格指数和权重表</w:t>
            </w:r>
          </w:p>
        </w:tc>
        <w:tc>
          <w:tcPr>
            <w:tcW w:w="749" w:type="dxa"/>
            <w:noWrap w:val="0"/>
            <w:vAlign w:val="center"/>
          </w:tcPr>
          <w:p w14:paraId="5121CB05">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031CE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2" w:type="dxa"/>
            <w:noWrap w:val="0"/>
            <w:vAlign w:val="center"/>
          </w:tcPr>
          <w:p w14:paraId="203C4344">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w:t>
            </w:r>
          </w:p>
        </w:tc>
        <w:tc>
          <w:tcPr>
            <w:tcW w:w="2710" w:type="dxa"/>
            <w:noWrap w:val="0"/>
            <w:vAlign w:val="center"/>
          </w:tcPr>
          <w:p w14:paraId="30ED062A">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开工预付款金额</w:t>
            </w:r>
          </w:p>
        </w:tc>
        <w:tc>
          <w:tcPr>
            <w:tcW w:w="1185" w:type="dxa"/>
            <w:noWrap w:val="0"/>
            <w:vAlign w:val="center"/>
          </w:tcPr>
          <w:p w14:paraId="12232FB9">
            <w:pPr>
              <w:pageBreakBefore w:val="0"/>
              <w:kinsoku/>
              <w:wordWrap w:val="0"/>
              <w:bidi w:val="0"/>
              <w:snapToGrid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17.2.1（1）</w:t>
            </w:r>
          </w:p>
        </w:tc>
        <w:tc>
          <w:tcPr>
            <w:tcW w:w="3613" w:type="dxa"/>
            <w:noWrap w:val="0"/>
            <w:vAlign w:val="center"/>
          </w:tcPr>
          <w:p w14:paraId="1989C320">
            <w:pPr>
              <w:pageBreakBefore w:val="0"/>
              <w:kinsoku/>
              <w:wordWrap w:val="0"/>
              <w:bidi w:val="0"/>
              <w:snapToGrid w:val="0"/>
              <w:spacing w:line="40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%签约合同价</w:t>
            </w:r>
          </w:p>
        </w:tc>
        <w:tc>
          <w:tcPr>
            <w:tcW w:w="749" w:type="dxa"/>
            <w:noWrap w:val="0"/>
            <w:vAlign w:val="center"/>
          </w:tcPr>
          <w:p w14:paraId="440FF4C3">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49EB5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2" w:type="dxa"/>
            <w:noWrap w:val="0"/>
            <w:vAlign w:val="center"/>
          </w:tcPr>
          <w:p w14:paraId="1C096324">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8</w:t>
            </w:r>
          </w:p>
        </w:tc>
        <w:tc>
          <w:tcPr>
            <w:tcW w:w="2710" w:type="dxa"/>
            <w:noWrap w:val="0"/>
            <w:vAlign w:val="center"/>
          </w:tcPr>
          <w:p w14:paraId="6F797C8B">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材料、设备预付款比例</w:t>
            </w:r>
          </w:p>
        </w:tc>
        <w:tc>
          <w:tcPr>
            <w:tcW w:w="1185" w:type="dxa"/>
            <w:noWrap w:val="0"/>
            <w:vAlign w:val="center"/>
          </w:tcPr>
          <w:p w14:paraId="5752A08A">
            <w:pPr>
              <w:pageBreakBefore w:val="0"/>
              <w:kinsoku/>
              <w:wordWrap w:val="0"/>
              <w:bidi w:val="0"/>
              <w:snapToGrid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17.2.1（2）</w:t>
            </w:r>
          </w:p>
        </w:tc>
        <w:tc>
          <w:tcPr>
            <w:tcW w:w="3613" w:type="dxa"/>
            <w:noWrap w:val="0"/>
            <w:vAlign w:val="center"/>
          </w:tcPr>
          <w:p w14:paraId="700F3660">
            <w:pPr>
              <w:pageBreakBefore w:val="0"/>
              <w:kinsoku/>
              <w:wordWrap w:val="0"/>
              <w:bidi w:val="0"/>
              <w:snapToGrid w:val="0"/>
              <w:spacing w:line="40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等主要材料、设备单据所列费用的</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w:t>
            </w:r>
          </w:p>
        </w:tc>
        <w:tc>
          <w:tcPr>
            <w:tcW w:w="749" w:type="dxa"/>
            <w:noWrap w:val="0"/>
            <w:vAlign w:val="center"/>
          </w:tcPr>
          <w:p w14:paraId="67D09A47">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14ECE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2" w:type="dxa"/>
            <w:noWrap w:val="0"/>
            <w:vAlign w:val="center"/>
          </w:tcPr>
          <w:p w14:paraId="47949DCD">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9</w:t>
            </w:r>
          </w:p>
        </w:tc>
        <w:tc>
          <w:tcPr>
            <w:tcW w:w="2710" w:type="dxa"/>
            <w:noWrap w:val="0"/>
            <w:vAlign w:val="center"/>
          </w:tcPr>
          <w:p w14:paraId="557B4598">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进度付款证书最低限额</w:t>
            </w:r>
          </w:p>
        </w:tc>
        <w:tc>
          <w:tcPr>
            <w:tcW w:w="1185" w:type="dxa"/>
            <w:noWrap w:val="0"/>
            <w:vAlign w:val="center"/>
          </w:tcPr>
          <w:p w14:paraId="3D7DB606">
            <w:pPr>
              <w:pageBreakBefore w:val="0"/>
              <w:kinsoku/>
              <w:wordWrap w:val="0"/>
              <w:bidi w:val="0"/>
              <w:snapToGrid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17.3.3（1）</w:t>
            </w:r>
          </w:p>
        </w:tc>
        <w:tc>
          <w:tcPr>
            <w:tcW w:w="3613" w:type="dxa"/>
            <w:noWrap w:val="0"/>
            <w:vAlign w:val="center"/>
          </w:tcPr>
          <w:p w14:paraId="023AD14B">
            <w:pPr>
              <w:pageBreakBefore w:val="0"/>
              <w:kinsoku/>
              <w:wordWrap w:val="0"/>
              <w:bidi w:val="0"/>
              <w:snapToGrid w:val="0"/>
              <w:spacing w:line="40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%签约合同价或</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万元</w:t>
            </w:r>
          </w:p>
        </w:tc>
        <w:tc>
          <w:tcPr>
            <w:tcW w:w="749" w:type="dxa"/>
            <w:noWrap w:val="0"/>
            <w:vAlign w:val="center"/>
          </w:tcPr>
          <w:p w14:paraId="21C5AE5A">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79A29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2" w:type="dxa"/>
            <w:noWrap w:val="0"/>
            <w:vAlign w:val="center"/>
          </w:tcPr>
          <w:p w14:paraId="22671AA9">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w:t>
            </w:r>
          </w:p>
        </w:tc>
        <w:tc>
          <w:tcPr>
            <w:tcW w:w="2710" w:type="dxa"/>
            <w:noWrap w:val="0"/>
            <w:vAlign w:val="center"/>
          </w:tcPr>
          <w:p w14:paraId="2F73AF74">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逾期付款违约金的利率</w:t>
            </w:r>
          </w:p>
        </w:tc>
        <w:tc>
          <w:tcPr>
            <w:tcW w:w="1185" w:type="dxa"/>
            <w:noWrap w:val="0"/>
            <w:vAlign w:val="center"/>
          </w:tcPr>
          <w:p w14:paraId="14AF118B">
            <w:pPr>
              <w:pageBreakBefore w:val="0"/>
              <w:kinsoku/>
              <w:wordWrap w:val="0"/>
              <w:bidi w:val="0"/>
              <w:snapToGrid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17.3.3（2）</w:t>
            </w:r>
          </w:p>
        </w:tc>
        <w:tc>
          <w:tcPr>
            <w:tcW w:w="3613" w:type="dxa"/>
            <w:noWrap w:val="0"/>
            <w:vAlign w:val="center"/>
          </w:tcPr>
          <w:p w14:paraId="2DFBFA63">
            <w:pPr>
              <w:pageBreakBefore w:val="0"/>
              <w:kinsoku/>
              <w:wordWrap w:val="0"/>
              <w:bidi w:val="0"/>
              <w:snapToGrid w:val="0"/>
              <w:spacing w:line="40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‰/天</w:t>
            </w:r>
          </w:p>
        </w:tc>
        <w:tc>
          <w:tcPr>
            <w:tcW w:w="749" w:type="dxa"/>
            <w:noWrap w:val="0"/>
            <w:vAlign w:val="center"/>
          </w:tcPr>
          <w:p w14:paraId="67D9B06E">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38B1C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2" w:type="dxa"/>
            <w:noWrap w:val="0"/>
            <w:vAlign w:val="center"/>
          </w:tcPr>
          <w:p w14:paraId="0365E4A4">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11</w:t>
            </w:r>
          </w:p>
        </w:tc>
        <w:tc>
          <w:tcPr>
            <w:tcW w:w="2710" w:type="dxa"/>
            <w:noWrap w:val="0"/>
            <w:vAlign w:val="center"/>
          </w:tcPr>
          <w:p w14:paraId="4D225E5E">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质量保证金金额</w:t>
            </w:r>
          </w:p>
        </w:tc>
        <w:tc>
          <w:tcPr>
            <w:tcW w:w="1185" w:type="dxa"/>
            <w:noWrap w:val="0"/>
            <w:vAlign w:val="center"/>
          </w:tcPr>
          <w:p w14:paraId="3367936E">
            <w:pPr>
              <w:pageBreakBefore w:val="0"/>
              <w:kinsoku/>
              <w:wordWrap w:val="0"/>
              <w:bidi w:val="0"/>
              <w:snapToGrid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17.4.1</w:t>
            </w:r>
          </w:p>
        </w:tc>
        <w:tc>
          <w:tcPr>
            <w:tcW w:w="3613" w:type="dxa"/>
            <w:noWrap w:val="0"/>
            <w:vAlign w:val="center"/>
          </w:tcPr>
          <w:p w14:paraId="44ADB325">
            <w:pPr>
              <w:pageBreakBefore w:val="0"/>
              <w:kinsoku/>
              <w:wordWrap w:val="0"/>
              <w:bidi w:val="0"/>
              <w:snapToGrid w:val="0"/>
              <w:spacing w:line="400" w:lineRule="atLeast"/>
              <w:rPr>
                <w:rFonts w:hint="eastAsia"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w:t>
            </w:r>
            <w:r>
              <w:rPr>
                <w:rFonts w:hint="eastAsia" w:ascii="宋体" w:hAnsi="宋体" w:eastAsia="宋体" w:cs="宋体"/>
                <w:color w:val="auto"/>
                <w:spacing w:val="5"/>
                <w:sz w:val="21"/>
                <w:szCs w:val="21"/>
                <w:highlight w:val="none"/>
              </w:rPr>
              <w:t>工程价款结算总额</w:t>
            </w:r>
          </w:p>
        </w:tc>
        <w:tc>
          <w:tcPr>
            <w:tcW w:w="749" w:type="dxa"/>
            <w:noWrap w:val="0"/>
            <w:vAlign w:val="center"/>
          </w:tcPr>
          <w:p w14:paraId="0DFDB488">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709C7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2" w:type="dxa"/>
            <w:noWrap w:val="0"/>
            <w:vAlign w:val="center"/>
          </w:tcPr>
          <w:p w14:paraId="540AB28F">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12</w:t>
            </w:r>
          </w:p>
        </w:tc>
        <w:tc>
          <w:tcPr>
            <w:tcW w:w="2710" w:type="dxa"/>
            <w:noWrap w:val="0"/>
            <w:vAlign w:val="center"/>
          </w:tcPr>
          <w:p w14:paraId="0E1281D8">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保修期</w:t>
            </w:r>
          </w:p>
        </w:tc>
        <w:tc>
          <w:tcPr>
            <w:tcW w:w="1185" w:type="dxa"/>
            <w:noWrap w:val="0"/>
            <w:vAlign w:val="center"/>
          </w:tcPr>
          <w:p w14:paraId="3D5DEA52">
            <w:pPr>
              <w:pageBreakBefore w:val="0"/>
              <w:kinsoku/>
              <w:wordWrap w:val="0"/>
              <w:bidi w:val="0"/>
              <w:snapToGrid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19.7（1）</w:t>
            </w:r>
          </w:p>
        </w:tc>
        <w:tc>
          <w:tcPr>
            <w:tcW w:w="3613" w:type="dxa"/>
            <w:noWrap w:val="0"/>
            <w:vAlign w:val="center"/>
          </w:tcPr>
          <w:p w14:paraId="6D2694A7">
            <w:pPr>
              <w:pageBreakBefore w:val="0"/>
              <w:kinsoku/>
              <w:wordWrap w:val="0"/>
              <w:bidi w:val="0"/>
              <w:snapToGrid w:val="0"/>
              <w:spacing w:line="40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自实际交工日期起计算</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年</w:t>
            </w:r>
          </w:p>
        </w:tc>
        <w:tc>
          <w:tcPr>
            <w:tcW w:w="749" w:type="dxa"/>
            <w:noWrap w:val="0"/>
            <w:vAlign w:val="center"/>
          </w:tcPr>
          <w:p w14:paraId="32F67F47">
            <w:pPr>
              <w:pageBreakBefore w:val="0"/>
              <w:kinsoku/>
              <w:wordWrap w:val="0"/>
              <w:bidi w:val="0"/>
              <w:spacing w:line="400" w:lineRule="atLeast"/>
              <w:jc w:val="center"/>
              <w:rPr>
                <w:rFonts w:hint="default" w:ascii="Times New Roman" w:hAnsi="Times New Roman" w:cs="Times New Roman"/>
                <w:color w:val="auto"/>
                <w:szCs w:val="21"/>
                <w:highlight w:val="none"/>
              </w:rPr>
            </w:pPr>
          </w:p>
        </w:tc>
      </w:tr>
    </w:tbl>
    <w:p w14:paraId="78CDC5E6">
      <w:pPr>
        <w:pageBreakBefore w:val="0"/>
        <w:kinsoku/>
        <w:wordWrap w:val="0"/>
        <w:bidi w:val="0"/>
        <w:snapToGrid w:val="0"/>
        <w:spacing w:line="400" w:lineRule="atLeast"/>
        <w:ind w:firstLine="3240" w:firstLineChars="1350"/>
        <w:rPr>
          <w:rFonts w:hint="default" w:ascii="Times New Roman" w:hAnsi="Times New Roman" w:cs="Times New Roman"/>
          <w:color w:val="auto"/>
          <w:sz w:val="24"/>
          <w:highlight w:val="none"/>
        </w:rPr>
      </w:pPr>
    </w:p>
    <w:p w14:paraId="237A4FCB">
      <w:pPr>
        <w:pageBreakBefore w:val="0"/>
        <w:kinsoku/>
        <w:wordWrap w:val="0"/>
        <w:bidi w:val="0"/>
        <w:spacing w:line="440" w:lineRule="exact"/>
        <w:jc w:val="center"/>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br w:type="page"/>
      </w:r>
      <w:r>
        <w:rPr>
          <w:rFonts w:hint="default" w:ascii="Times New Roman" w:hAnsi="Times New Roman" w:eastAsia="黑体" w:cs="Times New Roman"/>
          <w:color w:val="auto"/>
          <w:sz w:val="24"/>
          <w:highlight w:val="none"/>
        </w:rPr>
        <w:t>价格指数和权重表</w:t>
      </w:r>
    </w:p>
    <w:p w14:paraId="52D9C3DC">
      <w:pPr>
        <w:pageBreakBefore w:val="0"/>
        <w:kinsoku/>
        <w:wordWrap w:val="0"/>
        <w:bidi w:val="0"/>
        <w:spacing w:line="440" w:lineRule="exact"/>
        <w:jc w:val="center"/>
        <w:rPr>
          <w:rFonts w:hint="default" w:ascii="Times New Roman" w:hAnsi="Times New Roman" w:eastAsia="黑体" w:cs="Times New Roman"/>
          <w:color w:val="auto"/>
          <w:sz w:val="24"/>
          <w:highlight w:val="none"/>
        </w:rPr>
      </w:pPr>
    </w:p>
    <w:tbl>
      <w:tblPr>
        <w:tblStyle w:val="4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872"/>
        <w:gridCol w:w="748"/>
        <w:gridCol w:w="900"/>
        <w:gridCol w:w="648"/>
        <w:gridCol w:w="1266"/>
        <w:gridCol w:w="1630"/>
        <w:gridCol w:w="1970"/>
      </w:tblGrid>
      <w:tr w14:paraId="32DEA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1" w:hRule="atLeast"/>
        </w:trPr>
        <w:tc>
          <w:tcPr>
            <w:tcW w:w="1298" w:type="dxa"/>
            <w:gridSpan w:val="2"/>
            <w:vMerge w:val="restart"/>
            <w:noWrap w:val="0"/>
            <w:vAlign w:val="center"/>
          </w:tcPr>
          <w:p w14:paraId="2076A8D0">
            <w:pPr>
              <w:pageBreakBefore w:val="0"/>
              <w:kinsoku/>
              <w:wordWrap w:val="0"/>
              <w:bidi w:val="0"/>
              <w:spacing w:before="480" w:beforeLines="200" w:after="480" w:afterLines="200" w:line="24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名称</w:t>
            </w:r>
          </w:p>
        </w:tc>
        <w:tc>
          <w:tcPr>
            <w:tcW w:w="1648" w:type="dxa"/>
            <w:gridSpan w:val="2"/>
            <w:noWrap w:val="0"/>
            <w:vAlign w:val="center"/>
          </w:tcPr>
          <w:p w14:paraId="3D5656E4">
            <w:pPr>
              <w:pageBreakBefore w:val="0"/>
              <w:kinsoku/>
              <w:wordWrap w:val="0"/>
              <w:bidi w:val="0"/>
              <w:spacing w:before="480" w:beforeLines="200" w:after="480" w:afterLines="200" w:line="24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基本价格指数</w:t>
            </w:r>
          </w:p>
        </w:tc>
        <w:tc>
          <w:tcPr>
            <w:tcW w:w="3544" w:type="dxa"/>
            <w:gridSpan w:val="3"/>
            <w:noWrap w:val="0"/>
            <w:vAlign w:val="center"/>
          </w:tcPr>
          <w:p w14:paraId="13717963">
            <w:pPr>
              <w:pageBreakBefore w:val="0"/>
              <w:kinsoku/>
              <w:wordWrap w:val="0"/>
              <w:bidi w:val="0"/>
              <w:spacing w:before="480" w:beforeLines="200" w:after="480" w:afterLines="200" w:line="24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权       重</w:t>
            </w:r>
          </w:p>
        </w:tc>
        <w:tc>
          <w:tcPr>
            <w:tcW w:w="1970" w:type="dxa"/>
            <w:vMerge w:val="restart"/>
            <w:noWrap w:val="0"/>
            <w:vAlign w:val="center"/>
          </w:tcPr>
          <w:p w14:paraId="6B2C6893">
            <w:pPr>
              <w:pageBreakBefore w:val="0"/>
              <w:kinsoku/>
              <w:wordWrap w:val="0"/>
              <w:bidi w:val="0"/>
              <w:spacing w:before="480" w:beforeLines="200" w:after="480" w:afterLines="200" w:line="24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价格指数来源</w:t>
            </w:r>
          </w:p>
        </w:tc>
      </w:tr>
      <w:tr w14:paraId="1951D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6" w:hRule="atLeast"/>
        </w:trPr>
        <w:tc>
          <w:tcPr>
            <w:tcW w:w="1298" w:type="dxa"/>
            <w:gridSpan w:val="2"/>
            <w:vMerge w:val="continue"/>
            <w:noWrap w:val="0"/>
            <w:vAlign w:val="center"/>
          </w:tcPr>
          <w:p w14:paraId="2EDF05B3">
            <w:pPr>
              <w:pageBreakBefore w:val="0"/>
              <w:kinsoku/>
              <w:wordWrap w:val="0"/>
              <w:bidi w:val="0"/>
              <w:spacing w:before="480" w:beforeLines="200" w:after="480" w:afterLines="200" w:line="240" w:lineRule="atLeast"/>
              <w:jc w:val="center"/>
              <w:rPr>
                <w:rFonts w:hint="default" w:ascii="Times New Roman" w:hAnsi="Times New Roman" w:cs="Times New Roman"/>
                <w:color w:val="auto"/>
                <w:szCs w:val="21"/>
                <w:highlight w:val="none"/>
              </w:rPr>
            </w:pPr>
          </w:p>
        </w:tc>
        <w:tc>
          <w:tcPr>
            <w:tcW w:w="748" w:type="dxa"/>
            <w:noWrap w:val="0"/>
            <w:vAlign w:val="center"/>
          </w:tcPr>
          <w:p w14:paraId="1F761079">
            <w:pPr>
              <w:pageBreakBefore w:val="0"/>
              <w:kinsoku/>
              <w:wordWrap w:val="0"/>
              <w:bidi w:val="0"/>
              <w:spacing w:before="480" w:beforeLines="200" w:after="480" w:afterLines="200" w:line="24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代号</w:t>
            </w:r>
          </w:p>
        </w:tc>
        <w:tc>
          <w:tcPr>
            <w:tcW w:w="900" w:type="dxa"/>
            <w:noWrap w:val="0"/>
            <w:vAlign w:val="center"/>
          </w:tcPr>
          <w:p w14:paraId="5CF9CF86">
            <w:pPr>
              <w:pageBreakBefore w:val="0"/>
              <w:kinsoku/>
              <w:wordWrap w:val="0"/>
              <w:bidi w:val="0"/>
              <w:spacing w:before="480" w:beforeLines="200" w:after="480" w:afterLines="200" w:line="24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指数值</w:t>
            </w:r>
          </w:p>
        </w:tc>
        <w:tc>
          <w:tcPr>
            <w:tcW w:w="648" w:type="dxa"/>
            <w:noWrap w:val="0"/>
            <w:vAlign w:val="center"/>
          </w:tcPr>
          <w:p w14:paraId="27232F0F">
            <w:pPr>
              <w:pageBreakBefore w:val="0"/>
              <w:kinsoku/>
              <w:wordWrap w:val="0"/>
              <w:bidi w:val="0"/>
              <w:spacing w:before="480" w:beforeLines="200" w:after="480" w:afterLines="200" w:line="24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代号</w:t>
            </w:r>
          </w:p>
        </w:tc>
        <w:tc>
          <w:tcPr>
            <w:tcW w:w="1266" w:type="dxa"/>
            <w:noWrap w:val="0"/>
            <w:vAlign w:val="center"/>
          </w:tcPr>
          <w:p w14:paraId="2F1A33FB">
            <w:pPr>
              <w:pageBreakBefore w:val="0"/>
              <w:kinsoku/>
              <w:wordWrap w:val="0"/>
              <w:bidi w:val="0"/>
              <w:spacing w:before="480" w:beforeLines="200" w:after="480" w:afterLines="200" w:line="24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允许范围</w:t>
            </w:r>
          </w:p>
        </w:tc>
        <w:tc>
          <w:tcPr>
            <w:tcW w:w="1630" w:type="dxa"/>
            <w:noWrap w:val="0"/>
            <w:vAlign w:val="center"/>
          </w:tcPr>
          <w:p w14:paraId="799D0764">
            <w:pPr>
              <w:pageBreakBefore w:val="0"/>
              <w:kinsoku/>
              <w:wordWrap w:val="0"/>
              <w:bidi w:val="0"/>
              <w:spacing w:before="480" w:beforeLines="200" w:after="480" w:afterLines="200" w:line="24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投标人建议值</w:t>
            </w:r>
          </w:p>
        </w:tc>
        <w:tc>
          <w:tcPr>
            <w:tcW w:w="1970" w:type="dxa"/>
            <w:vMerge w:val="continue"/>
            <w:noWrap w:val="0"/>
            <w:vAlign w:val="center"/>
          </w:tcPr>
          <w:p w14:paraId="7AB42417">
            <w:pPr>
              <w:pageBreakBefore w:val="0"/>
              <w:kinsoku/>
              <w:wordWrap w:val="0"/>
              <w:bidi w:val="0"/>
              <w:spacing w:before="480" w:beforeLines="200" w:after="480" w:afterLines="200" w:line="240" w:lineRule="atLeast"/>
              <w:jc w:val="center"/>
              <w:rPr>
                <w:rFonts w:hint="default" w:ascii="Times New Roman" w:hAnsi="Times New Roman" w:cs="Times New Roman"/>
                <w:color w:val="auto"/>
                <w:szCs w:val="21"/>
                <w:highlight w:val="none"/>
              </w:rPr>
            </w:pPr>
          </w:p>
        </w:tc>
      </w:tr>
      <w:tr w14:paraId="05CAF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298" w:type="dxa"/>
            <w:gridSpan w:val="2"/>
            <w:noWrap w:val="0"/>
            <w:vAlign w:val="center"/>
          </w:tcPr>
          <w:p w14:paraId="18635E0E">
            <w:pPr>
              <w:pageBreakBefore w:val="0"/>
              <w:kinsoku/>
              <w:wordWrap w:val="0"/>
              <w:bidi w:val="0"/>
              <w:spacing w:before="480" w:beforeLines="200" w:after="480" w:afterLines="200" w:line="24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定值部分</w:t>
            </w:r>
          </w:p>
        </w:tc>
        <w:tc>
          <w:tcPr>
            <w:tcW w:w="748" w:type="dxa"/>
            <w:noWrap w:val="0"/>
            <w:vAlign w:val="center"/>
          </w:tcPr>
          <w:p w14:paraId="51B8F654">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p>
        </w:tc>
        <w:tc>
          <w:tcPr>
            <w:tcW w:w="900" w:type="dxa"/>
            <w:noWrap w:val="0"/>
            <w:vAlign w:val="center"/>
          </w:tcPr>
          <w:p w14:paraId="44676599">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p>
        </w:tc>
        <w:tc>
          <w:tcPr>
            <w:tcW w:w="648" w:type="dxa"/>
            <w:noWrap w:val="0"/>
            <w:vAlign w:val="center"/>
          </w:tcPr>
          <w:p w14:paraId="540017F7">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1266" w:type="dxa"/>
            <w:noWrap w:val="0"/>
            <w:vAlign w:val="center"/>
          </w:tcPr>
          <w:p w14:paraId="1F60B87F">
            <w:pPr>
              <w:pageBreakBefore w:val="0"/>
              <w:kinsoku/>
              <w:wordWrap w:val="0"/>
              <w:bidi w:val="0"/>
              <w:spacing w:before="480" w:beforeLines="200" w:after="480" w:afterLines="200" w:line="240" w:lineRule="atLeast"/>
              <w:jc w:val="center"/>
              <w:rPr>
                <w:rFonts w:hint="default" w:ascii="Times New Roman" w:hAnsi="Times New Roman" w:cs="Times New Roman"/>
                <w:color w:val="auto"/>
                <w:szCs w:val="21"/>
                <w:highlight w:val="none"/>
              </w:rPr>
            </w:pPr>
          </w:p>
        </w:tc>
        <w:tc>
          <w:tcPr>
            <w:tcW w:w="1630" w:type="dxa"/>
            <w:noWrap w:val="0"/>
            <w:vAlign w:val="center"/>
          </w:tcPr>
          <w:p w14:paraId="7635F0D0">
            <w:pPr>
              <w:pageBreakBefore w:val="0"/>
              <w:kinsoku/>
              <w:wordWrap w:val="0"/>
              <w:bidi w:val="0"/>
              <w:spacing w:before="480" w:beforeLines="200" w:after="480" w:afterLines="200" w:line="240" w:lineRule="atLeast"/>
              <w:jc w:val="center"/>
              <w:rPr>
                <w:rFonts w:hint="default" w:ascii="Times New Roman" w:hAnsi="Times New Roman" w:cs="Times New Roman"/>
                <w:color w:val="auto"/>
                <w:szCs w:val="21"/>
                <w:highlight w:val="none"/>
              </w:rPr>
            </w:pPr>
          </w:p>
        </w:tc>
        <w:tc>
          <w:tcPr>
            <w:tcW w:w="1970" w:type="dxa"/>
            <w:noWrap w:val="0"/>
            <w:vAlign w:val="center"/>
          </w:tcPr>
          <w:p w14:paraId="23F35CC5">
            <w:pPr>
              <w:pageBreakBefore w:val="0"/>
              <w:kinsoku/>
              <w:wordWrap w:val="0"/>
              <w:bidi w:val="0"/>
              <w:spacing w:before="480" w:beforeLines="200" w:after="480" w:afterLines="200" w:line="240" w:lineRule="atLeast"/>
              <w:jc w:val="center"/>
              <w:rPr>
                <w:rFonts w:hint="default" w:ascii="Times New Roman" w:hAnsi="Times New Roman" w:cs="Times New Roman"/>
                <w:color w:val="auto"/>
                <w:szCs w:val="21"/>
                <w:highlight w:val="none"/>
              </w:rPr>
            </w:pPr>
          </w:p>
        </w:tc>
      </w:tr>
      <w:tr w14:paraId="11167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trPr>
        <w:tc>
          <w:tcPr>
            <w:tcW w:w="426" w:type="dxa"/>
            <w:vMerge w:val="restart"/>
            <w:noWrap w:val="0"/>
            <w:vAlign w:val="center"/>
          </w:tcPr>
          <w:p w14:paraId="758475F1">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变值部分</w:t>
            </w:r>
          </w:p>
        </w:tc>
        <w:tc>
          <w:tcPr>
            <w:tcW w:w="872" w:type="dxa"/>
            <w:noWrap w:val="0"/>
            <w:vAlign w:val="center"/>
          </w:tcPr>
          <w:p w14:paraId="0604A74B">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人工费</w:t>
            </w:r>
          </w:p>
        </w:tc>
        <w:tc>
          <w:tcPr>
            <w:tcW w:w="748" w:type="dxa"/>
            <w:noWrap w:val="0"/>
            <w:vAlign w:val="center"/>
          </w:tcPr>
          <w:p w14:paraId="18439E3F">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vertAlign w:val="subscript"/>
              </w:rPr>
            </w:pPr>
            <w:r>
              <w:rPr>
                <w:rFonts w:hint="default" w:ascii="Times New Roman" w:hAnsi="Times New Roman" w:cs="Times New Roman"/>
                <w:color w:val="auto"/>
                <w:szCs w:val="21"/>
                <w:highlight w:val="none"/>
              </w:rPr>
              <w:t>F</w:t>
            </w:r>
            <w:r>
              <w:rPr>
                <w:rFonts w:hint="default" w:ascii="Times New Roman" w:hAnsi="Times New Roman" w:cs="Times New Roman"/>
                <w:color w:val="auto"/>
                <w:szCs w:val="21"/>
                <w:highlight w:val="none"/>
                <w:vertAlign w:val="subscript"/>
              </w:rPr>
              <w:t>01</w:t>
            </w:r>
          </w:p>
        </w:tc>
        <w:tc>
          <w:tcPr>
            <w:tcW w:w="900" w:type="dxa"/>
            <w:noWrap w:val="0"/>
            <w:vAlign w:val="center"/>
          </w:tcPr>
          <w:p w14:paraId="29988D0E">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p>
        </w:tc>
        <w:tc>
          <w:tcPr>
            <w:tcW w:w="648" w:type="dxa"/>
            <w:noWrap w:val="0"/>
            <w:vAlign w:val="center"/>
          </w:tcPr>
          <w:p w14:paraId="50B1019B">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B</w:t>
            </w:r>
            <w:r>
              <w:rPr>
                <w:rFonts w:hint="default" w:ascii="Times New Roman" w:hAnsi="Times New Roman" w:cs="Times New Roman"/>
                <w:color w:val="auto"/>
                <w:szCs w:val="21"/>
                <w:highlight w:val="none"/>
                <w:vertAlign w:val="subscript"/>
              </w:rPr>
              <w:t>1</w:t>
            </w:r>
          </w:p>
        </w:tc>
        <w:tc>
          <w:tcPr>
            <w:tcW w:w="1266" w:type="dxa"/>
            <w:noWrap w:val="0"/>
            <w:vAlign w:val="top"/>
          </w:tcPr>
          <w:p w14:paraId="7E729EBF">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至</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 xml:space="preserve">  </w:t>
            </w:r>
          </w:p>
        </w:tc>
        <w:tc>
          <w:tcPr>
            <w:tcW w:w="1630" w:type="dxa"/>
            <w:noWrap w:val="0"/>
            <w:vAlign w:val="top"/>
          </w:tcPr>
          <w:p w14:paraId="2DBEEB75">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p>
        </w:tc>
        <w:tc>
          <w:tcPr>
            <w:tcW w:w="1970" w:type="dxa"/>
            <w:noWrap w:val="0"/>
            <w:vAlign w:val="top"/>
          </w:tcPr>
          <w:p w14:paraId="0B0D58DA">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p>
        </w:tc>
      </w:tr>
      <w:tr w14:paraId="2E175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8" w:hRule="atLeast"/>
        </w:trPr>
        <w:tc>
          <w:tcPr>
            <w:tcW w:w="426" w:type="dxa"/>
            <w:vMerge w:val="continue"/>
            <w:noWrap w:val="0"/>
            <w:vAlign w:val="center"/>
          </w:tcPr>
          <w:p w14:paraId="5914AEB5">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p>
        </w:tc>
        <w:tc>
          <w:tcPr>
            <w:tcW w:w="872" w:type="dxa"/>
            <w:noWrap w:val="0"/>
            <w:vAlign w:val="center"/>
          </w:tcPr>
          <w:p w14:paraId="60FD0219">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钢材</w:t>
            </w:r>
          </w:p>
        </w:tc>
        <w:tc>
          <w:tcPr>
            <w:tcW w:w="748" w:type="dxa"/>
            <w:noWrap w:val="0"/>
            <w:vAlign w:val="center"/>
          </w:tcPr>
          <w:p w14:paraId="6B82965C">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F</w:t>
            </w:r>
            <w:r>
              <w:rPr>
                <w:rFonts w:hint="default" w:ascii="Times New Roman" w:hAnsi="Times New Roman" w:cs="Times New Roman"/>
                <w:color w:val="auto"/>
                <w:szCs w:val="21"/>
                <w:highlight w:val="none"/>
                <w:vertAlign w:val="subscript"/>
              </w:rPr>
              <w:t>02</w:t>
            </w:r>
          </w:p>
        </w:tc>
        <w:tc>
          <w:tcPr>
            <w:tcW w:w="900" w:type="dxa"/>
            <w:noWrap w:val="0"/>
            <w:vAlign w:val="center"/>
          </w:tcPr>
          <w:p w14:paraId="48817FB1">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p>
        </w:tc>
        <w:tc>
          <w:tcPr>
            <w:tcW w:w="648" w:type="dxa"/>
            <w:noWrap w:val="0"/>
            <w:vAlign w:val="center"/>
          </w:tcPr>
          <w:p w14:paraId="7E0AD0DF">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B</w:t>
            </w:r>
            <w:r>
              <w:rPr>
                <w:rFonts w:hint="default" w:ascii="Times New Roman" w:hAnsi="Times New Roman" w:cs="Times New Roman"/>
                <w:color w:val="auto"/>
                <w:szCs w:val="21"/>
                <w:highlight w:val="none"/>
                <w:vertAlign w:val="subscript"/>
              </w:rPr>
              <w:t>2</w:t>
            </w:r>
          </w:p>
        </w:tc>
        <w:tc>
          <w:tcPr>
            <w:tcW w:w="1266" w:type="dxa"/>
            <w:noWrap w:val="0"/>
            <w:vAlign w:val="top"/>
          </w:tcPr>
          <w:p w14:paraId="04907C44">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至</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 xml:space="preserve">  </w:t>
            </w:r>
          </w:p>
        </w:tc>
        <w:tc>
          <w:tcPr>
            <w:tcW w:w="1630" w:type="dxa"/>
            <w:noWrap w:val="0"/>
            <w:vAlign w:val="top"/>
          </w:tcPr>
          <w:p w14:paraId="7CEADC32">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p>
        </w:tc>
        <w:tc>
          <w:tcPr>
            <w:tcW w:w="1970" w:type="dxa"/>
            <w:noWrap w:val="0"/>
            <w:vAlign w:val="top"/>
          </w:tcPr>
          <w:p w14:paraId="59423B2E">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p>
        </w:tc>
      </w:tr>
      <w:tr w14:paraId="16819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trPr>
        <w:tc>
          <w:tcPr>
            <w:tcW w:w="426" w:type="dxa"/>
            <w:vMerge w:val="continue"/>
            <w:noWrap w:val="0"/>
            <w:vAlign w:val="center"/>
          </w:tcPr>
          <w:p w14:paraId="0716DBFF">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p>
        </w:tc>
        <w:tc>
          <w:tcPr>
            <w:tcW w:w="872" w:type="dxa"/>
            <w:noWrap w:val="0"/>
            <w:vAlign w:val="center"/>
          </w:tcPr>
          <w:p w14:paraId="210C957D">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水泥</w:t>
            </w:r>
          </w:p>
        </w:tc>
        <w:tc>
          <w:tcPr>
            <w:tcW w:w="748" w:type="dxa"/>
            <w:noWrap w:val="0"/>
            <w:vAlign w:val="center"/>
          </w:tcPr>
          <w:p w14:paraId="75784B1E">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F</w:t>
            </w:r>
            <w:r>
              <w:rPr>
                <w:rFonts w:hint="default" w:ascii="Times New Roman" w:hAnsi="Times New Roman" w:cs="Times New Roman"/>
                <w:color w:val="auto"/>
                <w:szCs w:val="21"/>
                <w:highlight w:val="none"/>
                <w:vertAlign w:val="subscript"/>
              </w:rPr>
              <w:t>03</w:t>
            </w:r>
          </w:p>
        </w:tc>
        <w:tc>
          <w:tcPr>
            <w:tcW w:w="900" w:type="dxa"/>
            <w:noWrap w:val="0"/>
            <w:vAlign w:val="center"/>
          </w:tcPr>
          <w:p w14:paraId="72B577B0">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p>
        </w:tc>
        <w:tc>
          <w:tcPr>
            <w:tcW w:w="648" w:type="dxa"/>
            <w:noWrap w:val="0"/>
            <w:vAlign w:val="center"/>
          </w:tcPr>
          <w:p w14:paraId="7803760F">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B</w:t>
            </w:r>
            <w:r>
              <w:rPr>
                <w:rFonts w:hint="default" w:ascii="Times New Roman" w:hAnsi="Times New Roman" w:cs="Times New Roman"/>
                <w:color w:val="auto"/>
                <w:szCs w:val="21"/>
                <w:highlight w:val="none"/>
                <w:vertAlign w:val="subscript"/>
              </w:rPr>
              <w:t>3</w:t>
            </w:r>
          </w:p>
        </w:tc>
        <w:tc>
          <w:tcPr>
            <w:tcW w:w="1266" w:type="dxa"/>
            <w:noWrap w:val="0"/>
            <w:vAlign w:val="top"/>
          </w:tcPr>
          <w:p w14:paraId="126DBA90">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至</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 xml:space="preserve">  </w:t>
            </w:r>
          </w:p>
        </w:tc>
        <w:tc>
          <w:tcPr>
            <w:tcW w:w="1630" w:type="dxa"/>
            <w:noWrap w:val="0"/>
            <w:vAlign w:val="top"/>
          </w:tcPr>
          <w:p w14:paraId="3427EAC6">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p>
        </w:tc>
        <w:tc>
          <w:tcPr>
            <w:tcW w:w="1970" w:type="dxa"/>
            <w:noWrap w:val="0"/>
            <w:vAlign w:val="top"/>
          </w:tcPr>
          <w:p w14:paraId="79225472">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p>
        </w:tc>
      </w:tr>
      <w:tr w14:paraId="46BE3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8" w:hRule="atLeast"/>
        </w:trPr>
        <w:tc>
          <w:tcPr>
            <w:tcW w:w="426" w:type="dxa"/>
            <w:vMerge w:val="continue"/>
            <w:noWrap w:val="0"/>
            <w:vAlign w:val="center"/>
          </w:tcPr>
          <w:p w14:paraId="42F81444">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p>
        </w:tc>
        <w:tc>
          <w:tcPr>
            <w:tcW w:w="872" w:type="dxa"/>
            <w:noWrap w:val="0"/>
            <w:vAlign w:val="center"/>
          </w:tcPr>
          <w:p w14:paraId="2BAAC1F1">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748" w:type="dxa"/>
            <w:noWrap w:val="0"/>
            <w:vAlign w:val="center"/>
          </w:tcPr>
          <w:p w14:paraId="00F68C33">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900" w:type="dxa"/>
            <w:noWrap w:val="0"/>
            <w:vAlign w:val="center"/>
          </w:tcPr>
          <w:p w14:paraId="3899BE28">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p>
        </w:tc>
        <w:tc>
          <w:tcPr>
            <w:tcW w:w="648" w:type="dxa"/>
            <w:noWrap w:val="0"/>
            <w:vAlign w:val="center"/>
          </w:tcPr>
          <w:p w14:paraId="4FB3B95D">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1266" w:type="dxa"/>
            <w:noWrap w:val="0"/>
            <w:vAlign w:val="top"/>
          </w:tcPr>
          <w:p w14:paraId="2FCF33B8">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1630" w:type="dxa"/>
            <w:noWrap w:val="0"/>
            <w:vAlign w:val="top"/>
          </w:tcPr>
          <w:p w14:paraId="7F7D6D8E">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p>
        </w:tc>
        <w:tc>
          <w:tcPr>
            <w:tcW w:w="1970" w:type="dxa"/>
            <w:noWrap w:val="0"/>
            <w:vAlign w:val="top"/>
          </w:tcPr>
          <w:p w14:paraId="613FC388">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p>
        </w:tc>
      </w:tr>
      <w:tr w14:paraId="78B47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9" w:hRule="atLeast"/>
        </w:trPr>
        <w:tc>
          <w:tcPr>
            <w:tcW w:w="426" w:type="dxa"/>
            <w:vMerge w:val="continue"/>
            <w:noWrap w:val="0"/>
            <w:vAlign w:val="center"/>
          </w:tcPr>
          <w:p w14:paraId="49EB18B7">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p>
        </w:tc>
        <w:tc>
          <w:tcPr>
            <w:tcW w:w="872" w:type="dxa"/>
            <w:noWrap w:val="0"/>
            <w:vAlign w:val="center"/>
          </w:tcPr>
          <w:p w14:paraId="05213AE3">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p>
        </w:tc>
        <w:tc>
          <w:tcPr>
            <w:tcW w:w="748" w:type="dxa"/>
            <w:noWrap w:val="0"/>
            <w:vAlign w:val="center"/>
          </w:tcPr>
          <w:p w14:paraId="377FF61E">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p>
        </w:tc>
        <w:tc>
          <w:tcPr>
            <w:tcW w:w="900" w:type="dxa"/>
            <w:noWrap w:val="0"/>
            <w:vAlign w:val="center"/>
          </w:tcPr>
          <w:p w14:paraId="66B150B7">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p>
        </w:tc>
        <w:tc>
          <w:tcPr>
            <w:tcW w:w="648" w:type="dxa"/>
            <w:noWrap w:val="0"/>
            <w:vAlign w:val="center"/>
          </w:tcPr>
          <w:p w14:paraId="68DFC699">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p>
        </w:tc>
        <w:tc>
          <w:tcPr>
            <w:tcW w:w="1266" w:type="dxa"/>
            <w:noWrap w:val="0"/>
            <w:vAlign w:val="top"/>
          </w:tcPr>
          <w:p w14:paraId="7055D27C">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p>
        </w:tc>
        <w:tc>
          <w:tcPr>
            <w:tcW w:w="1630" w:type="dxa"/>
            <w:noWrap w:val="0"/>
            <w:vAlign w:val="top"/>
          </w:tcPr>
          <w:p w14:paraId="02315F54">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p>
        </w:tc>
        <w:tc>
          <w:tcPr>
            <w:tcW w:w="1970" w:type="dxa"/>
            <w:noWrap w:val="0"/>
            <w:vAlign w:val="top"/>
          </w:tcPr>
          <w:p w14:paraId="49178048">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p>
        </w:tc>
      </w:tr>
      <w:tr w14:paraId="7A782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trPr>
        <w:tc>
          <w:tcPr>
            <w:tcW w:w="4860" w:type="dxa"/>
            <w:gridSpan w:val="6"/>
            <w:noWrap w:val="0"/>
            <w:vAlign w:val="center"/>
          </w:tcPr>
          <w:p w14:paraId="034B5355">
            <w:pPr>
              <w:pageBreakBefore w:val="0"/>
              <w:kinsoku/>
              <w:wordWrap w:val="0"/>
              <w:bidi w:val="0"/>
              <w:spacing w:before="480" w:beforeLines="200" w:after="480" w:afterLines="200" w:line="24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合        计</w:t>
            </w:r>
          </w:p>
        </w:tc>
        <w:tc>
          <w:tcPr>
            <w:tcW w:w="1630" w:type="dxa"/>
            <w:noWrap w:val="0"/>
            <w:vAlign w:val="center"/>
          </w:tcPr>
          <w:p w14:paraId="5EB25EC4">
            <w:pPr>
              <w:pageBreakBefore w:val="0"/>
              <w:kinsoku/>
              <w:wordWrap w:val="0"/>
              <w:bidi w:val="0"/>
              <w:spacing w:before="480" w:beforeLines="200" w:after="480" w:afterLines="200" w:line="24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1.00</w:t>
            </w:r>
          </w:p>
        </w:tc>
        <w:tc>
          <w:tcPr>
            <w:tcW w:w="1970" w:type="dxa"/>
            <w:noWrap w:val="0"/>
            <w:vAlign w:val="top"/>
          </w:tcPr>
          <w:p w14:paraId="76D294BF">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p>
        </w:tc>
      </w:tr>
    </w:tbl>
    <w:p w14:paraId="7CA47449">
      <w:pPr>
        <w:pageBreakBefore w:val="0"/>
        <w:kinsoku/>
        <w:wordWrap w:val="0"/>
        <w:bidi w:val="0"/>
        <w:spacing w:line="440" w:lineRule="exact"/>
        <w:rPr>
          <w:rFonts w:hint="default" w:ascii="Times New Roman" w:hAnsi="Times New Roman" w:eastAsia="黑体" w:cs="Times New Roman"/>
          <w:color w:val="auto"/>
          <w:sz w:val="24"/>
          <w:highlight w:val="none"/>
        </w:rPr>
      </w:pPr>
    </w:p>
    <w:p w14:paraId="1ED4A662">
      <w:pPr>
        <w:pageBreakBefore w:val="0"/>
        <w:kinsoku/>
        <w:wordWrap w:val="0"/>
        <w:bidi w:val="0"/>
        <w:spacing w:line="440" w:lineRule="exact"/>
        <w:jc w:val="center"/>
        <w:rPr>
          <w:rFonts w:hint="default" w:ascii="Times New Roman" w:hAnsi="Times New Roman" w:eastAsia="黑体" w:cs="Times New Roman"/>
          <w:color w:val="auto"/>
          <w:sz w:val="20"/>
          <w:szCs w:val="20"/>
          <w:highlight w:val="none"/>
        </w:rPr>
      </w:pPr>
    </w:p>
    <w:p w14:paraId="7FC56732">
      <w:pPr>
        <w:rPr>
          <w:rFonts w:hint="default" w:ascii="Times New Roman" w:hAnsi="Times New Roman" w:cs="Times New Roman"/>
          <w:color w:val="auto"/>
          <w:highlight w:val="none"/>
        </w:rPr>
      </w:pPr>
      <w:bookmarkStart w:id="1643" w:name="_Toc234833261"/>
    </w:p>
    <w:p w14:paraId="134D9F46">
      <w:pPr>
        <w:rPr>
          <w:rFonts w:hint="default" w:ascii="Times New Roman" w:hAnsi="Times New Roman" w:cs="Times New Roman"/>
          <w:color w:val="auto"/>
          <w:highlight w:val="none"/>
        </w:rPr>
      </w:pPr>
    </w:p>
    <w:p w14:paraId="50C60D6C">
      <w:pPr>
        <w:rPr>
          <w:rFonts w:hint="default" w:ascii="Times New Roman" w:hAnsi="Times New Roman" w:cs="Times New Roman"/>
          <w:color w:val="auto"/>
          <w:highlight w:val="none"/>
        </w:rPr>
      </w:pPr>
    </w:p>
    <w:p w14:paraId="2BDB5227">
      <w:pPr>
        <w:rPr>
          <w:rFonts w:hint="default" w:ascii="Times New Roman" w:hAnsi="Times New Roman" w:cs="Times New Roman"/>
          <w:color w:val="auto"/>
          <w:highlight w:val="none"/>
        </w:rPr>
      </w:pPr>
    </w:p>
    <w:p w14:paraId="38C6966E">
      <w:pPr>
        <w:rPr>
          <w:rFonts w:hint="default" w:ascii="Times New Roman" w:hAnsi="Times New Roman" w:cs="Times New Roman"/>
          <w:color w:val="auto"/>
          <w:highlight w:val="none"/>
        </w:rPr>
      </w:pPr>
    </w:p>
    <w:p w14:paraId="549AC373">
      <w:pPr>
        <w:rPr>
          <w:rFonts w:hint="default" w:ascii="Times New Roman" w:hAnsi="Times New Roman" w:cs="Times New Roman"/>
          <w:color w:val="auto"/>
          <w:highlight w:val="none"/>
        </w:rPr>
      </w:pPr>
    </w:p>
    <w:p w14:paraId="7E802969">
      <w:pPr>
        <w:rPr>
          <w:rFonts w:hint="default" w:ascii="Times New Roman" w:hAnsi="Times New Roman" w:cs="Times New Roman"/>
          <w:color w:val="auto"/>
          <w:highlight w:val="none"/>
        </w:rPr>
      </w:pPr>
    </w:p>
    <w:p w14:paraId="6B82B897">
      <w:pPr>
        <w:rPr>
          <w:rFonts w:hint="default" w:ascii="Times New Roman" w:hAnsi="Times New Roman" w:cs="Times New Roman"/>
          <w:color w:val="auto"/>
          <w:highlight w:val="none"/>
        </w:rPr>
      </w:pPr>
    </w:p>
    <w:p w14:paraId="02F80A6E">
      <w:pPr>
        <w:rPr>
          <w:rFonts w:hint="default" w:ascii="Times New Roman" w:hAnsi="Times New Roman" w:cs="Times New Roman"/>
          <w:color w:val="auto"/>
          <w:highlight w:val="none"/>
        </w:rPr>
      </w:pPr>
    </w:p>
    <w:p w14:paraId="7CDF3D84">
      <w:pPr>
        <w:rPr>
          <w:rFonts w:hint="default" w:ascii="Times New Roman" w:hAnsi="Times New Roman" w:cs="Times New Roman"/>
          <w:color w:val="auto"/>
          <w:highlight w:val="none"/>
        </w:rPr>
      </w:pPr>
    </w:p>
    <w:p w14:paraId="42C62720">
      <w:pPr>
        <w:rPr>
          <w:rFonts w:hint="default" w:ascii="Times New Roman" w:hAnsi="Times New Roman" w:cs="Times New Roman"/>
          <w:color w:val="auto"/>
          <w:highlight w:val="none"/>
        </w:rPr>
      </w:pPr>
    </w:p>
    <w:p w14:paraId="46B56DAC">
      <w:pPr>
        <w:jc w:val="center"/>
        <w:rPr>
          <w:rFonts w:hint="default" w:ascii="Times New Roman" w:hAnsi="Times New Roman" w:cs="Times New Roman"/>
          <w:color w:val="auto"/>
          <w:highlight w:val="none"/>
        </w:rPr>
      </w:pPr>
    </w:p>
    <w:p w14:paraId="7E7671D6">
      <w:pPr>
        <w:pStyle w:val="6"/>
        <w:pageBreakBefore w:val="0"/>
        <w:kinsoku/>
        <w:wordWrap w:val="0"/>
        <w:bidi w:val="0"/>
        <w:spacing w:before="0" w:after="0" w:line="400" w:lineRule="atLeast"/>
        <w:jc w:val="center"/>
        <w:outlineLvl w:val="3"/>
        <w:rPr>
          <w:rFonts w:hint="default" w:ascii="Times New Roman" w:hAnsi="Times New Roman" w:eastAsia="黑体" w:cs="Times New Roman"/>
          <w:b w:val="0"/>
          <w:i w:val="0"/>
          <w:iCs/>
          <w:color w:val="auto"/>
          <w:sz w:val="30"/>
          <w:szCs w:val="30"/>
          <w:highlight w:val="none"/>
        </w:rPr>
      </w:pPr>
      <w:bookmarkStart w:id="1644" w:name="_Toc458576166"/>
      <w:bookmarkStart w:id="1645" w:name="_Toc112032692"/>
      <w:bookmarkStart w:id="1646" w:name="_Toc26154"/>
      <w:bookmarkStart w:id="1647" w:name="_Toc12173"/>
      <w:bookmarkStart w:id="1648" w:name="_Toc500352763"/>
      <w:bookmarkStart w:id="1649" w:name="_Toc10083"/>
      <w:bookmarkStart w:id="1650" w:name="_Toc438571660"/>
      <w:bookmarkStart w:id="1651" w:name="_Toc14724"/>
      <w:bookmarkStart w:id="1652" w:name="_Toc137074942"/>
      <w:r>
        <w:rPr>
          <w:rFonts w:hint="default" w:ascii="Times New Roman" w:hAnsi="Times New Roman" w:eastAsia="黑体" w:cs="Times New Roman"/>
          <w:b w:val="0"/>
          <w:i w:val="0"/>
          <w:iCs/>
          <w:color w:val="auto"/>
          <w:sz w:val="30"/>
          <w:szCs w:val="30"/>
          <w:highlight w:val="none"/>
        </w:rPr>
        <w:t>二、授权委托书或法定代表人身份证明</w:t>
      </w:r>
      <w:bookmarkEnd w:id="1644"/>
      <w:bookmarkEnd w:id="1645"/>
      <w:bookmarkEnd w:id="1646"/>
      <w:bookmarkEnd w:id="1647"/>
      <w:bookmarkEnd w:id="1648"/>
      <w:bookmarkEnd w:id="1649"/>
      <w:bookmarkEnd w:id="1650"/>
      <w:bookmarkEnd w:id="1651"/>
      <w:bookmarkEnd w:id="1652"/>
    </w:p>
    <w:p w14:paraId="1B3A5021">
      <w:pPr>
        <w:rPr>
          <w:rFonts w:hint="default" w:ascii="Times New Roman" w:hAnsi="Times New Roman" w:eastAsia="黑体" w:cs="Times New Roman"/>
          <w:color w:val="auto"/>
          <w:szCs w:val="21"/>
          <w:highlight w:val="none"/>
        </w:rPr>
      </w:pPr>
    </w:p>
    <w:p w14:paraId="28DADF5F">
      <w:pPr>
        <w:rPr>
          <w:rFonts w:hint="default" w:ascii="Times New Roman" w:hAnsi="Times New Roman" w:eastAsia="黑体" w:cs="Times New Roman"/>
          <w:color w:val="auto"/>
          <w:szCs w:val="21"/>
          <w:highlight w:val="none"/>
        </w:rPr>
      </w:pPr>
    </w:p>
    <w:p w14:paraId="128109C5">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注：①如果由投标人的委托代理人签署投标文件，则只须按要求提供《授权委托书》；</w:t>
      </w:r>
    </w:p>
    <w:p w14:paraId="7071914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②如果由投标人的法定代表人签署投标文件，则只须按要求提供《法定代表人身份证明》。</w:t>
      </w:r>
    </w:p>
    <w:p w14:paraId="76D4B175">
      <w:pPr>
        <w:spacing w:line="360" w:lineRule="auto"/>
        <w:ind w:firstLine="480" w:firstLineChars="200"/>
        <w:rPr>
          <w:rFonts w:hint="default" w:ascii="Times New Roman" w:hAnsi="Times New Roman" w:eastAsia="黑体" w:cs="Times New Roman"/>
          <w:color w:val="auto"/>
          <w:sz w:val="24"/>
          <w:highlight w:val="none"/>
        </w:rPr>
      </w:pPr>
    </w:p>
    <w:p w14:paraId="550CBA50">
      <w:pPr>
        <w:keepNext/>
        <w:keepLines/>
        <w:widowControl/>
        <w:tabs>
          <w:tab w:val="left" w:pos="1440"/>
        </w:tabs>
        <w:wordWrap w:val="0"/>
        <w:topLinePunct/>
        <w:spacing w:line="440" w:lineRule="exact"/>
        <w:jc w:val="center"/>
        <w:outlineLvl w:val="9"/>
        <w:rPr>
          <w:rFonts w:hint="default" w:ascii="Times New Roman" w:hAnsi="Times New Roman" w:eastAsia="黑体" w:cs="Times New Roman"/>
          <w:bCs/>
          <w:color w:val="auto"/>
          <w:kern w:val="0"/>
          <w:sz w:val="24"/>
          <w:highlight w:val="none"/>
        </w:rPr>
      </w:pPr>
      <w:r>
        <w:rPr>
          <w:rFonts w:hint="default" w:ascii="Times New Roman" w:hAnsi="Times New Roman" w:cs="Times New Roman"/>
          <w:color w:val="auto"/>
          <w:highlight w:val="none"/>
        </w:rPr>
        <w:br w:type="page"/>
      </w:r>
      <w:bookmarkStart w:id="1653" w:name="_Toc483640988"/>
      <w:bookmarkStart w:id="1654" w:name="_Toc495663699"/>
      <w:bookmarkStart w:id="1655" w:name="_Toc500352764"/>
      <w:r>
        <w:rPr>
          <w:rFonts w:hint="default" w:ascii="Times New Roman" w:hAnsi="Times New Roman" w:eastAsia="黑体" w:cs="Times New Roman"/>
          <w:bCs/>
          <w:color w:val="auto"/>
          <w:kern w:val="0"/>
          <w:sz w:val="24"/>
          <w:highlight w:val="none"/>
        </w:rPr>
        <w:t>（一）授权委托书</w:t>
      </w:r>
    </w:p>
    <w:p w14:paraId="038A0921">
      <w:pPr>
        <w:topLinePunct/>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（姓名）系</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（投标人名称）的法定代表人，现委托</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（姓名）为我方代理人。代理人根据授权，以我方名义签署、澄清确认、递交、撤回、修改</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（项目名称）</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u w:val="none"/>
        </w:rPr>
        <w:t>（标段名称）</w:t>
      </w:r>
      <w:r>
        <w:rPr>
          <w:rFonts w:hint="default" w:ascii="Times New Roman" w:hAnsi="Times New Roman" w:cs="Times New Roman"/>
          <w:color w:val="auto"/>
          <w:sz w:val="24"/>
          <w:highlight w:val="none"/>
        </w:rPr>
        <w:t>施工投标文件、签订合同和处理有关事宜，其法律后果由我方承担。</w:t>
      </w:r>
    </w:p>
    <w:p w14:paraId="5AD697BB">
      <w:pPr>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委托期限：自本委托书签署之日起至投标有效期期满。</w:t>
      </w:r>
    </w:p>
    <w:p w14:paraId="55AF018B">
      <w:pPr>
        <w:wordWrap w:val="0"/>
        <w:topLinePunct/>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代理人无转委托权。</w:t>
      </w:r>
    </w:p>
    <w:p w14:paraId="60A612CD">
      <w:pPr>
        <w:wordWrap w:val="0"/>
        <w:topLinePunct/>
        <w:spacing w:line="440" w:lineRule="exact"/>
        <w:ind w:firstLine="480" w:firstLineChars="200"/>
        <w:rPr>
          <w:rFonts w:hint="default" w:ascii="Times New Roman" w:hAnsi="Times New Roman" w:cs="Times New Roman"/>
          <w:color w:val="auto"/>
          <w:sz w:val="24"/>
          <w:highlight w:val="none"/>
        </w:rPr>
      </w:pPr>
    </w:p>
    <w:p w14:paraId="3DC63226">
      <w:pPr>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法定代表人身份证</w:t>
      </w:r>
      <w:r>
        <w:rPr>
          <w:rFonts w:hint="eastAsia" w:eastAsia="黑体" w:cs="Times New Roman"/>
          <w:color w:val="auto"/>
          <w:sz w:val="24"/>
          <w:highlight w:val="none"/>
          <w:lang w:val="en-US" w:eastAsia="zh-CN"/>
        </w:rPr>
        <w:t>原件扫描件</w:t>
      </w:r>
      <w:r>
        <w:rPr>
          <w:rFonts w:hint="default" w:ascii="Times New Roman" w:hAnsi="Times New Roman" w:eastAsia="黑体" w:cs="Times New Roman"/>
          <w:color w:val="auto"/>
          <w:sz w:val="24"/>
          <w:highlight w:val="none"/>
        </w:rPr>
        <w:t xml:space="preserve">       </w:t>
      </w:r>
      <w:r>
        <w:rPr>
          <w:rFonts w:hint="eastAsia" w:eastAsia="黑体" w:cs="Times New Roman"/>
          <w:color w:val="auto"/>
          <w:sz w:val="24"/>
          <w:highlight w:val="none"/>
          <w:lang w:val="en-US" w:eastAsia="zh-CN"/>
        </w:rPr>
        <w:t xml:space="preserve">      </w:t>
      </w:r>
      <w:r>
        <w:rPr>
          <w:rFonts w:hint="default" w:ascii="Times New Roman" w:hAnsi="Times New Roman" w:eastAsia="黑体" w:cs="Times New Roman"/>
          <w:color w:val="auto"/>
          <w:sz w:val="24"/>
          <w:highlight w:val="none"/>
        </w:rPr>
        <w:t>委托代理人身份证</w:t>
      </w:r>
      <w:r>
        <w:rPr>
          <w:rFonts w:hint="eastAsia" w:eastAsia="黑体" w:cs="Times New Roman"/>
          <w:color w:val="auto"/>
          <w:sz w:val="24"/>
          <w:highlight w:val="none"/>
          <w:lang w:val="en-US" w:eastAsia="zh-CN"/>
        </w:rPr>
        <w:t>原件扫描件</w:t>
      </w:r>
    </w:p>
    <w:tbl>
      <w:tblPr>
        <w:tblStyle w:val="40"/>
        <w:tblW w:w="92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5"/>
        <w:gridCol w:w="4644"/>
      </w:tblGrid>
      <w:tr w14:paraId="2A558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8" w:hRule="atLeast"/>
        </w:trPr>
        <w:tc>
          <w:tcPr>
            <w:tcW w:w="4645" w:type="dxa"/>
            <w:vAlign w:val="center"/>
          </w:tcPr>
          <w:p w14:paraId="1FED8FF0">
            <w:pPr>
              <w:topLinePunct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（国徽面）</w:t>
            </w:r>
          </w:p>
        </w:tc>
        <w:tc>
          <w:tcPr>
            <w:tcW w:w="4644" w:type="dxa"/>
            <w:vAlign w:val="center"/>
          </w:tcPr>
          <w:p w14:paraId="04A5607C">
            <w:pPr>
              <w:topLinePunct/>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（国徽面）</w:t>
            </w:r>
          </w:p>
        </w:tc>
      </w:tr>
      <w:tr w14:paraId="62BDB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8" w:hRule="atLeast"/>
        </w:trPr>
        <w:tc>
          <w:tcPr>
            <w:tcW w:w="4645" w:type="dxa"/>
            <w:vAlign w:val="center"/>
          </w:tcPr>
          <w:p w14:paraId="1B5788A6">
            <w:pPr>
              <w:topLinePunct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（人像面）</w:t>
            </w:r>
          </w:p>
        </w:tc>
        <w:tc>
          <w:tcPr>
            <w:tcW w:w="4644" w:type="dxa"/>
            <w:vAlign w:val="center"/>
          </w:tcPr>
          <w:p w14:paraId="03963C8C">
            <w:pPr>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（人像面）</w:t>
            </w:r>
          </w:p>
        </w:tc>
      </w:tr>
    </w:tbl>
    <w:p w14:paraId="6CB2013E">
      <w:pPr>
        <w:wordWrap w:val="0"/>
        <w:topLinePunct/>
        <w:spacing w:line="440" w:lineRule="exact"/>
        <w:rPr>
          <w:rFonts w:hint="default" w:ascii="Times New Roman" w:hAnsi="Times New Roman" w:cs="Times New Roman"/>
          <w:color w:val="auto"/>
          <w:sz w:val="24"/>
          <w:highlight w:val="none"/>
        </w:rPr>
      </w:pPr>
    </w:p>
    <w:p w14:paraId="7208679C">
      <w:pPr>
        <w:keepNext w:val="0"/>
        <w:keepLines w:val="0"/>
        <w:pageBreakBefore w:val="0"/>
        <w:widowControl w:val="0"/>
        <w:kinsoku/>
        <w:wordWrap w:val="0"/>
        <w:overflowPunct/>
        <w:topLinePunct/>
        <w:autoSpaceDE/>
        <w:autoSpaceDN/>
        <w:bidi w:val="0"/>
        <w:adjustRightInd/>
        <w:snapToGrid/>
        <w:spacing w:line="400" w:lineRule="atLeast"/>
        <w:ind w:firstLine="1920" w:firstLineChars="8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投标人：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（全称） （</w:t>
      </w:r>
      <w:r>
        <w:rPr>
          <w:rFonts w:hint="default" w:ascii="Times New Roman" w:hAnsi="Times New Roman" w:cs="Times New Roman"/>
          <w:color w:val="auto"/>
          <w:sz w:val="24"/>
          <w:highlight w:val="none"/>
          <w:lang w:val="en-US" w:eastAsia="zh-CN"/>
        </w:rPr>
        <w:t>盖单位电子印章</w:t>
      </w:r>
      <w:r>
        <w:rPr>
          <w:rFonts w:hint="default" w:ascii="Times New Roman" w:hAnsi="Times New Roman" w:cs="Times New Roman"/>
          <w:color w:val="auto"/>
          <w:sz w:val="24"/>
          <w:highlight w:val="none"/>
        </w:rPr>
        <w:t>）</w:t>
      </w:r>
    </w:p>
    <w:p w14:paraId="5A9A9D02">
      <w:pPr>
        <w:keepNext w:val="0"/>
        <w:keepLines w:val="0"/>
        <w:pageBreakBefore w:val="0"/>
        <w:widowControl w:val="0"/>
        <w:kinsoku/>
        <w:wordWrap w:val="0"/>
        <w:overflowPunct/>
        <w:topLinePunct/>
        <w:autoSpaceDE/>
        <w:autoSpaceDN/>
        <w:bidi w:val="0"/>
        <w:adjustRightInd/>
        <w:snapToGrid/>
        <w:spacing w:line="400" w:lineRule="atLeast"/>
        <w:ind w:firstLine="1920" w:firstLineChars="8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法定代表人：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（个人</w:t>
      </w:r>
      <w:r>
        <w:rPr>
          <w:rFonts w:hint="eastAsia" w:cs="Times New Roman"/>
          <w:color w:val="auto"/>
          <w:sz w:val="24"/>
          <w:highlight w:val="none"/>
          <w:lang w:eastAsia="zh-CN"/>
        </w:rPr>
        <w:t>电子签名</w:t>
      </w:r>
      <w:r>
        <w:rPr>
          <w:rFonts w:hint="default" w:ascii="Times New Roman" w:hAnsi="Times New Roman" w:cs="Times New Roman"/>
          <w:color w:val="auto"/>
          <w:sz w:val="24"/>
          <w:highlight w:val="none"/>
        </w:rPr>
        <w:t>或个人电子印章）</w:t>
      </w:r>
    </w:p>
    <w:p w14:paraId="1142A1C5">
      <w:pPr>
        <w:keepNext w:val="0"/>
        <w:keepLines w:val="0"/>
        <w:pageBreakBefore w:val="0"/>
        <w:widowControl w:val="0"/>
        <w:kinsoku/>
        <w:wordWrap w:val="0"/>
        <w:overflowPunct/>
        <w:topLinePunct/>
        <w:autoSpaceDE/>
        <w:autoSpaceDN/>
        <w:bidi w:val="0"/>
        <w:adjustRightInd/>
        <w:snapToGrid/>
        <w:spacing w:line="400" w:lineRule="atLeast"/>
        <w:ind w:firstLine="1920" w:firstLineChars="800"/>
        <w:textAlignment w:val="auto"/>
        <w:rPr>
          <w:rFonts w:hint="default" w:ascii="Times New Roman" w:hAnsi="Times New Roman" w:cs="Times New Roman"/>
          <w:color w:val="auto"/>
          <w:sz w:val="24"/>
          <w:highlight w:val="none"/>
          <w:u w:val="single"/>
        </w:rPr>
      </w:pPr>
      <w:r>
        <w:rPr>
          <w:rFonts w:hint="default" w:ascii="Times New Roman" w:hAnsi="Times New Roman" w:cs="Times New Roman"/>
          <w:color w:val="auto"/>
          <w:sz w:val="24"/>
          <w:highlight w:val="none"/>
        </w:rPr>
        <w:t>身份证号码：</w:t>
      </w:r>
      <w:r>
        <w:rPr>
          <w:rFonts w:hint="default" w:ascii="Times New Roman" w:hAnsi="Times New Roman" w:cs="Times New Roman"/>
          <w:color w:val="auto"/>
          <w:sz w:val="24"/>
          <w:highlight w:val="none"/>
          <w:u w:val="single"/>
        </w:rPr>
        <w:t xml:space="preserve">                   </w:t>
      </w:r>
    </w:p>
    <w:p w14:paraId="129BB46C">
      <w:pPr>
        <w:keepNext w:val="0"/>
        <w:keepLines w:val="0"/>
        <w:pageBreakBefore w:val="0"/>
        <w:widowControl w:val="0"/>
        <w:kinsoku/>
        <w:wordWrap w:val="0"/>
        <w:overflowPunct/>
        <w:topLinePunct/>
        <w:autoSpaceDE/>
        <w:autoSpaceDN/>
        <w:bidi w:val="0"/>
        <w:adjustRightInd/>
        <w:snapToGrid/>
        <w:spacing w:line="400" w:lineRule="atLeast"/>
        <w:ind w:firstLine="1920" w:firstLineChars="800"/>
        <w:textAlignment w:val="auto"/>
        <w:rPr>
          <w:rFonts w:hint="default" w:ascii="Times New Roman" w:hAnsi="Times New Roman" w:cs="Times New Roman"/>
          <w:color w:val="auto"/>
          <w:sz w:val="24"/>
          <w:highlight w:val="none"/>
        </w:rPr>
      </w:pPr>
    </w:p>
    <w:p w14:paraId="09A91419">
      <w:pPr>
        <w:keepNext w:val="0"/>
        <w:keepLines w:val="0"/>
        <w:pageBreakBefore w:val="0"/>
        <w:widowControl w:val="0"/>
        <w:kinsoku/>
        <w:wordWrap w:val="0"/>
        <w:overflowPunct/>
        <w:topLinePunct/>
        <w:autoSpaceDE/>
        <w:autoSpaceDN/>
        <w:bidi w:val="0"/>
        <w:adjustRightInd/>
        <w:snapToGrid/>
        <w:spacing w:line="400" w:lineRule="atLeast"/>
        <w:ind w:firstLine="1920" w:firstLineChars="8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委托代理人：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（个人</w:t>
      </w:r>
      <w:r>
        <w:rPr>
          <w:rFonts w:hint="eastAsia" w:cs="Times New Roman"/>
          <w:color w:val="auto"/>
          <w:sz w:val="24"/>
          <w:highlight w:val="none"/>
          <w:lang w:eastAsia="zh-CN"/>
        </w:rPr>
        <w:t>电子签名</w:t>
      </w:r>
      <w:r>
        <w:rPr>
          <w:rFonts w:hint="default" w:ascii="Times New Roman" w:hAnsi="Times New Roman" w:cs="Times New Roman"/>
          <w:color w:val="auto"/>
          <w:sz w:val="24"/>
          <w:highlight w:val="none"/>
        </w:rPr>
        <w:t>或个人电子印章）</w:t>
      </w:r>
    </w:p>
    <w:p w14:paraId="75FC87CD">
      <w:pPr>
        <w:keepNext w:val="0"/>
        <w:keepLines w:val="0"/>
        <w:pageBreakBefore w:val="0"/>
        <w:widowControl w:val="0"/>
        <w:kinsoku/>
        <w:wordWrap w:val="0"/>
        <w:overflowPunct/>
        <w:topLinePunct/>
        <w:autoSpaceDE/>
        <w:autoSpaceDN/>
        <w:bidi w:val="0"/>
        <w:adjustRightInd/>
        <w:snapToGrid/>
        <w:spacing w:line="400" w:lineRule="atLeast"/>
        <w:ind w:firstLine="1920" w:firstLineChars="8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身份证号码：</w:t>
      </w:r>
      <w:r>
        <w:rPr>
          <w:rFonts w:hint="default" w:ascii="Times New Roman" w:hAnsi="Times New Roman" w:cs="Times New Roman"/>
          <w:color w:val="auto"/>
          <w:sz w:val="24"/>
          <w:highlight w:val="none"/>
          <w:u w:val="single"/>
        </w:rPr>
        <w:t xml:space="preserve">                            </w:t>
      </w:r>
    </w:p>
    <w:p w14:paraId="7708B68C">
      <w:pPr>
        <w:wordWrap w:val="0"/>
        <w:topLinePunct/>
        <w:spacing w:line="400" w:lineRule="atLeast"/>
        <w:ind w:left="418" w:leftChars="199" w:firstLine="3720" w:firstLineChars="155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年 </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月 </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 日</w:t>
      </w:r>
    </w:p>
    <w:p w14:paraId="7000BB06">
      <w:pPr>
        <w:wordWrap w:val="0"/>
        <w:topLinePunct/>
        <w:spacing w:line="400" w:lineRule="atLeast"/>
        <w:ind w:firstLine="420" w:firstLineChars="200"/>
        <w:rPr>
          <w:rFonts w:hint="default" w:ascii="Times New Roman" w:hAnsi="Times New Roman" w:eastAsia="黑体" w:cs="Times New Roman"/>
          <w:color w:val="auto"/>
          <w:szCs w:val="21"/>
          <w:highlight w:val="none"/>
        </w:rPr>
      </w:pPr>
    </w:p>
    <w:p w14:paraId="54DE23B9">
      <w:pPr>
        <w:wordWrap w:val="0"/>
        <w:topLinePunct/>
        <w:spacing w:line="400" w:lineRule="atLeast"/>
        <w:ind w:firstLine="420" w:firstLineChars="200"/>
        <w:rPr>
          <w:rFonts w:hint="default" w:ascii="Times New Roman" w:hAnsi="Times New Roman" w:eastAsia="黑体" w:cs="Times New Roman"/>
          <w:color w:val="auto"/>
          <w:szCs w:val="21"/>
          <w:highlight w:val="none"/>
        </w:rPr>
      </w:pPr>
      <w:r>
        <w:rPr>
          <w:rFonts w:hint="default" w:ascii="Times New Roman" w:hAnsi="Times New Roman" w:cs="Times New Roman"/>
          <w:color w:val="auto"/>
          <w:kern w:val="2"/>
          <w:sz w:val="21"/>
          <w:szCs w:val="21"/>
          <w:highlight w:val="none"/>
        </w:rPr>
        <w:t>注：</w:t>
      </w:r>
      <w:r>
        <w:rPr>
          <w:rFonts w:hint="default" w:ascii="Times New Roman" w:hAnsi="Times New Roman" w:cs="Times New Roman"/>
          <w:color w:val="auto"/>
          <w:szCs w:val="21"/>
          <w:highlight w:val="none"/>
        </w:rPr>
        <w:t>以联合体形式投标的，本授权委托书应由联合体牵头人的法定代表人按上述规定签署。</w:t>
      </w:r>
    </w:p>
    <w:p w14:paraId="1791B4B3">
      <w:pPr>
        <w:spacing w:line="360" w:lineRule="auto"/>
        <w:ind w:firstLine="3360"/>
        <w:jc w:val="right"/>
        <w:rPr>
          <w:rFonts w:hint="default" w:ascii="Times New Roman" w:hAnsi="Times New Roman" w:eastAsia="仿宋_GB2312" w:cs="Times New Roman"/>
          <w:color w:val="auto"/>
          <w:sz w:val="32"/>
          <w:szCs w:val="32"/>
          <w:highlight w:val="none"/>
        </w:rPr>
      </w:pPr>
    </w:p>
    <w:p w14:paraId="7E075929">
      <w:pPr>
        <w:rPr>
          <w:rFonts w:hint="default" w:ascii="Times New Roman" w:hAnsi="Times New Roman" w:eastAsia="黑体" w:cs="Times New Roman"/>
          <w:bCs/>
          <w:color w:val="auto"/>
          <w:kern w:val="0"/>
          <w:sz w:val="24"/>
          <w:highlight w:val="none"/>
        </w:rPr>
      </w:pPr>
      <w:r>
        <w:rPr>
          <w:rFonts w:hint="default" w:ascii="Times New Roman" w:hAnsi="Times New Roman" w:eastAsia="黑体" w:cs="Times New Roman"/>
          <w:bCs/>
          <w:color w:val="auto"/>
          <w:kern w:val="0"/>
          <w:sz w:val="24"/>
          <w:highlight w:val="none"/>
        </w:rPr>
        <w:br w:type="page"/>
      </w:r>
    </w:p>
    <w:p w14:paraId="1A0AE75B">
      <w:pPr>
        <w:keepNext/>
        <w:keepLines/>
        <w:widowControl/>
        <w:tabs>
          <w:tab w:val="left" w:pos="1440"/>
        </w:tabs>
        <w:wordWrap w:val="0"/>
        <w:topLinePunct/>
        <w:spacing w:line="440" w:lineRule="exact"/>
        <w:jc w:val="center"/>
        <w:outlineLvl w:val="9"/>
        <w:rPr>
          <w:rFonts w:hint="default" w:ascii="Times New Roman" w:hAnsi="Times New Roman" w:eastAsia="黑体" w:cs="Times New Roman"/>
          <w:bCs/>
          <w:color w:val="auto"/>
          <w:kern w:val="0"/>
          <w:sz w:val="24"/>
          <w:highlight w:val="none"/>
        </w:rPr>
      </w:pPr>
      <w:r>
        <w:rPr>
          <w:rFonts w:hint="default" w:ascii="Times New Roman" w:hAnsi="Times New Roman" w:eastAsia="黑体" w:cs="Times New Roman"/>
          <w:bCs/>
          <w:color w:val="auto"/>
          <w:kern w:val="0"/>
          <w:sz w:val="24"/>
          <w:highlight w:val="none"/>
        </w:rPr>
        <w:t>（二）法定代表人身份证明</w:t>
      </w:r>
      <w:bookmarkEnd w:id="1653"/>
      <w:bookmarkEnd w:id="1654"/>
      <w:bookmarkEnd w:id="1655"/>
    </w:p>
    <w:p w14:paraId="331F0BCB">
      <w:pPr>
        <w:rPr>
          <w:rFonts w:hint="default" w:ascii="Times New Roman" w:hAnsi="Times New Roman" w:cs="Times New Roman"/>
          <w:color w:val="auto"/>
          <w:highlight w:val="none"/>
        </w:rPr>
      </w:pPr>
    </w:p>
    <w:p w14:paraId="1610D116">
      <w:pPr>
        <w:rPr>
          <w:rFonts w:hint="default" w:ascii="Times New Roman" w:hAnsi="Times New Roman" w:cs="Times New Roman"/>
          <w:color w:val="auto"/>
          <w:highlight w:val="none"/>
        </w:rPr>
      </w:pPr>
    </w:p>
    <w:p w14:paraId="1741E7BA">
      <w:pPr>
        <w:wordWrap w:val="0"/>
        <w:topLinePunct/>
        <w:spacing w:line="440" w:lineRule="exact"/>
        <w:rPr>
          <w:rFonts w:hint="default" w:ascii="Times New Roman" w:hAnsi="Times New Roman" w:cs="Times New Roman"/>
          <w:color w:val="auto"/>
          <w:sz w:val="24"/>
          <w:highlight w:val="none"/>
        </w:rPr>
      </w:pPr>
      <w:bookmarkStart w:id="1656" w:name="_Toc29148"/>
      <w:bookmarkStart w:id="1657" w:name="_Toc21278"/>
      <w:r>
        <w:rPr>
          <w:rFonts w:hint="default" w:ascii="Times New Roman" w:hAnsi="Times New Roman" w:cs="Times New Roman"/>
          <w:color w:val="auto"/>
          <w:sz w:val="24"/>
          <w:highlight w:val="none"/>
        </w:rPr>
        <w:t>投标人名称：</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 </w:t>
      </w:r>
    </w:p>
    <w:p w14:paraId="3402290F">
      <w:pPr>
        <w:wordWrap w:val="0"/>
        <w:topLinePunct/>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姓名：</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bCs/>
          <w:color w:val="auto"/>
          <w:sz w:val="24"/>
          <w:highlight w:val="none"/>
          <w:u w:val="single"/>
        </w:rPr>
        <w:t>（法定代表人个人</w:t>
      </w:r>
      <w:r>
        <w:rPr>
          <w:rFonts w:hint="eastAsia" w:cs="Times New Roman"/>
          <w:bCs/>
          <w:color w:val="auto"/>
          <w:sz w:val="24"/>
          <w:highlight w:val="none"/>
          <w:u w:val="single"/>
          <w:lang w:eastAsia="zh-CN"/>
        </w:rPr>
        <w:t>电子签名</w:t>
      </w:r>
      <w:r>
        <w:rPr>
          <w:rFonts w:hint="default" w:ascii="Times New Roman" w:hAnsi="Times New Roman" w:cs="Times New Roman"/>
          <w:bCs/>
          <w:color w:val="auto"/>
          <w:sz w:val="24"/>
          <w:highlight w:val="none"/>
          <w:u w:val="single"/>
        </w:rPr>
        <w:t>或个人电子印章）</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 性别：</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 年龄：</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职务：</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系</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 （投标人名称）的法定代表人。</w:t>
      </w:r>
    </w:p>
    <w:p w14:paraId="524AD98B">
      <w:pPr>
        <w:wordWrap w:val="0"/>
        <w:topLinePunct/>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特此证明。</w:t>
      </w:r>
    </w:p>
    <w:p w14:paraId="12467B6D">
      <w:pPr>
        <w:wordWrap w:val="0"/>
        <w:topLinePunct/>
        <w:spacing w:line="440" w:lineRule="exact"/>
        <w:rPr>
          <w:rFonts w:hint="default" w:ascii="Times New Roman" w:hAnsi="Times New Roman" w:cs="Times New Roman"/>
          <w:color w:val="auto"/>
          <w:sz w:val="24"/>
          <w:highlight w:val="none"/>
        </w:rPr>
      </w:pPr>
    </w:p>
    <w:p w14:paraId="011AC195">
      <w:pPr>
        <w:topLinePunct/>
        <w:spacing w:line="440" w:lineRule="exact"/>
        <w:jc w:val="center"/>
        <w:outlineLvl w:val="9"/>
        <w:rPr>
          <w:rFonts w:hint="default" w:ascii="Times New Roman" w:hAnsi="Times New Roman" w:eastAsia="黑体" w:cs="Times New Roman"/>
          <w:color w:val="auto"/>
          <w:sz w:val="24"/>
          <w:highlight w:val="none"/>
          <w:lang w:val="en-US" w:eastAsia="zh-CN"/>
        </w:rPr>
      </w:pPr>
      <w:bookmarkStart w:id="1658" w:name="_Toc15500"/>
      <w:r>
        <w:rPr>
          <w:rFonts w:hint="default" w:ascii="Times New Roman" w:hAnsi="Times New Roman" w:eastAsia="黑体" w:cs="Times New Roman"/>
          <w:color w:val="auto"/>
          <w:sz w:val="24"/>
          <w:highlight w:val="none"/>
        </w:rPr>
        <w:t>法定代表人身份证</w:t>
      </w:r>
      <w:r>
        <w:rPr>
          <w:rFonts w:hint="eastAsia" w:eastAsia="黑体" w:cs="Times New Roman"/>
          <w:color w:val="auto"/>
          <w:sz w:val="24"/>
          <w:highlight w:val="none"/>
          <w:lang w:val="en-US" w:eastAsia="zh-CN"/>
        </w:rPr>
        <w:t>原件扫描件</w:t>
      </w:r>
      <w:bookmarkEnd w:id="1658"/>
    </w:p>
    <w:p w14:paraId="1CCC7511">
      <w:pPr>
        <w:ind w:firstLine="420"/>
        <w:rPr>
          <w:rFonts w:hint="default" w:ascii="Times New Roman" w:hAnsi="Times New Roman" w:cs="Times New Roman"/>
          <w:color w:val="auto"/>
          <w:highlight w:val="none"/>
        </w:rPr>
      </w:pPr>
    </w:p>
    <w:tbl>
      <w:tblPr>
        <w:tblStyle w:val="40"/>
        <w:tblW w:w="92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5"/>
        <w:gridCol w:w="4644"/>
      </w:tblGrid>
      <w:tr w14:paraId="79C5E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4" w:hRule="atLeast"/>
        </w:trPr>
        <w:tc>
          <w:tcPr>
            <w:tcW w:w="4645" w:type="dxa"/>
            <w:vAlign w:val="center"/>
          </w:tcPr>
          <w:p w14:paraId="5C8C9686">
            <w:pPr>
              <w:wordWrap w:val="0"/>
              <w:topLinePunct/>
              <w:spacing w:line="440" w:lineRule="exact"/>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w:t>
            </w:r>
            <w:r>
              <w:rPr>
                <w:rFonts w:hint="eastAsia" w:cs="Times New Roman"/>
                <w:color w:val="auto"/>
                <w:sz w:val="24"/>
                <w:highlight w:val="none"/>
                <w:lang w:val="en-US" w:eastAsia="zh-CN"/>
              </w:rPr>
              <w:t>国徽面</w:t>
            </w:r>
            <w:r>
              <w:rPr>
                <w:rFonts w:hint="default" w:ascii="Times New Roman" w:hAnsi="Times New Roman" w:cs="Times New Roman"/>
                <w:color w:val="auto"/>
                <w:sz w:val="24"/>
                <w:highlight w:val="none"/>
              </w:rPr>
              <w:t>）</w:t>
            </w:r>
          </w:p>
        </w:tc>
        <w:tc>
          <w:tcPr>
            <w:tcW w:w="4644" w:type="dxa"/>
            <w:vAlign w:val="center"/>
          </w:tcPr>
          <w:p w14:paraId="111B8C00">
            <w:pPr>
              <w:wordWrap w:val="0"/>
              <w:topLinePunct/>
              <w:spacing w:line="440" w:lineRule="exact"/>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w:t>
            </w:r>
            <w:r>
              <w:rPr>
                <w:rFonts w:hint="eastAsia" w:cs="Times New Roman"/>
                <w:color w:val="auto"/>
                <w:sz w:val="24"/>
                <w:highlight w:val="none"/>
                <w:lang w:val="en-US" w:eastAsia="zh-CN"/>
              </w:rPr>
              <w:t>人像面</w:t>
            </w:r>
            <w:r>
              <w:rPr>
                <w:rFonts w:hint="default" w:ascii="Times New Roman" w:hAnsi="Times New Roman" w:cs="Times New Roman"/>
                <w:color w:val="auto"/>
                <w:sz w:val="24"/>
                <w:highlight w:val="none"/>
              </w:rPr>
              <w:t>）</w:t>
            </w:r>
          </w:p>
        </w:tc>
      </w:tr>
    </w:tbl>
    <w:p w14:paraId="171E0117">
      <w:pPr>
        <w:wordWrap w:val="0"/>
        <w:topLinePunct/>
        <w:spacing w:line="440" w:lineRule="exact"/>
        <w:rPr>
          <w:rFonts w:hint="default" w:ascii="Times New Roman" w:hAnsi="Times New Roman" w:cs="Times New Roman"/>
          <w:color w:val="auto"/>
          <w:sz w:val="24"/>
          <w:highlight w:val="none"/>
        </w:rPr>
      </w:pPr>
    </w:p>
    <w:p w14:paraId="296851BC">
      <w:pPr>
        <w:wordWrap w:val="0"/>
        <w:topLinePunct/>
        <w:spacing w:line="440" w:lineRule="exact"/>
        <w:rPr>
          <w:rFonts w:hint="default" w:ascii="Times New Roman" w:hAnsi="Times New Roman" w:cs="Times New Roman"/>
          <w:color w:val="auto"/>
          <w:sz w:val="24"/>
          <w:highlight w:val="none"/>
        </w:rPr>
      </w:pPr>
    </w:p>
    <w:p w14:paraId="055C6AFA">
      <w:pPr>
        <w:wordWrap w:val="0"/>
        <w:topLinePunct/>
        <w:spacing w:line="440" w:lineRule="exact"/>
        <w:rPr>
          <w:rFonts w:hint="default" w:ascii="Times New Roman" w:hAnsi="Times New Roman" w:cs="Times New Roman"/>
          <w:color w:val="auto"/>
          <w:sz w:val="24"/>
          <w:highlight w:val="none"/>
        </w:rPr>
      </w:pPr>
    </w:p>
    <w:p w14:paraId="21E0AE5F">
      <w:pPr>
        <w:wordWrap w:val="0"/>
        <w:topLinePunct/>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投标人：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（全称） （盖单位</w:t>
      </w:r>
      <w:r>
        <w:rPr>
          <w:rFonts w:hint="default" w:ascii="Times New Roman" w:hAnsi="Times New Roman" w:cs="Times New Roman"/>
          <w:color w:val="auto"/>
          <w:sz w:val="24"/>
          <w:highlight w:val="none"/>
          <w:lang w:val="en-US" w:eastAsia="zh-CN"/>
        </w:rPr>
        <w:t>电子印</w:t>
      </w:r>
      <w:r>
        <w:rPr>
          <w:rFonts w:hint="default" w:ascii="Times New Roman" w:hAnsi="Times New Roman" w:cs="Times New Roman"/>
          <w:color w:val="auto"/>
          <w:sz w:val="24"/>
          <w:highlight w:val="none"/>
        </w:rPr>
        <w:t>章）</w:t>
      </w:r>
    </w:p>
    <w:p w14:paraId="6D807BC9">
      <w:pPr>
        <w:wordWrap w:val="0"/>
        <w:topLinePunct/>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月</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日</w:t>
      </w:r>
    </w:p>
    <w:p w14:paraId="4298F57C">
      <w:pPr>
        <w:wordWrap w:val="0"/>
        <w:topLinePunct/>
        <w:spacing w:line="440" w:lineRule="exact"/>
        <w:rPr>
          <w:rFonts w:hint="default" w:ascii="Times New Roman" w:hAnsi="Times New Roman" w:eastAsia="黑体" w:cs="Times New Roman"/>
          <w:color w:val="auto"/>
          <w:sz w:val="24"/>
          <w:highlight w:val="none"/>
        </w:rPr>
      </w:pPr>
    </w:p>
    <w:p w14:paraId="220CAA96">
      <w:pPr>
        <w:wordWrap w:val="0"/>
        <w:topLinePunct/>
        <w:spacing w:line="440" w:lineRule="exact"/>
        <w:rPr>
          <w:rFonts w:hint="default" w:ascii="Times New Roman" w:hAnsi="Times New Roman" w:eastAsia="黑体" w:cs="Times New Roman"/>
          <w:color w:val="auto"/>
          <w:sz w:val="24"/>
          <w:highlight w:val="none"/>
        </w:rPr>
      </w:pPr>
    </w:p>
    <w:p w14:paraId="626B4713">
      <w:pPr>
        <w:wordWrap w:val="0"/>
        <w:topLinePunct/>
        <w:spacing w:line="400" w:lineRule="atLeast"/>
        <w:ind w:firstLine="420" w:firstLineChars="200"/>
        <w:rPr>
          <w:rFonts w:hint="default" w:ascii="Times New Roman" w:hAnsi="Times New Roman" w:eastAsia="黑体" w:cs="Times New Roman"/>
          <w:color w:val="auto"/>
          <w:szCs w:val="21"/>
          <w:highlight w:val="none"/>
        </w:rPr>
      </w:pPr>
      <w:r>
        <w:rPr>
          <w:rFonts w:hint="default" w:ascii="Times New Roman" w:hAnsi="Times New Roman" w:cs="Times New Roman"/>
          <w:color w:val="auto"/>
          <w:kern w:val="2"/>
          <w:sz w:val="21"/>
          <w:szCs w:val="21"/>
          <w:highlight w:val="none"/>
        </w:rPr>
        <w:t>注：</w:t>
      </w:r>
      <w:r>
        <w:rPr>
          <w:rFonts w:hint="default" w:ascii="Times New Roman" w:hAnsi="Times New Roman" w:cs="Times New Roman"/>
          <w:color w:val="auto"/>
          <w:szCs w:val="21"/>
          <w:highlight w:val="none"/>
        </w:rPr>
        <w:t>以联合体形式投标的，本法定代表人身份证明应由联合体牵头人的法定代表人按上述规定签署。</w:t>
      </w:r>
    </w:p>
    <w:p w14:paraId="446C2935">
      <w:pPr>
        <w:pStyle w:val="2"/>
        <w:pageBreakBefore w:val="0"/>
        <w:kinsoku/>
        <w:wordWrap w:val="0"/>
        <w:overflowPunct/>
        <w:bidi w:val="0"/>
        <w:spacing w:beforeLines="150" w:afterLines="100" w:line="380" w:lineRule="atLeast"/>
        <w:jc w:val="center"/>
        <w:outlineLvl w:val="9"/>
        <w:rPr>
          <w:rFonts w:hint="default" w:ascii="Times New Roman" w:hAnsi="Times New Roman" w:eastAsia="黑体" w:cs="Times New Roman"/>
          <w:color w:val="auto"/>
          <w:sz w:val="28"/>
          <w:szCs w:val="28"/>
          <w:highlight w:val="none"/>
        </w:rPr>
        <w:sectPr>
          <w:headerReference r:id="rId39" w:type="even"/>
          <w:footnotePr>
            <w:numFmt w:val="decimalEnclosedCircleChinese"/>
            <w:numRestart w:val="eachPage"/>
          </w:footnotePr>
          <w:type w:val="continuous"/>
          <w:pgSz w:w="11906" w:h="16838"/>
          <w:pgMar w:top="1588" w:right="1644" w:bottom="1474" w:left="1701" w:header="851" w:footer="851" w:gutter="0"/>
          <w:pgNumType w:fmt="decimal"/>
          <w:cols w:space="425" w:num="1"/>
          <w:docGrid w:linePitch="312" w:charSpace="0"/>
        </w:sectPr>
      </w:pPr>
    </w:p>
    <w:p w14:paraId="433B2795">
      <w:pPr>
        <w:pStyle w:val="6"/>
        <w:pageBreakBefore w:val="0"/>
        <w:kinsoku/>
        <w:wordWrap w:val="0"/>
        <w:bidi w:val="0"/>
        <w:spacing w:before="0" w:after="0" w:line="400" w:lineRule="atLeast"/>
        <w:jc w:val="center"/>
        <w:outlineLvl w:val="3"/>
        <w:rPr>
          <w:rFonts w:hint="default" w:ascii="Times New Roman" w:hAnsi="Times New Roman" w:eastAsia="黑体" w:cs="Times New Roman"/>
          <w:b w:val="0"/>
          <w:i w:val="0"/>
          <w:iCs/>
          <w:color w:val="auto"/>
          <w:sz w:val="30"/>
          <w:szCs w:val="30"/>
          <w:highlight w:val="none"/>
        </w:rPr>
      </w:pPr>
      <w:r>
        <w:rPr>
          <w:rFonts w:hint="default" w:ascii="Times New Roman" w:hAnsi="Times New Roman" w:eastAsia="黑体" w:cs="Times New Roman"/>
          <w:b w:val="0"/>
          <w:i w:val="0"/>
          <w:iCs/>
          <w:color w:val="auto"/>
          <w:sz w:val="30"/>
          <w:szCs w:val="30"/>
          <w:highlight w:val="none"/>
        </w:rPr>
        <w:t>三、联合体协议书</w:t>
      </w:r>
      <w:r>
        <w:rPr>
          <w:rFonts w:hint="default" w:ascii="Times New Roman" w:hAnsi="Times New Roman" w:eastAsia="黑体" w:cs="Times New Roman"/>
          <w:b w:val="0"/>
          <w:i w:val="0"/>
          <w:iCs/>
          <w:color w:val="auto"/>
          <w:sz w:val="30"/>
          <w:szCs w:val="30"/>
          <w:highlight w:val="none"/>
          <w:vertAlign w:val="superscript"/>
        </w:rPr>
        <w:footnoteReference w:id="49"/>
      </w:r>
      <w:bookmarkEnd w:id="1643"/>
      <w:bookmarkEnd w:id="1656"/>
      <w:bookmarkEnd w:id="1657"/>
    </w:p>
    <w:p w14:paraId="4555BF17">
      <w:pPr>
        <w:pageBreakBefore w:val="0"/>
        <w:kinsoku/>
        <w:wordWrap w:val="0"/>
        <w:bidi w:val="0"/>
        <w:spacing w:line="440" w:lineRule="exact"/>
        <w:jc w:val="center"/>
        <w:rPr>
          <w:rFonts w:hint="default" w:ascii="Times New Roman" w:hAnsi="Times New Roman" w:eastAsia="黑体" w:cs="Times New Roman"/>
          <w:color w:val="auto"/>
          <w:sz w:val="24"/>
          <w:highlight w:val="none"/>
        </w:rPr>
      </w:pPr>
    </w:p>
    <w:p w14:paraId="61C68373">
      <w:pPr>
        <w:pageBreakBefore w:val="0"/>
        <w:kinsoku/>
        <w:wordWrap w:val="0"/>
        <w:bidi w:val="0"/>
        <w:spacing w:line="400" w:lineRule="atLeast"/>
        <w:ind w:firstLine="360"/>
        <w:rPr>
          <w:rFonts w:hint="default" w:ascii="Times New Roman" w:hAnsi="Times New Roman" w:cs="Times New Roman"/>
          <w:color w:val="auto"/>
          <w:sz w:val="24"/>
          <w:highlight w:val="none"/>
        </w:rPr>
      </w:pPr>
      <w:bookmarkStart w:id="1659" w:name="_Toc234833262"/>
      <w:bookmarkStart w:id="1660" w:name="_Toc21516"/>
      <w:bookmarkStart w:id="1661" w:name="_Toc25301"/>
      <w:r>
        <w:rPr>
          <w:rFonts w:hint="default" w:ascii="Times New Roman" w:hAnsi="Times New Roman" w:eastAsia="黑体" w:cs="Times New Roman"/>
          <w:color w:val="auto"/>
          <w:sz w:val="24"/>
          <w:highlight w:val="none"/>
          <w:u w:val="single"/>
        </w:rPr>
        <w:t xml:space="preserve">                </w:t>
      </w:r>
      <w:r>
        <w:rPr>
          <w:rFonts w:hint="default" w:ascii="Times New Roman" w:hAnsi="Times New Roman" w:eastAsia="黑体" w:cs="Times New Roman"/>
          <w:color w:val="auto"/>
          <w:sz w:val="24"/>
          <w:highlight w:val="none"/>
        </w:rPr>
        <w:t>（</w:t>
      </w:r>
      <w:r>
        <w:rPr>
          <w:rFonts w:hint="default" w:ascii="Times New Roman" w:hAnsi="Times New Roman" w:cs="Times New Roman"/>
          <w:color w:val="auto"/>
          <w:sz w:val="24"/>
          <w:highlight w:val="none"/>
        </w:rPr>
        <w:t>所有成员单位名称）自愿组成</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（联合体名称）联合体，共同参加</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（项目名称）</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val="en-US" w:eastAsia="zh-CN"/>
        </w:rPr>
        <w:t>标段</w:t>
      </w:r>
      <w:r>
        <w:rPr>
          <w:rFonts w:hint="default" w:ascii="Times New Roman" w:hAnsi="Times New Roman" w:cs="Times New Roman"/>
          <w:color w:val="auto"/>
          <w:sz w:val="24"/>
          <w:highlight w:val="none"/>
        </w:rPr>
        <w:t>名称）施工投标。现就联合体投标事宜订立如下协议。</w:t>
      </w:r>
    </w:p>
    <w:p w14:paraId="0C6459A5">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（某成员单位名称）为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（联合体名称）牵头人。</w:t>
      </w:r>
    </w:p>
    <w:p w14:paraId="16E39F79">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2.联合体各成员授权牵头人代表联合体参加投标活动，签署文件，提交和接收相</w:t>
      </w:r>
      <w:bookmarkStart w:id="1662" w:name="_Toc152045790"/>
      <w:bookmarkStart w:id="1663" w:name="_Toc384308378"/>
      <w:bookmarkStart w:id="1664" w:name="_Toc247514249"/>
      <w:bookmarkStart w:id="1665" w:name="_Toc247527830"/>
      <w:bookmarkStart w:id="1666" w:name="_Toc152042579"/>
      <w:bookmarkStart w:id="1667" w:name="_Toc300835212"/>
      <w:bookmarkStart w:id="1668" w:name="_Toc361508755"/>
      <w:bookmarkStart w:id="1669" w:name="_Toc144974859"/>
      <w:r>
        <w:rPr>
          <w:rFonts w:hint="default" w:ascii="Times New Roman" w:hAnsi="Times New Roman" w:cs="Times New Roman"/>
          <w:color w:val="auto"/>
          <w:sz w:val="24"/>
          <w:highlight w:val="none"/>
        </w:rPr>
        <w:t>关的</w:t>
      </w:r>
      <w:bookmarkStart w:id="1670" w:name="_Toc352691664"/>
      <w:bookmarkStart w:id="1671" w:name="_Toc7749"/>
      <w:bookmarkStart w:id="1672" w:name="_Toc369531700"/>
      <w:r>
        <w:rPr>
          <w:rFonts w:hint="default" w:ascii="Times New Roman" w:hAnsi="Times New Roman" w:cs="Times New Roman"/>
          <w:color w:val="auto"/>
          <w:sz w:val="24"/>
          <w:highlight w:val="none"/>
        </w:rPr>
        <w:t>资料、信息及</w:t>
      </w:r>
      <w:bookmarkEnd w:id="1670"/>
      <w:bookmarkEnd w:id="1671"/>
      <w:bookmarkEnd w:id="1672"/>
      <w:r>
        <w:rPr>
          <w:rFonts w:hint="default" w:ascii="Times New Roman" w:hAnsi="Times New Roman" w:cs="Times New Roman"/>
          <w:color w:val="auto"/>
          <w:sz w:val="24"/>
          <w:highlight w:val="none"/>
        </w:rPr>
        <w:t>指</w:t>
      </w:r>
      <w:bookmarkEnd w:id="1662"/>
      <w:bookmarkEnd w:id="1663"/>
      <w:bookmarkEnd w:id="1664"/>
      <w:bookmarkEnd w:id="1665"/>
      <w:bookmarkEnd w:id="1666"/>
      <w:bookmarkEnd w:id="1667"/>
      <w:bookmarkEnd w:id="1668"/>
      <w:bookmarkEnd w:id="1669"/>
      <w:r>
        <w:rPr>
          <w:rFonts w:hint="default" w:ascii="Times New Roman" w:hAnsi="Times New Roman" w:cs="Times New Roman"/>
          <w:color w:val="auto"/>
          <w:sz w:val="24"/>
          <w:highlight w:val="none"/>
        </w:rPr>
        <w:t>示，进行合同谈判活动，负责合同实施阶段的组织和协调工作，以及处理与本招标项目有关的一切事宜。</w:t>
      </w:r>
    </w:p>
    <w:p w14:paraId="5822A898">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3.联合体牵头人在本项目中签署的一切文件和处理的一切事宜，联合体各成员均予以承认。联合体各成员将严格按照招标文件、投标文件和合同的要求全面履行义务，并向招标人承担连带责任。</w:t>
      </w:r>
    </w:p>
    <w:p w14:paraId="5FDC54ED">
      <w:pPr>
        <w:pageBreakBefore w:val="0"/>
        <w:kinsoku/>
        <w:wordWrap w:val="0"/>
        <w:topLinePunct/>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4.联合体各成员单位内部的职责分工如下：</w:t>
      </w:r>
      <w:r>
        <w:rPr>
          <w:rFonts w:hint="default" w:ascii="Times New Roman" w:hAnsi="Times New Roman" w:cs="Times New Roman"/>
          <w:color w:val="auto"/>
          <w:sz w:val="24"/>
          <w:highlight w:val="none"/>
          <w:u w:val="single"/>
        </w:rPr>
        <w:t>（牵头人名称）</w:t>
      </w:r>
      <w:r>
        <w:rPr>
          <w:rFonts w:hint="default" w:ascii="Times New Roman" w:hAnsi="Times New Roman" w:cs="Times New Roman"/>
          <w:color w:val="auto"/>
          <w:sz w:val="24"/>
          <w:highlight w:val="none"/>
        </w:rPr>
        <w:t>承担</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专业工程，占总工程量的</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w:t>
      </w:r>
      <w:r>
        <w:rPr>
          <w:rStyle w:val="48"/>
          <w:rFonts w:hint="default" w:ascii="Times New Roman" w:hAnsi="Times New Roman" w:cs="Times New Roman"/>
          <w:color w:val="auto"/>
          <w:sz w:val="24"/>
          <w:highlight w:val="none"/>
        </w:rPr>
        <w:footnoteReference w:id="50"/>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u w:val="single"/>
        </w:rPr>
        <w:t>（成员一名称）</w:t>
      </w:r>
      <w:r>
        <w:rPr>
          <w:rFonts w:hint="default" w:ascii="Times New Roman" w:hAnsi="Times New Roman" w:cs="Times New Roman"/>
          <w:color w:val="auto"/>
          <w:sz w:val="24"/>
          <w:highlight w:val="none"/>
        </w:rPr>
        <w:t>承担</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专业工程，占总工程量的</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w:t>
      </w:r>
    </w:p>
    <w:p w14:paraId="7F4F11C2">
      <w:pPr>
        <w:pageBreakBefore w:val="0"/>
        <w:kinsoku/>
        <w:wordWrap w:val="0"/>
        <w:topLinePunct/>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5.投标工作和联合体在中标后工程实施过程中的有关费用按各自承担的工作量分摊。</w:t>
      </w:r>
    </w:p>
    <w:p w14:paraId="48756149">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6.本协议书自所有成员单位法定代表人签字并加盖单位章之日起生效，合同履行完毕后自动失效。</w:t>
      </w:r>
    </w:p>
    <w:p w14:paraId="47E616AF">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bookmarkStart w:id="1673" w:name="_Toc26822"/>
      <w:bookmarkStart w:id="1674" w:name="_Toc8257"/>
      <w:r>
        <w:rPr>
          <w:rFonts w:hint="default" w:ascii="Times New Roman" w:hAnsi="Times New Roman" w:cs="Times New Roman"/>
          <w:color w:val="auto"/>
          <w:sz w:val="24"/>
          <w:highlight w:val="none"/>
        </w:rPr>
        <w:t>7.本协议书一式</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份，联合体成员和招标人各执一份。</w:t>
      </w:r>
      <w:bookmarkEnd w:id="1673"/>
      <w:bookmarkEnd w:id="1674"/>
    </w:p>
    <w:p w14:paraId="4EA061D9">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p>
    <w:p w14:paraId="7F979ABA">
      <w:pPr>
        <w:topLinePunct/>
        <w:spacing w:line="400" w:lineRule="atLeast"/>
        <w:ind w:firstLine="470" w:firstLineChars="196"/>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联合体牵头人名称：</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（盖单位章</w:t>
      </w:r>
      <w:r>
        <w:rPr>
          <w:rFonts w:hint="default" w:ascii="Times New Roman" w:hAnsi="Times New Roman" w:cs="Times New Roman"/>
          <w:color w:val="auto"/>
          <w:sz w:val="24"/>
          <w:highlight w:val="none"/>
          <w:lang w:val="en-US" w:eastAsia="zh-CN"/>
        </w:rPr>
        <w:t>或盖单位电子印章</w:t>
      </w:r>
      <w:r>
        <w:rPr>
          <w:rFonts w:hint="default" w:ascii="Times New Roman" w:hAnsi="Times New Roman" w:cs="Times New Roman"/>
          <w:color w:val="auto"/>
          <w:sz w:val="24"/>
          <w:highlight w:val="none"/>
        </w:rPr>
        <w:t>）</w:t>
      </w:r>
    </w:p>
    <w:p w14:paraId="203AA59C">
      <w:pPr>
        <w:topLinePunct/>
        <w:spacing w:line="400" w:lineRule="atLeast"/>
        <w:ind w:firstLine="470" w:firstLineChars="196"/>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法定代表人：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（签字</w:t>
      </w:r>
      <w:r>
        <w:rPr>
          <w:rFonts w:hint="default" w:ascii="Times New Roman" w:hAnsi="Times New Roman" w:cs="Times New Roman"/>
          <w:color w:val="auto"/>
          <w:sz w:val="24"/>
          <w:highlight w:val="none"/>
          <w:lang w:val="en-US" w:eastAsia="zh-CN"/>
        </w:rPr>
        <w:t>或</w:t>
      </w:r>
      <w:r>
        <w:rPr>
          <w:rFonts w:hint="default" w:ascii="Times New Roman" w:hAnsi="Times New Roman" w:cs="Times New Roman"/>
          <w:color w:val="auto"/>
          <w:sz w:val="24"/>
          <w:highlight w:val="none"/>
        </w:rPr>
        <w:t>个人</w:t>
      </w:r>
      <w:r>
        <w:rPr>
          <w:rFonts w:hint="eastAsia" w:cs="Times New Roman"/>
          <w:color w:val="auto"/>
          <w:sz w:val="24"/>
          <w:highlight w:val="none"/>
          <w:lang w:eastAsia="zh-CN"/>
        </w:rPr>
        <w:t>电子签名</w:t>
      </w:r>
      <w:r>
        <w:rPr>
          <w:rFonts w:hint="default" w:ascii="Times New Roman" w:hAnsi="Times New Roman" w:cs="Times New Roman"/>
          <w:color w:val="auto"/>
          <w:sz w:val="24"/>
          <w:highlight w:val="none"/>
        </w:rPr>
        <w:t>或个人电子印章）</w:t>
      </w:r>
    </w:p>
    <w:p w14:paraId="25A17274">
      <w:pPr>
        <w:topLinePunct/>
        <w:spacing w:line="400" w:lineRule="atLeast"/>
        <w:ind w:firstLine="411" w:firstLineChars="196"/>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 </w:t>
      </w:r>
    </w:p>
    <w:p w14:paraId="6125465C">
      <w:pPr>
        <w:topLinePunct/>
        <w:spacing w:line="400" w:lineRule="atLeast"/>
        <w:ind w:firstLine="470" w:firstLineChars="196"/>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联合体成员名称：</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（盖单位章</w:t>
      </w:r>
      <w:r>
        <w:rPr>
          <w:rFonts w:hint="default" w:ascii="Times New Roman" w:hAnsi="Times New Roman" w:cs="Times New Roman"/>
          <w:color w:val="auto"/>
          <w:sz w:val="24"/>
          <w:highlight w:val="none"/>
          <w:lang w:val="en-US" w:eastAsia="zh-CN"/>
        </w:rPr>
        <w:t>或盖单位电子印章</w:t>
      </w:r>
      <w:r>
        <w:rPr>
          <w:rFonts w:hint="default" w:ascii="Times New Roman" w:hAnsi="Times New Roman" w:cs="Times New Roman"/>
          <w:color w:val="auto"/>
          <w:sz w:val="24"/>
          <w:highlight w:val="none"/>
        </w:rPr>
        <w:t>）</w:t>
      </w:r>
    </w:p>
    <w:p w14:paraId="1A27E645">
      <w:pPr>
        <w:pageBreakBefore w:val="0"/>
        <w:kinsoku/>
        <w:wordWrap w:val="0"/>
        <w:overflowPunct/>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法定代表人：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u w:val="single"/>
          <w:lang w:val="en-US" w:eastAsia="zh-CN"/>
        </w:rPr>
        <w:t xml:space="preserve">     </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（签字</w:t>
      </w:r>
      <w:r>
        <w:rPr>
          <w:rFonts w:hint="default" w:ascii="Times New Roman" w:hAnsi="Times New Roman" w:cs="Times New Roman"/>
          <w:color w:val="auto"/>
          <w:sz w:val="24"/>
          <w:highlight w:val="none"/>
          <w:lang w:val="en-US" w:eastAsia="zh-CN"/>
        </w:rPr>
        <w:t>或</w:t>
      </w:r>
      <w:r>
        <w:rPr>
          <w:rFonts w:hint="default" w:ascii="Times New Roman" w:hAnsi="Times New Roman" w:cs="Times New Roman"/>
          <w:color w:val="auto"/>
          <w:sz w:val="24"/>
          <w:highlight w:val="none"/>
        </w:rPr>
        <w:t>个人</w:t>
      </w:r>
      <w:r>
        <w:rPr>
          <w:rFonts w:hint="eastAsia" w:cs="Times New Roman"/>
          <w:color w:val="auto"/>
          <w:sz w:val="24"/>
          <w:highlight w:val="none"/>
          <w:lang w:eastAsia="zh-CN"/>
        </w:rPr>
        <w:t>电子签名</w:t>
      </w:r>
      <w:r>
        <w:rPr>
          <w:rFonts w:hint="default" w:ascii="Times New Roman" w:hAnsi="Times New Roman" w:cs="Times New Roman"/>
          <w:color w:val="auto"/>
          <w:sz w:val="24"/>
          <w:highlight w:val="none"/>
        </w:rPr>
        <w:t>或个人电子印章）</w:t>
      </w:r>
    </w:p>
    <w:p w14:paraId="33A9CB52">
      <w:pPr>
        <w:pageBreakBefore w:val="0"/>
        <w:kinsoku/>
        <w:wordWrap w:val="0"/>
        <w:overflowPunct/>
        <w:bidi w:val="0"/>
        <w:spacing w:line="400" w:lineRule="atLeast"/>
        <w:ind w:firstLine="480" w:firstLineChars="200"/>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w:t>
      </w:r>
    </w:p>
    <w:p w14:paraId="06C6FB8A">
      <w:pPr>
        <w:pageBreakBefore w:val="0"/>
        <w:kinsoku/>
        <w:wordWrap w:val="0"/>
        <w:bidi w:val="0"/>
        <w:spacing w:line="400" w:lineRule="atLeast"/>
        <w:ind w:firstLine="4620" w:firstLineChars="1925"/>
        <w:rPr>
          <w:rFonts w:hint="default" w:ascii="Times New Roman" w:hAnsi="Times New Roman" w:eastAsia="黑体" w:cs="Times New Roman"/>
          <w:color w:val="auto"/>
          <w:sz w:val="24"/>
          <w:highlight w:val="none"/>
          <w:u w:val="single"/>
        </w:rPr>
      </w:pP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年 </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月</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日</w:t>
      </w:r>
    </w:p>
    <w:p w14:paraId="33C4BDDD">
      <w:pPr>
        <w:pStyle w:val="6"/>
        <w:pageBreakBefore w:val="0"/>
        <w:kinsoku/>
        <w:wordWrap w:val="0"/>
        <w:bidi w:val="0"/>
        <w:spacing w:before="0" w:after="0" w:line="400" w:lineRule="atLeast"/>
        <w:jc w:val="center"/>
        <w:outlineLvl w:val="3"/>
        <w:rPr>
          <w:rFonts w:hint="default" w:ascii="Times New Roman" w:hAnsi="Times New Roman" w:eastAsia="黑体" w:cs="Times New Roman"/>
          <w:b w:val="0"/>
          <w:i w:val="0"/>
          <w:iCs/>
          <w:color w:val="auto"/>
          <w:sz w:val="30"/>
          <w:szCs w:val="30"/>
          <w:highlight w:val="none"/>
        </w:rPr>
      </w:pPr>
      <w:r>
        <w:rPr>
          <w:rFonts w:hint="default" w:ascii="Times New Roman" w:hAnsi="Times New Roman" w:eastAsia="黑体" w:cs="Times New Roman"/>
          <w:b w:val="0"/>
          <w:color w:val="auto"/>
          <w:sz w:val="28"/>
          <w:szCs w:val="28"/>
          <w:highlight w:val="none"/>
        </w:rPr>
        <w:br w:type="page"/>
      </w:r>
      <w:r>
        <w:rPr>
          <w:rFonts w:hint="default" w:ascii="Times New Roman" w:hAnsi="Times New Roman" w:eastAsia="黑体" w:cs="Times New Roman"/>
          <w:b w:val="0"/>
          <w:i w:val="0"/>
          <w:iCs/>
          <w:color w:val="auto"/>
          <w:sz w:val="30"/>
          <w:szCs w:val="30"/>
          <w:highlight w:val="none"/>
        </w:rPr>
        <w:t>四、投标保证金</w:t>
      </w:r>
      <w:bookmarkEnd w:id="1659"/>
      <w:bookmarkEnd w:id="1660"/>
      <w:bookmarkEnd w:id="1661"/>
    </w:p>
    <w:p w14:paraId="1B4F15C8">
      <w:pPr>
        <w:pageBreakBefore w:val="0"/>
        <w:kinsoku/>
        <w:wordWrap w:val="0"/>
        <w:bidi w:val="0"/>
        <w:spacing w:line="440" w:lineRule="exact"/>
        <w:jc w:val="center"/>
        <w:rPr>
          <w:rFonts w:hint="default" w:ascii="Times New Roman" w:hAnsi="Times New Roman" w:eastAsia="黑体" w:cs="Times New Roman"/>
          <w:color w:val="auto"/>
          <w:sz w:val="28"/>
          <w:szCs w:val="28"/>
          <w:highlight w:val="none"/>
        </w:rPr>
      </w:pPr>
    </w:p>
    <w:p w14:paraId="4C1EA4DF">
      <w:pPr>
        <w:spacing w:line="400" w:lineRule="atLeast"/>
        <w:ind w:firstLine="508" w:firstLineChars="212"/>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若采用现金，投标人应在此提供汇款凭证的</w:t>
      </w:r>
      <w:r>
        <w:rPr>
          <w:rFonts w:hint="eastAsia" w:cs="Times New Roman"/>
          <w:color w:val="auto"/>
          <w:sz w:val="24"/>
          <w:highlight w:val="none"/>
          <w:lang w:val="en-US" w:eastAsia="zh-CN"/>
        </w:rPr>
        <w:t>原件扫描件</w:t>
      </w:r>
      <w:r>
        <w:rPr>
          <w:rFonts w:hint="default" w:ascii="Times New Roman" w:hAnsi="Times New Roman" w:cs="Times New Roman"/>
          <w:color w:val="auto"/>
          <w:sz w:val="24"/>
          <w:highlight w:val="none"/>
        </w:rPr>
        <w:t>。</w:t>
      </w:r>
    </w:p>
    <w:p w14:paraId="6B8B6226">
      <w:pPr>
        <w:spacing w:line="400" w:lineRule="exact"/>
        <w:ind w:firstLine="480" w:firstLineChars="200"/>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若采用电子保函，</w:t>
      </w:r>
      <w:r>
        <w:rPr>
          <w:rFonts w:hint="default" w:ascii="Times New Roman" w:hAnsi="Times New Roman" w:cs="Times New Roman"/>
          <w:color w:val="auto"/>
          <w:sz w:val="24"/>
          <w:highlight w:val="none"/>
        </w:rPr>
        <w:t>投标人应在此提供</w:t>
      </w:r>
      <w:r>
        <w:rPr>
          <w:rFonts w:hint="default" w:ascii="Times New Roman" w:hAnsi="Times New Roman" w:cs="Times New Roman"/>
          <w:b w:val="0"/>
          <w:bCs w:val="0"/>
          <w:color w:val="auto"/>
          <w:sz w:val="24"/>
          <w:szCs w:val="24"/>
          <w:highlight w:val="none"/>
          <w:lang w:val="en-US" w:eastAsia="zh-CN"/>
        </w:rPr>
        <w:t>电子化保函验真渠道和从投标人基本账户支出</w:t>
      </w:r>
      <w:r>
        <w:rPr>
          <w:rFonts w:hint="eastAsia" w:cs="Times New Roman"/>
          <w:b w:val="0"/>
          <w:bCs w:val="0"/>
          <w:color w:val="auto"/>
          <w:sz w:val="24"/>
          <w:szCs w:val="24"/>
          <w:highlight w:val="none"/>
          <w:lang w:val="en-US" w:eastAsia="zh-CN"/>
        </w:rPr>
        <w:t>的</w:t>
      </w:r>
      <w:r>
        <w:rPr>
          <w:rFonts w:hint="default" w:ascii="Times New Roman" w:hAnsi="Times New Roman" w:cs="Times New Roman"/>
          <w:b w:val="0"/>
          <w:bCs w:val="0"/>
          <w:color w:val="auto"/>
          <w:sz w:val="24"/>
          <w:szCs w:val="24"/>
          <w:highlight w:val="none"/>
          <w:lang w:val="en-US" w:eastAsia="zh-CN"/>
        </w:rPr>
        <w:t>保函财务费用支付</w:t>
      </w:r>
      <w:r>
        <w:rPr>
          <w:rFonts w:hint="eastAsia" w:cs="Times New Roman"/>
          <w:b w:val="0"/>
          <w:bCs w:val="0"/>
          <w:color w:val="auto"/>
          <w:sz w:val="24"/>
          <w:szCs w:val="24"/>
          <w:highlight w:val="none"/>
          <w:lang w:val="en-US" w:eastAsia="zh-CN"/>
        </w:rPr>
        <w:t>凭证</w:t>
      </w:r>
      <w:r>
        <w:rPr>
          <w:rFonts w:hint="default" w:ascii="Times New Roman" w:hAnsi="Times New Roman" w:cs="Times New Roman"/>
          <w:b w:val="0"/>
          <w:bCs w:val="0"/>
          <w:color w:val="auto"/>
          <w:sz w:val="24"/>
          <w:szCs w:val="24"/>
          <w:highlight w:val="none"/>
          <w:lang w:val="en-US" w:eastAsia="zh-CN"/>
        </w:rPr>
        <w:t>。</w:t>
      </w:r>
    </w:p>
    <w:p w14:paraId="3D706224">
      <w:pPr>
        <w:spacing w:line="400" w:lineRule="exact"/>
        <w:ind w:firstLine="480" w:firstLineChars="200"/>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lang w:val="en-US" w:eastAsia="zh-CN"/>
        </w:rPr>
        <w:t>若</w:t>
      </w:r>
      <w:r>
        <w:rPr>
          <w:rFonts w:hint="default" w:ascii="Times New Roman" w:hAnsi="Times New Roman" w:cs="Times New Roman"/>
          <w:color w:val="auto"/>
          <w:sz w:val="24"/>
          <w:highlight w:val="none"/>
        </w:rPr>
        <w:t>采用银行保函，投标人应在此提供银行保函</w:t>
      </w:r>
      <w:r>
        <w:rPr>
          <w:rFonts w:hint="eastAsia" w:cs="Times New Roman"/>
          <w:color w:val="auto"/>
          <w:sz w:val="24"/>
          <w:highlight w:val="none"/>
          <w:lang w:val="en-US" w:eastAsia="zh-CN"/>
        </w:rPr>
        <w:t>原件扫描件</w:t>
      </w:r>
      <w:r>
        <w:rPr>
          <w:rFonts w:hint="default" w:ascii="Times New Roman" w:hAnsi="Times New Roman" w:cs="Times New Roman"/>
          <w:color w:val="auto"/>
          <w:sz w:val="24"/>
          <w:highlight w:val="none"/>
        </w:rPr>
        <w:t>，格式如下。</w:t>
      </w:r>
    </w:p>
    <w:p w14:paraId="5068F21D">
      <w:pPr>
        <w:spacing w:line="400" w:lineRule="exact"/>
        <w:ind w:firstLine="480" w:firstLineChars="200"/>
        <w:rPr>
          <w:rFonts w:hint="default" w:ascii="Times New Roman" w:hAnsi="Times New Roman" w:cs="Times New Roman"/>
          <w:color w:val="auto"/>
          <w:sz w:val="24"/>
          <w:highlight w:val="none"/>
        </w:rPr>
      </w:pPr>
    </w:p>
    <w:p w14:paraId="744560AF">
      <w:pPr>
        <w:spacing w:line="400" w:lineRule="exact"/>
        <w:jc w:val="center"/>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投标保函</w:t>
      </w:r>
    </w:p>
    <w:p w14:paraId="7337287E">
      <w:pPr>
        <w:spacing w:line="400" w:lineRule="exact"/>
        <w:rPr>
          <w:rFonts w:hint="default" w:ascii="Times New Roman" w:hAnsi="Times New Roman" w:cs="Times New Roman"/>
          <w:color w:val="auto"/>
          <w:sz w:val="24"/>
          <w:highlight w:val="none"/>
          <w:u w:val="single"/>
        </w:rPr>
      </w:pPr>
    </w:p>
    <w:p w14:paraId="656689A2">
      <w:pPr>
        <w:spacing w:line="40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（招标人名称，以下简称</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你方</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w:t>
      </w:r>
    </w:p>
    <w:p w14:paraId="67144301">
      <w:pPr>
        <w:spacing w:line="400" w:lineRule="exact"/>
        <w:jc w:val="center"/>
        <w:rPr>
          <w:rFonts w:hint="default" w:ascii="Times New Roman" w:hAnsi="Times New Roman" w:cs="Times New Roman"/>
          <w:color w:val="auto"/>
          <w:sz w:val="24"/>
          <w:highlight w:val="none"/>
        </w:rPr>
      </w:pPr>
    </w:p>
    <w:p w14:paraId="2A21E144">
      <w:pPr>
        <w:wordWrap w:val="0"/>
        <w:spacing w:line="40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鉴于</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（投标人名称）（以下称</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投标人</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）于</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月</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日参加</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（项目名称）</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u w:val="none"/>
        </w:rPr>
        <w:t>（标段名称）</w:t>
      </w:r>
      <w:r>
        <w:rPr>
          <w:rFonts w:hint="eastAsia" w:cs="Times New Roman"/>
          <w:color w:val="auto"/>
          <w:sz w:val="24"/>
          <w:highlight w:val="none"/>
          <w:lang w:val="en-US" w:eastAsia="zh-CN"/>
        </w:rPr>
        <w:t>施工</w:t>
      </w:r>
      <w:r>
        <w:rPr>
          <w:rFonts w:hint="default" w:ascii="Times New Roman" w:hAnsi="Times New Roman" w:cs="Times New Roman"/>
          <w:color w:val="auto"/>
          <w:sz w:val="24"/>
          <w:highlight w:val="none"/>
        </w:rPr>
        <w:t>的投标，</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（担保人名称，以下简称</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我方</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无条件地、不可撤销地保证：若投标人在投标有效期内撤销投标文件，中标后无正当理由不与招标人订立合同，在签订合同时向招标人提出附加条件，不按照招标文件要求提交履约保证金，或发生招标文件明确规定可以不予退还投标保证金的其他情形，我方承担保证责任。投标人发生以上任一情况时，收到你方书面通知后，我方在7日内向你方无条件支付人民币（大写）</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元。</w:t>
      </w:r>
    </w:p>
    <w:p w14:paraId="743E262C">
      <w:pPr>
        <w:spacing w:line="40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本保函在投标有效期或经延长的投标有效期内保持有效。要求我方承担保证责任的通知应在上述期限内送达我方。你方延长投标有效期的决定，应通知我方。</w:t>
      </w:r>
    </w:p>
    <w:p w14:paraId="3F63547A">
      <w:pPr>
        <w:rPr>
          <w:rFonts w:hint="default" w:ascii="Times New Roman" w:hAnsi="Times New Roman" w:cs="Times New Roman"/>
          <w:color w:val="auto"/>
          <w:sz w:val="24"/>
          <w:highlight w:val="none"/>
        </w:rPr>
      </w:pPr>
    </w:p>
    <w:p w14:paraId="3D574408">
      <w:pPr>
        <w:rPr>
          <w:rFonts w:hint="default" w:ascii="Times New Roman" w:hAnsi="Times New Roman" w:cs="Times New Roman"/>
          <w:color w:val="auto"/>
          <w:sz w:val="24"/>
          <w:highlight w:val="none"/>
        </w:rPr>
      </w:pPr>
    </w:p>
    <w:p w14:paraId="66F123E7">
      <w:pPr>
        <w:spacing w:line="40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担保人名称：</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（盖单位章）</w:t>
      </w:r>
    </w:p>
    <w:p w14:paraId="6B3559B2">
      <w:pPr>
        <w:autoSpaceDE w:val="0"/>
        <w:autoSpaceDN w:val="0"/>
        <w:adjustRightInd w:val="0"/>
        <w:spacing w:line="400" w:lineRule="atLeast"/>
        <w:ind w:firstLine="2400" w:firstLineChars="100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担保人法定代表人或其委托代理人（签字）：</w:t>
      </w:r>
      <w:r>
        <w:rPr>
          <w:rFonts w:hint="default" w:ascii="Times New Roman" w:hAnsi="Times New Roman" w:cs="Times New Roman"/>
          <w:color w:val="auto"/>
          <w:sz w:val="24"/>
          <w:highlight w:val="none"/>
          <w:u w:val="single"/>
        </w:rPr>
        <w:t xml:space="preserve">                 </w:t>
      </w:r>
    </w:p>
    <w:p w14:paraId="5C75A127">
      <w:pPr>
        <w:autoSpaceDE w:val="0"/>
        <w:autoSpaceDN w:val="0"/>
        <w:adjustRightInd w:val="0"/>
        <w:spacing w:line="400" w:lineRule="atLeast"/>
        <w:ind w:left="2409" w:leftChars="1147"/>
        <w:rPr>
          <w:rFonts w:hint="default" w:ascii="Times New Roman" w:hAnsi="Times New Roman" w:cs="Times New Roman"/>
          <w:color w:val="auto"/>
          <w:sz w:val="24"/>
          <w:highlight w:val="none"/>
          <w:u w:val="single"/>
        </w:rPr>
      </w:pPr>
      <w:r>
        <w:rPr>
          <w:rFonts w:hint="default" w:ascii="Times New Roman" w:hAnsi="Times New Roman" w:cs="Times New Roman"/>
          <w:color w:val="auto"/>
          <w:sz w:val="24"/>
          <w:highlight w:val="none"/>
        </w:rPr>
        <w:t>担保人地址：</w:t>
      </w:r>
      <w:r>
        <w:rPr>
          <w:rFonts w:hint="default" w:ascii="Times New Roman" w:hAnsi="Times New Roman" w:cs="Times New Roman"/>
          <w:color w:val="auto"/>
          <w:sz w:val="24"/>
          <w:highlight w:val="none"/>
          <w:u w:val="single"/>
        </w:rPr>
        <w:t xml:space="preserve">                                        </w:t>
      </w:r>
    </w:p>
    <w:p w14:paraId="4B04546D">
      <w:pPr>
        <w:autoSpaceDE w:val="0"/>
        <w:autoSpaceDN w:val="0"/>
        <w:adjustRightInd w:val="0"/>
        <w:spacing w:line="400" w:lineRule="atLeast"/>
        <w:ind w:left="2409" w:leftChars="1147"/>
        <w:rPr>
          <w:rFonts w:hint="default" w:ascii="Times New Roman" w:hAnsi="Times New Roman" w:cs="Times New Roman"/>
          <w:color w:val="auto"/>
          <w:sz w:val="24"/>
          <w:highlight w:val="none"/>
          <w:u w:val="single"/>
        </w:rPr>
      </w:pPr>
      <w:r>
        <w:rPr>
          <w:rFonts w:hint="default" w:ascii="Times New Roman" w:hAnsi="Times New Roman" w:cs="Times New Roman"/>
          <w:color w:val="auto"/>
          <w:sz w:val="24"/>
          <w:highlight w:val="none"/>
        </w:rPr>
        <w:t>担保人电话：</w:t>
      </w:r>
      <w:r>
        <w:rPr>
          <w:rFonts w:hint="default" w:ascii="Times New Roman" w:hAnsi="Times New Roman" w:cs="Times New Roman"/>
          <w:color w:val="auto"/>
          <w:sz w:val="24"/>
          <w:highlight w:val="none"/>
          <w:u w:val="single"/>
        </w:rPr>
        <w:t xml:space="preserve">                  </w:t>
      </w:r>
    </w:p>
    <w:p w14:paraId="4C6F8CDB">
      <w:pPr>
        <w:autoSpaceDE w:val="0"/>
        <w:autoSpaceDN w:val="0"/>
        <w:adjustRightInd w:val="0"/>
        <w:spacing w:line="400" w:lineRule="atLeast"/>
        <w:ind w:left="2409" w:leftChars="1147"/>
        <w:rPr>
          <w:rFonts w:hint="default" w:ascii="Times New Roman" w:hAnsi="Times New Roman" w:cs="Times New Roman"/>
          <w:color w:val="auto"/>
          <w:sz w:val="24"/>
          <w:highlight w:val="none"/>
          <w:u w:val="single"/>
        </w:rPr>
      </w:pPr>
      <w:r>
        <w:rPr>
          <w:rFonts w:hint="default" w:ascii="Times New Roman" w:hAnsi="Times New Roman" w:cs="Times New Roman"/>
          <w:color w:val="auto"/>
          <w:sz w:val="24"/>
          <w:highlight w:val="none"/>
        </w:rPr>
        <w:t>担保人传真：</w:t>
      </w:r>
      <w:r>
        <w:rPr>
          <w:rFonts w:hint="default" w:ascii="Times New Roman" w:hAnsi="Times New Roman" w:cs="Times New Roman"/>
          <w:color w:val="auto"/>
          <w:sz w:val="24"/>
          <w:highlight w:val="none"/>
          <w:u w:val="single"/>
        </w:rPr>
        <w:t xml:space="preserve">                  </w:t>
      </w:r>
    </w:p>
    <w:p w14:paraId="17AD3560">
      <w:pPr>
        <w:pageBreakBefore w:val="0"/>
        <w:kinsoku/>
        <w:wordWrap w:val="0"/>
        <w:overflowPunct/>
        <w:bidi w:val="0"/>
        <w:spacing w:line="440" w:lineRule="exact"/>
        <w:ind w:firstLine="5040" w:firstLineChars="21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月</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日</w:t>
      </w:r>
    </w:p>
    <w:p w14:paraId="0C870398">
      <w:pPr>
        <w:pageBreakBefore w:val="0"/>
        <w:kinsoku/>
        <w:wordWrap w:val="0"/>
        <w:bidi w:val="0"/>
        <w:spacing w:line="440" w:lineRule="exact"/>
        <w:rPr>
          <w:rFonts w:hint="default" w:ascii="Times New Roman" w:hAnsi="Times New Roman" w:cs="Times New Roman"/>
          <w:color w:val="auto"/>
          <w:sz w:val="24"/>
          <w:highlight w:val="none"/>
        </w:rPr>
      </w:pPr>
    </w:p>
    <w:p w14:paraId="521AF0A9">
      <w:pPr>
        <w:pageBreakBefore w:val="0"/>
        <w:kinsoku/>
        <w:wordWrap w:val="0"/>
        <w:bidi w:val="0"/>
        <w:spacing w:line="440" w:lineRule="exact"/>
        <w:rPr>
          <w:rFonts w:hint="default" w:ascii="Times New Roman" w:hAnsi="Times New Roman" w:eastAsia="黑体" w:cs="Times New Roman"/>
          <w:color w:val="auto"/>
          <w:sz w:val="24"/>
          <w:highlight w:val="none"/>
        </w:rPr>
      </w:pPr>
    </w:p>
    <w:p w14:paraId="03C82F92">
      <w:pPr>
        <w:pageBreakBefore w:val="0"/>
        <w:kinsoku/>
        <w:wordWrap w:val="0"/>
        <w:bidi w:val="0"/>
        <w:spacing w:line="440" w:lineRule="exact"/>
        <w:rPr>
          <w:rFonts w:hint="default" w:ascii="Times New Roman" w:hAnsi="Times New Roman" w:cs="Times New Roman"/>
          <w:color w:val="auto"/>
          <w:sz w:val="24"/>
          <w:highlight w:val="none"/>
        </w:rPr>
      </w:pPr>
    </w:p>
    <w:p w14:paraId="207018A3">
      <w:pPr>
        <w:pStyle w:val="6"/>
        <w:keepLines w:val="0"/>
        <w:pageBreakBefore w:val="0"/>
        <w:widowControl w:val="0"/>
        <w:kinsoku/>
        <w:wordWrap w:val="0"/>
        <w:overflowPunct/>
        <w:topLinePunct w:val="0"/>
        <w:autoSpaceDE/>
        <w:autoSpaceDN/>
        <w:bidi w:val="0"/>
        <w:snapToGrid/>
        <w:spacing w:before="0" w:after="0" w:line="360" w:lineRule="auto"/>
        <w:jc w:val="center"/>
        <w:outlineLvl w:val="3"/>
        <w:rPr>
          <w:rFonts w:hint="default" w:ascii="Times New Roman" w:hAnsi="Times New Roman" w:eastAsia="黑体" w:cs="Times New Roman"/>
          <w:b w:val="0"/>
          <w:i w:val="0"/>
          <w:iCs/>
          <w:color w:val="auto"/>
          <w:sz w:val="30"/>
          <w:szCs w:val="30"/>
          <w:highlight w:val="none"/>
          <w:lang w:eastAsia="zh-CN"/>
        </w:rPr>
      </w:pPr>
      <w:bookmarkStart w:id="1675" w:name="_Toc27090"/>
      <w:bookmarkStart w:id="1676" w:name="_Toc14539"/>
      <w:bookmarkStart w:id="1677" w:name="_Toc234833264"/>
      <w:r>
        <w:rPr>
          <w:rFonts w:hint="default" w:ascii="Times New Roman" w:hAnsi="Times New Roman" w:eastAsia="黑体" w:cs="Times New Roman"/>
          <w:b w:val="0"/>
          <w:i w:val="0"/>
          <w:iCs/>
          <w:color w:val="auto"/>
          <w:sz w:val="30"/>
          <w:szCs w:val="30"/>
          <w:highlight w:val="none"/>
        </w:rPr>
        <w:t>五、施工组织设计</w:t>
      </w:r>
      <w:bookmarkEnd w:id="1675"/>
      <w:bookmarkEnd w:id="1676"/>
    </w:p>
    <w:p w14:paraId="2E10A23B">
      <w:pPr>
        <w:keepLines w:val="0"/>
        <w:pageBreakBefore w:val="0"/>
        <w:widowControl w:val="0"/>
        <w:kinsoku/>
        <w:wordWrap w:val="0"/>
        <w:overflowPunct/>
        <w:topLinePunct w:val="0"/>
        <w:autoSpaceDE/>
        <w:autoSpaceDN/>
        <w:bidi w:val="0"/>
        <w:snapToGrid/>
        <w:spacing w:line="360" w:lineRule="auto"/>
        <w:jc w:val="center"/>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（适用于合理低价法和经评审的最低投标价法）</w:t>
      </w:r>
    </w:p>
    <w:p w14:paraId="3ACE575A">
      <w:pPr>
        <w:keepLines w:val="0"/>
        <w:pageBreakBefore w:val="0"/>
        <w:widowControl w:val="0"/>
        <w:kinsoku/>
        <w:wordWrap w:val="0"/>
        <w:overflowPunct/>
        <w:topLinePunct w:val="0"/>
        <w:autoSpaceDE/>
        <w:autoSpaceDN/>
        <w:bidi w:val="0"/>
        <w:snapToGrid/>
        <w:spacing w:line="360" w:lineRule="auto"/>
        <w:rPr>
          <w:rFonts w:hint="default" w:ascii="Times New Roman" w:hAnsi="Times New Roman" w:eastAsia="黑体" w:cs="Times New Roman"/>
          <w:color w:val="auto"/>
          <w:sz w:val="20"/>
          <w:szCs w:val="20"/>
          <w:highlight w:val="none"/>
        </w:rPr>
      </w:pPr>
    </w:p>
    <w:p w14:paraId="1562EC56">
      <w:pPr>
        <w:pageBreakBefore w:val="0"/>
        <w:kinsoku/>
        <w:wordWrap w:val="0"/>
        <w:bidi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投标人应按以下要点编制施工组织设计（文字宜精炼、内容具有针对性）：</w:t>
      </w:r>
    </w:p>
    <w:p w14:paraId="2A4470DC">
      <w:pPr>
        <w:pageBreakBefore w:val="0"/>
        <w:kinsoku/>
        <w:wordWrap w:val="0"/>
        <w:bidi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1.总体施工组织布置及规划</w:t>
      </w:r>
    </w:p>
    <w:p w14:paraId="2C873189">
      <w:pPr>
        <w:pageBreakBefore w:val="0"/>
        <w:kinsoku/>
        <w:wordWrap w:val="0"/>
        <w:bidi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2.重点、关键和难点工程的施工方案</w:t>
      </w:r>
    </w:p>
    <w:p w14:paraId="07FD9D0F">
      <w:pPr>
        <w:pageBreakBefore w:val="0"/>
        <w:kinsoku/>
        <w:wordWrap w:val="0"/>
        <w:bidi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3.工期关键线路图及保证措施</w:t>
      </w:r>
    </w:p>
    <w:p w14:paraId="3558085A">
      <w:pPr>
        <w:pageBreakBefore w:val="0"/>
        <w:kinsoku/>
        <w:wordWrap w:val="0"/>
        <w:bidi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4.关键工程质量保证措施</w:t>
      </w:r>
    </w:p>
    <w:p w14:paraId="01CF1454">
      <w:pPr>
        <w:pageBreakBefore w:val="0"/>
        <w:kinsoku/>
        <w:wordWrap w:val="0"/>
        <w:bidi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5.安全保证措施</w:t>
      </w:r>
    </w:p>
    <w:p w14:paraId="5CE73016">
      <w:pPr>
        <w:pageBreakBefore w:val="0"/>
        <w:kinsoku/>
        <w:wordWrap w:val="0"/>
        <w:bidi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6.环境保护、水土保持、文明施工、文物保护保证措施</w:t>
      </w:r>
    </w:p>
    <w:p w14:paraId="049DEFD2">
      <w:pPr>
        <w:pageBreakBefore w:val="0"/>
        <w:kinsoku/>
        <w:wordWrap w:val="0"/>
        <w:bidi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7.项目风险预测与防范，事故应急预案</w:t>
      </w:r>
    </w:p>
    <w:p w14:paraId="195FD140">
      <w:pPr>
        <w:pageBreakBefore w:val="0"/>
        <w:kinsoku/>
        <w:wordWrap w:val="0"/>
        <w:bidi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8.其他应说明的事项</w:t>
      </w:r>
    </w:p>
    <w:p w14:paraId="2A234B49">
      <w:pPr>
        <w:pageBreakBefore w:val="0"/>
        <w:kinsoku/>
        <w:wordWrap w:val="0"/>
        <w:bidi w:val="0"/>
        <w:spacing w:line="440" w:lineRule="exact"/>
        <w:ind w:firstLine="480" w:firstLineChars="200"/>
        <w:rPr>
          <w:rFonts w:hint="default" w:ascii="Times New Roman" w:hAnsi="Times New Roman" w:cs="Times New Roman"/>
          <w:color w:val="auto"/>
          <w:sz w:val="24"/>
          <w:highlight w:val="none"/>
        </w:rPr>
      </w:pPr>
    </w:p>
    <w:p w14:paraId="1DC3E517">
      <w:pPr>
        <w:pageBreakBefore w:val="0"/>
        <w:kinsoku/>
        <w:wordWrap w:val="0"/>
        <w:bidi w:val="0"/>
        <w:spacing w:before="0" w:after="0" w:line="380" w:lineRule="atLeast"/>
        <w:outlineLvl w:val="9"/>
        <w:rPr>
          <w:rFonts w:hint="default" w:ascii="Times New Roman" w:hAnsi="Times New Roman" w:eastAsia="黑体" w:cs="Times New Roman"/>
          <w:color w:val="auto"/>
          <w:sz w:val="27"/>
          <w:szCs w:val="27"/>
          <w:highlight w:val="none"/>
        </w:rPr>
      </w:pPr>
      <w:r>
        <w:rPr>
          <w:rFonts w:hint="default" w:ascii="Times New Roman" w:hAnsi="Times New Roman" w:eastAsia="黑体" w:cs="Times New Roman"/>
          <w:b w:val="0"/>
          <w:color w:val="auto"/>
          <w:sz w:val="28"/>
          <w:szCs w:val="28"/>
          <w:highlight w:val="none"/>
        </w:rPr>
        <w:br w:type="page"/>
      </w:r>
      <w:bookmarkEnd w:id="1677"/>
    </w:p>
    <w:p w14:paraId="345FFD36">
      <w:pPr>
        <w:pStyle w:val="6"/>
        <w:pageBreakBefore w:val="0"/>
        <w:kinsoku/>
        <w:wordWrap w:val="0"/>
        <w:bidi w:val="0"/>
        <w:spacing w:before="0" w:after="0" w:line="400" w:lineRule="atLeast"/>
        <w:jc w:val="center"/>
        <w:outlineLvl w:val="3"/>
        <w:rPr>
          <w:rFonts w:hint="default" w:ascii="Times New Roman" w:hAnsi="Times New Roman" w:eastAsia="黑体" w:cs="Times New Roman"/>
          <w:b w:val="0"/>
          <w:i w:val="0"/>
          <w:iCs/>
          <w:color w:val="auto"/>
          <w:sz w:val="30"/>
          <w:szCs w:val="30"/>
          <w:highlight w:val="none"/>
        </w:rPr>
      </w:pPr>
      <w:bookmarkStart w:id="1678" w:name="_Toc7173"/>
      <w:bookmarkStart w:id="1679" w:name="_Toc234833275"/>
      <w:bookmarkStart w:id="1680" w:name="_Toc12366"/>
      <w:r>
        <w:rPr>
          <w:rFonts w:hint="default" w:ascii="Times New Roman" w:hAnsi="Times New Roman" w:eastAsia="黑体" w:cs="Times New Roman"/>
          <w:b w:val="0"/>
          <w:i w:val="0"/>
          <w:iCs/>
          <w:color w:val="auto"/>
          <w:sz w:val="30"/>
          <w:szCs w:val="30"/>
          <w:highlight w:val="none"/>
        </w:rPr>
        <w:t>六、项目管理机构</w:t>
      </w:r>
      <w:bookmarkEnd w:id="1678"/>
      <w:bookmarkEnd w:id="1679"/>
      <w:bookmarkEnd w:id="1680"/>
    </w:p>
    <w:p w14:paraId="144E910B">
      <w:pPr>
        <w:pageBreakBefore w:val="0"/>
        <w:kinsoku/>
        <w:wordWrap w:val="0"/>
        <w:bidi w:val="0"/>
        <w:spacing w:before="0" w:after="0" w:line="380" w:lineRule="atLeast"/>
        <w:outlineLvl w:val="9"/>
        <w:rPr>
          <w:rFonts w:hint="default" w:ascii="Times New Roman" w:hAnsi="Times New Roman" w:eastAsia="黑体" w:cs="Times New Roman"/>
          <w:b w:val="0"/>
          <w:color w:val="auto"/>
          <w:sz w:val="28"/>
          <w:szCs w:val="28"/>
          <w:highlight w:val="none"/>
        </w:rPr>
      </w:pPr>
    </w:p>
    <w:p w14:paraId="1BFAB566">
      <w:pPr>
        <w:pageBreakBefore w:val="0"/>
        <w:widowControl/>
        <w:kinsoku/>
        <w:wordWrap w:val="0"/>
        <w:autoSpaceDE w:val="0"/>
        <w:autoSpaceDN w:val="0"/>
        <w:bidi w:val="0"/>
        <w:spacing w:line="360" w:lineRule="atLeast"/>
        <w:ind w:left="180"/>
        <w:textAlignment w:val="bottom"/>
        <w:rPr>
          <w:rFonts w:hint="default" w:ascii="Times New Roman" w:hAnsi="Times New Roman" w:cs="Times New Roman"/>
          <w:color w:val="auto"/>
          <w:sz w:val="20"/>
          <w:szCs w:val="20"/>
          <w:highlight w:val="none"/>
        </w:rPr>
      </w:pPr>
    </w:p>
    <w:tbl>
      <w:tblPr>
        <w:tblStyle w:val="40"/>
        <w:tblW w:w="0" w:type="auto"/>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724"/>
      </w:tblGrid>
      <w:tr w14:paraId="145D1F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670" w:hRule="atLeast"/>
        </w:trPr>
        <w:tc>
          <w:tcPr>
            <w:tcW w:w="8724" w:type="dxa"/>
            <w:tcBorders>
              <w:bottom w:val="single" w:color="auto" w:sz="6" w:space="0"/>
            </w:tcBorders>
            <w:noWrap w:val="0"/>
            <w:vAlign w:val="top"/>
          </w:tcPr>
          <w:p w14:paraId="2259A31B">
            <w:pPr>
              <w:pageBreakBefore w:val="0"/>
              <w:kinsoku/>
              <w:wordWrap w:val="0"/>
              <w:bidi w:val="0"/>
              <w:spacing w:line="520" w:lineRule="atLeast"/>
              <w:ind w:left="266" w:hanging="266"/>
              <w:rPr>
                <w:rFonts w:hint="default" w:ascii="Times New Roman" w:hAnsi="Times New Roman" w:cs="Times New Roman"/>
                <w:color w:val="auto"/>
                <w:szCs w:val="21"/>
                <w:highlight w:val="none"/>
              </w:rPr>
            </w:pPr>
          </w:p>
          <w:p w14:paraId="71E59562">
            <w:pPr>
              <w:pageBreakBefore w:val="0"/>
              <w:kinsoku/>
              <w:wordWrap w:val="0"/>
              <w:bidi w:val="0"/>
              <w:spacing w:line="520" w:lineRule="atLeast"/>
              <w:ind w:left="266" w:right="174" w:rightChars="83" w:firstLine="4"/>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拟为承包本标段工程设立的组织机构以框图方式表示。</w:t>
            </w:r>
          </w:p>
          <w:p w14:paraId="0C2396A2">
            <w:pPr>
              <w:pageBreakBefore w:val="0"/>
              <w:kinsoku/>
              <w:wordWrap w:val="0"/>
              <w:bidi w:val="0"/>
              <w:spacing w:line="520" w:lineRule="atLeast"/>
              <w:rPr>
                <w:rFonts w:hint="default" w:ascii="Times New Roman" w:hAnsi="Times New Roman" w:cs="Times New Roman"/>
                <w:color w:val="auto"/>
                <w:szCs w:val="21"/>
                <w:highlight w:val="none"/>
              </w:rPr>
            </w:pPr>
          </w:p>
          <w:p w14:paraId="6188410A">
            <w:pPr>
              <w:pageBreakBefore w:val="0"/>
              <w:kinsoku/>
              <w:wordWrap w:val="0"/>
              <w:bidi w:val="0"/>
              <w:spacing w:line="520" w:lineRule="atLeast"/>
              <w:rPr>
                <w:rFonts w:hint="default" w:ascii="Times New Roman" w:hAnsi="Times New Roman" w:cs="Times New Roman"/>
                <w:color w:val="auto"/>
                <w:szCs w:val="21"/>
                <w:highlight w:val="none"/>
              </w:rPr>
            </w:pPr>
          </w:p>
          <w:p w14:paraId="70C81EF3">
            <w:pPr>
              <w:pageBreakBefore w:val="0"/>
              <w:kinsoku/>
              <w:wordWrap w:val="0"/>
              <w:bidi w:val="0"/>
              <w:spacing w:line="520" w:lineRule="atLeast"/>
              <w:ind w:right="174" w:rightChars="83"/>
              <w:rPr>
                <w:rFonts w:hint="default" w:ascii="Times New Roman" w:hAnsi="Times New Roman" w:cs="Times New Roman"/>
                <w:color w:val="auto"/>
                <w:szCs w:val="21"/>
                <w:highlight w:val="none"/>
              </w:rPr>
            </w:pPr>
          </w:p>
          <w:p w14:paraId="560B9AC4">
            <w:pPr>
              <w:pageBreakBefore w:val="0"/>
              <w:kinsoku/>
              <w:wordWrap w:val="0"/>
              <w:bidi w:val="0"/>
              <w:spacing w:line="520" w:lineRule="atLeast"/>
              <w:ind w:right="174" w:rightChars="83"/>
              <w:rPr>
                <w:rFonts w:hint="default" w:ascii="Times New Roman" w:hAnsi="Times New Roman" w:cs="Times New Roman"/>
                <w:color w:val="auto"/>
                <w:szCs w:val="21"/>
                <w:highlight w:val="none"/>
              </w:rPr>
            </w:pPr>
          </w:p>
          <w:p w14:paraId="718554DF">
            <w:pPr>
              <w:pageBreakBefore w:val="0"/>
              <w:kinsoku/>
              <w:wordWrap w:val="0"/>
              <w:bidi w:val="0"/>
              <w:spacing w:line="520" w:lineRule="atLeast"/>
              <w:ind w:right="174" w:rightChars="83"/>
              <w:rPr>
                <w:rFonts w:hint="default" w:ascii="Times New Roman" w:hAnsi="Times New Roman" w:cs="Times New Roman"/>
                <w:color w:val="auto"/>
                <w:szCs w:val="21"/>
                <w:highlight w:val="none"/>
              </w:rPr>
            </w:pPr>
          </w:p>
          <w:p w14:paraId="09270658">
            <w:pPr>
              <w:pageBreakBefore w:val="0"/>
              <w:kinsoku/>
              <w:wordWrap w:val="0"/>
              <w:bidi w:val="0"/>
              <w:spacing w:line="520" w:lineRule="atLeast"/>
              <w:ind w:right="174" w:rightChars="83"/>
              <w:rPr>
                <w:rFonts w:hint="default" w:ascii="Times New Roman" w:hAnsi="Times New Roman" w:cs="Times New Roman"/>
                <w:color w:val="auto"/>
                <w:szCs w:val="21"/>
                <w:highlight w:val="none"/>
              </w:rPr>
            </w:pPr>
          </w:p>
          <w:p w14:paraId="3E0E4F62">
            <w:pPr>
              <w:pageBreakBefore w:val="0"/>
              <w:kinsoku/>
              <w:wordWrap w:val="0"/>
              <w:bidi w:val="0"/>
              <w:spacing w:line="520" w:lineRule="atLeast"/>
              <w:ind w:right="174" w:rightChars="83"/>
              <w:rPr>
                <w:rFonts w:hint="default" w:ascii="Times New Roman" w:hAnsi="Times New Roman" w:cs="Times New Roman"/>
                <w:color w:val="auto"/>
                <w:szCs w:val="21"/>
                <w:highlight w:val="none"/>
              </w:rPr>
            </w:pPr>
          </w:p>
          <w:p w14:paraId="5BAF2EA3">
            <w:pPr>
              <w:pageBreakBefore w:val="0"/>
              <w:kinsoku/>
              <w:wordWrap w:val="0"/>
              <w:bidi w:val="0"/>
              <w:spacing w:line="520" w:lineRule="atLeast"/>
              <w:ind w:right="174" w:rightChars="83"/>
              <w:rPr>
                <w:rFonts w:hint="default" w:ascii="Times New Roman" w:hAnsi="Times New Roman" w:cs="Times New Roman"/>
                <w:color w:val="auto"/>
                <w:szCs w:val="21"/>
                <w:highlight w:val="none"/>
              </w:rPr>
            </w:pPr>
          </w:p>
          <w:p w14:paraId="1791A0FA">
            <w:pPr>
              <w:pageBreakBefore w:val="0"/>
              <w:kinsoku/>
              <w:wordWrap w:val="0"/>
              <w:bidi w:val="0"/>
              <w:spacing w:line="520" w:lineRule="atLeast"/>
              <w:ind w:right="174" w:rightChars="83"/>
              <w:rPr>
                <w:rFonts w:hint="default" w:ascii="Times New Roman" w:hAnsi="Times New Roman" w:cs="Times New Roman"/>
                <w:color w:val="auto"/>
                <w:szCs w:val="21"/>
                <w:highlight w:val="none"/>
              </w:rPr>
            </w:pPr>
          </w:p>
          <w:p w14:paraId="2C2E095D">
            <w:pPr>
              <w:pageBreakBefore w:val="0"/>
              <w:kinsoku/>
              <w:wordWrap w:val="0"/>
              <w:bidi w:val="0"/>
              <w:spacing w:line="520" w:lineRule="atLeast"/>
              <w:ind w:right="174" w:rightChars="83"/>
              <w:rPr>
                <w:rFonts w:hint="default" w:ascii="Times New Roman" w:hAnsi="Times New Roman" w:cs="Times New Roman"/>
                <w:color w:val="auto"/>
                <w:szCs w:val="21"/>
                <w:highlight w:val="none"/>
              </w:rPr>
            </w:pPr>
          </w:p>
          <w:p w14:paraId="6B78BD73">
            <w:pPr>
              <w:pageBreakBefore w:val="0"/>
              <w:kinsoku/>
              <w:wordWrap w:val="0"/>
              <w:bidi w:val="0"/>
              <w:spacing w:line="520" w:lineRule="atLeast"/>
              <w:ind w:right="174" w:rightChars="83"/>
              <w:rPr>
                <w:rFonts w:hint="default" w:ascii="Times New Roman" w:hAnsi="Times New Roman" w:cs="Times New Roman"/>
                <w:color w:val="auto"/>
                <w:szCs w:val="21"/>
                <w:highlight w:val="none"/>
              </w:rPr>
            </w:pPr>
          </w:p>
          <w:p w14:paraId="7B31DAAD">
            <w:pPr>
              <w:pageBreakBefore w:val="0"/>
              <w:kinsoku/>
              <w:wordWrap w:val="0"/>
              <w:bidi w:val="0"/>
              <w:spacing w:line="520" w:lineRule="atLeast"/>
              <w:rPr>
                <w:rFonts w:hint="default" w:ascii="Times New Roman" w:hAnsi="Times New Roman" w:cs="Times New Roman"/>
                <w:color w:val="auto"/>
                <w:szCs w:val="21"/>
                <w:highlight w:val="none"/>
              </w:rPr>
            </w:pPr>
          </w:p>
          <w:p w14:paraId="3D2DC79F">
            <w:pPr>
              <w:pageBreakBefore w:val="0"/>
              <w:kinsoku/>
              <w:wordWrap w:val="0"/>
              <w:bidi w:val="0"/>
              <w:spacing w:line="520" w:lineRule="atLeast"/>
              <w:rPr>
                <w:rFonts w:hint="default" w:ascii="Times New Roman" w:hAnsi="Times New Roman" w:cs="Times New Roman"/>
                <w:color w:val="auto"/>
                <w:szCs w:val="21"/>
                <w:highlight w:val="none"/>
              </w:rPr>
            </w:pPr>
          </w:p>
        </w:tc>
      </w:tr>
      <w:tr w14:paraId="5F1FC6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105" w:hRule="atLeast"/>
        </w:trPr>
        <w:tc>
          <w:tcPr>
            <w:tcW w:w="8724" w:type="dxa"/>
            <w:noWrap w:val="0"/>
            <w:vAlign w:val="top"/>
          </w:tcPr>
          <w:p w14:paraId="169C0A65">
            <w:pPr>
              <w:pageBreakBefore w:val="0"/>
              <w:kinsoku/>
              <w:wordWrap w:val="0"/>
              <w:bidi w:val="0"/>
              <w:spacing w:line="520" w:lineRule="atLeast"/>
              <w:ind w:left="266" w:right="174" w:rightChars="83" w:firstLine="4"/>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说明</w:t>
            </w:r>
          </w:p>
          <w:p w14:paraId="7F520A8D">
            <w:pPr>
              <w:pageBreakBefore w:val="0"/>
              <w:kinsoku/>
              <w:wordWrap w:val="0"/>
              <w:bidi w:val="0"/>
              <w:spacing w:line="520" w:lineRule="atLeast"/>
              <w:jc w:val="center"/>
              <w:rPr>
                <w:rFonts w:hint="default" w:ascii="Times New Roman" w:hAnsi="Times New Roman" w:cs="Times New Roman"/>
                <w:color w:val="auto"/>
                <w:szCs w:val="21"/>
                <w:highlight w:val="none"/>
              </w:rPr>
            </w:pPr>
          </w:p>
          <w:p w14:paraId="347AD212">
            <w:pPr>
              <w:pageBreakBefore w:val="0"/>
              <w:kinsoku/>
              <w:wordWrap w:val="0"/>
              <w:bidi w:val="0"/>
              <w:spacing w:line="520" w:lineRule="atLeast"/>
              <w:jc w:val="center"/>
              <w:rPr>
                <w:rFonts w:hint="default" w:ascii="Times New Roman" w:hAnsi="Times New Roman" w:cs="Times New Roman"/>
                <w:color w:val="auto"/>
                <w:szCs w:val="21"/>
                <w:highlight w:val="none"/>
              </w:rPr>
            </w:pPr>
          </w:p>
          <w:p w14:paraId="2A2189AB">
            <w:pPr>
              <w:pageBreakBefore w:val="0"/>
              <w:kinsoku/>
              <w:wordWrap w:val="0"/>
              <w:bidi w:val="0"/>
              <w:spacing w:line="520" w:lineRule="atLeast"/>
              <w:jc w:val="center"/>
              <w:rPr>
                <w:rFonts w:hint="default" w:ascii="Times New Roman" w:hAnsi="Times New Roman" w:cs="Times New Roman"/>
                <w:color w:val="auto"/>
                <w:szCs w:val="21"/>
                <w:highlight w:val="none"/>
              </w:rPr>
            </w:pPr>
          </w:p>
          <w:p w14:paraId="62C93544">
            <w:pPr>
              <w:pageBreakBefore w:val="0"/>
              <w:kinsoku/>
              <w:wordWrap w:val="0"/>
              <w:bidi w:val="0"/>
              <w:spacing w:line="520" w:lineRule="atLeast"/>
              <w:jc w:val="center"/>
              <w:rPr>
                <w:rFonts w:hint="default" w:ascii="Times New Roman" w:hAnsi="Times New Roman" w:cs="Times New Roman"/>
                <w:color w:val="auto"/>
                <w:szCs w:val="21"/>
                <w:highlight w:val="none"/>
              </w:rPr>
            </w:pPr>
          </w:p>
        </w:tc>
      </w:tr>
    </w:tbl>
    <w:p w14:paraId="6D10CAD6">
      <w:pPr>
        <w:pageBreakBefore w:val="0"/>
        <w:widowControl/>
        <w:kinsoku/>
        <w:wordWrap w:val="0"/>
        <w:autoSpaceDE w:val="0"/>
        <w:autoSpaceDN w:val="0"/>
        <w:bidi w:val="0"/>
        <w:spacing w:line="360" w:lineRule="atLeast"/>
        <w:ind w:left="180"/>
        <w:textAlignment w:val="bottom"/>
        <w:rPr>
          <w:rFonts w:hint="default" w:ascii="Times New Roman" w:hAnsi="Times New Roman" w:cs="Times New Roman"/>
          <w:color w:val="auto"/>
          <w:sz w:val="20"/>
          <w:szCs w:val="20"/>
          <w:highlight w:val="none"/>
        </w:rPr>
      </w:pPr>
    </w:p>
    <w:p w14:paraId="7B46A73E">
      <w:pPr>
        <w:pStyle w:val="6"/>
        <w:pageBreakBefore w:val="0"/>
        <w:kinsoku/>
        <w:wordWrap w:val="0"/>
        <w:bidi w:val="0"/>
        <w:spacing w:before="0" w:after="0" w:line="400" w:lineRule="atLeast"/>
        <w:jc w:val="center"/>
        <w:outlineLvl w:val="3"/>
        <w:rPr>
          <w:rFonts w:hint="default" w:ascii="Times New Roman" w:hAnsi="Times New Roman" w:eastAsia="黑体" w:cs="Times New Roman"/>
          <w:b w:val="0"/>
          <w:i w:val="0"/>
          <w:iCs/>
          <w:color w:val="auto"/>
          <w:sz w:val="30"/>
          <w:szCs w:val="30"/>
          <w:highlight w:val="none"/>
        </w:rPr>
      </w:pPr>
      <w:bookmarkStart w:id="1681" w:name="_Toc26668"/>
      <w:bookmarkStart w:id="1682" w:name="_Toc234833276"/>
      <w:bookmarkStart w:id="1683" w:name="_Toc9573"/>
      <w:bookmarkStart w:id="1684" w:name="_Toc234833278"/>
      <w:r>
        <w:rPr>
          <w:rFonts w:hint="default" w:ascii="Times New Roman" w:hAnsi="Times New Roman" w:eastAsia="黑体" w:cs="Times New Roman"/>
          <w:b w:val="0"/>
          <w:i w:val="0"/>
          <w:iCs/>
          <w:color w:val="auto"/>
          <w:sz w:val="30"/>
          <w:szCs w:val="30"/>
          <w:highlight w:val="none"/>
        </w:rPr>
        <w:t>七、拟分包项目情况表</w:t>
      </w:r>
      <w:bookmarkEnd w:id="1681"/>
      <w:bookmarkEnd w:id="1682"/>
    </w:p>
    <w:p w14:paraId="20D95EB5">
      <w:pPr>
        <w:wordWrap w:val="0"/>
        <w:spacing w:line="440" w:lineRule="exact"/>
        <w:rPr>
          <w:rFonts w:hint="eastAsia" w:eastAsia="黑体"/>
          <w:color w:val="auto"/>
          <w:sz w:val="20"/>
          <w:szCs w:val="20"/>
          <w:highlight w:val="none"/>
          <w:lang w:eastAsia="zh-CN"/>
        </w:rPr>
      </w:pPr>
    </w:p>
    <w:tbl>
      <w:tblPr>
        <w:tblStyle w:val="4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9"/>
        <w:gridCol w:w="2456"/>
        <w:gridCol w:w="1864"/>
        <w:gridCol w:w="2582"/>
      </w:tblGrid>
      <w:tr w14:paraId="10D31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9" w:type="dxa"/>
            <w:vAlign w:val="center"/>
          </w:tcPr>
          <w:p w14:paraId="10E1AC85">
            <w:pPr>
              <w:wordWrap w:val="0"/>
              <w:spacing w:line="440" w:lineRule="exact"/>
              <w:jc w:val="center"/>
              <w:rPr>
                <w:color w:val="auto"/>
                <w:szCs w:val="21"/>
                <w:highlight w:val="none"/>
              </w:rPr>
            </w:pPr>
            <w:r>
              <w:rPr>
                <w:color w:val="auto"/>
                <w:szCs w:val="21"/>
                <w:highlight w:val="none"/>
              </w:rPr>
              <w:t>拟分包的工程项目</w:t>
            </w:r>
          </w:p>
        </w:tc>
        <w:tc>
          <w:tcPr>
            <w:tcW w:w="2456" w:type="dxa"/>
            <w:vAlign w:val="center"/>
          </w:tcPr>
          <w:p w14:paraId="2587673C">
            <w:pPr>
              <w:wordWrap w:val="0"/>
              <w:spacing w:line="440" w:lineRule="exact"/>
              <w:jc w:val="center"/>
              <w:rPr>
                <w:color w:val="auto"/>
                <w:szCs w:val="21"/>
                <w:highlight w:val="none"/>
              </w:rPr>
            </w:pPr>
            <w:r>
              <w:rPr>
                <w:color w:val="auto"/>
                <w:szCs w:val="21"/>
                <w:highlight w:val="none"/>
              </w:rPr>
              <w:t>主要工程内容</w:t>
            </w:r>
          </w:p>
        </w:tc>
        <w:tc>
          <w:tcPr>
            <w:tcW w:w="1864" w:type="dxa"/>
            <w:vAlign w:val="center"/>
          </w:tcPr>
          <w:p w14:paraId="7C51AC3D">
            <w:pPr>
              <w:wordWrap w:val="0"/>
              <w:spacing w:line="440" w:lineRule="exact"/>
              <w:jc w:val="center"/>
              <w:rPr>
                <w:color w:val="auto"/>
                <w:szCs w:val="21"/>
                <w:highlight w:val="none"/>
              </w:rPr>
            </w:pPr>
            <w:r>
              <w:rPr>
                <w:color w:val="auto"/>
                <w:szCs w:val="21"/>
                <w:highlight w:val="none"/>
              </w:rPr>
              <w:t>预计造价（万元）</w:t>
            </w:r>
          </w:p>
        </w:tc>
        <w:tc>
          <w:tcPr>
            <w:tcW w:w="2582" w:type="dxa"/>
            <w:vAlign w:val="center"/>
          </w:tcPr>
          <w:p w14:paraId="5CC25D38">
            <w:pPr>
              <w:wordWrap w:val="0"/>
              <w:spacing w:line="440" w:lineRule="exact"/>
              <w:jc w:val="center"/>
              <w:rPr>
                <w:color w:val="auto"/>
                <w:szCs w:val="21"/>
                <w:highlight w:val="none"/>
              </w:rPr>
            </w:pPr>
            <w:r>
              <w:rPr>
                <w:color w:val="auto"/>
                <w:szCs w:val="21"/>
                <w:highlight w:val="none"/>
              </w:rPr>
              <w:t>备注</w:t>
            </w:r>
          </w:p>
        </w:tc>
      </w:tr>
      <w:tr w14:paraId="5177F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1989" w:type="dxa"/>
            <w:vAlign w:val="center"/>
          </w:tcPr>
          <w:p w14:paraId="4FB155FE">
            <w:pPr>
              <w:wordWrap w:val="0"/>
              <w:spacing w:line="440" w:lineRule="exact"/>
              <w:jc w:val="center"/>
              <w:rPr>
                <w:color w:val="auto"/>
                <w:szCs w:val="21"/>
                <w:highlight w:val="none"/>
              </w:rPr>
            </w:pPr>
          </w:p>
        </w:tc>
        <w:tc>
          <w:tcPr>
            <w:tcW w:w="2456" w:type="dxa"/>
            <w:vAlign w:val="center"/>
          </w:tcPr>
          <w:p w14:paraId="2ED6DF2A">
            <w:pPr>
              <w:wordWrap w:val="0"/>
              <w:spacing w:line="440" w:lineRule="exact"/>
              <w:jc w:val="center"/>
              <w:rPr>
                <w:color w:val="auto"/>
                <w:szCs w:val="21"/>
                <w:highlight w:val="none"/>
              </w:rPr>
            </w:pPr>
          </w:p>
        </w:tc>
        <w:tc>
          <w:tcPr>
            <w:tcW w:w="1864" w:type="dxa"/>
            <w:vAlign w:val="center"/>
          </w:tcPr>
          <w:p w14:paraId="6EA4229C">
            <w:pPr>
              <w:wordWrap w:val="0"/>
              <w:spacing w:line="440" w:lineRule="exact"/>
              <w:jc w:val="center"/>
              <w:rPr>
                <w:color w:val="auto"/>
                <w:szCs w:val="21"/>
                <w:highlight w:val="none"/>
              </w:rPr>
            </w:pPr>
          </w:p>
        </w:tc>
        <w:tc>
          <w:tcPr>
            <w:tcW w:w="2582" w:type="dxa"/>
            <w:vMerge w:val="restart"/>
            <w:vAlign w:val="center"/>
          </w:tcPr>
          <w:p w14:paraId="04D74189">
            <w:pPr>
              <w:wordWrap w:val="0"/>
              <w:spacing w:line="440" w:lineRule="exact"/>
              <w:rPr>
                <w:color w:val="auto"/>
                <w:szCs w:val="21"/>
                <w:highlight w:val="none"/>
              </w:rPr>
            </w:pPr>
            <w:r>
              <w:rPr>
                <w:color w:val="auto"/>
                <w:szCs w:val="21"/>
                <w:highlight w:val="none"/>
              </w:rPr>
              <w:t>注：若无分包计划，则投标人应在本表填写</w:t>
            </w:r>
            <w:r>
              <w:rPr>
                <w:rFonts w:hint="eastAsia" w:ascii="宋体" w:hAnsi="宋体" w:eastAsia="宋体" w:cs="宋体"/>
                <w:color w:val="auto"/>
                <w:szCs w:val="21"/>
                <w:highlight w:val="none"/>
              </w:rPr>
              <w:t>“</w:t>
            </w:r>
            <w:r>
              <w:rPr>
                <w:color w:val="auto"/>
                <w:szCs w:val="21"/>
                <w:highlight w:val="none"/>
              </w:rPr>
              <w:t>无</w:t>
            </w:r>
            <w:r>
              <w:rPr>
                <w:rFonts w:hint="eastAsia" w:ascii="宋体" w:hAnsi="宋体" w:eastAsia="宋体" w:cs="宋体"/>
                <w:color w:val="auto"/>
                <w:szCs w:val="21"/>
                <w:highlight w:val="none"/>
              </w:rPr>
              <w:t>”</w:t>
            </w:r>
          </w:p>
        </w:tc>
      </w:tr>
      <w:tr w14:paraId="39B69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1989" w:type="dxa"/>
            <w:vAlign w:val="center"/>
          </w:tcPr>
          <w:p w14:paraId="14BA808C">
            <w:pPr>
              <w:wordWrap w:val="0"/>
              <w:spacing w:line="440" w:lineRule="exact"/>
              <w:jc w:val="center"/>
              <w:rPr>
                <w:color w:val="auto"/>
                <w:szCs w:val="21"/>
                <w:highlight w:val="none"/>
              </w:rPr>
            </w:pPr>
          </w:p>
        </w:tc>
        <w:tc>
          <w:tcPr>
            <w:tcW w:w="2456" w:type="dxa"/>
            <w:vAlign w:val="center"/>
          </w:tcPr>
          <w:p w14:paraId="0567194E">
            <w:pPr>
              <w:wordWrap w:val="0"/>
              <w:spacing w:line="440" w:lineRule="exact"/>
              <w:jc w:val="center"/>
              <w:rPr>
                <w:color w:val="auto"/>
                <w:szCs w:val="21"/>
                <w:highlight w:val="none"/>
              </w:rPr>
            </w:pPr>
          </w:p>
        </w:tc>
        <w:tc>
          <w:tcPr>
            <w:tcW w:w="1864" w:type="dxa"/>
            <w:vAlign w:val="center"/>
          </w:tcPr>
          <w:p w14:paraId="5CAD30C3">
            <w:pPr>
              <w:wordWrap w:val="0"/>
              <w:spacing w:line="440" w:lineRule="exact"/>
              <w:jc w:val="center"/>
              <w:rPr>
                <w:color w:val="auto"/>
                <w:szCs w:val="21"/>
                <w:highlight w:val="none"/>
              </w:rPr>
            </w:pPr>
          </w:p>
        </w:tc>
        <w:tc>
          <w:tcPr>
            <w:tcW w:w="2582" w:type="dxa"/>
            <w:vMerge w:val="continue"/>
            <w:vAlign w:val="center"/>
          </w:tcPr>
          <w:p w14:paraId="6BF7AE6D">
            <w:pPr>
              <w:wordWrap w:val="0"/>
              <w:spacing w:line="440" w:lineRule="exact"/>
              <w:jc w:val="center"/>
              <w:rPr>
                <w:color w:val="auto"/>
                <w:szCs w:val="21"/>
                <w:highlight w:val="none"/>
              </w:rPr>
            </w:pPr>
          </w:p>
        </w:tc>
      </w:tr>
      <w:tr w14:paraId="1ED4A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989" w:type="dxa"/>
            <w:vAlign w:val="center"/>
          </w:tcPr>
          <w:p w14:paraId="04EF0BEB">
            <w:pPr>
              <w:wordWrap w:val="0"/>
              <w:spacing w:line="440" w:lineRule="exact"/>
              <w:jc w:val="center"/>
              <w:rPr>
                <w:color w:val="auto"/>
                <w:szCs w:val="21"/>
                <w:highlight w:val="none"/>
              </w:rPr>
            </w:pPr>
          </w:p>
        </w:tc>
        <w:tc>
          <w:tcPr>
            <w:tcW w:w="2456" w:type="dxa"/>
            <w:vAlign w:val="center"/>
          </w:tcPr>
          <w:p w14:paraId="1F911D5C">
            <w:pPr>
              <w:wordWrap w:val="0"/>
              <w:spacing w:line="440" w:lineRule="exact"/>
              <w:jc w:val="center"/>
              <w:rPr>
                <w:color w:val="auto"/>
                <w:szCs w:val="21"/>
                <w:highlight w:val="none"/>
              </w:rPr>
            </w:pPr>
          </w:p>
        </w:tc>
        <w:tc>
          <w:tcPr>
            <w:tcW w:w="1864" w:type="dxa"/>
            <w:vAlign w:val="center"/>
          </w:tcPr>
          <w:p w14:paraId="53CAA873">
            <w:pPr>
              <w:wordWrap w:val="0"/>
              <w:spacing w:line="440" w:lineRule="exact"/>
              <w:jc w:val="center"/>
              <w:rPr>
                <w:color w:val="auto"/>
                <w:szCs w:val="21"/>
                <w:highlight w:val="none"/>
              </w:rPr>
            </w:pPr>
          </w:p>
        </w:tc>
        <w:tc>
          <w:tcPr>
            <w:tcW w:w="2582" w:type="dxa"/>
            <w:vMerge w:val="continue"/>
            <w:vAlign w:val="center"/>
          </w:tcPr>
          <w:p w14:paraId="3E92022A">
            <w:pPr>
              <w:wordWrap w:val="0"/>
              <w:spacing w:line="440" w:lineRule="exact"/>
              <w:jc w:val="center"/>
              <w:rPr>
                <w:color w:val="auto"/>
                <w:szCs w:val="21"/>
                <w:highlight w:val="none"/>
              </w:rPr>
            </w:pPr>
          </w:p>
        </w:tc>
      </w:tr>
      <w:tr w14:paraId="2820A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0" w:hRule="atLeast"/>
        </w:trPr>
        <w:tc>
          <w:tcPr>
            <w:tcW w:w="1989" w:type="dxa"/>
            <w:vAlign w:val="center"/>
          </w:tcPr>
          <w:p w14:paraId="30CA502D">
            <w:pPr>
              <w:wordWrap w:val="0"/>
              <w:spacing w:line="440" w:lineRule="exact"/>
              <w:jc w:val="center"/>
              <w:rPr>
                <w:color w:val="auto"/>
                <w:szCs w:val="21"/>
                <w:highlight w:val="none"/>
              </w:rPr>
            </w:pPr>
          </w:p>
        </w:tc>
        <w:tc>
          <w:tcPr>
            <w:tcW w:w="2456" w:type="dxa"/>
            <w:vAlign w:val="center"/>
          </w:tcPr>
          <w:p w14:paraId="4AA9C896">
            <w:pPr>
              <w:wordWrap w:val="0"/>
              <w:spacing w:line="440" w:lineRule="exact"/>
              <w:jc w:val="center"/>
              <w:rPr>
                <w:color w:val="auto"/>
                <w:szCs w:val="21"/>
                <w:highlight w:val="none"/>
              </w:rPr>
            </w:pPr>
          </w:p>
        </w:tc>
        <w:tc>
          <w:tcPr>
            <w:tcW w:w="1864" w:type="dxa"/>
            <w:vAlign w:val="center"/>
          </w:tcPr>
          <w:p w14:paraId="50C7913F">
            <w:pPr>
              <w:wordWrap w:val="0"/>
              <w:spacing w:line="440" w:lineRule="exact"/>
              <w:jc w:val="center"/>
              <w:rPr>
                <w:color w:val="auto"/>
                <w:szCs w:val="21"/>
                <w:highlight w:val="none"/>
              </w:rPr>
            </w:pPr>
          </w:p>
        </w:tc>
        <w:tc>
          <w:tcPr>
            <w:tcW w:w="2582" w:type="dxa"/>
            <w:vMerge w:val="continue"/>
            <w:vAlign w:val="center"/>
          </w:tcPr>
          <w:p w14:paraId="0F659B43">
            <w:pPr>
              <w:wordWrap w:val="0"/>
              <w:spacing w:line="440" w:lineRule="exact"/>
              <w:jc w:val="center"/>
              <w:rPr>
                <w:color w:val="auto"/>
                <w:szCs w:val="21"/>
                <w:highlight w:val="none"/>
              </w:rPr>
            </w:pPr>
          </w:p>
        </w:tc>
      </w:tr>
      <w:tr w14:paraId="3BF95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trPr>
        <w:tc>
          <w:tcPr>
            <w:tcW w:w="1989" w:type="dxa"/>
            <w:vAlign w:val="center"/>
          </w:tcPr>
          <w:p w14:paraId="052F7938">
            <w:pPr>
              <w:wordWrap w:val="0"/>
              <w:spacing w:line="440" w:lineRule="exact"/>
              <w:jc w:val="center"/>
              <w:rPr>
                <w:color w:val="auto"/>
                <w:szCs w:val="21"/>
                <w:highlight w:val="none"/>
              </w:rPr>
            </w:pPr>
          </w:p>
        </w:tc>
        <w:tc>
          <w:tcPr>
            <w:tcW w:w="2456" w:type="dxa"/>
            <w:vAlign w:val="center"/>
          </w:tcPr>
          <w:p w14:paraId="2B0A2D25">
            <w:pPr>
              <w:wordWrap w:val="0"/>
              <w:spacing w:line="440" w:lineRule="exact"/>
              <w:jc w:val="center"/>
              <w:rPr>
                <w:color w:val="auto"/>
                <w:szCs w:val="21"/>
                <w:highlight w:val="none"/>
              </w:rPr>
            </w:pPr>
          </w:p>
        </w:tc>
        <w:tc>
          <w:tcPr>
            <w:tcW w:w="1864" w:type="dxa"/>
            <w:vAlign w:val="center"/>
          </w:tcPr>
          <w:p w14:paraId="0F205CBA">
            <w:pPr>
              <w:wordWrap w:val="0"/>
              <w:spacing w:line="440" w:lineRule="exact"/>
              <w:jc w:val="center"/>
              <w:rPr>
                <w:color w:val="auto"/>
                <w:szCs w:val="21"/>
                <w:highlight w:val="none"/>
              </w:rPr>
            </w:pPr>
          </w:p>
        </w:tc>
        <w:tc>
          <w:tcPr>
            <w:tcW w:w="2582" w:type="dxa"/>
            <w:vMerge w:val="continue"/>
            <w:vAlign w:val="center"/>
          </w:tcPr>
          <w:p w14:paraId="61C97398">
            <w:pPr>
              <w:wordWrap w:val="0"/>
              <w:spacing w:line="440" w:lineRule="exact"/>
              <w:jc w:val="center"/>
              <w:rPr>
                <w:color w:val="auto"/>
                <w:szCs w:val="21"/>
                <w:highlight w:val="none"/>
              </w:rPr>
            </w:pPr>
          </w:p>
        </w:tc>
      </w:tr>
      <w:tr w14:paraId="64BFC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989" w:type="dxa"/>
            <w:vAlign w:val="center"/>
          </w:tcPr>
          <w:p w14:paraId="4BB1E689">
            <w:pPr>
              <w:wordWrap w:val="0"/>
              <w:spacing w:line="440" w:lineRule="exact"/>
              <w:jc w:val="center"/>
              <w:rPr>
                <w:color w:val="auto"/>
                <w:szCs w:val="21"/>
                <w:highlight w:val="none"/>
              </w:rPr>
            </w:pPr>
          </w:p>
        </w:tc>
        <w:tc>
          <w:tcPr>
            <w:tcW w:w="2456" w:type="dxa"/>
            <w:vAlign w:val="center"/>
          </w:tcPr>
          <w:p w14:paraId="68B0F703">
            <w:pPr>
              <w:wordWrap w:val="0"/>
              <w:spacing w:line="440" w:lineRule="exact"/>
              <w:jc w:val="center"/>
              <w:rPr>
                <w:color w:val="auto"/>
                <w:szCs w:val="21"/>
                <w:highlight w:val="none"/>
              </w:rPr>
            </w:pPr>
          </w:p>
        </w:tc>
        <w:tc>
          <w:tcPr>
            <w:tcW w:w="1864" w:type="dxa"/>
            <w:vAlign w:val="center"/>
          </w:tcPr>
          <w:p w14:paraId="0A2BC9C8">
            <w:pPr>
              <w:wordWrap w:val="0"/>
              <w:spacing w:line="440" w:lineRule="exact"/>
              <w:jc w:val="center"/>
              <w:rPr>
                <w:color w:val="auto"/>
                <w:szCs w:val="21"/>
                <w:highlight w:val="none"/>
              </w:rPr>
            </w:pPr>
          </w:p>
        </w:tc>
        <w:tc>
          <w:tcPr>
            <w:tcW w:w="2582" w:type="dxa"/>
            <w:vMerge w:val="continue"/>
            <w:vAlign w:val="center"/>
          </w:tcPr>
          <w:p w14:paraId="1F8247D0">
            <w:pPr>
              <w:wordWrap w:val="0"/>
              <w:spacing w:line="440" w:lineRule="exact"/>
              <w:jc w:val="center"/>
              <w:rPr>
                <w:color w:val="auto"/>
                <w:szCs w:val="21"/>
                <w:highlight w:val="none"/>
              </w:rPr>
            </w:pPr>
          </w:p>
        </w:tc>
      </w:tr>
      <w:tr w14:paraId="1F50E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989" w:type="dxa"/>
            <w:vAlign w:val="center"/>
          </w:tcPr>
          <w:p w14:paraId="0917C10C">
            <w:pPr>
              <w:wordWrap w:val="0"/>
              <w:spacing w:line="440" w:lineRule="exact"/>
              <w:jc w:val="center"/>
              <w:rPr>
                <w:color w:val="auto"/>
                <w:szCs w:val="21"/>
                <w:highlight w:val="none"/>
              </w:rPr>
            </w:pPr>
          </w:p>
        </w:tc>
        <w:tc>
          <w:tcPr>
            <w:tcW w:w="2456" w:type="dxa"/>
            <w:vAlign w:val="center"/>
          </w:tcPr>
          <w:p w14:paraId="7A8F3C98">
            <w:pPr>
              <w:wordWrap w:val="0"/>
              <w:spacing w:line="440" w:lineRule="exact"/>
              <w:jc w:val="center"/>
              <w:rPr>
                <w:color w:val="auto"/>
                <w:szCs w:val="21"/>
                <w:highlight w:val="none"/>
              </w:rPr>
            </w:pPr>
          </w:p>
        </w:tc>
        <w:tc>
          <w:tcPr>
            <w:tcW w:w="1864" w:type="dxa"/>
            <w:vAlign w:val="center"/>
          </w:tcPr>
          <w:p w14:paraId="1D382B38">
            <w:pPr>
              <w:wordWrap w:val="0"/>
              <w:spacing w:line="440" w:lineRule="exact"/>
              <w:jc w:val="center"/>
              <w:rPr>
                <w:color w:val="auto"/>
                <w:szCs w:val="21"/>
                <w:highlight w:val="none"/>
              </w:rPr>
            </w:pPr>
          </w:p>
        </w:tc>
        <w:tc>
          <w:tcPr>
            <w:tcW w:w="2582" w:type="dxa"/>
            <w:vMerge w:val="continue"/>
            <w:vAlign w:val="center"/>
          </w:tcPr>
          <w:p w14:paraId="191F6891">
            <w:pPr>
              <w:wordWrap w:val="0"/>
              <w:spacing w:line="440" w:lineRule="exact"/>
              <w:jc w:val="center"/>
              <w:rPr>
                <w:color w:val="auto"/>
                <w:szCs w:val="21"/>
                <w:highlight w:val="none"/>
              </w:rPr>
            </w:pPr>
          </w:p>
        </w:tc>
      </w:tr>
      <w:tr w14:paraId="4B466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989" w:type="dxa"/>
            <w:vAlign w:val="center"/>
          </w:tcPr>
          <w:p w14:paraId="507BCE01">
            <w:pPr>
              <w:wordWrap w:val="0"/>
              <w:spacing w:line="440" w:lineRule="exact"/>
              <w:jc w:val="center"/>
              <w:rPr>
                <w:color w:val="auto"/>
                <w:szCs w:val="21"/>
                <w:highlight w:val="none"/>
              </w:rPr>
            </w:pPr>
          </w:p>
        </w:tc>
        <w:tc>
          <w:tcPr>
            <w:tcW w:w="2456" w:type="dxa"/>
            <w:vAlign w:val="center"/>
          </w:tcPr>
          <w:p w14:paraId="4BDFE9DE">
            <w:pPr>
              <w:wordWrap w:val="0"/>
              <w:spacing w:line="440" w:lineRule="exact"/>
              <w:jc w:val="center"/>
              <w:rPr>
                <w:color w:val="auto"/>
                <w:szCs w:val="21"/>
                <w:highlight w:val="none"/>
              </w:rPr>
            </w:pPr>
          </w:p>
        </w:tc>
        <w:tc>
          <w:tcPr>
            <w:tcW w:w="1864" w:type="dxa"/>
            <w:vAlign w:val="center"/>
          </w:tcPr>
          <w:p w14:paraId="45783A30">
            <w:pPr>
              <w:wordWrap w:val="0"/>
              <w:spacing w:line="440" w:lineRule="exact"/>
              <w:jc w:val="center"/>
              <w:rPr>
                <w:color w:val="auto"/>
                <w:szCs w:val="21"/>
                <w:highlight w:val="none"/>
              </w:rPr>
            </w:pPr>
          </w:p>
        </w:tc>
        <w:tc>
          <w:tcPr>
            <w:tcW w:w="2582" w:type="dxa"/>
            <w:vMerge w:val="continue"/>
            <w:vAlign w:val="center"/>
          </w:tcPr>
          <w:p w14:paraId="79B26971">
            <w:pPr>
              <w:wordWrap w:val="0"/>
              <w:spacing w:line="440" w:lineRule="exact"/>
              <w:jc w:val="center"/>
              <w:rPr>
                <w:color w:val="auto"/>
                <w:szCs w:val="21"/>
                <w:highlight w:val="none"/>
              </w:rPr>
            </w:pPr>
          </w:p>
        </w:tc>
      </w:tr>
      <w:tr w14:paraId="64CEE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989" w:type="dxa"/>
            <w:vAlign w:val="center"/>
          </w:tcPr>
          <w:p w14:paraId="0A70C7D8">
            <w:pPr>
              <w:wordWrap w:val="0"/>
              <w:spacing w:line="440" w:lineRule="exact"/>
              <w:jc w:val="center"/>
              <w:rPr>
                <w:color w:val="auto"/>
                <w:szCs w:val="21"/>
                <w:highlight w:val="none"/>
              </w:rPr>
            </w:pPr>
          </w:p>
        </w:tc>
        <w:tc>
          <w:tcPr>
            <w:tcW w:w="2456" w:type="dxa"/>
            <w:vAlign w:val="center"/>
          </w:tcPr>
          <w:p w14:paraId="22F82A50">
            <w:pPr>
              <w:wordWrap w:val="0"/>
              <w:spacing w:line="440" w:lineRule="exact"/>
              <w:jc w:val="center"/>
              <w:rPr>
                <w:color w:val="auto"/>
                <w:szCs w:val="21"/>
                <w:highlight w:val="none"/>
              </w:rPr>
            </w:pPr>
          </w:p>
        </w:tc>
        <w:tc>
          <w:tcPr>
            <w:tcW w:w="1864" w:type="dxa"/>
            <w:vAlign w:val="center"/>
          </w:tcPr>
          <w:p w14:paraId="22A63B4A">
            <w:pPr>
              <w:wordWrap w:val="0"/>
              <w:spacing w:line="440" w:lineRule="exact"/>
              <w:jc w:val="center"/>
              <w:rPr>
                <w:color w:val="auto"/>
                <w:szCs w:val="21"/>
                <w:highlight w:val="none"/>
              </w:rPr>
            </w:pPr>
          </w:p>
        </w:tc>
        <w:tc>
          <w:tcPr>
            <w:tcW w:w="2582" w:type="dxa"/>
            <w:vMerge w:val="continue"/>
            <w:vAlign w:val="center"/>
          </w:tcPr>
          <w:p w14:paraId="4A352E63">
            <w:pPr>
              <w:wordWrap w:val="0"/>
              <w:spacing w:line="440" w:lineRule="exact"/>
              <w:jc w:val="center"/>
              <w:rPr>
                <w:color w:val="auto"/>
                <w:szCs w:val="21"/>
                <w:highlight w:val="none"/>
              </w:rPr>
            </w:pPr>
          </w:p>
        </w:tc>
      </w:tr>
      <w:tr w14:paraId="29C10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0" w:hRule="atLeast"/>
        </w:trPr>
        <w:tc>
          <w:tcPr>
            <w:tcW w:w="1989" w:type="dxa"/>
            <w:vAlign w:val="center"/>
          </w:tcPr>
          <w:p w14:paraId="5F056F6A">
            <w:pPr>
              <w:wordWrap w:val="0"/>
              <w:spacing w:line="440" w:lineRule="exact"/>
              <w:jc w:val="center"/>
              <w:rPr>
                <w:color w:val="auto"/>
                <w:szCs w:val="21"/>
                <w:highlight w:val="none"/>
              </w:rPr>
            </w:pPr>
          </w:p>
        </w:tc>
        <w:tc>
          <w:tcPr>
            <w:tcW w:w="2456" w:type="dxa"/>
            <w:vAlign w:val="center"/>
          </w:tcPr>
          <w:p w14:paraId="71FF8EF6">
            <w:pPr>
              <w:wordWrap w:val="0"/>
              <w:spacing w:line="440" w:lineRule="exact"/>
              <w:jc w:val="center"/>
              <w:rPr>
                <w:color w:val="auto"/>
                <w:szCs w:val="21"/>
                <w:highlight w:val="none"/>
              </w:rPr>
            </w:pPr>
          </w:p>
        </w:tc>
        <w:tc>
          <w:tcPr>
            <w:tcW w:w="1864" w:type="dxa"/>
            <w:vAlign w:val="center"/>
          </w:tcPr>
          <w:p w14:paraId="25E1EA97">
            <w:pPr>
              <w:wordWrap w:val="0"/>
              <w:spacing w:line="440" w:lineRule="exact"/>
              <w:jc w:val="center"/>
              <w:rPr>
                <w:color w:val="auto"/>
                <w:szCs w:val="21"/>
                <w:highlight w:val="none"/>
              </w:rPr>
            </w:pPr>
          </w:p>
        </w:tc>
        <w:tc>
          <w:tcPr>
            <w:tcW w:w="2582" w:type="dxa"/>
            <w:vMerge w:val="continue"/>
            <w:vAlign w:val="center"/>
          </w:tcPr>
          <w:p w14:paraId="3B0FC6C4">
            <w:pPr>
              <w:wordWrap w:val="0"/>
              <w:spacing w:line="440" w:lineRule="exact"/>
              <w:jc w:val="center"/>
              <w:rPr>
                <w:color w:val="auto"/>
                <w:szCs w:val="21"/>
                <w:highlight w:val="none"/>
              </w:rPr>
            </w:pPr>
          </w:p>
        </w:tc>
      </w:tr>
      <w:tr w14:paraId="66517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989" w:type="dxa"/>
            <w:vAlign w:val="center"/>
          </w:tcPr>
          <w:p w14:paraId="1FF68133">
            <w:pPr>
              <w:wordWrap w:val="0"/>
              <w:spacing w:line="440" w:lineRule="exact"/>
              <w:jc w:val="center"/>
              <w:rPr>
                <w:color w:val="auto"/>
                <w:szCs w:val="21"/>
                <w:highlight w:val="none"/>
              </w:rPr>
            </w:pPr>
          </w:p>
        </w:tc>
        <w:tc>
          <w:tcPr>
            <w:tcW w:w="2456" w:type="dxa"/>
            <w:vAlign w:val="center"/>
          </w:tcPr>
          <w:p w14:paraId="5AE25D66">
            <w:pPr>
              <w:wordWrap w:val="0"/>
              <w:spacing w:line="440" w:lineRule="exact"/>
              <w:jc w:val="center"/>
              <w:rPr>
                <w:color w:val="auto"/>
                <w:szCs w:val="21"/>
                <w:highlight w:val="none"/>
              </w:rPr>
            </w:pPr>
          </w:p>
        </w:tc>
        <w:tc>
          <w:tcPr>
            <w:tcW w:w="1864" w:type="dxa"/>
            <w:vAlign w:val="center"/>
          </w:tcPr>
          <w:p w14:paraId="4AA52F57">
            <w:pPr>
              <w:wordWrap w:val="0"/>
              <w:spacing w:line="440" w:lineRule="exact"/>
              <w:jc w:val="center"/>
              <w:rPr>
                <w:color w:val="auto"/>
                <w:szCs w:val="21"/>
                <w:highlight w:val="none"/>
              </w:rPr>
            </w:pPr>
          </w:p>
        </w:tc>
        <w:tc>
          <w:tcPr>
            <w:tcW w:w="2582" w:type="dxa"/>
            <w:vMerge w:val="continue"/>
            <w:vAlign w:val="center"/>
          </w:tcPr>
          <w:p w14:paraId="22F2AABE">
            <w:pPr>
              <w:wordWrap w:val="0"/>
              <w:spacing w:line="440" w:lineRule="exact"/>
              <w:jc w:val="center"/>
              <w:rPr>
                <w:color w:val="auto"/>
                <w:szCs w:val="21"/>
                <w:highlight w:val="none"/>
              </w:rPr>
            </w:pPr>
          </w:p>
        </w:tc>
      </w:tr>
      <w:tr w14:paraId="593E9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989" w:type="dxa"/>
            <w:vAlign w:val="center"/>
          </w:tcPr>
          <w:p w14:paraId="50AB2DDF">
            <w:pPr>
              <w:wordWrap w:val="0"/>
              <w:spacing w:line="440" w:lineRule="exact"/>
              <w:jc w:val="center"/>
              <w:rPr>
                <w:color w:val="auto"/>
                <w:szCs w:val="21"/>
                <w:highlight w:val="none"/>
              </w:rPr>
            </w:pPr>
          </w:p>
        </w:tc>
        <w:tc>
          <w:tcPr>
            <w:tcW w:w="2456" w:type="dxa"/>
            <w:vAlign w:val="center"/>
          </w:tcPr>
          <w:p w14:paraId="59191606">
            <w:pPr>
              <w:wordWrap w:val="0"/>
              <w:spacing w:line="440" w:lineRule="exact"/>
              <w:jc w:val="center"/>
              <w:rPr>
                <w:color w:val="auto"/>
                <w:szCs w:val="21"/>
                <w:highlight w:val="none"/>
              </w:rPr>
            </w:pPr>
          </w:p>
        </w:tc>
        <w:tc>
          <w:tcPr>
            <w:tcW w:w="1864" w:type="dxa"/>
            <w:vAlign w:val="center"/>
          </w:tcPr>
          <w:p w14:paraId="4419CAD8">
            <w:pPr>
              <w:wordWrap w:val="0"/>
              <w:spacing w:line="440" w:lineRule="exact"/>
              <w:jc w:val="center"/>
              <w:rPr>
                <w:color w:val="auto"/>
                <w:szCs w:val="21"/>
                <w:highlight w:val="none"/>
              </w:rPr>
            </w:pPr>
          </w:p>
        </w:tc>
        <w:tc>
          <w:tcPr>
            <w:tcW w:w="2582" w:type="dxa"/>
            <w:vMerge w:val="continue"/>
            <w:vAlign w:val="center"/>
          </w:tcPr>
          <w:p w14:paraId="17F95C63">
            <w:pPr>
              <w:wordWrap w:val="0"/>
              <w:spacing w:line="440" w:lineRule="exact"/>
              <w:jc w:val="center"/>
              <w:rPr>
                <w:color w:val="auto"/>
                <w:szCs w:val="21"/>
                <w:highlight w:val="none"/>
              </w:rPr>
            </w:pPr>
          </w:p>
        </w:tc>
      </w:tr>
      <w:tr w14:paraId="05F2B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989" w:type="dxa"/>
            <w:vAlign w:val="center"/>
          </w:tcPr>
          <w:p w14:paraId="7A6E1A96">
            <w:pPr>
              <w:wordWrap w:val="0"/>
              <w:spacing w:line="440" w:lineRule="exact"/>
              <w:jc w:val="center"/>
              <w:rPr>
                <w:color w:val="auto"/>
                <w:szCs w:val="21"/>
                <w:highlight w:val="none"/>
              </w:rPr>
            </w:pPr>
          </w:p>
        </w:tc>
        <w:tc>
          <w:tcPr>
            <w:tcW w:w="2456" w:type="dxa"/>
            <w:vAlign w:val="center"/>
          </w:tcPr>
          <w:p w14:paraId="25E85C97">
            <w:pPr>
              <w:wordWrap w:val="0"/>
              <w:spacing w:line="440" w:lineRule="exact"/>
              <w:jc w:val="center"/>
              <w:rPr>
                <w:color w:val="auto"/>
                <w:szCs w:val="21"/>
                <w:highlight w:val="none"/>
              </w:rPr>
            </w:pPr>
          </w:p>
        </w:tc>
        <w:tc>
          <w:tcPr>
            <w:tcW w:w="1864" w:type="dxa"/>
            <w:vAlign w:val="center"/>
          </w:tcPr>
          <w:p w14:paraId="215C8FF4">
            <w:pPr>
              <w:wordWrap w:val="0"/>
              <w:spacing w:line="440" w:lineRule="exact"/>
              <w:jc w:val="center"/>
              <w:rPr>
                <w:color w:val="auto"/>
                <w:szCs w:val="21"/>
                <w:highlight w:val="none"/>
              </w:rPr>
            </w:pPr>
          </w:p>
        </w:tc>
        <w:tc>
          <w:tcPr>
            <w:tcW w:w="2582" w:type="dxa"/>
            <w:vMerge w:val="continue"/>
            <w:vAlign w:val="center"/>
          </w:tcPr>
          <w:p w14:paraId="6B2EB109">
            <w:pPr>
              <w:wordWrap w:val="0"/>
              <w:spacing w:line="440" w:lineRule="exact"/>
              <w:jc w:val="center"/>
              <w:rPr>
                <w:color w:val="auto"/>
                <w:szCs w:val="21"/>
                <w:highlight w:val="none"/>
              </w:rPr>
            </w:pPr>
          </w:p>
        </w:tc>
      </w:tr>
      <w:tr w14:paraId="7F3BA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989" w:type="dxa"/>
            <w:vAlign w:val="center"/>
          </w:tcPr>
          <w:p w14:paraId="1AB38A8B">
            <w:pPr>
              <w:wordWrap w:val="0"/>
              <w:spacing w:line="440" w:lineRule="exact"/>
              <w:jc w:val="center"/>
              <w:rPr>
                <w:color w:val="auto"/>
                <w:szCs w:val="21"/>
                <w:highlight w:val="none"/>
              </w:rPr>
            </w:pPr>
          </w:p>
        </w:tc>
        <w:tc>
          <w:tcPr>
            <w:tcW w:w="2456" w:type="dxa"/>
            <w:vAlign w:val="center"/>
          </w:tcPr>
          <w:p w14:paraId="04A29851">
            <w:pPr>
              <w:wordWrap w:val="0"/>
              <w:spacing w:line="440" w:lineRule="exact"/>
              <w:jc w:val="center"/>
              <w:rPr>
                <w:color w:val="auto"/>
                <w:szCs w:val="21"/>
                <w:highlight w:val="none"/>
              </w:rPr>
            </w:pPr>
          </w:p>
        </w:tc>
        <w:tc>
          <w:tcPr>
            <w:tcW w:w="1864" w:type="dxa"/>
            <w:vAlign w:val="center"/>
          </w:tcPr>
          <w:p w14:paraId="6F5524B6">
            <w:pPr>
              <w:wordWrap w:val="0"/>
              <w:spacing w:line="440" w:lineRule="exact"/>
              <w:jc w:val="center"/>
              <w:rPr>
                <w:color w:val="auto"/>
                <w:szCs w:val="21"/>
                <w:highlight w:val="none"/>
              </w:rPr>
            </w:pPr>
          </w:p>
        </w:tc>
        <w:tc>
          <w:tcPr>
            <w:tcW w:w="2582" w:type="dxa"/>
            <w:vMerge w:val="continue"/>
            <w:vAlign w:val="center"/>
          </w:tcPr>
          <w:p w14:paraId="07959298">
            <w:pPr>
              <w:wordWrap w:val="0"/>
              <w:spacing w:line="440" w:lineRule="exact"/>
              <w:jc w:val="center"/>
              <w:rPr>
                <w:color w:val="auto"/>
                <w:szCs w:val="21"/>
                <w:highlight w:val="none"/>
              </w:rPr>
            </w:pPr>
          </w:p>
        </w:tc>
      </w:tr>
      <w:tr w14:paraId="44F6E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989" w:type="dxa"/>
            <w:vAlign w:val="center"/>
          </w:tcPr>
          <w:p w14:paraId="7FA8DBD1">
            <w:pPr>
              <w:wordWrap w:val="0"/>
              <w:spacing w:line="440" w:lineRule="exact"/>
              <w:jc w:val="center"/>
              <w:rPr>
                <w:color w:val="auto"/>
                <w:szCs w:val="21"/>
                <w:highlight w:val="none"/>
              </w:rPr>
            </w:pPr>
          </w:p>
        </w:tc>
        <w:tc>
          <w:tcPr>
            <w:tcW w:w="2456" w:type="dxa"/>
            <w:vAlign w:val="center"/>
          </w:tcPr>
          <w:p w14:paraId="2A398186">
            <w:pPr>
              <w:wordWrap w:val="0"/>
              <w:spacing w:line="440" w:lineRule="exact"/>
              <w:jc w:val="center"/>
              <w:rPr>
                <w:color w:val="auto"/>
                <w:szCs w:val="21"/>
                <w:highlight w:val="none"/>
              </w:rPr>
            </w:pPr>
          </w:p>
        </w:tc>
        <w:tc>
          <w:tcPr>
            <w:tcW w:w="1864" w:type="dxa"/>
            <w:vAlign w:val="center"/>
          </w:tcPr>
          <w:p w14:paraId="56077977">
            <w:pPr>
              <w:wordWrap w:val="0"/>
              <w:spacing w:line="440" w:lineRule="exact"/>
              <w:jc w:val="center"/>
              <w:rPr>
                <w:color w:val="auto"/>
                <w:szCs w:val="21"/>
                <w:highlight w:val="none"/>
              </w:rPr>
            </w:pPr>
          </w:p>
        </w:tc>
        <w:tc>
          <w:tcPr>
            <w:tcW w:w="2582" w:type="dxa"/>
            <w:vMerge w:val="continue"/>
            <w:vAlign w:val="center"/>
          </w:tcPr>
          <w:p w14:paraId="30509A03">
            <w:pPr>
              <w:wordWrap w:val="0"/>
              <w:spacing w:line="440" w:lineRule="exact"/>
              <w:jc w:val="center"/>
              <w:rPr>
                <w:color w:val="auto"/>
                <w:szCs w:val="21"/>
                <w:highlight w:val="none"/>
              </w:rPr>
            </w:pPr>
          </w:p>
        </w:tc>
      </w:tr>
      <w:tr w14:paraId="6236D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989" w:type="dxa"/>
            <w:vAlign w:val="center"/>
          </w:tcPr>
          <w:p w14:paraId="7F9F425D">
            <w:pPr>
              <w:wordWrap w:val="0"/>
              <w:spacing w:line="440" w:lineRule="exact"/>
              <w:jc w:val="center"/>
              <w:rPr>
                <w:color w:val="auto"/>
                <w:szCs w:val="21"/>
                <w:highlight w:val="none"/>
              </w:rPr>
            </w:pPr>
          </w:p>
        </w:tc>
        <w:tc>
          <w:tcPr>
            <w:tcW w:w="2456" w:type="dxa"/>
            <w:vAlign w:val="center"/>
          </w:tcPr>
          <w:p w14:paraId="7251B132">
            <w:pPr>
              <w:wordWrap w:val="0"/>
              <w:spacing w:line="440" w:lineRule="exact"/>
              <w:jc w:val="center"/>
              <w:rPr>
                <w:color w:val="auto"/>
                <w:szCs w:val="21"/>
                <w:highlight w:val="none"/>
              </w:rPr>
            </w:pPr>
          </w:p>
        </w:tc>
        <w:tc>
          <w:tcPr>
            <w:tcW w:w="1864" w:type="dxa"/>
            <w:vAlign w:val="center"/>
          </w:tcPr>
          <w:p w14:paraId="0FF17C32">
            <w:pPr>
              <w:wordWrap w:val="0"/>
              <w:spacing w:line="440" w:lineRule="exact"/>
              <w:jc w:val="center"/>
              <w:rPr>
                <w:color w:val="auto"/>
                <w:szCs w:val="21"/>
                <w:highlight w:val="none"/>
              </w:rPr>
            </w:pPr>
          </w:p>
        </w:tc>
        <w:tc>
          <w:tcPr>
            <w:tcW w:w="2582" w:type="dxa"/>
            <w:vMerge w:val="continue"/>
            <w:vAlign w:val="center"/>
          </w:tcPr>
          <w:p w14:paraId="60CF0D75">
            <w:pPr>
              <w:wordWrap w:val="0"/>
              <w:spacing w:line="440" w:lineRule="exact"/>
              <w:jc w:val="center"/>
              <w:rPr>
                <w:color w:val="auto"/>
                <w:szCs w:val="21"/>
                <w:highlight w:val="none"/>
              </w:rPr>
            </w:pPr>
          </w:p>
        </w:tc>
      </w:tr>
      <w:tr w14:paraId="7DB7A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989" w:type="dxa"/>
            <w:vAlign w:val="center"/>
          </w:tcPr>
          <w:p w14:paraId="04303D1E">
            <w:pPr>
              <w:wordWrap w:val="0"/>
              <w:spacing w:line="440" w:lineRule="exact"/>
              <w:jc w:val="center"/>
              <w:rPr>
                <w:color w:val="auto"/>
                <w:szCs w:val="21"/>
                <w:highlight w:val="none"/>
              </w:rPr>
            </w:pPr>
          </w:p>
        </w:tc>
        <w:tc>
          <w:tcPr>
            <w:tcW w:w="2456" w:type="dxa"/>
            <w:vAlign w:val="center"/>
          </w:tcPr>
          <w:p w14:paraId="5B54957F">
            <w:pPr>
              <w:wordWrap w:val="0"/>
              <w:spacing w:line="440" w:lineRule="exact"/>
              <w:jc w:val="center"/>
              <w:rPr>
                <w:color w:val="auto"/>
                <w:szCs w:val="21"/>
                <w:highlight w:val="none"/>
              </w:rPr>
            </w:pPr>
          </w:p>
        </w:tc>
        <w:tc>
          <w:tcPr>
            <w:tcW w:w="1864" w:type="dxa"/>
            <w:vAlign w:val="center"/>
          </w:tcPr>
          <w:p w14:paraId="6DCB80E9">
            <w:pPr>
              <w:wordWrap w:val="0"/>
              <w:spacing w:line="440" w:lineRule="exact"/>
              <w:jc w:val="center"/>
              <w:rPr>
                <w:color w:val="auto"/>
                <w:szCs w:val="21"/>
                <w:highlight w:val="none"/>
              </w:rPr>
            </w:pPr>
          </w:p>
        </w:tc>
        <w:tc>
          <w:tcPr>
            <w:tcW w:w="2582" w:type="dxa"/>
            <w:vMerge w:val="continue"/>
            <w:vAlign w:val="center"/>
          </w:tcPr>
          <w:p w14:paraId="642D4E82">
            <w:pPr>
              <w:wordWrap w:val="0"/>
              <w:spacing w:line="440" w:lineRule="exact"/>
              <w:jc w:val="center"/>
              <w:rPr>
                <w:color w:val="auto"/>
                <w:szCs w:val="21"/>
                <w:highlight w:val="none"/>
              </w:rPr>
            </w:pPr>
          </w:p>
        </w:tc>
      </w:tr>
      <w:tr w14:paraId="096D4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989" w:type="dxa"/>
            <w:vAlign w:val="center"/>
          </w:tcPr>
          <w:p w14:paraId="2591F9E1">
            <w:pPr>
              <w:wordWrap w:val="0"/>
              <w:spacing w:line="440" w:lineRule="exact"/>
              <w:jc w:val="center"/>
              <w:rPr>
                <w:color w:val="auto"/>
                <w:szCs w:val="21"/>
                <w:highlight w:val="none"/>
              </w:rPr>
            </w:pPr>
          </w:p>
        </w:tc>
        <w:tc>
          <w:tcPr>
            <w:tcW w:w="2456" w:type="dxa"/>
            <w:vAlign w:val="center"/>
          </w:tcPr>
          <w:p w14:paraId="0E20FB2B">
            <w:pPr>
              <w:wordWrap w:val="0"/>
              <w:spacing w:line="440" w:lineRule="exact"/>
              <w:jc w:val="center"/>
              <w:rPr>
                <w:color w:val="auto"/>
                <w:szCs w:val="21"/>
                <w:highlight w:val="none"/>
              </w:rPr>
            </w:pPr>
          </w:p>
        </w:tc>
        <w:tc>
          <w:tcPr>
            <w:tcW w:w="1864" w:type="dxa"/>
            <w:vAlign w:val="center"/>
          </w:tcPr>
          <w:p w14:paraId="289C3660">
            <w:pPr>
              <w:wordWrap w:val="0"/>
              <w:spacing w:line="440" w:lineRule="exact"/>
              <w:jc w:val="center"/>
              <w:rPr>
                <w:color w:val="auto"/>
                <w:szCs w:val="21"/>
                <w:highlight w:val="none"/>
              </w:rPr>
            </w:pPr>
          </w:p>
        </w:tc>
        <w:tc>
          <w:tcPr>
            <w:tcW w:w="2582" w:type="dxa"/>
            <w:vMerge w:val="continue"/>
            <w:vAlign w:val="center"/>
          </w:tcPr>
          <w:p w14:paraId="11D2AEFD">
            <w:pPr>
              <w:wordWrap w:val="0"/>
              <w:spacing w:line="440" w:lineRule="exact"/>
              <w:jc w:val="center"/>
              <w:rPr>
                <w:color w:val="auto"/>
                <w:szCs w:val="21"/>
                <w:highlight w:val="none"/>
              </w:rPr>
            </w:pPr>
          </w:p>
        </w:tc>
      </w:tr>
      <w:tr w14:paraId="53740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989" w:type="dxa"/>
            <w:vAlign w:val="center"/>
          </w:tcPr>
          <w:p w14:paraId="10BBCAFE">
            <w:pPr>
              <w:wordWrap w:val="0"/>
              <w:spacing w:line="440" w:lineRule="exact"/>
              <w:jc w:val="center"/>
              <w:rPr>
                <w:color w:val="auto"/>
                <w:szCs w:val="21"/>
                <w:highlight w:val="none"/>
              </w:rPr>
            </w:pPr>
          </w:p>
        </w:tc>
        <w:tc>
          <w:tcPr>
            <w:tcW w:w="2456" w:type="dxa"/>
            <w:vAlign w:val="center"/>
          </w:tcPr>
          <w:p w14:paraId="70752306">
            <w:pPr>
              <w:wordWrap w:val="0"/>
              <w:spacing w:line="440" w:lineRule="exact"/>
              <w:jc w:val="center"/>
              <w:rPr>
                <w:color w:val="auto"/>
                <w:szCs w:val="21"/>
                <w:highlight w:val="none"/>
              </w:rPr>
            </w:pPr>
          </w:p>
        </w:tc>
        <w:tc>
          <w:tcPr>
            <w:tcW w:w="1864" w:type="dxa"/>
            <w:vAlign w:val="center"/>
          </w:tcPr>
          <w:p w14:paraId="41936F2B">
            <w:pPr>
              <w:wordWrap w:val="0"/>
              <w:spacing w:line="440" w:lineRule="exact"/>
              <w:jc w:val="center"/>
              <w:rPr>
                <w:color w:val="auto"/>
                <w:szCs w:val="21"/>
                <w:highlight w:val="none"/>
              </w:rPr>
            </w:pPr>
          </w:p>
        </w:tc>
        <w:tc>
          <w:tcPr>
            <w:tcW w:w="2582" w:type="dxa"/>
            <w:vMerge w:val="continue"/>
            <w:vAlign w:val="center"/>
          </w:tcPr>
          <w:p w14:paraId="27892CE1">
            <w:pPr>
              <w:wordWrap w:val="0"/>
              <w:spacing w:line="440" w:lineRule="exact"/>
              <w:jc w:val="center"/>
              <w:rPr>
                <w:color w:val="auto"/>
                <w:szCs w:val="21"/>
                <w:highlight w:val="none"/>
              </w:rPr>
            </w:pPr>
          </w:p>
        </w:tc>
      </w:tr>
      <w:tr w14:paraId="6023B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4445" w:type="dxa"/>
            <w:gridSpan w:val="2"/>
            <w:vAlign w:val="center"/>
          </w:tcPr>
          <w:p w14:paraId="5DDC5397">
            <w:pPr>
              <w:wordWrap w:val="0"/>
              <w:spacing w:line="440" w:lineRule="exact"/>
              <w:jc w:val="center"/>
              <w:rPr>
                <w:color w:val="auto"/>
                <w:szCs w:val="21"/>
                <w:highlight w:val="none"/>
              </w:rPr>
            </w:pPr>
            <w:r>
              <w:rPr>
                <w:color w:val="auto"/>
                <w:szCs w:val="21"/>
                <w:highlight w:val="none"/>
              </w:rPr>
              <w:t>拟分包工程造价合计（万元）</w:t>
            </w:r>
          </w:p>
        </w:tc>
        <w:tc>
          <w:tcPr>
            <w:tcW w:w="1864" w:type="dxa"/>
            <w:vAlign w:val="center"/>
          </w:tcPr>
          <w:p w14:paraId="13EE1328">
            <w:pPr>
              <w:wordWrap w:val="0"/>
              <w:spacing w:line="440" w:lineRule="exact"/>
              <w:jc w:val="center"/>
              <w:rPr>
                <w:color w:val="auto"/>
                <w:szCs w:val="21"/>
                <w:highlight w:val="none"/>
              </w:rPr>
            </w:pPr>
          </w:p>
        </w:tc>
        <w:tc>
          <w:tcPr>
            <w:tcW w:w="2582" w:type="dxa"/>
            <w:vMerge w:val="continue"/>
            <w:vAlign w:val="center"/>
          </w:tcPr>
          <w:p w14:paraId="3A7058FA">
            <w:pPr>
              <w:wordWrap w:val="0"/>
              <w:spacing w:line="440" w:lineRule="exact"/>
              <w:jc w:val="center"/>
              <w:rPr>
                <w:color w:val="auto"/>
                <w:szCs w:val="21"/>
                <w:highlight w:val="none"/>
              </w:rPr>
            </w:pPr>
          </w:p>
        </w:tc>
      </w:tr>
    </w:tbl>
    <w:p w14:paraId="70A5DCB6">
      <w:pPr>
        <w:keepNext w:val="0"/>
        <w:keepLines w:val="0"/>
        <w:pageBreakBefore w:val="0"/>
        <w:widowControl/>
        <w:kinsoku/>
        <w:wordWrap/>
        <w:overflowPunct/>
        <w:topLinePunct w:val="0"/>
        <w:autoSpaceDE/>
        <w:autoSpaceDN/>
        <w:bidi w:val="0"/>
        <w:adjustRightInd/>
        <w:snapToGrid/>
        <w:spacing w:before="0" w:after="0" w:line="240" w:lineRule="auto"/>
        <w:ind w:firstLine="0" w:firstLineChars="0"/>
        <w:jc w:val="left"/>
        <w:textAlignment w:val="auto"/>
        <w:outlineLvl w:val="9"/>
        <w:rPr>
          <w:rFonts w:hint="eastAsia" w:eastAsia="黑体" w:cs="Times New Roman"/>
          <w:b w:val="0"/>
          <w:bCs/>
          <w:color w:val="auto"/>
          <w:kern w:val="44"/>
          <w:sz w:val="28"/>
          <w:szCs w:val="28"/>
          <w:highlight w:val="none"/>
          <w:lang w:val="en-US" w:eastAsia="zh-CN"/>
        </w:rPr>
      </w:pPr>
      <w:r>
        <w:rPr>
          <w:rFonts w:hint="eastAsia" w:eastAsia="黑体" w:cs="Times New Roman"/>
          <w:b w:val="0"/>
          <w:bCs/>
          <w:color w:val="auto"/>
          <w:kern w:val="44"/>
          <w:sz w:val="28"/>
          <w:szCs w:val="28"/>
          <w:highlight w:val="none"/>
          <w:lang w:val="en-US" w:eastAsia="zh-CN"/>
        </w:rPr>
        <w:br w:type="page"/>
      </w:r>
    </w:p>
    <w:p w14:paraId="01C6C1AD">
      <w:pPr>
        <w:pStyle w:val="6"/>
        <w:pageBreakBefore w:val="0"/>
        <w:kinsoku/>
        <w:wordWrap w:val="0"/>
        <w:bidi w:val="0"/>
        <w:spacing w:before="0" w:after="0" w:line="400" w:lineRule="atLeast"/>
        <w:jc w:val="center"/>
        <w:outlineLvl w:val="3"/>
        <w:rPr>
          <w:rFonts w:hint="default" w:ascii="Times New Roman" w:hAnsi="Times New Roman" w:eastAsia="黑体" w:cs="Times New Roman"/>
          <w:b w:val="0"/>
          <w:i w:val="0"/>
          <w:iCs/>
          <w:color w:val="auto"/>
          <w:sz w:val="30"/>
          <w:szCs w:val="30"/>
          <w:highlight w:val="none"/>
        </w:rPr>
      </w:pPr>
      <w:r>
        <w:rPr>
          <w:rFonts w:hint="eastAsia" w:ascii="Times New Roman" w:hAnsi="Times New Roman" w:eastAsia="黑体" w:cs="Times New Roman"/>
          <w:b w:val="0"/>
          <w:i w:val="0"/>
          <w:iCs/>
          <w:color w:val="auto"/>
          <w:sz w:val="30"/>
          <w:szCs w:val="30"/>
          <w:highlight w:val="none"/>
          <w:lang w:val="en-US" w:eastAsia="zh-CN"/>
        </w:rPr>
        <w:t>八</w:t>
      </w:r>
      <w:r>
        <w:rPr>
          <w:rFonts w:hint="default" w:ascii="Times New Roman" w:hAnsi="Times New Roman" w:eastAsia="黑体" w:cs="Times New Roman"/>
          <w:b w:val="0"/>
          <w:i w:val="0"/>
          <w:iCs/>
          <w:color w:val="auto"/>
          <w:sz w:val="30"/>
          <w:szCs w:val="30"/>
          <w:highlight w:val="none"/>
        </w:rPr>
        <w:t>、资格审查资料</w:t>
      </w:r>
      <w:bookmarkEnd w:id="1683"/>
      <w:bookmarkEnd w:id="1684"/>
    </w:p>
    <w:p w14:paraId="3BE8F4F0">
      <w:pPr>
        <w:pageBreakBefore w:val="0"/>
        <w:kinsoku/>
        <w:wordWrap w:val="0"/>
        <w:bidi w:val="0"/>
        <w:spacing w:before="0" w:after="0" w:line="380" w:lineRule="atLeast"/>
        <w:jc w:val="center"/>
        <w:outlineLvl w:val="9"/>
        <w:rPr>
          <w:rFonts w:hint="default" w:ascii="Times New Roman" w:hAnsi="Times New Roman" w:eastAsia="黑体" w:cs="Times New Roman"/>
          <w:b w:val="0"/>
          <w:color w:val="auto"/>
          <w:sz w:val="28"/>
          <w:szCs w:val="28"/>
          <w:highlight w:val="none"/>
        </w:rPr>
      </w:pPr>
    </w:p>
    <w:p w14:paraId="69AA23B7">
      <w:pPr>
        <w:pageBreakBefore w:val="0"/>
        <w:kinsoku/>
        <w:wordWrap w:val="0"/>
        <w:bidi w:val="0"/>
        <w:spacing w:before="0" w:after="0" w:line="380" w:lineRule="atLeast"/>
        <w:jc w:val="center"/>
        <w:outlineLvl w:val="9"/>
        <w:rPr>
          <w:rFonts w:hint="default" w:ascii="Times New Roman" w:hAnsi="Times New Roman" w:eastAsia="黑体" w:cs="Times New Roman"/>
          <w:color w:val="auto"/>
          <w:sz w:val="23"/>
          <w:szCs w:val="23"/>
          <w:highlight w:val="none"/>
        </w:rPr>
      </w:pPr>
      <w:bookmarkStart w:id="1685" w:name="_Toc15892"/>
      <w:bookmarkStart w:id="1686" w:name="_Toc8645"/>
      <w:bookmarkStart w:id="1687" w:name="_Toc234833279"/>
      <w:r>
        <w:rPr>
          <w:rFonts w:hint="default" w:ascii="Times New Roman" w:hAnsi="Times New Roman" w:eastAsia="黑体" w:cs="Times New Roman"/>
          <w:b w:val="0"/>
          <w:color w:val="auto"/>
          <w:sz w:val="24"/>
          <w:szCs w:val="24"/>
          <w:highlight w:val="none"/>
        </w:rPr>
        <w:t>（一）投标人基本情况表</w:t>
      </w:r>
      <w:bookmarkEnd w:id="1685"/>
      <w:bookmarkEnd w:id="1686"/>
      <w:bookmarkEnd w:id="1687"/>
    </w:p>
    <w:tbl>
      <w:tblPr>
        <w:tblStyle w:val="40"/>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07"/>
        <w:gridCol w:w="900"/>
        <w:gridCol w:w="1080"/>
        <w:gridCol w:w="529"/>
        <w:gridCol w:w="731"/>
        <w:gridCol w:w="1078"/>
        <w:gridCol w:w="182"/>
        <w:gridCol w:w="901"/>
        <w:gridCol w:w="1620"/>
      </w:tblGrid>
      <w:tr w14:paraId="70E0B0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07" w:type="dxa"/>
            <w:tcBorders>
              <w:top w:val="single" w:color="auto" w:sz="4" w:space="0"/>
              <w:left w:val="single" w:color="auto" w:sz="4" w:space="0"/>
              <w:bottom w:val="single" w:color="auto" w:sz="4" w:space="0"/>
              <w:right w:val="single" w:color="auto" w:sz="4" w:space="0"/>
            </w:tcBorders>
            <w:noWrap w:val="0"/>
            <w:vAlign w:val="center"/>
          </w:tcPr>
          <w:p w14:paraId="0ED81AF5">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投标人名称</w:t>
            </w:r>
          </w:p>
        </w:tc>
        <w:tc>
          <w:tcPr>
            <w:tcW w:w="7021" w:type="dxa"/>
            <w:gridSpan w:val="8"/>
            <w:tcBorders>
              <w:top w:val="single" w:color="auto" w:sz="4" w:space="0"/>
              <w:left w:val="single" w:color="auto" w:sz="4" w:space="0"/>
              <w:bottom w:val="single" w:color="auto" w:sz="4" w:space="0"/>
              <w:right w:val="single" w:color="auto" w:sz="4" w:space="0"/>
            </w:tcBorders>
            <w:noWrap w:val="0"/>
            <w:vAlign w:val="center"/>
          </w:tcPr>
          <w:p w14:paraId="168D7FE3">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r>
      <w:tr w14:paraId="3107B8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07" w:type="dxa"/>
            <w:tcBorders>
              <w:top w:val="single" w:color="auto" w:sz="4" w:space="0"/>
              <w:left w:val="single" w:color="auto" w:sz="4" w:space="0"/>
              <w:bottom w:val="single" w:color="auto" w:sz="4" w:space="0"/>
              <w:right w:val="single" w:color="auto" w:sz="4" w:space="0"/>
            </w:tcBorders>
            <w:noWrap w:val="0"/>
            <w:vAlign w:val="center"/>
          </w:tcPr>
          <w:p w14:paraId="524419B9">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注册地址</w:t>
            </w:r>
          </w:p>
        </w:tc>
        <w:tc>
          <w:tcPr>
            <w:tcW w:w="3240" w:type="dxa"/>
            <w:gridSpan w:val="4"/>
            <w:tcBorders>
              <w:top w:val="single" w:color="auto" w:sz="4" w:space="0"/>
              <w:left w:val="single" w:color="auto" w:sz="4" w:space="0"/>
              <w:bottom w:val="single" w:color="auto" w:sz="4" w:space="0"/>
              <w:right w:val="single" w:color="auto" w:sz="4" w:space="0"/>
            </w:tcBorders>
            <w:noWrap w:val="0"/>
            <w:vAlign w:val="center"/>
          </w:tcPr>
          <w:p w14:paraId="264CB84C">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14:paraId="7F7E9827">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邮政编码</w:t>
            </w:r>
          </w:p>
        </w:tc>
        <w:tc>
          <w:tcPr>
            <w:tcW w:w="2703" w:type="dxa"/>
            <w:gridSpan w:val="3"/>
            <w:tcBorders>
              <w:top w:val="single" w:color="auto" w:sz="4" w:space="0"/>
              <w:left w:val="single" w:color="auto" w:sz="4" w:space="0"/>
              <w:bottom w:val="single" w:color="auto" w:sz="4" w:space="0"/>
              <w:right w:val="single" w:color="auto" w:sz="4" w:space="0"/>
            </w:tcBorders>
            <w:noWrap w:val="0"/>
            <w:vAlign w:val="center"/>
          </w:tcPr>
          <w:p w14:paraId="35A3EC92">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r>
      <w:tr w14:paraId="5E89D4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07" w:type="dxa"/>
            <w:vMerge w:val="restart"/>
            <w:tcBorders>
              <w:top w:val="single" w:color="auto" w:sz="4" w:space="0"/>
              <w:left w:val="single" w:color="auto" w:sz="4" w:space="0"/>
              <w:bottom w:val="single" w:color="auto" w:sz="4" w:space="0"/>
              <w:right w:val="single" w:color="auto" w:sz="4" w:space="0"/>
            </w:tcBorders>
            <w:noWrap w:val="0"/>
            <w:vAlign w:val="center"/>
          </w:tcPr>
          <w:p w14:paraId="6AE3005D">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联系方式</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711414BC">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联系人</w:t>
            </w:r>
          </w:p>
        </w:tc>
        <w:tc>
          <w:tcPr>
            <w:tcW w:w="2340" w:type="dxa"/>
            <w:gridSpan w:val="3"/>
            <w:tcBorders>
              <w:top w:val="single" w:color="auto" w:sz="4" w:space="0"/>
              <w:left w:val="single" w:color="auto" w:sz="4" w:space="0"/>
              <w:bottom w:val="single" w:color="auto" w:sz="4" w:space="0"/>
              <w:right w:val="single" w:color="auto" w:sz="4" w:space="0"/>
            </w:tcBorders>
            <w:noWrap w:val="0"/>
            <w:vAlign w:val="center"/>
          </w:tcPr>
          <w:p w14:paraId="2A8C17A6">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14:paraId="2E7243BD">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电话</w:t>
            </w:r>
          </w:p>
        </w:tc>
        <w:tc>
          <w:tcPr>
            <w:tcW w:w="2703" w:type="dxa"/>
            <w:gridSpan w:val="3"/>
            <w:tcBorders>
              <w:top w:val="single" w:color="auto" w:sz="4" w:space="0"/>
              <w:left w:val="single" w:color="auto" w:sz="4" w:space="0"/>
              <w:bottom w:val="single" w:color="auto" w:sz="4" w:space="0"/>
              <w:right w:val="single" w:color="auto" w:sz="4" w:space="0"/>
            </w:tcBorders>
            <w:noWrap w:val="0"/>
            <w:vAlign w:val="center"/>
          </w:tcPr>
          <w:p w14:paraId="61D80192">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r>
      <w:tr w14:paraId="1746BB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07" w:type="dxa"/>
            <w:vMerge w:val="continue"/>
            <w:tcBorders>
              <w:top w:val="single" w:color="auto" w:sz="4" w:space="0"/>
              <w:left w:val="single" w:color="auto" w:sz="4" w:space="0"/>
              <w:bottom w:val="single" w:color="auto" w:sz="4" w:space="0"/>
              <w:right w:val="single" w:color="auto" w:sz="4" w:space="0"/>
            </w:tcBorders>
            <w:noWrap w:val="0"/>
            <w:vAlign w:val="center"/>
          </w:tcPr>
          <w:p w14:paraId="5190877D">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36E5BDC3">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传真</w:t>
            </w:r>
          </w:p>
        </w:tc>
        <w:tc>
          <w:tcPr>
            <w:tcW w:w="2340" w:type="dxa"/>
            <w:gridSpan w:val="3"/>
            <w:tcBorders>
              <w:top w:val="single" w:color="auto" w:sz="4" w:space="0"/>
              <w:left w:val="single" w:color="auto" w:sz="4" w:space="0"/>
              <w:bottom w:val="single" w:color="auto" w:sz="4" w:space="0"/>
              <w:right w:val="single" w:color="auto" w:sz="4" w:space="0"/>
            </w:tcBorders>
            <w:noWrap w:val="0"/>
            <w:vAlign w:val="center"/>
          </w:tcPr>
          <w:p w14:paraId="1C2954A7">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14:paraId="51D941FD">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电子邮件</w:t>
            </w:r>
          </w:p>
        </w:tc>
        <w:tc>
          <w:tcPr>
            <w:tcW w:w="2703" w:type="dxa"/>
            <w:gridSpan w:val="3"/>
            <w:tcBorders>
              <w:top w:val="single" w:color="auto" w:sz="4" w:space="0"/>
              <w:left w:val="single" w:color="auto" w:sz="4" w:space="0"/>
              <w:bottom w:val="single" w:color="auto" w:sz="4" w:space="0"/>
              <w:right w:val="single" w:color="auto" w:sz="4" w:space="0"/>
            </w:tcBorders>
            <w:noWrap w:val="0"/>
            <w:vAlign w:val="center"/>
          </w:tcPr>
          <w:p w14:paraId="6BB9BF45">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r>
      <w:tr w14:paraId="712287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07" w:type="dxa"/>
            <w:tcBorders>
              <w:top w:val="single" w:color="auto" w:sz="4" w:space="0"/>
              <w:left w:val="single" w:color="auto" w:sz="4" w:space="0"/>
              <w:bottom w:val="single" w:color="auto" w:sz="4" w:space="0"/>
              <w:right w:val="single" w:color="auto" w:sz="4" w:space="0"/>
            </w:tcBorders>
            <w:noWrap w:val="0"/>
            <w:vAlign w:val="center"/>
          </w:tcPr>
          <w:p w14:paraId="644627B5">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法定代表人</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44417D2B">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姓名</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77E1133">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14:paraId="3F199888">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技术职称</w:t>
            </w:r>
          </w:p>
        </w:tc>
        <w:tc>
          <w:tcPr>
            <w:tcW w:w="1078" w:type="dxa"/>
            <w:tcBorders>
              <w:top w:val="single" w:color="auto" w:sz="4" w:space="0"/>
              <w:left w:val="single" w:color="auto" w:sz="4" w:space="0"/>
              <w:bottom w:val="single" w:color="auto" w:sz="4" w:space="0"/>
              <w:right w:val="single" w:color="auto" w:sz="4" w:space="0"/>
            </w:tcBorders>
            <w:noWrap w:val="0"/>
            <w:vAlign w:val="center"/>
          </w:tcPr>
          <w:p w14:paraId="462E8E9A">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c>
          <w:tcPr>
            <w:tcW w:w="1083" w:type="dxa"/>
            <w:gridSpan w:val="2"/>
            <w:tcBorders>
              <w:top w:val="single" w:color="auto" w:sz="4" w:space="0"/>
              <w:left w:val="single" w:color="auto" w:sz="4" w:space="0"/>
              <w:bottom w:val="single" w:color="auto" w:sz="4" w:space="0"/>
              <w:right w:val="single" w:color="auto" w:sz="4" w:space="0"/>
            </w:tcBorders>
            <w:noWrap w:val="0"/>
            <w:vAlign w:val="center"/>
          </w:tcPr>
          <w:p w14:paraId="7E49FD40">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电话</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549BAA44">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r>
      <w:tr w14:paraId="44AEFB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07" w:type="dxa"/>
            <w:tcBorders>
              <w:top w:val="single" w:color="auto" w:sz="4" w:space="0"/>
              <w:left w:val="single" w:color="auto" w:sz="4" w:space="0"/>
              <w:bottom w:val="single" w:color="auto" w:sz="4" w:space="0"/>
              <w:right w:val="single" w:color="auto" w:sz="4" w:space="0"/>
            </w:tcBorders>
            <w:noWrap w:val="0"/>
            <w:vAlign w:val="center"/>
          </w:tcPr>
          <w:p w14:paraId="222DE0DE">
            <w:pPr>
              <w:pageBreakBefore w:val="0"/>
              <w:kinsoku/>
              <w:wordWrap w:val="0"/>
              <w:topLinePunct/>
              <w:bidi w:val="0"/>
              <w:spacing w:line="440" w:lineRule="exact"/>
              <w:jc w:val="center"/>
              <w:rPr>
                <w:rFonts w:hint="eastAsia" w:ascii="Times New Roman" w:hAnsi="Times New Roman" w:eastAsia="宋体" w:cs="Times New Roman"/>
                <w:color w:val="auto"/>
                <w:szCs w:val="21"/>
                <w:highlight w:val="none"/>
                <w:lang w:eastAsia="zh-CN"/>
              </w:rPr>
            </w:pPr>
            <w:r>
              <w:rPr>
                <w:rFonts w:hint="eastAsia" w:cs="Times New Roman"/>
                <w:color w:val="auto"/>
                <w:szCs w:val="21"/>
                <w:highlight w:val="none"/>
                <w:lang w:eastAsia="zh-CN"/>
              </w:rPr>
              <w:t>项目总工</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31DA2AC7">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姓名</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0426D0F">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14:paraId="53CADB52">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技术职称</w:t>
            </w:r>
          </w:p>
        </w:tc>
        <w:tc>
          <w:tcPr>
            <w:tcW w:w="1078" w:type="dxa"/>
            <w:tcBorders>
              <w:top w:val="single" w:color="auto" w:sz="4" w:space="0"/>
              <w:left w:val="single" w:color="auto" w:sz="4" w:space="0"/>
              <w:bottom w:val="single" w:color="auto" w:sz="4" w:space="0"/>
              <w:right w:val="single" w:color="auto" w:sz="4" w:space="0"/>
            </w:tcBorders>
            <w:noWrap w:val="0"/>
            <w:vAlign w:val="center"/>
          </w:tcPr>
          <w:p w14:paraId="2B93EFB8">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c>
          <w:tcPr>
            <w:tcW w:w="1083" w:type="dxa"/>
            <w:gridSpan w:val="2"/>
            <w:tcBorders>
              <w:top w:val="single" w:color="auto" w:sz="4" w:space="0"/>
              <w:left w:val="single" w:color="auto" w:sz="4" w:space="0"/>
              <w:bottom w:val="single" w:color="auto" w:sz="4" w:space="0"/>
              <w:right w:val="single" w:color="auto" w:sz="4" w:space="0"/>
            </w:tcBorders>
            <w:noWrap w:val="0"/>
            <w:vAlign w:val="center"/>
          </w:tcPr>
          <w:p w14:paraId="729B92D4">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电话</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2FBF4BB6">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r>
      <w:tr w14:paraId="51B811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07" w:type="dxa"/>
            <w:tcBorders>
              <w:top w:val="single" w:color="auto" w:sz="4" w:space="0"/>
              <w:left w:val="single" w:color="auto" w:sz="4" w:space="0"/>
              <w:bottom w:val="single" w:color="auto" w:sz="4" w:space="0"/>
              <w:right w:val="single" w:color="auto" w:sz="4" w:space="0"/>
            </w:tcBorders>
            <w:noWrap w:val="0"/>
            <w:vAlign w:val="center"/>
          </w:tcPr>
          <w:p w14:paraId="4CDB775E">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营业执照号</w:t>
            </w:r>
          </w:p>
        </w:tc>
        <w:tc>
          <w:tcPr>
            <w:tcW w:w="1980" w:type="dxa"/>
            <w:gridSpan w:val="2"/>
            <w:tcBorders>
              <w:top w:val="single" w:color="auto" w:sz="4" w:space="0"/>
              <w:left w:val="single" w:color="auto" w:sz="4" w:space="0"/>
              <w:bottom w:val="single" w:color="auto" w:sz="4" w:space="0"/>
              <w:right w:val="single" w:color="auto" w:sz="4" w:space="0"/>
            </w:tcBorders>
            <w:noWrap w:val="0"/>
            <w:vAlign w:val="center"/>
          </w:tcPr>
          <w:p w14:paraId="16078C9E">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c>
          <w:tcPr>
            <w:tcW w:w="5041" w:type="dxa"/>
            <w:gridSpan w:val="6"/>
            <w:tcBorders>
              <w:top w:val="single" w:color="auto" w:sz="4" w:space="0"/>
              <w:left w:val="single" w:color="auto" w:sz="4" w:space="0"/>
              <w:bottom w:val="single" w:color="auto" w:sz="4" w:space="0"/>
              <w:right w:val="single" w:color="auto" w:sz="4" w:space="0"/>
            </w:tcBorders>
            <w:noWrap w:val="0"/>
            <w:vAlign w:val="center"/>
          </w:tcPr>
          <w:p w14:paraId="7020C15D">
            <w:pPr>
              <w:pageBreakBefore w:val="0"/>
              <w:kinsoku/>
              <w:wordWrap w:val="0"/>
              <w:topLinePunct/>
              <w:bidi w:val="0"/>
              <w:spacing w:line="440" w:lineRule="exact"/>
              <w:ind w:firstLine="105" w:firstLineChar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员工总人数：</w:t>
            </w:r>
          </w:p>
        </w:tc>
      </w:tr>
      <w:tr w14:paraId="61DD92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07" w:type="dxa"/>
            <w:tcBorders>
              <w:top w:val="single" w:color="auto" w:sz="4" w:space="0"/>
              <w:left w:val="single" w:color="auto" w:sz="4" w:space="0"/>
              <w:bottom w:val="single" w:color="auto" w:sz="4" w:space="0"/>
              <w:right w:val="single" w:color="auto" w:sz="4" w:space="0"/>
            </w:tcBorders>
            <w:noWrap w:val="0"/>
            <w:vAlign w:val="center"/>
          </w:tcPr>
          <w:p w14:paraId="2D346BA2">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企业资质等级</w:t>
            </w:r>
          </w:p>
        </w:tc>
        <w:tc>
          <w:tcPr>
            <w:tcW w:w="1980" w:type="dxa"/>
            <w:gridSpan w:val="2"/>
            <w:tcBorders>
              <w:top w:val="single" w:color="auto" w:sz="4" w:space="0"/>
              <w:left w:val="single" w:color="auto" w:sz="4" w:space="0"/>
              <w:bottom w:val="single" w:color="auto" w:sz="4" w:space="0"/>
              <w:right w:val="single" w:color="auto" w:sz="4" w:space="0"/>
            </w:tcBorders>
            <w:noWrap w:val="0"/>
            <w:vAlign w:val="center"/>
          </w:tcPr>
          <w:p w14:paraId="2049DAA3">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c>
          <w:tcPr>
            <w:tcW w:w="529" w:type="dxa"/>
            <w:vMerge w:val="restart"/>
            <w:tcBorders>
              <w:top w:val="single" w:color="auto" w:sz="4" w:space="0"/>
              <w:left w:val="single" w:color="auto" w:sz="4" w:space="0"/>
              <w:bottom w:val="single" w:color="auto" w:sz="4" w:space="0"/>
              <w:right w:val="single" w:color="auto" w:sz="4" w:space="0"/>
            </w:tcBorders>
            <w:noWrap w:val="0"/>
            <w:vAlign w:val="center"/>
          </w:tcPr>
          <w:p w14:paraId="2CF2B3C1">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其中</w:t>
            </w:r>
          </w:p>
        </w:tc>
        <w:tc>
          <w:tcPr>
            <w:tcW w:w="1991" w:type="dxa"/>
            <w:gridSpan w:val="3"/>
            <w:tcBorders>
              <w:top w:val="single" w:color="auto" w:sz="4" w:space="0"/>
              <w:left w:val="single" w:color="auto" w:sz="4" w:space="0"/>
              <w:bottom w:val="single" w:color="auto" w:sz="4" w:space="0"/>
              <w:right w:val="single" w:color="auto" w:sz="4" w:space="0"/>
            </w:tcBorders>
            <w:noWrap w:val="0"/>
            <w:vAlign w:val="center"/>
          </w:tcPr>
          <w:p w14:paraId="2BBD02D8">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项目经理</w:t>
            </w:r>
          </w:p>
        </w:tc>
        <w:tc>
          <w:tcPr>
            <w:tcW w:w="2521" w:type="dxa"/>
            <w:gridSpan w:val="2"/>
            <w:tcBorders>
              <w:top w:val="single" w:color="auto" w:sz="4" w:space="0"/>
              <w:left w:val="single" w:color="auto" w:sz="4" w:space="0"/>
              <w:bottom w:val="single" w:color="auto" w:sz="4" w:space="0"/>
              <w:right w:val="single" w:color="auto" w:sz="4" w:space="0"/>
            </w:tcBorders>
            <w:noWrap w:val="0"/>
            <w:vAlign w:val="center"/>
          </w:tcPr>
          <w:p w14:paraId="38BEF727">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r>
      <w:tr w14:paraId="74E11D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07" w:type="dxa"/>
            <w:tcBorders>
              <w:top w:val="single" w:color="auto" w:sz="4" w:space="0"/>
              <w:left w:val="single" w:color="auto" w:sz="4" w:space="0"/>
              <w:bottom w:val="single" w:color="auto" w:sz="4" w:space="0"/>
              <w:right w:val="single" w:color="auto" w:sz="4" w:space="0"/>
            </w:tcBorders>
            <w:noWrap w:val="0"/>
            <w:vAlign w:val="center"/>
          </w:tcPr>
          <w:p w14:paraId="2B985CE4">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注册资本</w:t>
            </w:r>
          </w:p>
        </w:tc>
        <w:tc>
          <w:tcPr>
            <w:tcW w:w="1980" w:type="dxa"/>
            <w:gridSpan w:val="2"/>
            <w:tcBorders>
              <w:top w:val="single" w:color="auto" w:sz="4" w:space="0"/>
              <w:left w:val="single" w:color="auto" w:sz="4" w:space="0"/>
              <w:bottom w:val="single" w:color="auto" w:sz="4" w:space="0"/>
              <w:right w:val="single" w:color="auto" w:sz="4" w:space="0"/>
            </w:tcBorders>
            <w:noWrap w:val="0"/>
            <w:vAlign w:val="center"/>
          </w:tcPr>
          <w:p w14:paraId="0B0BF649">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c>
          <w:tcPr>
            <w:tcW w:w="529" w:type="dxa"/>
            <w:vMerge w:val="continue"/>
            <w:tcBorders>
              <w:top w:val="single" w:color="auto" w:sz="4" w:space="0"/>
              <w:left w:val="single" w:color="auto" w:sz="4" w:space="0"/>
              <w:bottom w:val="single" w:color="auto" w:sz="4" w:space="0"/>
              <w:right w:val="single" w:color="auto" w:sz="4" w:space="0"/>
            </w:tcBorders>
            <w:noWrap w:val="0"/>
            <w:vAlign w:val="center"/>
          </w:tcPr>
          <w:p w14:paraId="1B3991CC">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c>
          <w:tcPr>
            <w:tcW w:w="1991" w:type="dxa"/>
            <w:gridSpan w:val="3"/>
            <w:tcBorders>
              <w:top w:val="single" w:color="auto" w:sz="4" w:space="0"/>
              <w:left w:val="single" w:color="auto" w:sz="4" w:space="0"/>
              <w:bottom w:val="single" w:color="auto" w:sz="4" w:space="0"/>
              <w:right w:val="single" w:color="auto" w:sz="4" w:space="0"/>
            </w:tcBorders>
            <w:noWrap w:val="0"/>
            <w:vAlign w:val="center"/>
          </w:tcPr>
          <w:p w14:paraId="1C40081A">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高级职称人员</w:t>
            </w:r>
          </w:p>
        </w:tc>
        <w:tc>
          <w:tcPr>
            <w:tcW w:w="2521" w:type="dxa"/>
            <w:gridSpan w:val="2"/>
            <w:tcBorders>
              <w:top w:val="single" w:color="auto" w:sz="4" w:space="0"/>
              <w:left w:val="single" w:color="auto" w:sz="4" w:space="0"/>
              <w:bottom w:val="single" w:color="auto" w:sz="4" w:space="0"/>
              <w:right w:val="single" w:color="auto" w:sz="4" w:space="0"/>
            </w:tcBorders>
            <w:noWrap w:val="0"/>
            <w:vAlign w:val="center"/>
          </w:tcPr>
          <w:p w14:paraId="199399CF">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r>
      <w:tr w14:paraId="11B0AB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07" w:type="dxa"/>
            <w:tcBorders>
              <w:top w:val="single" w:color="auto" w:sz="4" w:space="0"/>
              <w:left w:val="single" w:color="auto" w:sz="4" w:space="0"/>
              <w:bottom w:val="single" w:color="auto" w:sz="4" w:space="0"/>
              <w:right w:val="single" w:color="auto" w:sz="4" w:space="0"/>
            </w:tcBorders>
            <w:noWrap w:val="0"/>
            <w:vAlign w:val="center"/>
          </w:tcPr>
          <w:p w14:paraId="47B23CB6">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成立日期</w:t>
            </w:r>
          </w:p>
        </w:tc>
        <w:tc>
          <w:tcPr>
            <w:tcW w:w="1980" w:type="dxa"/>
            <w:gridSpan w:val="2"/>
            <w:tcBorders>
              <w:top w:val="single" w:color="auto" w:sz="4" w:space="0"/>
              <w:left w:val="single" w:color="auto" w:sz="4" w:space="0"/>
              <w:bottom w:val="single" w:color="auto" w:sz="4" w:space="0"/>
              <w:right w:val="single" w:color="auto" w:sz="4" w:space="0"/>
            </w:tcBorders>
            <w:noWrap w:val="0"/>
            <w:vAlign w:val="center"/>
          </w:tcPr>
          <w:p w14:paraId="27D41175">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c>
          <w:tcPr>
            <w:tcW w:w="529" w:type="dxa"/>
            <w:vMerge w:val="continue"/>
            <w:tcBorders>
              <w:top w:val="single" w:color="auto" w:sz="4" w:space="0"/>
              <w:left w:val="single" w:color="auto" w:sz="4" w:space="0"/>
              <w:bottom w:val="single" w:color="auto" w:sz="4" w:space="0"/>
              <w:right w:val="single" w:color="auto" w:sz="4" w:space="0"/>
            </w:tcBorders>
            <w:noWrap w:val="0"/>
            <w:vAlign w:val="center"/>
          </w:tcPr>
          <w:p w14:paraId="08B30261">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c>
          <w:tcPr>
            <w:tcW w:w="1991" w:type="dxa"/>
            <w:gridSpan w:val="3"/>
            <w:tcBorders>
              <w:top w:val="single" w:color="auto" w:sz="4" w:space="0"/>
              <w:left w:val="single" w:color="auto" w:sz="4" w:space="0"/>
              <w:bottom w:val="single" w:color="auto" w:sz="4" w:space="0"/>
              <w:right w:val="single" w:color="auto" w:sz="4" w:space="0"/>
            </w:tcBorders>
            <w:noWrap w:val="0"/>
            <w:vAlign w:val="center"/>
          </w:tcPr>
          <w:p w14:paraId="0F01016B">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中级职称人员</w:t>
            </w:r>
          </w:p>
        </w:tc>
        <w:tc>
          <w:tcPr>
            <w:tcW w:w="2521" w:type="dxa"/>
            <w:gridSpan w:val="2"/>
            <w:tcBorders>
              <w:top w:val="single" w:color="auto" w:sz="4" w:space="0"/>
              <w:left w:val="single" w:color="auto" w:sz="4" w:space="0"/>
              <w:bottom w:val="single" w:color="auto" w:sz="4" w:space="0"/>
              <w:right w:val="single" w:color="auto" w:sz="4" w:space="0"/>
            </w:tcBorders>
            <w:noWrap w:val="0"/>
            <w:vAlign w:val="center"/>
          </w:tcPr>
          <w:p w14:paraId="6672B4F4">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r>
      <w:tr w14:paraId="3ED5C5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07" w:type="dxa"/>
            <w:tcBorders>
              <w:top w:val="single" w:color="auto" w:sz="4" w:space="0"/>
              <w:left w:val="single" w:color="auto" w:sz="4" w:space="0"/>
              <w:bottom w:val="single" w:color="auto" w:sz="4" w:space="0"/>
              <w:right w:val="single" w:color="auto" w:sz="4" w:space="0"/>
            </w:tcBorders>
            <w:noWrap w:val="0"/>
            <w:vAlign w:val="center"/>
          </w:tcPr>
          <w:p w14:paraId="5037352B">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基本账户开户银行</w:t>
            </w:r>
          </w:p>
        </w:tc>
        <w:tc>
          <w:tcPr>
            <w:tcW w:w="1980" w:type="dxa"/>
            <w:gridSpan w:val="2"/>
            <w:tcBorders>
              <w:top w:val="single" w:color="auto" w:sz="4" w:space="0"/>
              <w:left w:val="single" w:color="auto" w:sz="4" w:space="0"/>
              <w:bottom w:val="single" w:color="auto" w:sz="4" w:space="0"/>
              <w:right w:val="single" w:color="auto" w:sz="4" w:space="0"/>
            </w:tcBorders>
            <w:noWrap w:val="0"/>
            <w:vAlign w:val="center"/>
          </w:tcPr>
          <w:p w14:paraId="085A5FCE">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c>
          <w:tcPr>
            <w:tcW w:w="529" w:type="dxa"/>
            <w:vMerge w:val="continue"/>
            <w:tcBorders>
              <w:top w:val="single" w:color="auto" w:sz="4" w:space="0"/>
              <w:left w:val="single" w:color="auto" w:sz="4" w:space="0"/>
              <w:bottom w:val="single" w:color="auto" w:sz="4" w:space="0"/>
              <w:right w:val="single" w:color="auto" w:sz="4" w:space="0"/>
            </w:tcBorders>
            <w:noWrap w:val="0"/>
            <w:vAlign w:val="center"/>
          </w:tcPr>
          <w:p w14:paraId="520546B9">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c>
          <w:tcPr>
            <w:tcW w:w="1991" w:type="dxa"/>
            <w:gridSpan w:val="3"/>
            <w:tcBorders>
              <w:top w:val="single" w:color="auto" w:sz="4" w:space="0"/>
              <w:left w:val="single" w:color="auto" w:sz="4" w:space="0"/>
              <w:bottom w:val="single" w:color="auto" w:sz="4" w:space="0"/>
              <w:right w:val="single" w:color="auto" w:sz="4" w:space="0"/>
            </w:tcBorders>
            <w:noWrap w:val="0"/>
            <w:vAlign w:val="center"/>
          </w:tcPr>
          <w:p w14:paraId="5AE16C19">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初级职称人员</w:t>
            </w:r>
          </w:p>
        </w:tc>
        <w:tc>
          <w:tcPr>
            <w:tcW w:w="2521" w:type="dxa"/>
            <w:gridSpan w:val="2"/>
            <w:tcBorders>
              <w:top w:val="single" w:color="auto" w:sz="4" w:space="0"/>
              <w:left w:val="single" w:color="auto" w:sz="4" w:space="0"/>
              <w:bottom w:val="single" w:color="auto" w:sz="4" w:space="0"/>
              <w:right w:val="single" w:color="auto" w:sz="4" w:space="0"/>
            </w:tcBorders>
            <w:noWrap w:val="0"/>
            <w:vAlign w:val="center"/>
          </w:tcPr>
          <w:p w14:paraId="026AEC0A">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r>
      <w:tr w14:paraId="297FD5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07" w:type="dxa"/>
            <w:tcBorders>
              <w:top w:val="single" w:color="auto" w:sz="4" w:space="0"/>
              <w:left w:val="single" w:color="auto" w:sz="4" w:space="0"/>
              <w:bottom w:val="single" w:color="auto" w:sz="4" w:space="0"/>
              <w:right w:val="single" w:color="auto" w:sz="4" w:space="0"/>
            </w:tcBorders>
            <w:noWrap w:val="0"/>
            <w:vAlign w:val="center"/>
          </w:tcPr>
          <w:p w14:paraId="0467472B">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基本账户银行账号</w:t>
            </w:r>
          </w:p>
        </w:tc>
        <w:tc>
          <w:tcPr>
            <w:tcW w:w="1980" w:type="dxa"/>
            <w:gridSpan w:val="2"/>
            <w:tcBorders>
              <w:top w:val="single" w:color="auto" w:sz="4" w:space="0"/>
              <w:left w:val="single" w:color="auto" w:sz="4" w:space="0"/>
              <w:bottom w:val="single" w:color="auto" w:sz="4" w:space="0"/>
              <w:right w:val="single" w:color="auto" w:sz="4" w:space="0"/>
            </w:tcBorders>
            <w:noWrap w:val="0"/>
            <w:vAlign w:val="center"/>
          </w:tcPr>
          <w:p w14:paraId="25348C0D">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c>
          <w:tcPr>
            <w:tcW w:w="529" w:type="dxa"/>
            <w:vMerge w:val="continue"/>
            <w:tcBorders>
              <w:top w:val="single" w:color="auto" w:sz="4" w:space="0"/>
              <w:left w:val="single" w:color="auto" w:sz="4" w:space="0"/>
              <w:bottom w:val="single" w:color="auto" w:sz="4" w:space="0"/>
              <w:right w:val="single" w:color="auto" w:sz="4" w:space="0"/>
            </w:tcBorders>
            <w:noWrap w:val="0"/>
            <w:vAlign w:val="center"/>
          </w:tcPr>
          <w:p w14:paraId="7F287306">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c>
          <w:tcPr>
            <w:tcW w:w="1991" w:type="dxa"/>
            <w:gridSpan w:val="3"/>
            <w:tcBorders>
              <w:top w:val="single" w:color="auto" w:sz="4" w:space="0"/>
              <w:left w:val="single" w:color="auto" w:sz="4" w:space="0"/>
              <w:bottom w:val="single" w:color="auto" w:sz="4" w:space="0"/>
              <w:right w:val="single" w:color="auto" w:sz="4" w:space="0"/>
            </w:tcBorders>
            <w:noWrap w:val="0"/>
            <w:vAlign w:val="center"/>
          </w:tcPr>
          <w:p w14:paraId="708BD689">
            <w:pPr>
              <w:pStyle w:val="29"/>
              <w:pageBreakBefore w:val="0"/>
              <w:kinsoku/>
              <w:wordWrap w:val="0"/>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技工</w:t>
            </w:r>
          </w:p>
        </w:tc>
        <w:tc>
          <w:tcPr>
            <w:tcW w:w="2521" w:type="dxa"/>
            <w:gridSpan w:val="2"/>
            <w:tcBorders>
              <w:top w:val="single" w:color="auto" w:sz="4" w:space="0"/>
              <w:left w:val="single" w:color="auto" w:sz="4" w:space="0"/>
              <w:bottom w:val="single" w:color="auto" w:sz="4" w:space="0"/>
              <w:right w:val="single" w:color="auto" w:sz="4" w:space="0"/>
            </w:tcBorders>
            <w:noWrap w:val="0"/>
            <w:vAlign w:val="center"/>
          </w:tcPr>
          <w:p w14:paraId="13177788">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r>
      <w:tr w14:paraId="03A539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07" w:type="dxa"/>
            <w:tcBorders>
              <w:top w:val="single" w:color="auto" w:sz="4" w:space="0"/>
              <w:left w:val="single" w:color="auto" w:sz="4" w:space="0"/>
              <w:right w:val="single" w:color="auto" w:sz="4" w:space="0"/>
            </w:tcBorders>
            <w:noWrap w:val="0"/>
            <w:vAlign w:val="center"/>
          </w:tcPr>
          <w:p w14:paraId="6E3633AA">
            <w:pPr>
              <w:pageBreakBefore w:val="0"/>
              <w:kinsoku/>
              <w:wordWrap w:val="0"/>
              <w:topLinePunct/>
              <w:bidi w:val="0"/>
              <w:spacing w:line="440" w:lineRule="exact"/>
              <w:ind w:firstLine="210" w:firstLineChars="10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经营范围</w:t>
            </w:r>
          </w:p>
        </w:tc>
        <w:tc>
          <w:tcPr>
            <w:tcW w:w="7021" w:type="dxa"/>
            <w:gridSpan w:val="8"/>
            <w:tcBorders>
              <w:top w:val="single" w:color="auto" w:sz="4" w:space="0"/>
              <w:left w:val="single" w:color="auto" w:sz="4" w:space="0"/>
              <w:right w:val="single" w:color="auto" w:sz="4" w:space="0"/>
            </w:tcBorders>
            <w:noWrap w:val="0"/>
            <w:vAlign w:val="center"/>
          </w:tcPr>
          <w:p w14:paraId="54E06F88">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p w14:paraId="1EC9BCAA">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p w14:paraId="1B788019">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p w14:paraId="20FCC711">
            <w:pPr>
              <w:pageBreakBefore w:val="0"/>
              <w:kinsoku/>
              <w:wordWrap w:val="0"/>
              <w:topLinePunct/>
              <w:bidi w:val="0"/>
              <w:spacing w:line="440" w:lineRule="exact"/>
              <w:rPr>
                <w:rFonts w:hint="default" w:ascii="Times New Roman" w:hAnsi="Times New Roman" w:cs="Times New Roman"/>
                <w:color w:val="auto"/>
                <w:szCs w:val="21"/>
                <w:highlight w:val="none"/>
              </w:rPr>
            </w:pPr>
          </w:p>
        </w:tc>
      </w:tr>
      <w:tr w14:paraId="2650B6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07" w:type="dxa"/>
            <w:tcBorders>
              <w:top w:val="single" w:color="auto" w:sz="4" w:space="0"/>
              <w:left w:val="single" w:color="auto" w:sz="4" w:space="0"/>
              <w:bottom w:val="single" w:color="auto" w:sz="4" w:space="0"/>
              <w:right w:val="single" w:color="auto" w:sz="4" w:space="0"/>
            </w:tcBorders>
            <w:noWrap w:val="0"/>
            <w:vAlign w:val="center"/>
          </w:tcPr>
          <w:p w14:paraId="5A81F3DB">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投标人关联企业情况</w:t>
            </w:r>
          </w:p>
        </w:tc>
        <w:tc>
          <w:tcPr>
            <w:tcW w:w="7021" w:type="dxa"/>
            <w:gridSpan w:val="8"/>
            <w:tcBorders>
              <w:top w:val="single" w:color="auto" w:sz="4" w:space="0"/>
              <w:left w:val="single" w:color="auto" w:sz="4" w:space="0"/>
              <w:bottom w:val="single" w:color="auto" w:sz="4" w:space="0"/>
              <w:right w:val="single" w:color="auto" w:sz="4" w:space="0"/>
            </w:tcBorders>
            <w:noWrap w:val="0"/>
            <w:vAlign w:val="center"/>
          </w:tcPr>
          <w:p w14:paraId="7B207B65">
            <w:pPr>
              <w:pageBreakBefore w:val="0"/>
              <w:kinsoku/>
              <w:wordWrap w:val="0"/>
              <w:topLinePunct/>
              <w:bidi w:val="0"/>
              <w:spacing w:line="40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投标人应提供关联企业情况，包括：</w:t>
            </w:r>
          </w:p>
          <w:p w14:paraId="692232CC">
            <w:pPr>
              <w:pageBreakBefore w:val="0"/>
              <w:kinsoku/>
              <w:wordWrap w:val="0"/>
              <w:topLinePunct/>
              <w:bidi w:val="0"/>
              <w:spacing w:line="40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（1）投标人的所有股东名称及相应股权（出资额）比例；如投标人为上市公司，投标人应提供股权占公司股份总数</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%以上的所有股东名称及相应股权比例；</w:t>
            </w:r>
          </w:p>
          <w:p w14:paraId="4E127550">
            <w:pPr>
              <w:pageBreakBefore w:val="0"/>
              <w:kinsoku/>
              <w:wordWrap w:val="0"/>
              <w:topLinePunct/>
              <w:bidi w:val="0"/>
              <w:spacing w:line="40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（2）投标人投资（控股）或管理的下属企业名称、持有股权（出资额）比例；</w:t>
            </w:r>
          </w:p>
          <w:p w14:paraId="710DD1BA">
            <w:pPr>
              <w:pageBreakBefore w:val="0"/>
              <w:kinsoku/>
              <w:wordWrap w:val="0"/>
              <w:topLinePunct/>
              <w:bidi w:val="0"/>
              <w:spacing w:line="40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（3）与投标人单位负责人（即法定代表人）为同一人的其他单位名称</w:t>
            </w:r>
          </w:p>
          <w:p w14:paraId="4F34F56F">
            <w:pPr>
              <w:pageBreakBefore w:val="0"/>
              <w:kinsoku/>
              <w:wordWrap w:val="0"/>
              <w:topLinePunct/>
              <w:bidi w:val="0"/>
              <w:spacing w:line="440" w:lineRule="exact"/>
              <w:jc w:val="both"/>
              <w:rPr>
                <w:rFonts w:hint="default" w:ascii="Times New Roman" w:hAnsi="Times New Roman" w:cs="Times New Roman"/>
                <w:color w:val="auto"/>
                <w:szCs w:val="21"/>
                <w:highlight w:val="none"/>
              </w:rPr>
            </w:pPr>
          </w:p>
        </w:tc>
      </w:tr>
      <w:tr w14:paraId="50B1C1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07" w:type="dxa"/>
            <w:tcBorders>
              <w:top w:val="single" w:color="auto" w:sz="4" w:space="0"/>
              <w:left w:val="single" w:color="auto" w:sz="4" w:space="0"/>
              <w:bottom w:val="single" w:color="auto" w:sz="4" w:space="0"/>
              <w:right w:val="single" w:color="auto" w:sz="4" w:space="0"/>
            </w:tcBorders>
            <w:noWrap w:val="0"/>
            <w:vAlign w:val="center"/>
          </w:tcPr>
          <w:p w14:paraId="6048B33A">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备注</w:t>
            </w:r>
          </w:p>
        </w:tc>
        <w:tc>
          <w:tcPr>
            <w:tcW w:w="7021" w:type="dxa"/>
            <w:gridSpan w:val="8"/>
            <w:tcBorders>
              <w:top w:val="single" w:color="auto" w:sz="4" w:space="0"/>
              <w:left w:val="single" w:color="auto" w:sz="4" w:space="0"/>
              <w:bottom w:val="single" w:color="auto" w:sz="4" w:space="0"/>
              <w:right w:val="single" w:color="auto" w:sz="4" w:space="0"/>
            </w:tcBorders>
            <w:noWrap w:val="0"/>
            <w:vAlign w:val="center"/>
          </w:tcPr>
          <w:p w14:paraId="523F039E">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r>
    </w:tbl>
    <w:p w14:paraId="365D191D">
      <w:pPr>
        <w:pageBreakBefore w:val="0"/>
        <w:widowControl/>
        <w:kinsoku/>
        <w:wordWrap w:val="0"/>
        <w:autoSpaceDE w:val="0"/>
        <w:autoSpaceDN w:val="0"/>
        <w:bidi w:val="0"/>
        <w:spacing w:line="400" w:lineRule="atLeast"/>
        <w:ind w:left="630" w:hanging="630" w:hangingChars="300"/>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注：1.</w:t>
      </w:r>
      <w:r>
        <w:rPr>
          <w:rFonts w:hint="default" w:ascii="Times New Roman" w:hAnsi="Times New Roman" w:cs="Times New Roman"/>
          <w:color w:val="auto"/>
          <w:highlight w:val="none"/>
        </w:rPr>
        <w:t>投标人应根据招标文件第二章</w:t>
      </w:r>
      <w:r>
        <w:rPr>
          <w:rFonts w:hint="eastAsia" w:ascii="宋体" w:hAnsi="宋体" w:eastAsia="宋体" w:cs="宋体"/>
          <w:color w:val="auto"/>
          <w:highlight w:val="none"/>
        </w:rPr>
        <w:t>“</w:t>
      </w:r>
      <w:r>
        <w:rPr>
          <w:rFonts w:hint="default" w:ascii="Times New Roman" w:hAnsi="Times New Roman" w:cs="Times New Roman"/>
          <w:color w:val="auto"/>
          <w:highlight w:val="none"/>
        </w:rPr>
        <w:t>投标人须知</w:t>
      </w:r>
      <w:r>
        <w:rPr>
          <w:rFonts w:hint="eastAsia" w:ascii="宋体" w:hAnsi="宋体" w:eastAsia="宋体" w:cs="宋体"/>
          <w:color w:val="auto"/>
          <w:highlight w:val="none"/>
        </w:rPr>
        <w:t>”</w:t>
      </w:r>
      <w:r>
        <w:rPr>
          <w:rFonts w:hint="default" w:ascii="Times New Roman" w:hAnsi="Times New Roman" w:cs="Times New Roman"/>
          <w:color w:val="auto"/>
          <w:highlight w:val="none"/>
        </w:rPr>
        <w:t>第3.5.1项的要求在本表后附相关证明材料。</w:t>
      </w:r>
    </w:p>
    <w:p w14:paraId="434A41F1">
      <w:pPr>
        <w:pageBreakBefore w:val="0"/>
        <w:kinsoku/>
        <w:wordWrap w:val="0"/>
        <w:bidi w:val="0"/>
        <w:spacing w:line="40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2.以联合体形式参与投标的，联合体各成员应分别填写。</w:t>
      </w:r>
    </w:p>
    <w:p w14:paraId="7578FAF7">
      <w:pPr>
        <w:pageBreakBefore w:val="0"/>
        <w:kinsoku/>
        <w:wordWrap w:val="0"/>
        <w:bidi w:val="0"/>
        <w:spacing w:line="440" w:lineRule="exact"/>
        <w:jc w:val="center"/>
        <w:rPr>
          <w:rFonts w:hint="default" w:ascii="Times New Roman" w:hAnsi="Times New Roman" w:cs="Times New Roman"/>
          <w:color w:val="auto"/>
          <w:szCs w:val="21"/>
          <w:highlight w:val="none"/>
        </w:rPr>
      </w:pPr>
    </w:p>
    <w:p w14:paraId="41216DBD">
      <w:pPr>
        <w:rPr>
          <w:rFonts w:hint="default" w:ascii="Times New Roman" w:hAnsi="Times New Roman" w:eastAsia="黑体" w:cs="Times New Roman"/>
          <w:b w:val="0"/>
          <w:color w:val="auto"/>
          <w:sz w:val="24"/>
          <w:szCs w:val="24"/>
          <w:highlight w:val="none"/>
        </w:rPr>
      </w:pPr>
      <w:bookmarkStart w:id="1688" w:name="_Toc18039"/>
      <w:bookmarkStart w:id="1689" w:name="_Toc234833280"/>
      <w:bookmarkStart w:id="1690" w:name="_Toc11366"/>
      <w:r>
        <w:rPr>
          <w:rFonts w:hint="default" w:ascii="Times New Roman" w:hAnsi="Times New Roman" w:eastAsia="黑体" w:cs="Times New Roman"/>
          <w:b w:val="0"/>
          <w:color w:val="auto"/>
          <w:sz w:val="24"/>
          <w:szCs w:val="24"/>
          <w:highlight w:val="none"/>
        </w:rPr>
        <w:br w:type="page"/>
      </w:r>
    </w:p>
    <w:p w14:paraId="7802496E">
      <w:pPr>
        <w:pageBreakBefore w:val="0"/>
        <w:kinsoku/>
        <w:wordWrap w:val="0"/>
        <w:bidi w:val="0"/>
        <w:spacing w:before="0" w:after="0" w:line="380" w:lineRule="atLeast"/>
        <w:jc w:val="center"/>
        <w:outlineLvl w:val="9"/>
        <w:rPr>
          <w:rFonts w:hint="default" w:ascii="Times New Roman" w:hAnsi="Times New Roman" w:eastAsia="黑体" w:cs="Times New Roman"/>
          <w:b w:val="0"/>
          <w:color w:val="auto"/>
          <w:sz w:val="24"/>
          <w:szCs w:val="24"/>
          <w:highlight w:val="none"/>
        </w:rPr>
      </w:pPr>
      <w:r>
        <w:rPr>
          <w:rFonts w:hint="default" w:ascii="Times New Roman" w:hAnsi="Times New Roman" w:eastAsia="黑体" w:cs="Times New Roman"/>
          <w:b w:val="0"/>
          <w:color w:val="auto"/>
          <w:sz w:val="24"/>
          <w:szCs w:val="24"/>
          <w:highlight w:val="none"/>
        </w:rPr>
        <w:t>（二）投标人企业组织机构框图</w:t>
      </w:r>
      <w:bookmarkEnd w:id="1688"/>
      <w:bookmarkEnd w:id="1689"/>
      <w:bookmarkEnd w:id="1690"/>
    </w:p>
    <w:p w14:paraId="16573E89">
      <w:pPr>
        <w:pageBreakBefore w:val="0"/>
        <w:widowControl/>
        <w:kinsoku/>
        <w:wordWrap w:val="0"/>
        <w:autoSpaceDE w:val="0"/>
        <w:autoSpaceDN w:val="0"/>
        <w:bidi w:val="0"/>
        <w:spacing w:line="400" w:lineRule="atLeast"/>
        <w:ind w:left="180"/>
        <w:jc w:val="center"/>
        <w:textAlignment w:val="bottom"/>
        <w:rPr>
          <w:rFonts w:hint="default" w:ascii="Times New Roman" w:hAnsi="Times New Roman" w:cs="Times New Roman"/>
          <w:color w:val="auto"/>
          <w:sz w:val="20"/>
          <w:szCs w:val="20"/>
          <w:highlight w:val="none"/>
        </w:rPr>
      </w:pPr>
    </w:p>
    <w:p w14:paraId="38D27C46">
      <w:pPr>
        <w:pageBreakBefore w:val="0"/>
        <w:widowControl/>
        <w:kinsoku/>
        <w:wordWrap w:val="0"/>
        <w:autoSpaceDE w:val="0"/>
        <w:autoSpaceDN w:val="0"/>
        <w:bidi w:val="0"/>
        <w:spacing w:line="400" w:lineRule="atLeast"/>
        <w:ind w:left="180"/>
        <w:textAlignment w:val="bottom"/>
        <w:rPr>
          <w:rFonts w:hint="default" w:ascii="Times New Roman" w:hAnsi="Times New Roman" w:cs="Times New Roman"/>
          <w:color w:val="auto"/>
          <w:sz w:val="20"/>
          <w:szCs w:val="20"/>
          <w:highlight w:val="none"/>
        </w:rPr>
      </w:pPr>
    </w:p>
    <w:tbl>
      <w:tblPr>
        <w:tblStyle w:val="40"/>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891"/>
      </w:tblGrid>
      <w:tr w14:paraId="028ED9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524" w:hRule="atLeast"/>
        </w:trPr>
        <w:tc>
          <w:tcPr>
            <w:tcW w:w="8891" w:type="dxa"/>
            <w:tcBorders>
              <w:bottom w:val="single" w:color="auto" w:sz="6" w:space="0"/>
            </w:tcBorders>
            <w:noWrap w:val="0"/>
            <w:vAlign w:val="top"/>
          </w:tcPr>
          <w:p w14:paraId="23408388">
            <w:pPr>
              <w:pageBreakBefore w:val="0"/>
              <w:kinsoku/>
              <w:wordWrap w:val="0"/>
              <w:bidi w:val="0"/>
              <w:spacing w:line="400" w:lineRule="atLeast"/>
              <w:ind w:left="266" w:right="174" w:rightChars="83" w:firstLine="4"/>
              <w:rPr>
                <w:rFonts w:hint="default" w:ascii="Times New Roman" w:hAnsi="Times New Roman" w:cs="Times New Roman"/>
                <w:color w:val="auto"/>
                <w:szCs w:val="21"/>
                <w:highlight w:val="none"/>
              </w:rPr>
            </w:pPr>
          </w:p>
          <w:p w14:paraId="6CCC0A46">
            <w:pPr>
              <w:pageBreakBefore w:val="0"/>
              <w:kinsoku/>
              <w:wordWrap w:val="0"/>
              <w:bidi w:val="0"/>
              <w:spacing w:line="520" w:lineRule="atLeast"/>
              <w:ind w:left="266" w:right="174" w:rightChars="83" w:firstLine="4"/>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以框图方式表示。</w:t>
            </w:r>
          </w:p>
          <w:p w14:paraId="0A8AB62B">
            <w:pPr>
              <w:pageBreakBefore w:val="0"/>
              <w:kinsoku/>
              <w:wordWrap w:val="0"/>
              <w:bidi w:val="0"/>
              <w:spacing w:line="400" w:lineRule="atLeast"/>
              <w:ind w:left="266" w:right="174" w:rightChars="83" w:firstLine="4"/>
              <w:rPr>
                <w:rFonts w:hint="default" w:ascii="Times New Roman" w:hAnsi="Times New Roman" w:cs="Times New Roman"/>
                <w:color w:val="auto"/>
                <w:szCs w:val="21"/>
                <w:highlight w:val="none"/>
              </w:rPr>
            </w:pPr>
          </w:p>
          <w:p w14:paraId="5DAEC112">
            <w:pPr>
              <w:pageBreakBefore w:val="0"/>
              <w:kinsoku/>
              <w:wordWrap w:val="0"/>
              <w:bidi w:val="0"/>
              <w:spacing w:line="400" w:lineRule="atLeast"/>
              <w:ind w:right="174" w:rightChars="83" w:firstLine="4"/>
              <w:rPr>
                <w:rFonts w:hint="default" w:ascii="Times New Roman" w:hAnsi="Times New Roman" w:cs="Times New Roman"/>
                <w:color w:val="auto"/>
                <w:szCs w:val="21"/>
                <w:highlight w:val="none"/>
              </w:rPr>
            </w:pPr>
          </w:p>
          <w:p w14:paraId="468F2319">
            <w:pPr>
              <w:pageBreakBefore w:val="0"/>
              <w:kinsoku/>
              <w:wordWrap w:val="0"/>
              <w:bidi w:val="0"/>
              <w:spacing w:line="400" w:lineRule="atLeast"/>
              <w:ind w:right="174" w:rightChars="83" w:firstLine="4"/>
              <w:rPr>
                <w:rFonts w:hint="default" w:ascii="Times New Roman" w:hAnsi="Times New Roman" w:cs="Times New Roman"/>
                <w:color w:val="auto"/>
                <w:szCs w:val="21"/>
                <w:highlight w:val="none"/>
              </w:rPr>
            </w:pPr>
          </w:p>
          <w:p w14:paraId="73C5D8A7">
            <w:pPr>
              <w:pageBreakBefore w:val="0"/>
              <w:kinsoku/>
              <w:wordWrap w:val="0"/>
              <w:bidi w:val="0"/>
              <w:spacing w:line="400" w:lineRule="atLeast"/>
              <w:ind w:right="174" w:rightChars="83" w:firstLine="4"/>
              <w:rPr>
                <w:rFonts w:hint="default" w:ascii="Times New Roman" w:hAnsi="Times New Roman" w:cs="Times New Roman"/>
                <w:color w:val="auto"/>
                <w:szCs w:val="21"/>
                <w:highlight w:val="none"/>
              </w:rPr>
            </w:pPr>
          </w:p>
          <w:p w14:paraId="5010966F">
            <w:pPr>
              <w:pageBreakBefore w:val="0"/>
              <w:kinsoku/>
              <w:wordWrap w:val="0"/>
              <w:bidi w:val="0"/>
              <w:spacing w:line="400" w:lineRule="atLeast"/>
              <w:ind w:right="174" w:rightChars="83" w:firstLine="4"/>
              <w:rPr>
                <w:rFonts w:hint="default" w:ascii="Times New Roman" w:hAnsi="Times New Roman" w:cs="Times New Roman"/>
                <w:color w:val="auto"/>
                <w:szCs w:val="21"/>
                <w:highlight w:val="none"/>
              </w:rPr>
            </w:pPr>
          </w:p>
          <w:p w14:paraId="195D66E8">
            <w:pPr>
              <w:pageBreakBefore w:val="0"/>
              <w:kinsoku/>
              <w:wordWrap w:val="0"/>
              <w:bidi w:val="0"/>
              <w:spacing w:line="400" w:lineRule="atLeast"/>
              <w:ind w:right="174" w:rightChars="83" w:firstLine="4"/>
              <w:rPr>
                <w:rFonts w:hint="default" w:ascii="Times New Roman" w:hAnsi="Times New Roman" w:cs="Times New Roman"/>
                <w:color w:val="auto"/>
                <w:szCs w:val="21"/>
                <w:highlight w:val="none"/>
              </w:rPr>
            </w:pPr>
          </w:p>
          <w:p w14:paraId="678AD1F5">
            <w:pPr>
              <w:pageBreakBefore w:val="0"/>
              <w:kinsoku/>
              <w:wordWrap w:val="0"/>
              <w:bidi w:val="0"/>
              <w:spacing w:line="400" w:lineRule="atLeast"/>
              <w:ind w:right="174" w:rightChars="83" w:firstLine="4"/>
              <w:rPr>
                <w:rFonts w:hint="default" w:ascii="Times New Roman" w:hAnsi="Times New Roman" w:cs="Times New Roman"/>
                <w:color w:val="auto"/>
                <w:szCs w:val="21"/>
                <w:highlight w:val="none"/>
              </w:rPr>
            </w:pPr>
          </w:p>
          <w:p w14:paraId="062FA168">
            <w:pPr>
              <w:pageBreakBefore w:val="0"/>
              <w:kinsoku/>
              <w:wordWrap w:val="0"/>
              <w:bidi w:val="0"/>
              <w:spacing w:line="400" w:lineRule="atLeast"/>
              <w:ind w:right="174" w:rightChars="83" w:firstLine="4"/>
              <w:rPr>
                <w:rFonts w:hint="default" w:ascii="Times New Roman" w:hAnsi="Times New Roman" w:cs="Times New Roman"/>
                <w:color w:val="auto"/>
                <w:szCs w:val="21"/>
                <w:highlight w:val="none"/>
              </w:rPr>
            </w:pPr>
          </w:p>
          <w:p w14:paraId="133EE981">
            <w:pPr>
              <w:pageBreakBefore w:val="0"/>
              <w:kinsoku/>
              <w:wordWrap w:val="0"/>
              <w:bidi w:val="0"/>
              <w:spacing w:line="400" w:lineRule="atLeast"/>
              <w:ind w:right="174" w:rightChars="83" w:firstLine="4"/>
              <w:rPr>
                <w:rFonts w:hint="default" w:ascii="Times New Roman" w:hAnsi="Times New Roman" w:cs="Times New Roman"/>
                <w:color w:val="auto"/>
                <w:szCs w:val="21"/>
                <w:highlight w:val="none"/>
              </w:rPr>
            </w:pPr>
          </w:p>
        </w:tc>
      </w:tr>
      <w:tr w14:paraId="1E57E3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2" w:hRule="atLeast"/>
        </w:trPr>
        <w:tc>
          <w:tcPr>
            <w:tcW w:w="8891" w:type="dxa"/>
            <w:tcBorders>
              <w:bottom w:val="single" w:color="auto" w:sz="6" w:space="0"/>
            </w:tcBorders>
            <w:noWrap w:val="0"/>
            <w:vAlign w:val="top"/>
          </w:tcPr>
          <w:p w14:paraId="13FA90B3">
            <w:pPr>
              <w:pageBreakBefore w:val="0"/>
              <w:kinsoku/>
              <w:wordWrap w:val="0"/>
              <w:bidi w:val="0"/>
              <w:spacing w:line="400" w:lineRule="atLeast"/>
              <w:ind w:left="266" w:right="174" w:rightChars="83" w:firstLine="4"/>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说明</w:t>
            </w:r>
          </w:p>
          <w:p w14:paraId="0F854CB2">
            <w:pPr>
              <w:pageBreakBefore w:val="0"/>
              <w:kinsoku/>
              <w:wordWrap w:val="0"/>
              <w:bidi w:val="0"/>
              <w:spacing w:line="400" w:lineRule="atLeast"/>
              <w:ind w:left="266" w:right="174" w:rightChars="83" w:firstLine="4"/>
              <w:rPr>
                <w:rFonts w:hint="default" w:ascii="Times New Roman" w:hAnsi="Times New Roman" w:cs="Times New Roman"/>
                <w:color w:val="auto"/>
                <w:szCs w:val="21"/>
                <w:highlight w:val="none"/>
              </w:rPr>
            </w:pPr>
          </w:p>
          <w:p w14:paraId="375116EF">
            <w:pPr>
              <w:pageBreakBefore w:val="0"/>
              <w:kinsoku/>
              <w:wordWrap w:val="0"/>
              <w:bidi w:val="0"/>
              <w:spacing w:line="400" w:lineRule="atLeast"/>
              <w:ind w:left="266" w:right="174" w:rightChars="83" w:firstLine="4"/>
              <w:rPr>
                <w:rFonts w:hint="default" w:ascii="Times New Roman" w:hAnsi="Times New Roman" w:cs="Times New Roman"/>
                <w:color w:val="auto"/>
                <w:szCs w:val="21"/>
                <w:highlight w:val="none"/>
              </w:rPr>
            </w:pPr>
          </w:p>
          <w:p w14:paraId="6D448608">
            <w:pPr>
              <w:pageBreakBefore w:val="0"/>
              <w:kinsoku/>
              <w:wordWrap w:val="0"/>
              <w:bidi w:val="0"/>
              <w:spacing w:line="400" w:lineRule="atLeast"/>
              <w:ind w:left="266" w:right="174" w:rightChars="83" w:firstLine="4"/>
              <w:rPr>
                <w:rFonts w:hint="default" w:ascii="Times New Roman" w:hAnsi="Times New Roman" w:cs="Times New Roman"/>
                <w:color w:val="auto"/>
                <w:szCs w:val="21"/>
                <w:highlight w:val="none"/>
              </w:rPr>
            </w:pPr>
          </w:p>
          <w:p w14:paraId="57147CCE">
            <w:pPr>
              <w:pageBreakBefore w:val="0"/>
              <w:kinsoku/>
              <w:wordWrap w:val="0"/>
              <w:bidi w:val="0"/>
              <w:spacing w:line="400" w:lineRule="atLeast"/>
              <w:ind w:left="266" w:right="174" w:rightChars="83" w:firstLine="4"/>
              <w:rPr>
                <w:rFonts w:hint="default" w:ascii="Times New Roman" w:hAnsi="Times New Roman" w:cs="Times New Roman"/>
                <w:color w:val="auto"/>
                <w:szCs w:val="21"/>
                <w:highlight w:val="none"/>
              </w:rPr>
            </w:pPr>
          </w:p>
        </w:tc>
      </w:tr>
    </w:tbl>
    <w:p w14:paraId="08EE2041">
      <w:pPr>
        <w:pageBreakBefore w:val="0"/>
        <w:widowControl/>
        <w:kinsoku/>
        <w:wordWrap w:val="0"/>
        <w:autoSpaceDE w:val="0"/>
        <w:autoSpaceDN w:val="0"/>
        <w:bidi w:val="0"/>
        <w:spacing w:line="400" w:lineRule="atLeast"/>
        <w:ind w:left="180"/>
        <w:textAlignment w:val="bottom"/>
        <w:rPr>
          <w:rFonts w:hint="default" w:ascii="Times New Roman" w:hAnsi="Times New Roman" w:cs="Times New Roman"/>
          <w:color w:val="auto"/>
          <w:sz w:val="20"/>
          <w:szCs w:val="20"/>
          <w:highlight w:val="none"/>
        </w:rPr>
      </w:pPr>
    </w:p>
    <w:p w14:paraId="15E000F4">
      <w:pPr>
        <w:pageBreakBefore w:val="0"/>
        <w:kinsoku/>
        <w:wordWrap w:val="0"/>
        <w:topLinePunct/>
        <w:bidi w:val="0"/>
        <w:spacing w:line="340" w:lineRule="atLeast"/>
        <w:jc w:val="center"/>
        <w:rPr>
          <w:rFonts w:hint="eastAsia" w:ascii="Times New Roman" w:hAnsi="Times New Roman" w:eastAsia="黑体" w:cs="Times New Roman"/>
          <w:color w:val="auto"/>
          <w:sz w:val="24"/>
          <w:highlight w:val="none"/>
          <w:lang w:eastAsia="zh-CN"/>
        </w:rPr>
      </w:pPr>
    </w:p>
    <w:p w14:paraId="4099C2B6">
      <w:pPr>
        <w:pageBreakBefore w:val="0"/>
        <w:kinsoku/>
        <w:wordWrap w:val="0"/>
        <w:bidi w:val="0"/>
        <w:spacing w:before="0" w:after="0" w:line="380" w:lineRule="atLeast"/>
        <w:jc w:val="center"/>
        <w:outlineLvl w:val="9"/>
        <w:rPr>
          <w:rFonts w:hint="default" w:ascii="Times New Roman" w:hAnsi="Times New Roman" w:eastAsia="黑体" w:cs="Times New Roman"/>
          <w:b w:val="0"/>
          <w:color w:val="auto"/>
          <w:sz w:val="24"/>
          <w:szCs w:val="24"/>
          <w:highlight w:val="none"/>
        </w:rPr>
      </w:pPr>
      <w:r>
        <w:rPr>
          <w:rFonts w:hint="default" w:ascii="Times New Roman" w:hAnsi="Times New Roman" w:eastAsia="黑体" w:cs="Times New Roman"/>
          <w:color w:val="auto"/>
          <w:sz w:val="24"/>
          <w:highlight w:val="none"/>
        </w:rPr>
        <w:br w:type="page"/>
      </w:r>
      <w:bookmarkStart w:id="1691" w:name="_Toc5424"/>
      <w:bookmarkStart w:id="1692" w:name="_Toc234833282"/>
      <w:bookmarkStart w:id="1693" w:name="_Toc9070"/>
      <w:bookmarkStart w:id="1694" w:name="_Toc234833281"/>
      <w:r>
        <w:rPr>
          <w:rFonts w:hint="default" w:ascii="Times New Roman" w:hAnsi="Times New Roman" w:eastAsia="黑体" w:cs="Times New Roman"/>
          <w:b w:val="0"/>
          <w:color w:val="auto"/>
          <w:sz w:val="24"/>
          <w:szCs w:val="24"/>
          <w:highlight w:val="none"/>
        </w:rPr>
        <w:t>（</w:t>
      </w:r>
      <w:r>
        <w:rPr>
          <w:rFonts w:hint="default" w:ascii="Times New Roman" w:hAnsi="Times New Roman" w:eastAsia="黑体" w:cs="Times New Roman"/>
          <w:b w:val="0"/>
          <w:color w:val="auto"/>
          <w:sz w:val="24"/>
          <w:szCs w:val="24"/>
          <w:highlight w:val="none"/>
          <w:lang w:eastAsia="zh-CN"/>
        </w:rPr>
        <w:t>三</w:t>
      </w:r>
      <w:r>
        <w:rPr>
          <w:rFonts w:hint="default" w:ascii="Times New Roman" w:hAnsi="Times New Roman" w:eastAsia="黑体" w:cs="Times New Roman"/>
          <w:b w:val="0"/>
          <w:color w:val="auto"/>
          <w:sz w:val="24"/>
          <w:szCs w:val="24"/>
          <w:highlight w:val="none"/>
        </w:rPr>
        <w:t>）近年财务状况</w:t>
      </w:r>
      <w:bookmarkEnd w:id="1691"/>
      <w:bookmarkEnd w:id="1692"/>
      <w:bookmarkEnd w:id="1693"/>
    </w:p>
    <w:p w14:paraId="0527150A">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56BE0150">
      <w:pPr>
        <w:pageBreakBefore w:val="0"/>
        <w:widowControl/>
        <w:kinsoku/>
        <w:wordWrap w:val="0"/>
        <w:autoSpaceDE w:val="0"/>
        <w:autoSpaceDN w:val="0"/>
        <w:bidi w:val="0"/>
        <w:spacing w:line="360" w:lineRule="atLeast"/>
        <w:ind w:left="180"/>
        <w:jc w:val="center"/>
        <w:textAlignment w:val="bottom"/>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财务状况表</w:t>
      </w:r>
    </w:p>
    <w:p w14:paraId="70D234CB">
      <w:pPr>
        <w:pageBreakBefore w:val="0"/>
        <w:kinsoku/>
        <w:wordWrap w:val="0"/>
        <w:bidi w:val="0"/>
        <w:spacing w:line="320" w:lineRule="atLeast"/>
        <w:jc w:val="center"/>
        <w:rPr>
          <w:rFonts w:hint="default" w:ascii="Times New Roman" w:hAnsi="Times New Roman" w:eastAsia="黑体" w:cs="Times New Roman"/>
          <w:b/>
          <w:color w:val="auto"/>
          <w:sz w:val="28"/>
          <w:highlight w:val="none"/>
        </w:rPr>
      </w:pPr>
    </w:p>
    <w:tbl>
      <w:tblPr>
        <w:tblStyle w:val="40"/>
        <w:tblW w:w="8925" w:type="dxa"/>
        <w:tblInd w:w="-77" w:type="dxa"/>
        <w:tblLayout w:type="fixed"/>
        <w:tblCellMar>
          <w:top w:w="0" w:type="dxa"/>
          <w:left w:w="28" w:type="dxa"/>
          <w:bottom w:w="0" w:type="dxa"/>
          <w:right w:w="28" w:type="dxa"/>
        </w:tblCellMar>
      </w:tblPr>
      <w:tblGrid>
        <w:gridCol w:w="4065"/>
        <w:gridCol w:w="900"/>
        <w:gridCol w:w="1320"/>
        <w:gridCol w:w="1320"/>
        <w:gridCol w:w="1320"/>
      </w:tblGrid>
      <w:tr w14:paraId="3F55CA23">
        <w:trPr>
          <w:cantSplit/>
          <w:trHeight w:val="454" w:hRule="atLeast"/>
        </w:trPr>
        <w:tc>
          <w:tcPr>
            <w:tcW w:w="4065" w:type="dxa"/>
            <w:tcBorders>
              <w:top w:val="single" w:color="auto" w:sz="6" w:space="0"/>
              <w:left w:val="single" w:color="auto" w:sz="6" w:space="0"/>
              <w:bottom w:val="single" w:color="auto" w:sz="6" w:space="0"/>
              <w:right w:val="single" w:color="auto" w:sz="6" w:space="0"/>
            </w:tcBorders>
            <w:noWrap w:val="0"/>
            <w:vAlign w:val="center"/>
          </w:tcPr>
          <w:p w14:paraId="0A17F34B">
            <w:pPr>
              <w:pageBreakBefore w:val="0"/>
              <w:widowControl/>
              <w:kinsoku/>
              <w:wordWrap w:val="0"/>
              <w:autoSpaceDE w:val="0"/>
              <w:autoSpaceDN w:val="0"/>
              <w:bidi w:val="0"/>
              <w:spacing w:before="120" w:beforeLines="50" w:after="120" w:afterLines="50" w:line="320" w:lineRule="atLeast"/>
              <w:ind w:left="113" w:firstLine="13"/>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项目或指标</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17077906">
            <w:pPr>
              <w:pageBreakBefore w:val="0"/>
              <w:widowControl/>
              <w:kinsoku/>
              <w:wordWrap w:val="0"/>
              <w:autoSpaceDE w:val="0"/>
              <w:autoSpaceDN w:val="0"/>
              <w:bidi w:val="0"/>
              <w:spacing w:before="120" w:beforeLines="50" w:after="120" w:afterLines="50" w:line="320" w:lineRule="atLeast"/>
              <w:ind w:firstLine="13"/>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单位</w:t>
            </w:r>
          </w:p>
        </w:tc>
        <w:tc>
          <w:tcPr>
            <w:tcW w:w="1320" w:type="dxa"/>
            <w:tcBorders>
              <w:top w:val="single" w:color="auto" w:sz="6" w:space="0"/>
              <w:left w:val="single" w:color="auto" w:sz="4" w:space="0"/>
              <w:bottom w:val="single" w:color="auto" w:sz="6" w:space="0"/>
              <w:right w:val="single" w:color="auto" w:sz="6" w:space="0"/>
            </w:tcBorders>
            <w:noWrap w:val="0"/>
            <w:vAlign w:val="top"/>
          </w:tcPr>
          <w:p w14:paraId="2A095428">
            <w:pPr>
              <w:pageBreakBefore w:val="0"/>
              <w:widowControl/>
              <w:kinsoku/>
              <w:wordWrap w:val="0"/>
              <w:autoSpaceDE w:val="0"/>
              <w:autoSpaceDN w:val="0"/>
              <w:bidi w:val="0"/>
              <w:spacing w:before="120" w:beforeLines="50" w:after="120" w:afterLines="50" w:line="320" w:lineRule="atLeast"/>
              <w:ind w:firstLine="13"/>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年</w:t>
            </w:r>
          </w:p>
        </w:tc>
        <w:tc>
          <w:tcPr>
            <w:tcW w:w="1320" w:type="dxa"/>
            <w:tcBorders>
              <w:top w:val="single" w:color="auto" w:sz="6" w:space="0"/>
              <w:left w:val="single" w:color="auto" w:sz="6" w:space="0"/>
              <w:bottom w:val="single" w:color="auto" w:sz="6" w:space="0"/>
              <w:right w:val="single" w:color="auto" w:sz="6" w:space="0"/>
            </w:tcBorders>
            <w:noWrap w:val="0"/>
            <w:vAlign w:val="top"/>
          </w:tcPr>
          <w:p w14:paraId="7E4E83A3">
            <w:pPr>
              <w:pageBreakBefore w:val="0"/>
              <w:widowControl/>
              <w:kinsoku/>
              <w:wordWrap w:val="0"/>
              <w:autoSpaceDE w:val="0"/>
              <w:autoSpaceDN w:val="0"/>
              <w:bidi w:val="0"/>
              <w:spacing w:before="120" w:beforeLines="50" w:after="120" w:afterLines="50" w:line="320" w:lineRule="atLeast"/>
              <w:ind w:firstLine="13"/>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年</w:t>
            </w:r>
          </w:p>
        </w:tc>
        <w:tc>
          <w:tcPr>
            <w:tcW w:w="1320" w:type="dxa"/>
            <w:tcBorders>
              <w:top w:val="single" w:color="auto" w:sz="6" w:space="0"/>
              <w:left w:val="single" w:color="auto" w:sz="6" w:space="0"/>
              <w:bottom w:val="single" w:color="auto" w:sz="6" w:space="0"/>
              <w:right w:val="single" w:color="auto" w:sz="6" w:space="0"/>
            </w:tcBorders>
            <w:noWrap w:val="0"/>
            <w:vAlign w:val="top"/>
          </w:tcPr>
          <w:p w14:paraId="53CA30A3">
            <w:pPr>
              <w:pageBreakBefore w:val="0"/>
              <w:widowControl/>
              <w:kinsoku/>
              <w:wordWrap w:val="0"/>
              <w:autoSpaceDE w:val="0"/>
              <w:autoSpaceDN w:val="0"/>
              <w:bidi w:val="0"/>
              <w:spacing w:before="120" w:beforeLines="50" w:after="120" w:afterLines="50" w:line="320" w:lineRule="atLeast"/>
              <w:ind w:firstLine="13"/>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年</w:t>
            </w:r>
          </w:p>
        </w:tc>
      </w:tr>
      <w:tr w14:paraId="3A0E6964">
        <w:tblPrEx>
          <w:tblCellMar>
            <w:top w:w="0" w:type="dxa"/>
            <w:left w:w="28" w:type="dxa"/>
            <w:bottom w:w="0" w:type="dxa"/>
            <w:right w:w="28" w:type="dxa"/>
          </w:tblCellMar>
        </w:tblPrEx>
        <w:trPr>
          <w:cantSplit/>
          <w:trHeight w:val="454" w:hRule="atLeast"/>
        </w:trPr>
        <w:tc>
          <w:tcPr>
            <w:tcW w:w="4065" w:type="dxa"/>
            <w:tcBorders>
              <w:top w:val="single" w:color="auto" w:sz="6" w:space="0"/>
              <w:left w:val="single" w:color="auto" w:sz="6" w:space="0"/>
              <w:bottom w:val="single" w:color="auto" w:sz="6" w:space="0"/>
              <w:right w:val="single" w:color="auto" w:sz="6" w:space="0"/>
            </w:tcBorders>
            <w:noWrap w:val="0"/>
            <w:vAlign w:val="center"/>
          </w:tcPr>
          <w:p w14:paraId="1B326DDB">
            <w:pPr>
              <w:pageBreakBefore w:val="0"/>
              <w:widowControl/>
              <w:kinsoku/>
              <w:wordWrap w:val="0"/>
              <w:autoSpaceDE w:val="0"/>
              <w:autoSpaceDN w:val="0"/>
              <w:bidi w:val="0"/>
              <w:spacing w:before="120" w:beforeLines="50" w:after="120" w:afterLines="50" w:line="320" w:lineRule="atLeast"/>
              <w:ind w:left="113" w:firstLine="13"/>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一、 注册资本</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669E18BF">
            <w:pPr>
              <w:pageBreakBefore w:val="0"/>
              <w:widowControl/>
              <w:kinsoku/>
              <w:wordWrap w:val="0"/>
              <w:autoSpaceDE w:val="0"/>
              <w:autoSpaceDN w:val="0"/>
              <w:bidi w:val="0"/>
              <w:spacing w:before="120" w:beforeLines="50" w:after="120" w:afterLines="50" w:line="320" w:lineRule="atLeast"/>
              <w:ind w:firstLine="13"/>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万元</w:t>
            </w:r>
          </w:p>
        </w:tc>
        <w:tc>
          <w:tcPr>
            <w:tcW w:w="1320" w:type="dxa"/>
            <w:tcBorders>
              <w:top w:val="single" w:color="auto" w:sz="6" w:space="0"/>
              <w:left w:val="single" w:color="auto" w:sz="4" w:space="0"/>
              <w:bottom w:val="single" w:color="auto" w:sz="6" w:space="0"/>
              <w:right w:val="single" w:color="auto" w:sz="6" w:space="0"/>
            </w:tcBorders>
            <w:noWrap w:val="0"/>
            <w:vAlign w:val="top"/>
          </w:tcPr>
          <w:p w14:paraId="63E16535">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2955126A">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4722317B">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r>
      <w:tr w14:paraId="459FECD0">
        <w:tblPrEx>
          <w:tblCellMar>
            <w:top w:w="0" w:type="dxa"/>
            <w:left w:w="28" w:type="dxa"/>
            <w:bottom w:w="0" w:type="dxa"/>
            <w:right w:w="28" w:type="dxa"/>
          </w:tblCellMar>
        </w:tblPrEx>
        <w:trPr>
          <w:cantSplit/>
          <w:trHeight w:val="454" w:hRule="atLeast"/>
        </w:trPr>
        <w:tc>
          <w:tcPr>
            <w:tcW w:w="4065" w:type="dxa"/>
            <w:tcBorders>
              <w:top w:val="single" w:color="auto" w:sz="6" w:space="0"/>
              <w:left w:val="single" w:color="auto" w:sz="6" w:space="0"/>
              <w:bottom w:val="single" w:color="auto" w:sz="6" w:space="0"/>
              <w:right w:val="single" w:color="auto" w:sz="6" w:space="0"/>
            </w:tcBorders>
            <w:noWrap w:val="0"/>
            <w:vAlign w:val="center"/>
          </w:tcPr>
          <w:p w14:paraId="12DF77F1">
            <w:pPr>
              <w:pageBreakBefore w:val="0"/>
              <w:widowControl/>
              <w:kinsoku/>
              <w:wordWrap w:val="0"/>
              <w:autoSpaceDE w:val="0"/>
              <w:autoSpaceDN w:val="0"/>
              <w:bidi w:val="0"/>
              <w:spacing w:before="120" w:beforeLines="50" w:after="120" w:afterLines="50" w:line="320" w:lineRule="atLeast"/>
              <w:ind w:left="113" w:firstLine="13"/>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二、 净资产</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2C6A462A">
            <w:pPr>
              <w:pageBreakBefore w:val="0"/>
              <w:widowControl/>
              <w:kinsoku/>
              <w:wordWrap w:val="0"/>
              <w:autoSpaceDE w:val="0"/>
              <w:autoSpaceDN w:val="0"/>
              <w:bidi w:val="0"/>
              <w:spacing w:before="120" w:beforeLines="50" w:after="120" w:afterLines="50" w:line="320" w:lineRule="atLeast"/>
              <w:ind w:firstLine="13"/>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万元</w:t>
            </w:r>
          </w:p>
        </w:tc>
        <w:tc>
          <w:tcPr>
            <w:tcW w:w="1320" w:type="dxa"/>
            <w:tcBorders>
              <w:top w:val="single" w:color="auto" w:sz="6" w:space="0"/>
              <w:left w:val="single" w:color="auto" w:sz="4" w:space="0"/>
              <w:bottom w:val="single" w:color="auto" w:sz="6" w:space="0"/>
              <w:right w:val="single" w:color="auto" w:sz="6" w:space="0"/>
            </w:tcBorders>
            <w:noWrap w:val="0"/>
            <w:vAlign w:val="top"/>
          </w:tcPr>
          <w:p w14:paraId="27DE21DA">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49DA2392">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5E0E451B">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r>
      <w:tr w14:paraId="6BFE70A2">
        <w:tblPrEx>
          <w:tblCellMar>
            <w:top w:w="0" w:type="dxa"/>
            <w:left w:w="28" w:type="dxa"/>
            <w:bottom w:w="0" w:type="dxa"/>
            <w:right w:w="28" w:type="dxa"/>
          </w:tblCellMar>
        </w:tblPrEx>
        <w:trPr>
          <w:cantSplit/>
          <w:trHeight w:val="454" w:hRule="atLeast"/>
        </w:trPr>
        <w:tc>
          <w:tcPr>
            <w:tcW w:w="4065" w:type="dxa"/>
            <w:tcBorders>
              <w:top w:val="single" w:color="auto" w:sz="6" w:space="0"/>
              <w:left w:val="single" w:color="auto" w:sz="6" w:space="0"/>
              <w:bottom w:val="single" w:color="auto" w:sz="6" w:space="0"/>
              <w:right w:val="single" w:color="auto" w:sz="6" w:space="0"/>
            </w:tcBorders>
            <w:noWrap w:val="0"/>
            <w:vAlign w:val="center"/>
          </w:tcPr>
          <w:p w14:paraId="7420B8AF">
            <w:pPr>
              <w:pageBreakBefore w:val="0"/>
              <w:widowControl/>
              <w:kinsoku/>
              <w:wordWrap w:val="0"/>
              <w:autoSpaceDE w:val="0"/>
              <w:autoSpaceDN w:val="0"/>
              <w:bidi w:val="0"/>
              <w:spacing w:before="120" w:beforeLines="50" w:after="120" w:afterLines="50" w:line="320" w:lineRule="atLeast"/>
              <w:ind w:left="113" w:firstLine="13"/>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三、 总资产</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08933F7D">
            <w:pPr>
              <w:pageBreakBefore w:val="0"/>
              <w:widowControl/>
              <w:kinsoku/>
              <w:wordWrap w:val="0"/>
              <w:autoSpaceDE w:val="0"/>
              <w:autoSpaceDN w:val="0"/>
              <w:bidi w:val="0"/>
              <w:spacing w:before="120" w:beforeLines="50" w:after="120" w:afterLines="50" w:line="320" w:lineRule="atLeast"/>
              <w:ind w:firstLine="13"/>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万元</w:t>
            </w:r>
          </w:p>
        </w:tc>
        <w:tc>
          <w:tcPr>
            <w:tcW w:w="1320" w:type="dxa"/>
            <w:tcBorders>
              <w:top w:val="single" w:color="auto" w:sz="6" w:space="0"/>
              <w:left w:val="single" w:color="auto" w:sz="4" w:space="0"/>
              <w:bottom w:val="single" w:color="auto" w:sz="6" w:space="0"/>
              <w:right w:val="single" w:color="auto" w:sz="6" w:space="0"/>
            </w:tcBorders>
            <w:noWrap w:val="0"/>
            <w:vAlign w:val="top"/>
          </w:tcPr>
          <w:p w14:paraId="1E57CADA">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45DB0C41">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4E268E53">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r>
      <w:tr w14:paraId="09613681">
        <w:tblPrEx>
          <w:tblCellMar>
            <w:top w:w="0" w:type="dxa"/>
            <w:left w:w="28" w:type="dxa"/>
            <w:bottom w:w="0" w:type="dxa"/>
            <w:right w:w="28" w:type="dxa"/>
          </w:tblCellMar>
        </w:tblPrEx>
        <w:trPr>
          <w:cantSplit/>
          <w:trHeight w:val="454" w:hRule="atLeast"/>
        </w:trPr>
        <w:tc>
          <w:tcPr>
            <w:tcW w:w="4065" w:type="dxa"/>
            <w:tcBorders>
              <w:top w:val="single" w:color="auto" w:sz="6" w:space="0"/>
              <w:left w:val="single" w:color="auto" w:sz="6" w:space="0"/>
              <w:bottom w:val="single" w:color="auto" w:sz="6" w:space="0"/>
              <w:right w:val="single" w:color="auto" w:sz="6" w:space="0"/>
            </w:tcBorders>
            <w:noWrap w:val="0"/>
            <w:vAlign w:val="center"/>
          </w:tcPr>
          <w:p w14:paraId="573D1CE4">
            <w:pPr>
              <w:pageBreakBefore w:val="0"/>
              <w:widowControl/>
              <w:kinsoku/>
              <w:wordWrap w:val="0"/>
              <w:autoSpaceDE w:val="0"/>
              <w:autoSpaceDN w:val="0"/>
              <w:bidi w:val="0"/>
              <w:spacing w:before="120" w:beforeLines="50" w:after="120" w:afterLines="50" w:line="320" w:lineRule="atLeast"/>
              <w:ind w:left="113" w:firstLine="13"/>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四、 固定资产</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131193FE">
            <w:pPr>
              <w:pageBreakBefore w:val="0"/>
              <w:widowControl/>
              <w:kinsoku/>
              <w:wordWrap w:val="0"/>
              <w:autoSpaceDE w:val="0"/>
              <w:autoSpaceDN w:val="0"/>
              <w:bidi w:val="0"/>
              <w:spacing w:before="120" w:beforeLines="50" w:after="120" w:afterLines="50" w:line="320" w:lineRule="atLeast"/>
              <w:ind w:firstLine="13"/>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万元</w:t>
            </w:r>
          </w:p>
        </w:tc>
        <w:tc>
          <w:tcPr>
            <w:tcW w:w="1320" w:type="dxa"/>
            <w:tcBorders>
              <w:top w:val="single" w:color="auto" w:sz="6" w:space="0"/>
              <w:left w:val="single" w:color="auto" w:sz="4" w:space="0"/>
              <w:bottom w:val="single" w:color="auto" w:sz="6" w:space="0"/>
              <w:right w:val="single" w:color="auto" w:sz="6" w:space="0"/>
            </w:tcBorders>
            <w:noWrap w:val="0"/>
            <w:vAlign w:val="top"/>
          </w:tcPr>
          <w:p w14:paraId="5A08C7DF">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4C926758">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49BA3005">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r>
      <w:tr w14:paraId="7293BB7B">
        <w:tblPrEx>
          <w:tblCellMar>
            <w:top w:w="0" w:type="dxa"/>
            <w:left w:w="28" w:type="dxa"/>
            <w:bottom w:w="0" w:type="dxa"/>
            <w:right w:w="28" w:type="dxa"/>
          </w:tblCellMar>
        </w:tblPrEx>
        <w:trPr>
          <w:cantSplit/>
          <w:trHeight w:val="454" w:hRule="atLeast"/>
        </w:trPr>
        <w:tc>
          <w:tcPr>
            <w:tcW w:w="4065" w:type="dxa"/>
            <w:tcBorders>
              <w:top w:val="single" w:color="auto" w:sz="6" w:space="0"/>
              <w:left w:val="single" w:color="auto" w:sz="6" w:space="0"/>
              <w:bottom w:val="single" w:color="auto" w:sz="6" w:space="0"/>
              <w:right w:val="single" w:color="auto" w:sz="6" w:space="0"/>
            </w:tcBorders>
            <w:noWrap w:val="0"/>
            <w:vAlign w:val="center"/>
          </w:tcPr>
          <w:p w14:paraId="2F130F50">
            <w:pPr>
              <w:pageBreakBefore w:val="0"/>
              <w:widowControl/>
              <w:kinsoku/>
              <w:wordWrap w:val="0"/>
              <w:autoSpaceDE w:val="0"/>
              <w:autoSpaceDN w:val="0"/>
              <w:bidi w:val="0"/>
              <w:spacing w:before="120" w:beforeLines="50" w:after="120" w:afterLines="50" w:line="320" w:lineRule="atLeast"/>
              <w:ind w:left="113" w:firstLine="13"/>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五、 流动资产</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381FA670">
            <w:pPr>
              <w:pageBreakBefore w:val="0"/>
              <w:widowControl/>
              <w:kinsoku/>
              <w:wordWrap w:val="0"/>
              <w:autoSpaceDE w:val="0"/>
              <w:autoSpaceDN w:val="0"/>
              <w:bidi w:val="0"/>
              <w:spacing w:before="120" w:beforeLines="50" w:after="120" w:afterLines="50" w:line="320" w:lineRule="atLeast"/>
              <w:ind w:firstLine="13"/>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万元</w:t>
            </w:r>
          </w:p>
        </w:tc>
        <w:tc>
          <w:tcPr>
            <w:tcW w:w="1320" w:type="dxa"/>
            <w:tcBorders>
              <w:top w:val="single" w:color="auto" w:sz="6" w:space="0"/>
              <w:left w:val="single" w:color="auto" w:sz="4" w:space="0"/>
              <w:bottom w:val="single" w:color="auto" w:sz="6" w:space="0"/>
              <w:right w:val="single" w:color="auto" w:sz="6" w:space="0"/>
            </w:tcBorders>
            <w:noWrap w:val="0"/>
            <w:vAlign w:val="top"/>
          </w:tcPr>
          <w:p w14:paraId="56445E69">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643BD5A0">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21DE5E94">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r>
      <w:tr w14:paraId="55A7CCC3">
        <w:tblPrEx>
          <w:tblCellMar>
            <w:top w:w="0" w:type="dxa"/>
            <w:left w:w="28" w:type="dxa"/>
            <w:bottom w:w="0" w:type="dxa"/>
            <w:right w:w="28" w:type="dxa"/>
          </w:tblCellMar>
        </w:tblPrEx>
        <w:trPr>
          <w:cantSplit/>
          <w:trHeight w:val="454" w:hRule="atLeast"/>
        </w:trPr>
        <w:tc>
          <w:tcPr>
            <w:tcW w:w="4065" w:type="dxa"/>
            <w:tcBorders>
              <w:top w:val="single" w:color="auto" w:sz="6" w:space="0"/>
              <w:left w:val="single" w:color="auto" w:sz="6" w:space="0"/>
              <w:bottom w:val="single" w:color="auto" w:sz="6" w:space="0"/>
              <w:right w:val="single" w:color="auto" w:sz="6" w:space="0"/>
            </w:tcBorders>
            <w:noWrap w:val="0"/>
            <w:vAlign w:val="center"/>
          </w:tcPr>
          <w:p w14:paraId="2522F1EB">
            <w:pPr>
              <w:pageBreakBefore w:val="0"/>
              <w:widowControl/>
              <w:kinsoku/>
              <w:wordWrap w:val="0"/>
              <w:autoSpaceDE w:val="0"/>
              <w:autoSpaceDN w:val="0"/>
              <w:bidi w:val="0"/>
              <w:spacing w:before="120" w:beforeLines="50" w:after="120" w:afterLines="50" w:line="320" w:lineRule="atLeast"/>
              <w:ind w:left="113" w:firstLine="13"/>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六、 流动负债</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6C035261">
            <w:pPr>
              <w:pageBreakBefore w:val="0"/>
              <w:widowControl/>
              <w:kinsoku/>
              <w:wordWrap w:val="0"/>
              <w:autoSpaceDE w:val="0"/>
              <w:autoSpaceDN w:val="0"/>
              <w:bidi w:val="0"/>
              <w:spacing w:before="120" w:beforeLines="50" w:after="120" w:afterLines="50" w:line="320" w:lineRule="atLeast"/>
              <w:ind w:firstLine="13"/>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万元</w:t>
            </w:r>
          </w:p>
        </w:tc>
        <w:tc>
          <w:tcPr>
            <w:tcW w:w="1320" w:type="dxa"/>
            <w:tcBorders>
              <w:top w:val="single" w:color="auto" w:sz="6" w:space="0"/>
              <w:left w:val="single" w:color="auto" w:sz="4" w:space="0"/>
              <w:bottom w:val="single" w:color="auto" w:sz="6" w:space="0"/>
              <w:right w:val="single" w:color="auto" w:sz="6" w:space="0"/>
            </w:tcBorders>
            <w:noWrap w:val="0"/>
            <w:vAlign w:val="top"/>
          </w:tcPr>
          <w:p w14:paraId="69B9C860">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2167D114">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606C19CB">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r>
      <w:tr w14:paraId="0E3BF048">
        <w:tblPrEx>
          <w:tblCellMar>
            <w:top w:w="0" w:type="dxa"/>
            <w:left w:w="28" w:type="dxa"/>
            <w:bottom w:w="0" w:type="dxa"/>
            <w:right w:w="28" w:type="dxa"/>
          </w:tblCellMar>
        </w:tblPrEx>
        <w:trPr>
          <w:cantSplit/>
          <w:trHeight w:val="454" w:hRule="atLeast"/>
        </w:trPr>
        <w:tc>
          <w:tcPr>
            <w:tcW w:w="4065" w:type="dxa"/>
            <w:tcBorders>
              <w:top w:val="single" w:color="auto" w:sz="6" w:space="0"/>
              <w:left w:val="single" w:color="auto" w:sz="6" w:space="0"/>
              <w:bottom w:val="single" w:color="auto" w:sz="6" w:space="0"/>
              <w:right w:val="single" w:color="auto" w:sz="6" w:space="0"/>
            </w:tcBorders>
            <w:noWrap w:val="0"/>
            <w:vAlign w:val="center"/>
          </w:tcPr>
          <w:p w14:paraId="7A4746D3">
            <w:pPr>
              <w:pageBreakBefore w:val="0"/>
              <w:widowControl/>
              <w:kinsoku/>
              <w:wordWrap w:val="0"/>
              <w:autoSpaceDE w:val="0"/>
              <w:autoSpaceDN w:val="0"/>
              <w:bidi w:val="0"/>
              <w:spacing w:before="120" w:beforeLines="50" w:after="120" w:afterLines="50" w:line="320" w:lineRule="atLeast"/>
              <w:ind w:left="113" w:firstLine="13"/>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七、 负债合计</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468C8A08">
            <w:pPr>
              <w:pageBreakBefore w:val="0"/>
              <w:widowControl/>
              <w:kinsoku/>
              <w:wordWrap w:val="0"/>
              <w:autoSpaceDE w:val="0"/>
              <w:autoSpaceDN w:val="0"/>
              <w:bidi w:val="0"/>
              <w:spacing w:before="120" w:beforeLines="50" w:after="120" w:afterLines="50" w:line="320" w:lineRule="atLeast"/>
              <w:ind w:firstLine="13"/>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万元</w:t>
            </w:r>
          </w:p>
        </w:tc>
        <w:tc>
          <w:tcPr>
            <w:tcW w:w="1320" w:type="dxa"/>
            <w:tcBorders>
              <w:top w:val="single" w:color="auto" w:sz="6" w:space="0"/>
              <w:left w:val="single" w:color="auto" w:sz="4" w:space="0"/>
              <w:bottom w:val="single" w:color="auto" w:sz="6" w:space="0"/>
              <w:right w:val="single" w:color="auto" w:sz="6" w:space="0"/>
            </w:tcBorders>
            <w:noWrap w:val="0"/>
            <w:vAlign w:val="top"/>
          </w:tcPr>
          <w:p w14:paraId="27E3C7DC">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2B9E8966">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3DEAE694">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r>
      <w:tr w14:paraId="538437CD">
        <w:tblPrEx>
          <w:tblCellMar>
            <w:top w:w="0" w:type="dxa"/>
            <w:left w:w="28" w:type="dxa"/>
            <w:bottom w:w="0" w:type="dxa"/>
            <w:right w:w="28" w:type="dxa"/>
          </w:tblCellMar>
        </w:tblPrEx>
        <w:trPr>
          <w:cantSplit/>
          <w:trHeight w:val="454" w:hRule="atLeast"/>
        </w:trPr>
        <w:tc>
          <w:tcPr>
            <w:tcW w:w="4065" w:type="dxa"/>
            <w:tcBorders>
              <w:top w:val="single" w:color="auto" w:sz="6" w:space="0"/>
              <w:left w:val="single" w:color="auto" w:sz="6" w:space="0"/>
              <w:bottom w:val="single" w:color="auto" w:sz="6" w:space="0"/>
              <w:right w:val="single" w:color="auto" w:sz="6" w:space="0"/>
            </w:tcBorders>
            <w:noWrap w:val="0"/>
            <w:vAlign w:val="center"/>
          </w:tcPr>
          <w:p w14:paraId="517C26A6">
            <w:pPr>
              <w:pageBreakBefore w:val="0"/>
              <w:widowControl/>
              <w:kinsoku/>
              <w:wordWrap w:val="0"/>
              <w:autoSpaceDE w:val="0"/>
              <w:autoSpaceDN w:val="0"/>
              <w:bidi w:val="0"/>
              <w:spacing w:before="120" w:beforeLines="50" w:after="120" w:afterLines="50" w:line="320" w:lineRule="atLeast"/>
              <w:ind w:left="113" w:firstLine="13"/>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八、 营业收入</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7A9A6A1F">
            <w:pPr>
              <w:pageBreakBefore w:val="0"/>
              <w:widowControl/>
              <w:kinsoku/>
              <w:wordWrap w:val="0"/>
              <w:autoSpaceDE w:val="0"/>
              <w:autoSpaceDN w:val="0"/>
              <w:bidi w:val="0"/>
              <w:spacing w:before="120" w:beforeLines="50" w:after="120" w:afterLines="50" w:line="320" w:lineRule="atLeast"/>
              <w:ind w:firstLine="13"/>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万元</w:t>
            </w:r>
          </w:p>
        </w:tc>
        <w:tc>
          <w:tcPr>
            <w:tcW w:w="1320" w:type="dxa"/>
            <w:tcBorders>
              <w:top w:val="single" w:color="auto" w:sz="6" w:space="0"/>
              <w:left w:val="single" w:color="auto" w:sz="4" w:space="0"/>
              <w:bottom w:val="single" w:color="auto" w:sz="6" w:space="0"/>
              <w:right w:val="single" w:color="auto" w:sz="6" w:space="0"/>
            </w:tcBorders>
            <w:noWrap w:val="0"/>
            <w:vAlign w:val="top"/>
          </w:tcPr>
          <w:p w14:paraId="20BBE988">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7979FB4B">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0252F6C6">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r>
      <w:tr w14:paraId="656CA586">
        <w:trPr>
          <w:cantSplit/>
          <w:trHeight w:val="454" w:hRule="atLeast"/>
        </w:trPr>
        <w:tc>
          <w:tcPr>
            <w:tcW w:w="4065" w:type="dxa"/>
            <w:tcBorders>
              <w:top w:val="single" w:color="auto" w:sz="6" w:space="0"/>
              <w:left w:val="single" w:color="auto" w:sz="6" w:space="0"/>
              <w:bottom w:val="single" w:color="auto" w:sz="6" w:space="0"/>
              <w:right w:val="single" w:color="auto" w:sz="6" w:space="0"/>
            </w:tcBorders>
            <w:noWrap w:val="0"/>
            <w:vAlign w:val="center"/>
          </w:tcPr>
          <w:p w14:paraId="323DCB46">
            <w:pPr>
              <w:pageBreakBefore w:val="0"/>
              <w:widowControl/>
              <w:kinsoku/>
              <w:wordWrap w:val="0"/>
              <w:autoSpaceDE w:val="0"/>
              <w:autoSpaceDN w:val="0"/>
              <w:bidi w:val="0"/>
              <w:spacing w:before="120" w:beforeLines="50" w:after="120" w:afterLines="50" w:line="320" w:lineRule="atLeast"/>
              <w:ind w:left="113" w:firstLine="13"/>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九、 净利润</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02F2656E">
            <w:pPr>
              <w:pageBreakBefore w:val="0"/>
              <w:widowControl/>
              <w:kinsoku/>
              <w:wordWrap w:val="0"/>
              <w:autoSpaceDE w:val="0"/>
              <w:autoSpaceDN w:val="0"/>
              <w:bidi w:val="0"/>
              <w:spacing w:before="120" w:beforeLines="50" w:after="120" w:afterLines="50" w:line="320" w:lineRule="atLeast"/>
              <w:ind w:firstLine="13"/>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万元</w:t>
            </w:r>
          </w:p>
        </w:tc>
        <w:tc>
          <w:tcPr>
            <w:tcW w:w="1320" w:type="dxa"/>
            <w:tcBorders>
              <w:top w:val="single" w:color="auto" w:sz="6" w:space="0"/>
              <w:left w:val="single" w:color="auto" w:sz="4" w:space="0"/>
              <w:bottom w:val="single" w:color="auto" w:sz="6" w:space="0"/>
              <w:right w:val="single" w:color="auto" w:sz="6" w:space="0"/>
            </w:tcBorders>
            <w:noWrap w:val="0"/>
            <w:vAlign w:val="top"/>
          </w:tcPr>
          <w:p w14:paraId="6D5A9748">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4C24B470">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7F2734DB">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r>
      <w:tr w14:paraId="378C75D5">
        <w:tblPrEx>
          <w:tblCellMar>
            <w:top w:w="0" w:type="dxa"/>
            <w:left w:w="28" w:type="dxa"/>
            <w:bottom w:w="0" w:type="dxa"/>
            <w:right w:w="28" w:type="dxa"/>
          </w:tblCellMar>
        </w:tblPrEx>
        <w:trPr>
          <w:cantSplit/>
          <w:trHeight w:val="454" w:hRule="atLeast"/>
        </w:trPr>
        <w:tc>
          <w:tcPr>
            <w:tcW w:w="4065" w:type="dxa"/>
            <w:tcBorders>
              <w:top w:val="single" w:color="auto" w:sz="6" w:space="0"/>
              <w:left w:val="single" w:color="auto" w:sz="6" w:space="0"/>
              <w:bottom w:val="single" w:color="auto" w:sz="6" w:space="0"/>
              <w:right w:val="single" w:color="auto" w:sz="6" w:space="0"/>
            </w:tcBorders>
            <w:noWrap w:val="0"/>
            <w:vAlign w:val="center"/>
          </w:tcPr>
          <w:p w14:paraId="248A6ED7">
            <w:pPr>
              <w:pageBreakBefore w:val="0"/>
              <w:widowControl/>
              <w:kinsoku/>
              <w:wordWrap w:val="0"/>
              <w:autoSpaceDE w:val="0"/>
              <w:autoSpaceDN w:val="0"/>
              <w:bidi w:val="0"/>
              <w:spacing w:before="120" w:beforeLines="50" w:after="120" w:afterLines="50" w:line="320" w:lineRule="atLeast"/>
              <w:ind w:left="113" w:firstLine="13"/>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十、 现金流量净额</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45E80117">
            <w:pPr>
              <w:pageBreakBefore w:val="0"/>
              <w:widowControl/>
              <w:kinsoku/>
              <w:wordWrap w:val="0"/>
              <w:autoSpaceDE w:val="0"/>
              <w:autoSpaceDN w:val="0"/>
              <w:bidi w:val="0"/>
              <w:spacing w:before="120" w:beforeLines="50" w:after="120" w:afterLines="50" w:line="320" w:lineRule="atLeast"/>
              <w:ind w:firstLine="13"/>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万元</w:t>
            </w:r>
          </w:p>
        </w:tc>
        <w:tc>
          <w:tcPr>
            <w:tcW w:w="1320" w:type="dxa"/>
            <w:tcBorders>
              <w:top w:val="single" w:color="auto" w:sz="6" w:space="0"/>
              <w:left w:val="single" w:color="auto" w:sz="4" w:space="0"/>
              <w:bottom w:val="single" w:color="auto" w:sz="6" w:space="0"/>
              <w:right w:val="single" w:color="auto" w:sz="6" w:space="0"/>
            </w:tcBorders>
            <w:noWrap w:val="0"/>
            <w:vAlign w:val="top"/>
          </w:tcPr>
          <w:p w14:paraId="5C7E54B4">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6E0A4CF3">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3ACD4212">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r>
      <w:tr w14:paraId="3AA2E73C">
        <w:tblPrEx>
          <w:tblCellMar>
            <w:top w:w="0" w:type="dxa"/>
            <w:left w:w="28" w:type="dxa"/>
            <w:bottom w:w="0" w:type="dxa"/>
            <w:right w:w="28" w:type="dxa"/>
          </w:tblCellMar>
        </w:tblPrEx>
        <w:trPr>
          <w:cantSplit/>
          <w:trHeight w:val="454" w:hRule="atLeast"/>
        </w:trPr>
        <w:tc>
          <w:tcPr>
            <w:tcW w:w="4065" w:type="dxa"/>
            <w:tcBorders>
              <w:top w:val="single" w:color="auto" w:sz="6" w:space="0"/>
              <w:left w:val="single" w:color="auto" w:sz="6" w:space="0"/>
              <w:bottom w:val="single" w:color="auto" w:sz="6" w:space="0"/>
              <w:right w:val="single" w:color="auto" w:sz="6" w:space="0"/>
            </w:tcBorders>
            <w:noWrap w:val="0"/>
            <w:vAlign w:val="center"/>
          </w:tcPr>
          <w:p w14:paraId="22CE9C63">
            <w:pPr>
              <w:pageBreakBefore w:val="0"/>
              <w:widowControl/>
              <w:kinsoku/>
              <w:wordWrap w:val="0"/>
              <w:autoSpaceDE w:val="0"/>
              <w:autoSpaceDN w:val="0"/>
              <w:bidi w:val="0"/>
              <w:spacing w:before="120" w:beforeLines="50" w:after="120" w:afterLines="50" w:line="320" w:lineRule="atLeast"/>
              <w:ind w:left="840" w:hanging="714"/>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十一、 主要财务指标</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6DA62AF2">
            <w:pPr>
              <w:pageBreakBefore w:val="0"/>
              <w:widowControl/>
              <w:kinsoku/>
              <w:wordWrap w:val="0"/>
              <w:autoSpaceDE w:val="0"/>
              <w:autoSpaceDN w:val="0"/>
              <w:bidi w:val="0"/>
              <w:spacing w:before="120" w:beforeLines="50" w:after="120" w:afterLines="50" w:line="320" w:lineRule="atLeast"/>
              <w:ind w:firstLine="13"/>
              <w:jc w:val="center"/>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4" w:space="0"/>
              <w:bottom w:val="single" w:color="auto" w:sz="6" w:space="0"/>
              <w:right w:val="single" w:color="auto" w:sz="6" w:space="0"/>
            </w:tcBorders>
            <w:noWrap w:val="0"/>
            <w:vAlign w:val="top"/>
          </w:tcPr>
          <w:p w14:paraId="5BED83D8">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768CBD87">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3592C848">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r>
      <w:tr w14:paraId="681261E9">
        <w:tblPrEx>
          <w:tblCellMar>
            <w:top w:w="0" w:type="dxa"/>
            <w:left w:w="28" w:type="dxa"/>
            <w:bottom w:w="0" w:type="dxa"/>
            <w:right w:w="28" w:type="dxa"/>
          </w:tblCellMar>
        </w:tblPrEx>
        <w:trPr>
          <w:cantSplit/>
          <w:trHeight w:val="454" w:hRule="atLeast"/>
        </w:trPr>
        <w:tc>
          <w:tcPr>
            <w:tcW w:w="4065" w:type="dxa"/>
            <w:tcBorders>
              <w:top w:val="single" w:color="auto" w:sz="6" w:space="0"/>
              <w:left w:val="single" w:color="auto" w:sz="6" w:space="0"/>
              <w:bottom w:val="single" w:color="auto" w:sz="6" w:space="0"/>
              <w:right w:val="single" w:color="auto" w:sz="6" w:space="0"/>
            </w:tcBorders>
            <w:noWrap w:val="0"/>
            <w:vAlign w:val="center"/>
          </w:tcPr>
          <w:p w14:paraId="0E5C76CE">
            <w:pPr>
              <w:pageBreakBefore w:val="0"/>
              <w:widowControl/>
              <w:kinsoku/>
              <w:wordWrap w:val="0"/>
              <w:autoSpaceDE w:val="0"/>
              <w:autoSpaceDN w:val="0"/>
              <w:bidi w:val="0"/>
              <w:spacing w:before="120" w:beforeLines="50" w:after="120" w:afterLines="50" w:line="320" w:lineRule="atLeast"/>
              <w:ind w:left="73" w:leftChars="35" w:firstLine="850" w:firstLineChars="405"/>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 净资产收益率</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67448D73">
            <w:pPr>
              <w:pageBreakBefore w:val="0"/>
              <w:widowControl/>
              <w:kinsoku/>
              <w:wordWrap w:val="0"/>
              <w:autoSpaceDE w:val="0"/>
              <w:autoSpaceDN w:val="0"/>
              <w:bidi w:val="0"/>
              <w:spacing w:before="120" w:beforeLines="50" w:after="120" w:afterLines="50" w:line="320" w:lineRule="atLeast"/>
              <w:ind w:firstLine="13"/>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1320" w:type="dxa"/>
            <w:tcBorders>
              <w:top w:val="single" w:color="auto" w:sz="6" w:space="0"/>
              <w:left w:val="single" w:color="auto" w:sz="4" w:space="0"/>
              <w:bottom w:val="single" w:color="auto" w:sz="6" w:space="0"/>
              <w:right w:val="single" w:color="auto" w:sz="6" w:space="0"/>
            </w:tcBorders>
            <w:noWrap w:val="0"/>
            <w:vAlign w:val="top"/>
          </w:tcPr>
          <w:p w14:paraId="1A54FD0A">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64711CBE">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4B31AE3A">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r>
      <w:tr w14:paraId="5DACC487">
        <w:tblPrEx>
          <w:tblCellMar>
            <w:top w:w="0" w:type="dxa"/>
            <w:left w:w="28" w:type="dxa"/>
            <w:bottom w:w="0" w:type="dxa"/>
            <w:right w:w="28" w:type="dxa"/>
          </w:tblCellMar>
        </w:tblPrEx>
        <w:trPr>
          <w:cantSplit/>
          <w:trHeight w:val="454" w:hRule="atLeast"/>
        </w:trPr>
        <w:tc>
          <w:tcPr>
            <w:tcW w:w="4065" w:type="dxa"/>
            <w:tcBorders>
              <w:top w:val="single" w:color="auto" w:sz="6" w:space="0"/>
              <w:left w:val="single" w:color="auto" w:sz="6" w:space="0"/>
              <w:bottom w:val="single" w:color="auto" w:sz="6" w:space="0"/>
              <w:right w:val="single" w:color="auto" w:sz="6" w:space="0"/>
            </w:tcBorders>
            <w:noWrap w:val="0"/>
            <w:vAlign w:val="center"/>
          </w:tcPr>
          <w:p w14:paraId="52AEB396">
            <w:pPr>
              <w:pageBreakBefore w:val="0"/>
              <w:widowControl/>
              <w:kinsoku/>
              <w:wordWrap w:val="0"/>
              <w:autoSpaceDE w:val="0"/>
              <w:autoSpaceDN w:val="0"/>
              <w:bidi w:val="0"/>
              <w:spacing w:before="120" w:beforeLines="50" w:after="120" w:afterLines="50" w:line="320" w:lineRule="atLeast"/>
              <w:ind w:left="73" w:leftChars="35" w:firstLine="850" w:firstLineChars="405"/>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 总资产报酬率</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03A65C10">
            <w:pPr>
              <w:pageBreakBefore w:val="0"/>
              <w:widowControl/>
              <w:kinsoku/>
              <w:wordWrap w:val="0"/>
              <w:autoSpaceDE w:val="0"/>
              <w:autoSpaceDN w:val="0"/>
              <w:bidi w:val="0"/>
              <w:spacing w:before="120" w:beforeLines="50" w:after="120" w:afterLines="50" w:line="320" w:lineRule="atLeast"/>
              <w:ind w:firstLine="13"/>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1320" w:type="dxa"/>
            <w:tcBorders>
              <w:top w:val="single" w:color="auto" w:sz="6" w:space="0"/>
              <w:left w:val="single" w:color="auto" w:sz="4" w:space="0"/>
              <w:bottom w:val="single" w:color="auto" w:sz="6" w:space="0"/>
              <w:right w:val="single" w:color="auto" w:sz="6" w:space="0"/>
            </w:tcBorders>
            <w:noWrap w:val="0"/>
            <w:vAlign w:val="top"/>
          </w:tcPr>
          <w:p w14:paraId="1DB3D1AB">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5E7CC83A">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2CD55D8C">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r>
      <w:tr w14:paraId="5A9F0992">
        <w:tblPrEx>
          <w:tblCellMar>
            <w:top w:w="0" w:type="dxa"/>
            <w:left w:w="28" w:type="dxa"/>
            <w:bottom w:w="0" w:type="dxa"/>
            <w:right w:w="28" w:type="dxa"/>
          </w:tblCellMar>
        </w:tblPrEx>
        <w:trPr>
          <w:cantSplit/>
          <w:trHeight w:val="454" w:hRule="atLeast"/>
        </w:trPr>
        <w:tc>
          <w:tcPr>
            <w:tcW w:w="4065" w:type="dxa"/>
            <w:tcBorders>
              <w:top w:val="single" w:color="auto" w:sz="6" w:space="0"/>
              <w:left w:val="single" w:color="auto" w:sz="6" w:space="0"/>
              <w:bottom w:val="single" w:color="auto" w:sz="6" w:space="0"/>
              <w:right w:val="single" w:color="auto" w:sz="6" w:space="0"/>
            </w:tcBorders>
            <w:noWrap w:val="0"/>
            <w:vAlign w:val="center"/>
          </w:tcPr>
          <w:p w14:paraId="09384CAA">
            <w:pPr>
              <w:pageBreakBefore w:val="0"/>
              <w:widowControl/>
              <w:kinsoku/>
              <w:wordWrap w:val="0"/>
              <w:autoSpaceDE w:val="0"/>
              <w:autoSpaceDN w:val="0"/>
              <w:bidi w:val="0"/>
              <w:spacing w:before="120" w:beforeLines="50" w:after="120" w:afterLines="50" w:line="320" w:lineRule="atLeast"/>
              <w:ind w:left="73" w:leftChars="35" w:firstLine="850" w:firstLineChars="405"/>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 主营业务利润率</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2237B13B">
            <w:pPr>
              <w:pageBreakBefore w:val="0"/>
              <w:widowControl/>
              <w:kinsoku/>
              <w:wordWrap w:val="0"/>
              <w:autoSpaceDE w:val="0"/>
              <w:autoSpaceDN w:val="0"/>
              <w:bidi w:val="0"/>
              <w:spacing w:before="120" w:beforeLines="50" w:after="120" w:afterLines="50" w:line="320" w:lineRule="atLeast"/>
              <w:ind w:firstLine="13"/>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1320" w:type="dxa"/>
            <w:tcBorders>
              <w:top w:val="single" w:color="auto" w:sz="6" w:space="0"/>
              <w:left w:val="single" w:color="auto" w:sz="4" w:space="0"/>
              <w:bottom w:val="single" w:color="auto" w:sz="6" w:space="0"/>
              <w:right w:val="single" w:color="auto" w:sz="6" w:space="0"/>
            </w:tcBorders>
            <w:noWrap w:val="0"/>
            <w:vAlign w:val="top"/>
          </w:tcPr>
          <w:p w14:paraId="14A74510">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07AD5BDA">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2B2E6342">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r>
      <w:tr w14:paraId="728D4E3B">
        <w:tblPrEx>
          <w:tblCellMar>
            <w:top w:w="0" w:type="dxa"/>
            <w:left w:w="28" w:type="dxa"/>
            <w:bottom w:w="0" w:type="dxa"/>
            <w:right w:w="28" w:type="dxa"/>
          </w:tblCellMar>
        </w:tblPrEx>
        <w:trPr>
          <w:cantSplit/>
          <w:trHeight w:val="454" w:hRule="atLeast"/>
        </w:trPr>
        <w:tc>
          <w:tcPr>
            <w:tcW w:w="4065" w:type="dxa"/>
            <w:tcBorders>
              <w:top w:val="single" w:color="auto" w:sz="6" w:space="0"/>
              <w:left w:val="single" w:color="auto" w:sz="6" w:space="0"/>
              <w:bottom w:val="single" w:color="auto" w:sz="6" w:space="0"/>
              <w:right w:val="single" w:color="auto" w:sz="6" w:space="0"/>
            </w:tcBorders>
            <w:noWrap w:val="0"/>
            <w:vAlign w:val="center"/>
          </w:tcPr>
          <w:p w14:paraId="35CE90B7">
            <w:pPr>
              <w:pageBreakBefore w:val="0"/>
              <w:widowControl/>
              <w:kinsoku/>
              <w:wordWrap w:val="0"/>
              <w:autoSpaceDE w:val="0"/>
              <w:autoSpaceDN w:val="0"/>
              <w:bidi w:val="0"/>
              <w:spacing w:before="120" w:beforeLines="50" w:after="120" w:afterLines="50" w:line="320" w:lineRule="atLeast"/>
              <w:ind w:left="73" w:leftChars="35" w:firstLine="850" w:firstLineChars="405"/>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 资产负债率</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2B4D7E70">
            <w:pPr>
              <w:pageBreakBefore w:val="0"/>
              <w:widowControl/>
              <w:kinsoku/>
              <w:wordWrap w:val="0"/>
              <w:autoSpaceDE w:val="0"/>
              <w:autoSpaceDN w:val="0"/>
              <w:bidi w:val="0"/>
              <w:spacing w:before="120" w:beforeLines="50" w:after="120" w:afterLines="50" w:line="320" w:lineRule="atLeast"/>
              <w:ind w:firstLine="13"/>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1320" w:type="dxa"/>
            <w:tcBorders>
              <w:top w:val="single" w:color="auto" w:sz="6" w:space="0"/>
              <w:left w:val="single" w:color="auto" w:sz="4" w:space="0"/>
              <w:bottom w:val="single" w:color="auto" w:sz="6" w:space="0"/>
              <w:right w:val="single" w:color="auto" w:sz="6" w:space="0"/>
            </w:tcBorders>
            <w:noWrap w:val="0"/>
            <w:vAlign w:val="top"/>
          </w:tcPr>
          <w:p w14:paraId="52F04F4F">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1A0F2459">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2E9F4128">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r>
      <w:tr w14:paraId="5A6E7001">
        <w:tblPrEx>
          <w:tblCellMar>
            <w:top w:w="0" w:type="dxa"/>
            <w:left w:w="28" w:type="dxa"/>
            <w:bottom w:w="0" w:type="dxa"/>
            <w:right w:w="28" w:type="dxa"/>
          </w:tblCellMar>
        </w:tblPrEx>
        <w:trPr>
          <w:cantSplit/>
          <w:trHeight w:val="454" w:hRule="atLeast"/>
        </w:trPr>
        <w:tc>
          <w:tcPr>
            <w:tcW w:w="4065" w:type="dxa"/>
            <w:tcBorders>
              <w:top w:val="single" w:color="auto" w:sz="6" w:space="0"/>
              <w:left w:val="single" w:color="auto" w:sz="6" w:space="0"/>
              <w:bottom w:val="single" w:color="auto" w:sz="6" w:space="0"/>
              <w:right w:val="single" w:color="auto" w:sz="6" w:space="0"/>
            </w:tcBorders>
            <w:noWrap w:val="0"/>
            <w:vAlign w:val="center"/>
          </w:tcPr>
          <w:p w14:paraId="08B78B66">
            <w:pPr>
              <w:pageBreakBefore w:val="0"/>
              <w:widowControl/>
              <w:kinsoku/>
              <w:wordWrap w:val="0"/>
              <w:autoSpaceDE w:val="0"/>
              <w:autoSpaceDN w:val="0"/>
              <w:bidi w:val="0"/>
              <w:spacing w:before="120" w:beforeLines="50" w:after="120" w:afterLines="50" w:line="320" w:lineRule="atLeast"/>
              <w:ind w:left="73" w:leftChars="35" w:firstLine="850" w:firstLineChars="405"/>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 流动比率</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1F327AFE">
            <w:pPr>
              <w:pageBreakBefore w:val="0"/>
              <w:widowControl/>
              <w:kinsoku/>
              <w:wordWrap w:val="0"/>
              <w:autoSpaceDE w:val="0"/>
              <w:autoSpaceDN w:val="0"/>
              <w:bidi w:val="0"/>
              <w:spacing w:before="120" w:beforeLines="50" w:after="120" w:afterLines="50" w:line="320" w:lineRule="atLeast"/>
              <w:ind w:firstLine="13"/>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1320" w:type="dxa"/>
            <w:tcBorders>
              <w:top w:val="single" w:color="auto" w:sz="6" w:space="0"/>
              <w:left w:val="single" w:color="auto" w:sz="4" w:space="0"/>
              <w:bottom w:val="single" w:color="auto" w:sz="6" w:space="0"/>
              <w:right w:val="single" w:color="auto" w:sz="6" w:space="0"/>
            </w:tcBorders>
            <w:noWrap w:val="0"/>
            <w:vAlign w:val="top"/>
          </w:tcPr>
          <w:p w14:paraId="46924E86">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09D19162">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56222931">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r>
      <w:tr w14:paraId="68D41E08">
        <w:tblPrEx>
          <w:tblCellMar>
            <w:top w:w="0" w:type="dxa"/>
            <w:left w:w="28" w:type="dxa"/>
            <w:bottom w:w="0" w:type="dxa"/>
            <w:right w:w="28" w:type="dxa"/>
          </w:tblCellMar>
        </w:tblPrEx>
        <w:trPr>
          <w:cantSplit/>
          <w:trHeight w:val="454" w:hRule="atLeast"/>
        </w:trPr>
        <w:tc>
          <w:tcPr>
            <w:tcW w:w="4065" w:type="dxa"/>
            <w:tcBorders>
              <w:top w:val="single" w:color="auto" w:sz="6" w:space="0"/>
              <w:left w:val="single" w:color="auto" w:sz="6" w:space="0"/>
              <w:bottom w:val="single" w:color="auto" w:sz="6" w:space="0"/>
              <w:right w:val="single" w:color="auto" w:sz="6" w:space="0"/>
            </w:tcBorders>
            <w:noWrap w:val="0"/>
            <w:vAlign w:val="center"/>
          </w:tcPr>
          <w:p w14:paraId="4CD49747">
            <w:pPr>
              <w:pageBreakBefore w:val="0"/>
              <w:widowControl/>
              <w:kinsoku/>
              <w:wordWrap w:val="0"/>
              <w:autoSpaceDE w:val="0"/>
              <w:autoSpaceDN w:val="0"/>
              <w:bidi w:val="0"/>
              <w:spacing w:before="120" w:beforeLines="50" w:after="120" w:afterLines="50" w:line="320" w:lineRule="atLeast"/>
              <w:ind w:left="73" w:leftChars="35" w:firstLine="850" w:firstLineChars="405"/>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 速动比率</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19FBE8B7">
            <w:pPr>
              <w:pageBreakBefore w:val="0"/>
              <w:widowControl/>
              <w:kinsoku/>
              <w:wordWrap w:val="0"/>
              <w:autoSpaceDE w:val="0"/>
              <w:autoSpaceDN w:val="0"/>
              <w:bidi w:val="0"/>
              <w:spacing w:before="120" w:beforeLines="50" w:after="120" w:afterLines="50" w:line="320" w:lineRule="atLeast"/>
              <w:ind w:firstLine="13"/>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1320" w:type="dxa"/>
            <w:tcBorders>
              <w:top w:val="single" w:color="auto" w:sz="6" w:space="0"/>
              <w:left w:val="single" w:color="auto" w:sz="4" w:space="0"/>
              <w:bottom w:val="single" w:color="auto" w:sz="6" w:space="0"/>
              <w:right w:val="single" w:color="auto" w:sz="6" w:space="0"/>
            </w:tcBorders>
            <w:noWrap w:val="0"/>
            <w:vAlign w:val="top"/>
          </w:tcPr>
          <w:p w14:paraId="663D435B">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31711D1F">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0F5DFB9E">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r>
    </w:tbl>
    <w:p w14:paraId="6DAD3EBE">
      <w:pPr>
        <w:pageBreakBefore w:val="0"/>
        <w:kinsoku/>
        <w:wordWrap w:val="0"/>
        <w:bidi w:val="0"/>
        <w:spacing w:line="400" w:lineRule="atLeast"/>
        <w:ind w:left="735" w:hanging="735" w:hangingChars="35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注：1.</w:t>
      </w:r>
      <w:r>
        <w:rPr>
          <w:rFonts w:hint="default" w:ascii="Times New Roman" w:hAnsi="Times New Roman" w:cs="Times New Roman"/>
          <w:color w:val="auto"/>
          <w:highlight w:val="none"/>
        </w:rPr>
        <w:t>投标人应根据招标文件第二章</w:t>
      </w:r>
      <w:r>
        <w:rPr>
          <w:rFonts w:hint="eastAsia" w:ascii="宋体" w:hAnsi="宋体" w:eastAsia="宋体" w:cs="宋体"/>
          <w:color w:val="auto"/>
          <w:highlight w:val="none"/>
        </w:rPr>
        <w:t>“</w:t>
      </w:r>
      <w:r>
        <w:rPr>
          <w:rFonts w:hint="default" w:ascii="Times New Roman" w:hAnsi="Times New Roman" w:cs="Times New Roman"/>
          <w:color w:val="auto"/>
          <w:highlight w:val="none"/>
        </w:rPr>
        <w:t>投标人须知</w:t>
      </w:r>
      <w:r>
        <w:rPr>
          <w:rFonts w:hint="eastAsia" w:ascii="宋体" w:hAnsi="宋体" w:eastAsia="宋体" w:cs="宋体"/>
          <w:color w:val="auto"/>
          <w:highlight w:val="none"/>
        </w:rPr>
        <w:t>”</w:t>
      </w:r>
      <w:r>
        <w:rPr>
          <w:rFonts w:hint="default" w:ascii="Times New Roman" w:hAnsi="Times New Roman" w:cs="Times New Roman"/>
          <w:color w:val="auto"/>
          <w:highlight w:val="none"/>
        </w:rPr>
        <w:t>第3.5.2项的要求在本表后附相关证明材料。</w:t>
      </w:r>
    </w:p>
    <w:p w14:paraId="33A17488">
      <w:pPr>
        <w:pageBreakBefore w:val="0"/>
        <w:kinsoku/>
        <w:wordWrap w:val="0"/>
        <w:bidi w:val="0"/>
        <w:spacing w:line="40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2.本表所列数据必须与本表各附件中的数据相一致。</w:t>
      </w:r>
    </w:p>
    <w:p w14:paraId="09BCA035">
      <w:pPr>
        <w:pageBreakBefore w:val="0"/>
        <w:kinsoku/>
        <w:wordWrap w:val="0"/>
        <w:bidi w:val="0"/>
        <w:spacing w:line="400" w:lineRule="atLeast"/>
        <w:ind w:left="399" w:leftChars="190"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3.以联合体形式参与投标的，联合体各成员</w:t>
      </w:r>
      <w:r>
        <w:rPr>
          <w:rFonts w:hint="default" w:ascii="Times New Roman" w:hAnsi="Times New Roman" w:cs="Times New Roman"/>
          <w:color w:val="auto"/>
          <w:szCs w:val="21"/>
          <w:highlight w:val="none"/>
          <w:lang w:val="en-US" w:eastAsia="zh-CN"/>
        </w:rPr>
        <w:t>根据招标文件第二章</w:t>
      </w:r>
      <w:r>
        <w:rPr>
          <w:rFonts w:hint="eastAsia" w:ascii="宋体" w:hAnsi="宋体" w:eastAsia="宋体" w:cs="宋体"/>
          <w:color w:val="auto"/>
          <w:highlight w:val="none"/>
        </w:rPr>
        <w:t>“</w:t>
      </w:r>
      <w:r>
        <w:rPr>
          <w:rFonts w:hint="default" w:ascii="Times New Roman" w:hAnsi="Times New Roman" w:cs="Times New Roman"/>
          <w:color w:val="auto"/>
          <w:highlight w:val="none"/>
        </w:rPr>
        <w:t>投标人须知</w:t>
      </w:r>
      <w:r>
        <w:rPr>
          <w:rFonts w:hint="eastAsia" w:ascii="宋体" w:hAnsi="宋体" w:eastAsia="宋体" w:cs="宋体"/>
          <w:color w:val="auto"/>
          <w:highlight w:val="none"/>
        </w:rPr>
        <w:t>”</w:t>
      </w:r>
      <w:r>
        <w:rPr>
          <w:rFonts w:hint="default" w:ascii="Times New Roman" w:hAnsi="Times New Roman" w:cs="Times New Roman"/>
          <w:color w:val="auto"/>
          <w:highlight w:val="none"/>
          <w:lang w:val="en-US" w:eastAsia="zh-CN"/>
        </w:rPr>
        <w:t>前附表附录2要求及第三章</w:t>
      </w:r>
      <w:r>
        <w:rPr>
          <w:rFonts w:hint="eastAsia" w:ascii="宋体" w:hAnsi="宋体" w:eastAsia="宋体" w:cs="宋体"/>
          <w:color w:val="auto"/>
          <w:highlight w:val="none"/>
          <w:lang w:val="en-US" w:eastAsia="zh-CN"/>
        </w:rPr>
        <w:t>“</w:t>
      </w:r>
      <w:r>
        <w:rPr>
          <w:rFonts w:hint="default" w:ascii="Times New Roman" w:hAnsi="Times New Roman" w:cs="Times New Roman"/>
          <w:color w:val="auto"/>
          <w:highlight w:val="none"/>
          <w:lang w:val="en-US" w:eastAsia="zh-CN"/>
        </w:rPr>
        <w:t>评标办法</w:t>
      </w:r>
      <w:r>
        <w:rPr>
          <w:rFonts w:hint="eastAsia" w:ascii="宋体" w:hAnsi="宋体" w:eastAsia="宋体" w:cs="宋体"/>
          <w:color w:val="auto"/>
          <w:highlight w:val="none"/>
          <w:lang w:val="en-US" w:eastAsia="zh-CN"/>
        </w:rPr>
        <w:t>”</w:t>
      </w:r>
      <w:r>
        <w:rPr>
          <w:rFonts w:hint="default" w:ascii="Times New Roman" w:hAnsi="Times New Roman" w:cs="Times New Roman"/>
          <w:color w:val="auto"/>
          <w:highlight w:val="none"/>
          <w:lang w:val="en-US" w:eastAsia="zh-CN"/>
        </w:rPr>
        <w:t>详细评审要求（如有）</w:t>
      </w:r>
      <w:r>
        <w:rPr>
          <w:rFonts w:hint="default" w:ascii="Times New Roman" w:hAnsi="Times New Roman" w:cs="Times New Roman"/>
          <w:color w:val="auto"/>
          <w:szCs w:val="21"/>
          <w:highlight w:val="none"/>
        </w:rPr>
        <w:t>分别填写。</w:t>
      </w:r>
    </w:p>
    <w:p w14:paraId="2AB7D601">
      <w:pPr>
        <w:pageBreakBefore w:val="0"/>
        <w:widowControl/>
        <w:kinsoku/>
        <w:wordWrap w:val="0"/>
        <w:autoSpaceDE w:val="0"/>
        <w:autoSpaceDN w:val="0"/>
        <w:bidi w:val="0"/>
        <w:spacing w:line="360" w:lineRule="atLeast"/>
        <w:ind w:left="180"/>
        <w:jc w:val="center"/>
        <w:textAlignment w:val="bottom"/>
        <w:rPr>
          <w:rFonts w:hint="default" w:ascii="Times New Roman" w:hAnsi="Times New Roman" w:eastAsia="黑体" w:cs="Times New Roman"/>
          <w:color w:val="auto"/>
          <w:sz w:val="24"/>
          <w:highlight w:val="none"/>
        </w:rPr>
      </w:pPr>
      <w:r>
        <w:rPr>
          <w:rFonts w:hint="default" w:ascii="Times New Roman" w:hAnsi="Times New Roman" w:cs="Times New Roman"/>
          <w:color w:val="auto"/>
          <w:highlight w:val="none"/>
        </w:rPr>
        <w:br w:type="page"/>
      </w:r>
      <w:r>
        <w:rPr>
          <w:rFonts w:hint="default" w:ascii="Times New Roman" w:hAnsi="Times New Roman" w:eastAsia="黑体" w:cs="Times New Roman"/>
          <w:color w:val="auto"/>
          <w:sz w:val="24"/>
          <w:highlight w:val="none"/>
        </w:rPr>
        <w:t>银行信贷证明</w:t>
      </w:r>
      <w:r>
        <w:rPr>
          <w:rStyle w:val="48"/>
          <w:rFonts w:hint="default" w:ascii="Times New Roman" w:hAnsi="Times New Roman" w:eastAsia="黑体" w:cs="Times New Roman"/>
          <w:color w:val="auto"/>
          <w:sz w:val="24"/>
          <w:highlight w:val="none"/>
        </w:rPr>
        <w:footnoteReference w:id="51"/>
      </w:r>
    </w:p>
    <w:p w14:paraId="10AB1D1E">
      <w:pPr>
        <w:pageBreakBefore w:val="0"/>
        <w:kinsoku/>
        <w:wordWrap w:val="0"/>
        <w:bidi w:val="0"/>
        <w:spacing w:line="360" w:lineRule="atLeast"/>
        <w:jc w:val="center"/>
        <w:rPr>
          <w:rFonts w:hint="default" w:ascii="Times New Roman" w:hAnsi="Times New Roman" w:cs="Times New Roman"/>
          <w:color w:val="auto"/>
          <w:sz w:val="24"/>
          <w:highlight w:val="none"/>
        </w:rPr>
      </w:pPr>
    </w:p>
    <w:p w14:paraId="1B62BE0A">
      <w:pPr>
        <w:pageBreakBefore w:val="0"/>
        <w:kinsoku/>
        <w:wordWrap w:val="0"/>
        <w:autoSpaceDE w:val="0"/>
        <w:autoSpaceDN w:val="0"/>
        <w:bidi w:val="0"/>
        <w:adjustRightInd w:val="0"/>
        <w:spacing w:line="52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银行名称：________________________________</w:t>
      </w:r>
    </w:p>
    <w:p w14:paraId="6A1B9CCA">
      <w:pPr>
        <w:pageBreakBefore w:val="0"/>
        <w:kinsoku/>
        <w:wordWrap w:val="0"/>
        <w:autoSpaceDE w:val="0"/>
        <w:autoSpaceDN w:val="0"/>
        <w:bidi w:val="0"/>
        <w:adjustRightInd w:val="0"/>
        <w:spacing w:line="52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地址：________________________________</w:t>
      </w:r>
    </w:p>
    <w:p w14:paraId="3DDB32E4">
      <w:pPr>
        <w:pageBreakBefore w:val="0"/>
        <w:kinsoku/>
        <w:wordWrap w:val="0"/>
        <w:autoSpaceDE w:val="0"/>
        <w:autoSpaceDN w:val="0"/>
        <w:bidi w:val="0"/>
        <w:adjustRightInd w:val="0"/>
        <w:spacing w:line="520" w:lineRule="atLeast"/>
        <w:jc w:val="right"/>
        <w:rPr>
          <w:rFonts w:hint="eastAsia"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日期：_____________</w:t>
      </w:r>
    </w:p>
    <w:p w14:paraId="1BACC66E">
      <w:pPr>
        <w:pageBreakBefore w:val="0"/>
        <w:kinsoku/>
        <w:wordWrap w:val="0"/>
        <w:autoSpaceDE w:val="0"/>
        <w:autoSpaceDN w:val="0"/>
        <w:bidi w:val="0"/>
        <w:adjustRightInd w:val="0"/>
        <w:spacing w:line="520" w:lineRule="atLeast"/>
        <w:rPr>
          <w:rFonts w:hint="default" w:ascii="Times New Roman" w:hAnsi="Times New Roman" w:cs="Times New Roman"/>
          <w:color w:val="auto"/>
          <w:sz w:val="24"/>
          <w:highlight w:val="none"/>
        </w:rPr>
      </w:pPr>
    </w:p>
    <w:p w14:paraId="1B9ACBFD">
      <w:pPr>
        <w:pageBreakBefore w:val="0"/>
        <w:kinsoku/>
        <w:wordWrap w:val="0"/>
        <w:autoSpaceDE w:val="0"/>
        <w:autoSpaceDN w:val="0"/>
        <w:bidi w:val="0"/>
        <w:adjustRightInd w:val="0"/>
        <w:spacing w:line="52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致：</w:t>
      </w:r>
      <w:r>
        <w:rPr>
          <w:rFonts w:hint="default" w:ascii="Times New Roman" w:hAnsi="Times New Roman" w:cs="Times New Roman"/>
          <w:color w:val="auto"/>
          <w:sz w:val="24"/>
          <w:highlight w:val="none"/>
          <w:u w:val="single"/>
        </w:rPr>
        <w:t xml:space="preserve">    （招标人全称）    </w:t>
      </w:r>
    </w:p>
    <w:p w14:paraId="3637BFEE">
      <w:pPr>
        <w:pageBreakBefore w:val="0"/>
        <w:kinsoku/>
        <w:wordWrap w:val="0"/>
        <w:autoSpaceDE w:val="0"/>
        <w:autoSpaceDN w:val="0"/>
        <w:bidi w:val="0"/>
        <w:adjustRightInd w:val="0"/>
        <w:spacing w:line="520" w:lineRule="atLeast"/>
        <w:rPr>
          <w:rFonts w:hint="default" w:ascii="Times New Roman" w:hAnsi="Times New Roman" w:cs="Times New Roman"/>
          <w:color w:val="auto"/>
          <w:sz w:val="24"/>
          <w:highlight w:val="none"/>
        </w:rPr>
      </w:pPr>
    </w:p>
    <w:p w14:paraId="2B012B23">
      <w:pPr>
        <w:pageBreakBefore w:val="0"/>
        <w:kinsoku/>
        <w:wordWrap w:val="0"/>
        <w:autoSpaceDE w:val="0"/>
        <w:autoSpaceDN w:val="0"/>
        <w:bidi w:val="0"/>
        <w:adjustRightInd w:val="0"/>
        <w:spacing w:line="400" w:lineRule="atLeast"/>
        <w:ind w:firstLine="525"/>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兹开具最高限额为人民币</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万元的银行信贷，供</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（投标人注册地点）</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（投标人名称）于</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月</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日之前，在</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（项目名称）需要时使用。我行保证由____________（投标人名称）提供的财务报表中所开列的作为流动资产的各项中无一项包含在上述提到的银行信贷中。</w:t>
      </w:r>
    </w:p>
    <w:p w14:paraId="6D4B588E">
      <w:pPr>
        <w:pageBreakBefore w:val="0"/>
        <w:kinsoku/>
        <w:wordWrap w:val="0"/>
        <w:autoSpaceDE w:val="0"/>
        <w:autoSpaceDN w:val="0"/>
        <w:bidi w:val="0"/>
        <w:adjustRightInd w:val="0"/>
        <w:spacing w:line="520" w:lineRule="atLeast"/>
        <w:ind w:firstLine="525"/>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此项目若未中标，该信贷证明自动失效，无须退回我行。</w:t>
      </w:r>
    </w:p>
    <w:p w14:paraId="633FEE65">
      <w:pPr>
        <w:pageBreakBefore w:val="0"/>
        <w:kinsoku/>
        <w:wordWrap w:val="0"/>
        <w:autoSpaceDE w:val="0"/>
        <w:autoSpaceDN w:val="0"/>
        <w:bidi w:val="0"/>
        <w:adjustRightInd w:val="0"/>
        <w:spacing w:line="520" w:lineRule="atLeast"/>
        <w:rPr>
          <w:rFonts w:hint="default" w:ascii="Times New Roman" w:hAnsi="Times New Roman" w:cs="Times New Roman"/>
          <w:color w:val="auto"/>
          <w:sz w:val="24"/>
          <w:highlight w:val="none"/>
        </w:rPr>
      </w:pPr>
    </w:p>
    <w:p w14:paraId="4BB31027">
      <w:pPr>
        <w:pageBreakBefore w:val="0"/>
        <w:kinsoku/>
        <w:wordWrap w:val="0"/>
        <w:autoSpaceDE w:val="0"/>
        <w:autoSpaceDN w:val="0"/>
        <w:bidi w:val="0"/>
        <w:adjustRightInd w:val="0"/>
        <w:spacing w:line="400" w:lineRule="atLeast"/>
        <w:ind w:firstLine="2640" w:firstLineChars="11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银          行（盖单位章）：</w:t>
      </w:r>
      <w:r>
        <w:rPr>
          <w:rFonts w:hint="default" w:ascii="Times New Roman" w:hAnsi="Times New Roman" w:cs="Times New Roman"/>
          <w:color w:val="auto"/>
          <w:sz w:val="24"/>
          <w:highlight w:val="none"/>
          <w:u w:val="single"/>
        </w:rPr>
        <w:t xml:space="preserve">                 </w:t>
      </w:r>
    </w:p>
    <w:p w14:paraId="7DB1BE57">
      <w:pPr>
        <w:pageBreakBefore w:val="0"/>
        <w:kinsoku/>
        <w:wordWrap w:val="0"/>
        <w:autoSpaceDE w:val="0"/>
        <w:autoSpaceDN w:val="0"/>
        <w:bidi w:val="0"/>
        <w:adjustRightInd w:val="0"/>
        <w:spacing w:line="400" w:lineRule="atLeast"/>
        <w:ind w:firstLine="2640" w:firstLineChars="1100"/>
        <w:rPr>
          <w:rFonts w:hint="default" w:ascii="Times New Roman" w:hAnsi="Times New Roman" w:cs="Times New Roman"/>
          <w:color w:val="auto"/>
          <w:sz w:val="24"/>
          <w:highlight w:val="none"/>
          <w:u w:val="single"/>
        </w:rPr>
      </w:pPr>
      <w:r>
        <w:rPr>
          <w:rFonts w:hint="default" w:ascii="Times New Roman" w:hAnsi="Times New Roman" w:cs="Times New Roman"/>
          <w:color w:val="auto"/>
          <w:sz w:val="24"/>
          <w:highlight w:val="none"/>
        </w:rPr>
        <w:t>银行主要负责人（签字）：</w:t>
      </w:r>
      <w:r>
        <w:rPr>
          <w:rFonts w:hint="default" w:ascii="Times New Roman" w:hAnsi="Times New Roman" w:cs="Times New Roman"/>
          <w:color w:val="auto"/>
          <w:sz w:val="24"/>
          <w:highlight w:val="none"/>
          <w:u w:val="single"/>
        </w:rPr>
        <w:t xml:space="preserve">                     </w:t>
      </w:r>
    </w:p>
    <w:p w14:paraId="59E91A9C">
      <w:pPr>
        <w:pageBreakBefore w:val="0"/>
        <w:kinsoku/>
        <w:wordWrap w:val="0"/>
        <w:autoSpaceDE w:val="0"/>
        <w:autoSpaceDN w:val="0"/>
        <w:bidi w:val="0"/>
        <w:adjustRightInd w:val="0"/>
        <w:spacing w:line="400" w:lineRule="atLeast"/>
        <w:ind w:firstLine="2640" w:firstLineChars="1100"/>
        <w:rPr>
          <w:rFonts w:hint="default" w:ascii="Times New Roman" w:hAnsi="Times New Roman" w:cs="Times New Roman"/>
          <w:color w:val="auto"/>
          <w:sz w:val="24"/>
          <w:highlight w:val="none"/>
          <w:u w:val="single"/>
        </w:rPr>
      </w:pPr>
      <w:r>
        <w:rPr>
          <w:rFonts w:hint="default" w:ascii="Times New Roman" w:hAnsi="Times New Roman" w:cs="Times New Roman"/>
          <w:color w:val="auto"/>
          <w:sz w:val="24"/>
          <w:highlight w:val="none"/>
        </w:rPr>
        <w:t>银行主要负责人姓名、职务：</w:t>
      </w:r>
      <w:r>
        <w:rPr>
          <w:rFonts w:hint="default" w:ascii="Times New Roman" w:hAnsi="Times New Roman" w:cs="Times New Roman"/>
          <w:color w:val="auto"/>
          <w:sz w:val="24"/>
          <w:highlight w:val="none"/>
          <w:u w:val="single"/>
        </w:rPr>
        <w:t xml:space="preserve">     （打印）    </w:t>
      </w:r>
    </w:p>
    <w:p w14:paraId="75D4B993">
      <w:pPr>
        <w:pageBreakBefore w:val="0"/>
        <w:kinsoku/>
        <w:wordWrap w:val="0"/>
        <w:autoSpaceDE w:val="0"/>
        <w:autoSpaceDN w:val="0"/>
        <w:bidi w:val="0"/>
        <w:adjustRightInd w:val="0"/>
        <w:spacing w:line="400" w:lineRule="atLeast"/>
        <w:ind w:firstLine="2640" w:firstLineChars="1100"/>
        <w:rPr>
          <w:rFonts w:hint="default" w:ascii="Times New Roman" w:hAnsi="Times New Roman" w:cs="Times New Roman"/>
          <w:color w:val="auto"/>
          <w:sz w:val="24"/>
          <w:highlight w:val="none"/>
          <w:u w:val="single"/>
        </w:rPr>
      </w:pPr>
      <w:r>
        <w:rPr>
          <w:rFonts w:hint="default" w:ascii="Times New Roman" w:hAnsi="Times New Roman" w:cs="Times New Roman"/>
          <w:color w:val="auto"/>
          <w:sz w:val="24"/>
          <w:highlight w:val="none"/>
        </w:rPr>
        <w:t>银    行    电    话：</w:t>
      </w:r>
      <w:r>
        <w:rPr>
          <w:rFonts w:hint="default" w:ascii="Times New Roman" w:hAnsi="Times New Roman" w:cs="Times New Roman"/>
          <w:color w:val="auto"/>
          <w:sz w:val="24"/>
          <w:highlight w:val="none"/>
          <w:u w:val="single"/>
        </w:rPr>
        <w:t xml:space="preserve">                    </w:t>
      </w:r>
    </w:p>
    <w:p w14:paraId="263A42FE">
      <w:pPr>
        <w:pageBreakBefore w:val="0"/>
        <w:kinsoku/>
        <w:wordWrap w:val="0"/>
        <w:autoSpaceDE w:val="0"/>
        <w:autoSpaceDN w:val="0"/>
        <w:bidi w:val="0"/>
        <w:adjustRightInd w:val="0"/>
        <w:spacing w:line="400" w:lineRule="atLeast"/>
        <w:ind w:firstLine="2640" w:firstLineChars="1100"/>
        <w:rPr>
          <w:rFonts w:hint="default" w:ascii="Times New Roman" w:hAnsi="Times New Roman" w:cs="Times New Roman"/>
          <w:color w:val="auto"/>
          <w:sz w:val="24"/>
          <w:highlight w:val="none"/>
          <w:u w:val="single"/>
        </w:rPr>
      </w:pPr>
      <w:r>
        <w:rPr>
          <w:rFonts w:hint="default" w:ascii="Times New Roman" w:hAnsi="Times New Roman" w:cs="Times New Roman"/>
          <w:color w:val="auto"/>
          <w:sz w:val="24"/>
          <w:highlight w:val="none"/>
        </w:rPr>
        <w:t>银    行    传    真：</w:t>
      </w:r>
      <w:r>
        <w:rPr>
          <w:rFonts w:hint="default" w:ascii="Times New Roman" w:hAnsi="Times New Roman" w:cs="Times New Roman"/>
          <w:color w:val="auto"/>
          <w:sz w:val="24"/>
          <w:highlight w:val="none"/>
          <w:u w:val="single"/>
        </w:rPr>
        <w:t xml:space="preserve">                    </w:t>
      </w:r>
    </w:p>
    <w:p w14:paraId="777A9E98">
      <w:pPr>
        <w:pageBreakBefore w:val="0"/>
        <w:kinsoku/>
        <w:wordWrap w:val="0"/>
        <w:bidi w:val="0"/>
        <w:spacing w:line="320" w:lineRule="atLeast"/>
        <w:jc w:val="center"/>
        <w:rPr>
          <w:rFonts w:hint="default" w:ascii="Times New Roman" w:hAnsi="Times New Roman" w:cs="Times New Roman"/>
          <w:color w:val="auto"/>
          <w:sz w:val="24"/>
          <w:highlight w:val="none"/>
        </w:rPr>
      </w:pPr>
    </w:p>
    <w:p w14:paraId="65646DF3">
      <w:pPr>
        <w:pageBreakBefore w:val="0"/>
        <w:kinsoku/>
        <w:wordWrap w:val="0"/>
        <w:bidi w:val="0"/>
        <w:spacing w:line="320" w:lineRule="atLeast"/>
        <w:jc w:val="center"/>
        <w:rPr>
          <w:rFonts w:hint="default" w:ascii="Times New Roman" w:hAnsi="Times New Roman" w:cs="Times New Roman"/>
          <w:color w:val="auto"/>
          <w:sz w:val="24"/>
          <w:highlight w:val="none"/>
        </w:rPr>
      </w:pPr>
    </w:p>
    <w:p w14:paraId="1E8A757E">
      <w:pPr>
        <w:pStyle w:val="31"/>
        <w:pageBreakBefore w:val="0"/>
        <w:kinsoku/>
        <w:wordWrap w:val="0"/>
        <w:bidi w:val="0"/>
        <w:spacing w:line="320" w:lineRule="atLeast"/>
        <w:ind w:left="1084" w:leftChars="216" w:hanging="630" w:hangingChars="30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注：允许投标人实际开具的银行信贷证明的格式与《</w:t>
      </w:r>
      <w:r>
        <w:rPr>
          <w:rFonts w:hint="default" w:ascii="Times New Roman" w:hAnsi="Times New Roman" w:cs="Times New Roman"/>
          <w:color w:val="auto"/>
          <w:sz w:val="21"/>
          <w:szCs w:val="21"/>
          <w:highlight w:val="none"/>
          <w:lang w:val="en-US" w:eastAsia="zh-CN"/>
        </w:rPr>
        <w:t>标准文件</w:t>
      </w:r>
      <w:r>
        <w:rPr>
          <w:rFonts w:hint="default" w:ascii="Times New Roman" w:hAnsi="Times New Roman" w:cs="Times New Roman"/>
          <w:color w:val="auto"/>
          <w:sz w:val="21"/>
          <w:szCs w:val="21"/>
          <w:highlight w:val="none"/>
        </w:rPr>
        <w:t>》提供的格式有所不同，但不得更改《</w:t>
      </w:r>
      <w:r>
        <w:rPr>
          <w:rFonts w:hint="default" w:ascii="Times New Roman" w:hAnsi="Times New Roman" w:cs="Times New Roman"/>
          <w:color w:val="auto"/>
          <w:sz w:val="21"/>
          <w:szCs w:val="21"/>
          <w:highlight w:val="none"/>
          <w:lang w:val="en-US" w:eastAsia="zh-CN"/>
        </w:rPr>
        <w:t>标准文件</w:t>
      </w:r>
      <w:r>
        <w:rPr>
          <w:rFonts w:hint="default" w:ascii="Times New Roman" w:hAnsi="Times New Roman" w:cs="Times New Roman"/>
          <w:color w:val="auto"/>
          <w:sz w:val="21"/>
          <w:szCs w:val="21"/>
          <w:highlight w:val="none"/>
        </w:rPr>
        <w:t>》提供的银行信贷证明格式中的实质性内容。</w:t>
      </w:r>
    </w:p>
    <w:p w14:paraId="75BA9D1B">
      <w:pPr>
        <w:pageBreakBefore w:val="0"/>
        <w:kinsoku/>
        <w:wordWrap w:val="0"/>
        <w:bidi w:val="0"/>
        <w:spacing w:line="320" w:lineRule="atLeast"/>
        <w:ind w:left="1155" w:leftChars="400" w:hanging="315" w:hangingChars="150"/>
        <w:rPr>
          <w:rFonts w:hint="default" w:ascii="Times New Roman" w:hAnsi="Times New Roman" w:cs="Times New Roman"/>
          <w:color w:val="auto"/>
          <w:szCs w:val="21"/>
          <w:highlight w:val="none"/>
        </w:rPr>
      </w:pPr>
    </w:p>
    <w:p w14:paraId="4106A125">
      <w:pPr>
        <w:pageBreakBefore w:val="0"/>
        <w:kinsoku/>
        <w:wordWrap w:val="0"/>
        <w:bidi w:val="0"/>
        <w:spacing w:before="0" w:after="0" w:line="380" w:lineRule="atLeast"/>
        <w:jc w:val="center"/>
        <w:outlineLvl w:val="9"/>
        <w:rPr>
          <w:rFonts w:hint="default" w:ascii="Times New Roman" w:hAnsi="Times New Roman" w:eastAsia="黑体" w:cs="Times New Roman"/>
          <w:b w:val="0"/>
          <w:color w:val="auto"/>
          <w:sz w:val="24"/>
          <w:szCs w:val="24"/>
          <w:highlight w:val="none"/>
        </w:rPr>
      </w:pPr>
      <w:r>
        <w:rPr>
          <w:rFonts w:hint="default" w:ascii="Times New Roman" w:hAnsi="Times New Roman" w:cs="Times New Roman"/>
          <w:color w:val="auto"/>
          <w:sz w:val="24"/>
          <w:highlight w:val="none"/>
        </w:rPr>
        <w:br w:type="page"/>
      </w:r>
      <w:bookmarkStart w:id="1695" w:name="_Toc234833283"/>
      <w:bookmarkStart w:id="1696" w:name="_Toc26877"/>
      <w:bookmarkStart w:id="1697" w:name="_Toc11478"/>
      <w:r>
        <w:rPr>
          <w:rFonts w:hint="default" w:ascii="Times New Roman" w:hAnsi="Times New Roman" w:eastAsia="黑体" w:cs="Times New Roman"/>
          <w:b w:val="0"/>
          <w:color w:val="auto"/>
          <w:sz w:val="24"/>
          <w:szCs w:val="24"/>
          <w:highlight w:val="none"/>
        </w:rPr>
        <w:t>（</w:t>
      </w:r>
      <w:r>
        <w:rPr>
          <w:rFonts w:hint="default" w:ascii="Times New Roman" w:hAnsi="Times New Roman" w:eastAsia="黑体" w:cs="Times New Roman"/>
          <w:b w:val="0"/>
          <w:color w:val="auto"/>
          <w:sz w:val="24"/>
          <w:szCs w:val="24"/>
          <w:highlight w:val="none"/>
          <w:lang w:eastAsia="zh-CN"/>
        </w:rPr>
        <w:t>四</w:t>
      </w:r>
      <w:r>
        <w:rPr>
          <w:rFonts w:hint="default" w:ascii="Times New Roman" w:hAnsi="Times New Roman" w:eastAsia="黑体" w:cs="Times New Roman"/>
          <w:b w:val="0"/>
          <w:color w:val="auto"/>
          <w:sz w:val="24"/>
          <w:szCs w:val="24"/>
          <w:highlight w:val="none"/>
        </w:rPr>
        <w:t>）近年完成的类似项目情况表</w:t>
      </w:r>
      <w:bookmarkEnd w:id="1695"/>
      <w:bookmarkEnd w:id="1696"/>
      <w:bookmarkEnd w:id="1697"/>
    </w:p>
    <w:p w14:paraId="0DFD8809">
      <w:pPr>
        <w:pageBreakBefore w:val="0"/>
        <w:kinsoku/>
        <w:wordWrap w:val="0"/>
        <w:bidi w:val="0"/>
        <w:spacing w:line="440" w:lineRule="exact"/>
        <w:jc w:val="center"/>
        <w:rPr>
          <w:rFonts w:hint="default" w:ascii="Times New Roman" w:hAnsi="Times New Roman" w:eastAsia="黑体" w:cs="Times New Roman"/>
          <w:color w:val="auto"/>
          <w:sz w:val="23"/>
          <w:szCs w:val="23"/>
          <w:highlight w:val="none"/>
        </w:rPr>
      </w:pPr>
    </w:p>
    <w:tbl>
      <w:tblPr>
        <w:tblStyle w:val="4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7"/>
        <w:gridCol w:w="6524"/>
      </w:tblGrid>
      <w:tr w14:paraId="3F3D1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2367" w:type="dxa"/>
            <w:noWrap w:val="0"/>
            <w:vAlign w:val="center"/>
          </w:tcPr>
          <w:p w14:paraId="225EC37B">
            <w:pPr>
              <w:pageBreakBefore w:val="0"/>
              <w:kinsoku/>
              <w:wordWrap w:val="0"/>
              <w:topLinePunct/>
              <w:bidi w:val="0"/>
              <w:spacing w:line="440" w:lineRule="exact"/>
              <w:jc w:val="center"/>
              <w:rPr>
                <w:rFonts w:hint="default" w:ascii="Times New Roman" w:hAnsi="Times New Roman" w:cs="Times New Roman"/>
                <w:color w:val="auto"/>
                <w:sz w:val="20"/>
                <w:szCs w:val="20"/>
                <w:highlight w:val="none"/>
              </w:rPr>
            </w:pPr>
            <w:r>
              <w:rPr>
                <w:rFonts w:hint="default" w:ascii="Times New Roman" w:hAnsi="Times New Roman" w:cs="Times New Roman"/>
                <w:color w:val="auto"/>
                <w:szCs w:val="21"/>
                <w:highlight w:val="none"/>
              </w:rPr>
              <w:t>序</w:t>
            </w:r>
            <w:r>
              <w:rPr>
                <w:rFonts w:hint="eastAsia" w:cs="Times New Roman"/>
                <w:color w:val="auto"/>
                <w:szCs w:val="21"/>
                <w:highlight w:val="none"/>
                <w:lang w:val="en-US" w:eastAsia="zh-CN"/>
              </w:rPr>
              <w:t xml:space="preserve">    </w:t>
            </w:r>
            <w:r>
              <w:rPr>
                <w:rFonts w:hint="default" w:ascii="Times New Roman" w:hAnsi="Times New Roman" w:cs="Times New Roman"/>
                <w:color w:val="auto"/>
                <w:szCs w:val="21"/>
                <w:highlight w:val="none"/>
              </w:rPr>
              <w:t>号</w:t>
            </w:r>
          </w:p>
        </w:tc>
        <w:tc>
          <w:tcPr>
            <w:tcW w:w="6524" w:type="dxa"/>
            <w:noWrap w:val="0"/>
            <w:vAlign w:val="top"/>
          </w:tcPr>
          <w:p w14:paraId="0F10548D">
            <w:pPr>
              <w:pageBreakBefore w:val="0"/>
              <w:kinsoku/>
              <w:wordWrap w:val="0"/>
              <w:topLinePunct/>
              <w:bidi w:val="0"/>
              <w:spacing w:line="440" w:lineRule="exact"/>
              <w:rPr>
                <w:rFonts w:hint="default" w:ascii="Times New Roman" w:hAnsi="Times New Roman" w:cs="Times New Roman"/>
                <w:color w:val="auto"/>
                <w:sz w:val="20"/>
                <w:szCs w:val="20"/>
                <w:highlight w:val="none"/>
              </w:rPr>
            </w:pPr>
          </w:p>
        </w:tc>
      </w:tr>
      <w:tr w14:paraId="5D2DF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2367" w:type="dxa"/>
            <w:noWrap w:val="0"/>
            <w:vAlign w:val="center"/>
          </w:tcPr>
          <w:p w14:paraId="2CFE5040">
            <w:pPr>
              <w:pageBreakBefore w:val="0"/>
              <w:kinsoku/>
              <w:wordWrap w:val="0"/>
              <w:topLinePunct/>
              <w:bidi w:val="0"/>
              <w:spacing w:line="440" w:lineRule="exact"/>
              <w:jc w:val="center"/>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项目名称</w:t>
            </w:r>
          </w:p>
        </w:tc>
        <w:tc>
          <w:tcPr>
            <w:tcW w:w="6524" w:type="dxa"/>
            <w:noWrap w:val="0"/>
            <w:vAlign w:val="top"/>
          </w:tcPr>
          <w:p w14:paraId="472B67F0">
            <w:pPr>
              <w:pageBreakBefore w:val="0"/>
              <w:kinsoku/>
              <w:wordWrap w:val="0"/>
              <w:topLinePunct/>
              <w:bidi w:val="0"/>
              <w:spacing w:line="440" w:lineRule="exact"/>
              <w:rPr>
                <w:rFonts w:hint="default" w:ascii="Times New Roman" w:hAnsi="Times New Roman" w:cs="Times New Roman"/>
                <w:color w:val="auto"/>
                <w:sz w:val="20"/>
                <w:szCs w:val="20"/>
                <w:highlight w:val="none"/>
              </w:rPr>
            </w:pPr>
          </w:p>
        </w:tc>
      </w:tr>
      <w:tr w14:paraId="1C816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2367" w:type="dxa"/>
            <w:noWrap w:val="0"/>
            <w:vAlign w:val="center"/>
          </w:tcPr>
          <w:p w14:paraId="7010AB17">
            <w:pPr>
              <w:pageBreakBefore w:val="0"/>
              <w:kinsoku/>
              <w:wordWrap w:val="0"/>
              <w:topLinePunct/>
              <w:bidi w:val="0"/>
              <w:spacing w:line="440" w:lineRule="exact"/>
              <w:jc w:val="center"/>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项目所在地</w:t>
            </w:r>
          </w:p>
        </w:tc>
        <w:tc>
          <w:tcPr>
            <w:tcW w:w="6524" w:type="dxa"/>
            <w:noWrap w:val="0"/>
            <w:vAlign w:val="top"/>
          </w:tcPr>
          <w:p w14:paraId="57E07AE3">
            <w:pPr>
              <w:pageBreakBefore w:val="0"/>
              <w:kinsoku/>
              <w:wordWrap w:val="0"/>
              <w:topLinePunct/>
              <w:bidi w:val="0"/>
              <w:spacing w:line="440" w:lineRule="exact"/>
              <w:rPr>
                <w:rFonts w:hint="default" w:ascii="Times New Roman" w:hAnsi="Times New Roman" w:cs="Times New Roman"/>
                <w:color w:val="auto"/>
                <w:sz w:val="20"/>
                <w:szCs w:val="20"/>
                <w:highlight w:val="none"/>
              </w:rPr>
            </w:pPr>
          </w:p>
        </w:tc>
      </w:tr>
      <w:tr w14:paraId="3D4B8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367" w:type="dxa"/>
            <w:noWrap w:val="0"/>
            <w:vAlign w:val="center"/>
          </w:tcPr>
          <w:p w14:paraId="70D48B5A">
            <w:pPr>
              <w:pageBreakBefore w:val="0"/>
              <w:kinsoku/>
              <w:wordWrap w:val="0"/>
              <w:topLinePunct/>
              <w:bidi w:val="0"/>
              <w:spacing w:line="440" w:lineRule="exact"/>
              <w:jc w:val="center"/>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发包人名称</w:t>
            </w:r>
          </w:p>
        </w:tc>
        <w:tc>
          <w:tcPr>
            <w:tcW w:w="6524" w:type="dxa"/>
            <w:noWrap w:val="0"/>
            <w:vAlign w:val="top"/>
          </w:tcPr>
          <w:p w14:paraId="4864BC73">
            <w:pPr>
              <w:pageBreakBefore w:val="0"/>
              <w:kinsoku/>
              <w:wordWrap w:val="0"/>
              <w:topLinePunct/>
              <w:bidi w:val="0"/>
              <w:spacing w:line="440" w:lineRule="exact"/>
              <w:rPr>
                <w:rFonts w:hint="default" w:ascii="Times New Roman" w:hAnsi="Times New Roman" w:cs="Times New Roman"/>
                <w:color w:val="auto"/>
                <w:sz w:val="20"/>
                <w:szCs w:val="20"/>
                <w:highlight w:val="none"/>
              </w:rPr>
            </w:pPr>
          </w:p>
        </w:tc>
      </w:tr>
      <w:tr w14:paraId="17103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367" w:type="dxa"/>
            <w:noWrap w:val="0"/>
            <w:vAlign w:val="center"/>
          </w:tcPr>
          <w:p w14:paraId="7F0B6280">
            <w:pPr>
              <w:pageBreakBefore w:val="0"/>
              <w:kinsoku/>
              <w:wordWrap w:val="0"/>
              <w:topLinePunct/>
              <w:bidi w:val="0"/>
              <w:spacing w:line="440" w:lineRule="exact"/>
              <w:jc w:val="center"/>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发包人地址</w:t>
            </w:r>
          </w:p>
        </w:tc>
        <w:tc>
          <w:tcPr>
            <w:tcW w:w="6524" w:type="dxa"/>
            <w:noWrap w:val="0"/>
            <w:vAlign w:val="top"/>
          </w:tcPr>
          <w:p w14:paraId="3AA9F022">
            <w:pPr>
              <w:pageBreakBefore w:val="0"/>
              <w:kinsoku/>
              <w:wordWrap w:val="0"/>
              <w:topLinePunct/>
              <w:bidi w:val="0"/>
              <w:spacing w:line="440" w:lineRule="exact"/>
              <w:rPr>
                <w:rFonts w:hint="default" w:ascii="Times New Roman" w:hAnsi="Times New Roman" w:cs="Times New Roman"/>
                <w:color w:val="auto"/>
                <w:sz w:val="20"/>
                <w:szCs w:val="20"/>
                <w:highlight w:val="none"/>
              </w:rPr>
            </w:pPr>
          </w:p>
        </w:tc>
      </w:tr>
      <w:tr w14:paraId="5E746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367" w:type="dxa"/>
            <w:noWrap w:val="0"/>
            <w:vAlign w:val="center"/>
          </w:tcPr>
          <w:p w14:paraId="061EE3EF">
            <w:pPr>
              <w:pageBreakBefore w:val="0"/>
              <w:kinsoku/>
              <w:wordWrap w:val="0"/>
              <w:topLinePunct/>
              <w:bidi w:val="0"/>
              <w:spacing w:line="440" w:lineRule="exact"/>
              <w:jc w:val="center"/>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发包人电话</w:t>
            </w:r>
          </w:p>
        </w:tc>
        <w:tc>
          <w:tcPr>
            <w:tcW w:w="6524" w:type="dxa"/>
            <w:noWrap w:val="0"/>
            <w:vAlign w:val="top"/>
          </w:tcPr>
          <w:p w14:paraId="7D051E72">
            <w:pPr>
              <w:pageBreakBefore w:val="0"/>
              <w:kinsoku/>
              <w:wordWrap w:val="0"/>
              <w:topLinePunct/>
              <w:bidi w:val="0"/>
              <w:spacing w:line="440" w:lineRule="exact"/>
              <w:rPr>
                <w:rFonts w:hint="default" w:ascii="Times New Roman" w:hAnsi="Times New Roman" w:cs="Times New Roman"/>
                <w:color w:val="auto"/>
                <w:sz w:val="20"/>
                <w:szCs w:val="20"/>
                <w:highlight w:val="none"/>
              </w:rPr>
            </w:pPr>
          </w:p>
        </w:tc>
      </w:tr>
      <w:tr w14:paraId="239A0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367" w:type="dxa"/>
            <w:noWrap w:val="0"/>
            <w:vAlign w:val="center"/>
          </w:tcPr>
          <w:p w14:paraId="0B73D140">
            <w:pPr>
              <w:pageBreakBefore w:val="0"/>
              <w:kinsoku/>
              <w:wordWrap w:val="0"/>
              <w:topLinePunct/>
              <w:bidi w:val="0"/>
              <w:spacing w:line="440" w:lineRule="exact"/>
              <w:jc w:val="center"/>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合同价格</w:t>
            </w:r>
          </w:p>
        </w:tc>
        <w:tc>
          <w:tcPr>
            <w:tcW w:w="6524" w:type="dxa"/>
            <w:noWrap w:val="0"/>
            <w:vAlign w:val="top"/>
          </w:tcPr>
          <w:p w14:paraId="615D2EB9">
            <w:pPr>
              <w:pageBreakBefore w:val="0"/>
              <w:kinsoku/>
              <w:wordWrap w:val="0"/>
              <w:topLinePunct/>
              <w:bidi w:val="0"/>
              <w:spacing w:line="440" w:lineRule="exact"/>
              <w:rPr>
                <w:rFonts w:hint="default" w:ascii="Times New Roman" w:hAnsi="Times New Roman" w:cs="Times New Roman"/>
                <w:color w:val="auto"/>
                <w:sz w:val="20"/>
                <w:szCs w:val="20"/>
                <w:highlight w:val="none"/>
              </w:rPr>
            </w:pPr>
          </w:p>
        </w:tc>
      </w:tr>
      <w:tr w14:paraId="2CFD1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367" w:type="dxa"/>
            <w:noWrap w:val="0"/>
            <w:vAlign w:val="center"/>
          </w:tcPr>
          <w:p w14:paraId="3B744185">
            <w:pPr>
              <w:pageBreakBefore w:val="0"/>
              <w:kinsoku/>
              <w:wordWrap w:val="0"/>
              <w:topLinePunct/>
              <w:bidi w:val="0"/>
              <w:spacing w:line="440" w:lineRule="exact"/>
              <w:jc w:val="center"/>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开工日期</w:t>
            </w:r>
          </w:p>
        </w:tc>
        <w:tc>
          <w:tcPr>
            <w:tcW w:w="6524" w:type="dxa"/>
            <w:noWrap w:val="0"/>
            <w:vAlign w:val="top"/>
          </w:tcPr>
          <w:p w14:paraId="74270752">
            <w:pPr>
              <w:pageBreakBefore w:val="0"/>
              <w:kinsoku/>
              <w:wordWrap w:val="0"/>
              <w:topLinePunct/>
              <w:bidi w:val="0"/>
              <w:spacing w:line="440" w:lineRule="exact"/>
              <w:rPr>
                <w:rFonts w:hint="default" w:ascii="Times New Roman" w:hAnsi="Times New Roman" w:cs="Times New Roman"/>
                <w:color w:val="auto"/>
                <w:sz w:val="20"/>
                <w:szCs w:val="20"/>
                <w:highlight w:val="none"/>
              </w:rPr>
            </w:pPr>
          </w:p>
        </w:tc>
      </w:tr>
      <w:tr w14:paraId="55236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2367" w:type="dxa"/>
            <w:noWrap w:val="0"/>
            <w:vAlign w:val="center"/>
          </w:tcPr>
          <w:p w14:paraId="41A93791">
            <w:pPr>
              <w:pageBreakBefore w:val="0"/>
              <w:kinsoku/>
              <w:wordWrap w:val="0"/>
              <w:topLinePunct/>
              <w:bidi w:val="0"/>
              <w:spacing w:line="440" w:lineRule="exact"/>
              <w:jc w:val="center"/>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交工日期</w:t>
            </w:r>
          </w:p>
        </w:tc>
        <w:tc>
          <w:tcPr>
            <w:tcW w:w="6524" w:type="dxa"/>
            <w:noWrap w:val="0"/>
            <w:vAlign w:val="top"/>
          </w:tcPr>
          <w:p w14:paraId="554EE8DD">
            <w:pPr>
              <w:pageBreakBefore w:val="0"/>
              <w:kinsoku/>
              <w:wordWrap w:val="0"/>
              <w:topLinePunct/>
              <w:bidi w:val="0"/>
              <w:spacing w:line="440" w:lineRule="exact"/>
              <w:rPr>
                <w:rFonts w:hint="default" w:ascii="Times New Roman" w:hAnsi="Times New Roman" w:cs="Times New Roman"/>
                <w:color w:val="auto"/>
                <w:sz w:val="20"/>
                <w:szCs w:val="20"/>
                <w:highlight w:val="none"/>
              </w:rPr>
            </w:pPr>
          </w:p>
        </w:tc>
      </w:tr>
      <w:tr w14:paraId="4CC8D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2367" w:type="dxa"/>
            <w:noWrap w:val="0"/>
            <w:vAlign w:val="center"/>
          </w:tcPr>
          <w:p w14:paraId="1888DBD0">
            <w:pPr>
              <w:pageBreakBefore w:val="0"/>
              <w:kinsoku/>
              <w:wordWrap w:val="0"/>
              <w:topLinePunct/>
              <w:bidi w:val="0"/>
              <w:spacing w:line="440" w:lineRule="exact"/>
              <w:jc w:val="center"/>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承担的工作</w:t>
            </w:r>
          </w:p>
        </w:tc>
        <w:tc>
          <w:tcPr>
            <w:tcW w:w="6524" w:type="dxa"/>
            <w:noWrap w:val="0"/>
            <w:vAlign w:val="top"/>
          </w:tcPr>
          <w:p w14:paraId="39DA7006">
            <w:pPr>
              <w:pageBreakBefore w:val="0"/>
              <w:kinsoku/>
              <w:wordWrap w:val="0"/>
              <w:topLinePunct/>
              <w:bidi w:val="0"/>
              <w:spacing w:line="440" w:lineRule="exact"/>
              <w:rPr>
                <w:rFonts w:hint="default" w:ascii="Times New Roman" w:hAnsi="Times New Roman" w:cs="Times New Roman"/>
                <w:color w:val="auto"/>
                <w:sz w:val="20"/>
                <w:szCs w:val="20"/>
                <w:highlight w:val="none"/>
              </w:rPr>
            </w:pPr>
          </w:p>
        </w:tc>
      </w:tr>
      <w:tr w14:paraId="47829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2367" w:type="dxa"/>
            <w:noWrap w:val="0"/>
            <w:vAlign w:val="center"/>
          </w:tcPr>
          <w:p w14:paraId="22535357">
            <w:pPr>
              <w:pageBreakBefore w:val="0"/>
              <w:kinsoku/>
              <w:wordWrap w:val="0"/>
              <w:topLinePunct/>
              <w:bidi w:val="0"/>
              <w:spacing w:line="440" w:lineRule="exact"/>
              <w:jc w:val="center"/>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工程质量</w:t>
            </w:r>
          </w:p>
        </w:tc>
        <w:tc>
          <w:tcPr>
            <w:tcW w:w="6524" w:type="dxa"/>
            <w:noWrap w:val="0"/>
            <w:vAlign w:val="top"/>
          </w:tcPr>
          <w:p w14:paraId="76951866">
            <w:pPr>
              <w:pageBreakBefore w:val="0"/>
              <w:kinsoku/>
              <w:wordWrap w:val="0"/>
              <w:topLinePunct/>
              <w:bidi w:val="0"/>
              <w:spacing w:line="440" w:lineRule="exact"/>
              <w:rPr>
                <w:rFonts w:hint="default" w:ascii="Times New Roman" w:hAnsi="Times New Roman" w:cs="Times New Roman"/>
                <w:color w:val="auto"/>
                <w:sz w:val="20"/>
                <w:szCs w:val="20"/>
                <w:highlight w:val="none"/>
              </w:rPr>
            </w:pPr>
          </w:p>
        </w:tc>
      </w:tr>
      <w:tr w14:paraId="3F53F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2367" w:type="dxa"/>
            <w:noWrap w:val="0"/>
            <w:vAlign w:val="center"/>
          </w:tcPr>
          <w:p w14:paraId="186F5885">
            <w:pPr>
              <w:pageBreakBefore w:val="0"/>
              <w:kinsoku/>
              <w:wordWrap w:val="0"/>
              <w:topLinePunct/>
              <w:bidi w:val="0"/>
              <w:spacing w:line="440" w:lineRule="exact"/>
              <w:jc w:val="center"/>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项目经理</w:t>
            </w:r>
          </w:p>
        </w:tc>
        <w:tc>
          <w:tcPr>
            <w:tcW w:w="6524" w:type="dxa"/>
            <w:noWrap w:val="0"/>
            <w:vAlign w:val="top"/>
          </w:tcPr>
          <w:p w14:paraId="16B386F8">
            <w:pPr>
              <w:pageBreakBefore w:val="0"/>
              <w:kinsoku/>
              <w:wordWrap w:val="0"/>
              <w:topLinePunct/>
              <w:bidi w:val="0"/>
              <w:spacing w:line="440" w:lineRule="exact"/>
              <w:rPr>
                <w:rFonts w:hint="default" w:ascii="Times New Roman" w:hAnsi="Times New Roman" w:cs="Times New Roman"/>
                <w:color w:val="auto"/>
                <w:sz w:val="20"/>
                <w:szCs w:val="20"/>
                <w:highlight w:val="none"/>
              </w:rPr>
            </w:pPr>
          </w:p>
        </w:tc>
      </w:tr>
      <w:tr w14:paraId="2FC4A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2367" w:type="dxa"/>
            <w:noWrap w:val="0"/>
            <w:vAlign w:val="center"/>
          </w:tcPr>
          <w:p w14:paraId="0ACE3DBE">
            <w:pPr>
              <w:pageBreakBefore w:val="0"/>
              <w:kinsoku/>
              <w:wordWrap w:val="0"/>
              <w:topLinePunct/>
              <w:bidi w:val="0"/>
              <w:spacing w:line="440" w:lineRule="exact"/>
              <w:jc w:val="center"/>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项目总工</w:t>
            </w:r>
          </w:p>
        </w:tc>
        <w:tc>
          <w:tcPr>
            <w:tcW w:w="6524" w:type="dxa"/>
            <w:noWrap w:val="0"/>
            <w:vAlign w:val="top"/>
          </w:tcPr>
          <w:p w14:paraId="356F66EB">
            <w:pPr>
              <w:pageBreakBefore w:val="0"/>
              <w:kinsoku/>
              <w:wordWrap w:val="0"/>
              <w:topLinePunct/>
              <w:bidi w:val="0"/>
              <w:spacing w:line="440" w:lineRule="exact"/>
              <w:rPr>
                <w:rFonts w:hint="default" w:ascii="Times New Roman" w:hAnsi="Times New Roman" w:cs="Times New Roman"/>
                <w:color w:val="auto"/>
                <w:sz w:val="20"/>
                <w:szCs w:val="20"/>
                <w:highlight w:val="none"/>
              </w:rPr>
            </w:pPr>
          </w:p>
        </w:tc>
      </w:tr>
      <w:tr w14:paraId="559FA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367" w:type="dxa"/>
            <w:noWrap w:val="0"/>
            <w:vAlign w:val="center"/>
          </w:tcPr>
          <w:p w14:paraId="5687CF10">
            <w:pPr>
              <w:pageBreakBefore w:val="0"/>
              <w:kinsoku/>
              <w:wordWrap w:val="0"/>
              <w:topLinePunct/>
              <w:bidi w:val="0"/>
              <w:spacing w:line="440" w:lineRule="exact"/>
              <w:jc w:val="center"/>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总监理工程师及电话</w:t>
            </w:r>
          </w:p>
        </w:tc>
        <w:tc>
          <w:tcPr>
            <w:tcW w:w="6524" w:type="dxa"/>
            <w:noWrap w:val="0"/>
            <w:vAlign w:val="top"/>
          </w:tcPr>
          <w:p w14:paraId="57659DAC">
            <w:pPr>
              <w:pageBreakBefore w:val="0"/>
              <w:kinsoku/>
              <w:wordWrap w:val="0"/>
              <w:topLinePunct/>
              <w:bidi w:val="0"/>
              <w:spacing w:line="440" w:lineRule="exact"/>
              <w:rPr>
                <w:rFonts w:hint="default" w:ascii="Times New Roman" w:hAnsi="Times New Roman" w:cs="Times New Roman"/>
                <w:color w:val="auto"/>
                <w:sz w:val="20"/>
                <w:szCs w:val="20"/>
                <w:highlight w:val="none"/>
              </w:rPr>
            </w:pPr>
          </w:p>
        </w:tc>
      </w:tr>
      <w:tr w14:paraId="42AA5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2367" w:type="dxa"/>
            <w:noWrap w:val="0"/>
            <w:vAlign w:val="center"/>
          </w:tcPr>
          <w:p w14:paraId="2649B5B8">
            <w:pPr>
              <w:pageBreakBefore w:val="0"/>
              <w:kinsoku/>
              <w:wordWrap w:val="0"/>
              <w:topLinePunct/>
              <w:bidi w:val="0"/>
              <w:spacing w:line="440" w:lineRule="exact"/>
              <w:jc w:val="center"/>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项目描述</w:t>
            </w:r>
          </w:p>
        </w:tc>
        <w:tc>
          <w:tcPr>
            <w:tcW w:w="6524" w:type="dxa"/>
            <w:noWrap w:val="0"/>
            <w:vAlign w:val="top"/>
          </w:tcPr>
          <w:p w14:paraId="0F039D46">
            <w:pPr>
              <w:pageBreakBefore w:val="0"/>
              <w:kinsoku/>
              <w:wordWrap w:val="0"/>
              <w:topLinePunct/>
              <w:bidi w:val="0"/>
              <w:spacing w:line="440" w:lineRule="exact"/>
              <w:rPr>
                <w:rFonts w:hint="default" w:ascii="Times New Roman" w:hAnsi="Times New Roman" w:cs="Times New Roman"/>
                <w:color w:val="auto"/>
                <w:sz w:val="20"/>
                <w:szCs w:val="20"/>
                <w:highlight w:val="none"/>
              </w:rPr>
            </w:pPr>
          </w:p>
          <w:p w14:paraId="470358C0">
            <w:pPr>
              <w:pageBreakBefore w:val="0"/>
              <w:kinsoku/>
              <w:wordWrap w:val="0"/>
              <w:topLinePunct/>
              <w:bidi w:val="0"/>
              <w:spacing w:line="440" w:lineRule="exact"/>
              <w:rPr>
                <w:rFonts w:hint="default" w:ascii="Times New Roman" w:hAnsi="Times New Roman" w:cs="Times New Roman"/>
                <w:color w:val="auto"/>
                <w:sz w:val="20"/>
                <w:szCs w:val="20"/>
                <w:highlight w:val="none"/>
              </w:rPr>
            </w:pPr>
          </w:p>
        </w:tc>
      </w:tr>
      <w:tr w14:paraId="1A194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367" w:type="dxa"/>
            <w:noWrap w:val="0"/>
            <w:vAlign w:val="center"/>
          </w:tcPr>
          <w:p w14:paraId="2E529C3A">
            <w:pPr>
              <w:pageBreakBefore w:val="0"/>
              <w:kinsoku/>
              <w:wordWrap w:val="0"/>
              <w:topLinePunct/>
              <w:bidi w:val="0"/>
              <w:spacing w:line="440" w:lineRule="exact"/>
              <w:jc w:val="center"/>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备注</w:t>
            </w:r>
          </w:p>
        </w:tc>
        <w:tc>
          <w:tcPr>
            <w:tcW w:w="6524" w:type="dxa"/>
            <w:noWrap w:val="0"/>
            <w:vAlign w:val="top"/>
          </w:tcPr>
          <w:p w14:paraId="0A99BDD1">
            <w:pPr>
              <w:pageBreakBefore w:val="0"/>
              <w:kinsoku/>
              <w:wordWrap w:val="0"/>
              <w:topLinePunct/>
              <w:bidi w:val="0"/>
              <w:spacing w:line="440" w:lineRule="exact"/>
              <w:rPr>
                <w:rFonts w:hint="default" w:ascii="Times New Roman" w:hAnsi="Times New Roman" w:cs="Times New Roman"/>
                <w:color w:val="auto"/>
                <w:sz w:val="20"/>
                <w:szCs w:val="20"/>
                <w:highlight w:val="none"/>
              </w:rPr>
            </w:pPr>
          </w:p>
        </w:tc>
      </w:tr>
    </w:tbl>
    <w:p w14:paraId="3F2C4FF2">
      <w:pPr>
        <w:pageBreakBefore w:val="0"/>
        <w:kinsoku/>
        <w:wordWrap w:val="0"/>
        <w:bidi w:val="0"/>
        <w:spacing w:line="400" w:lineRule="atLeast"/>
        <w:ind w:left="735" w:hanging="735" w:hangingChars="35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注：1.每张表格只填写一个项目，并标明序号。</w:t>
      </w:r>
    </w:p>
    <w:p w14:paraId="63D57CF8">
      <w:pPr>
        <w:pageBreakBefore w:val="0"/>
        <w:kinsoku/>
        <w:wordWrap w:val="0"/>
        <w:bidi w:val="0"/>
        <w:spacing w:line="400" w:lineRule="atLeast"/>
        <w:ind w:left="588" w:leftChars="200" w:hanging="168" w:hangingChars="8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r>
        <w:rPr>
          <w:rFonts w:hint="default" w:ascii="Times New Roman" w:hAnsi="Times New Roman" w:cs="Times New Roman"/>
          <w:color w:val="auto"/>
          <w:highlight w:val="none"/>
        </w:rPr>
        <w:t>投标人应根据招标文件第二章</w:t>
      </w:r>
      <w:r>
        <w:rPr>
          <w:rFonts w:hint="eastAsia" w:ascii="宋体" w:hAnsi="宋体" w:eastAsia="宋体" w:cs="宋体"/>
          <w:color w:val="auto"/>
          <w:highlight w:val="none"/>
        </w:rPr>
        <w:t>“</w:t>
      </w:r>
      <w:r>
        <w:rPr>
          <w:rFonts w:hint="default" w:ascii="Times New Roman" w:hAnsi="Times New Roman" w:cs="Times New Roman"/>
          <w:color w:val="auto"/>
          <w:highlight w:val="none"/>
        </w:rPr>
        <w:t>投标人须知</w:t>
      </w:r>
      <w:r>
        <w:rPr>
          <w:rFonts w:hint="eastAsia" w:ascii="宋体" w:hAnsi="宋体" w:eastAsia="宋体" w:cs="宋体"/>
          <w:color w:val="auto"/>
          <w:highlight w:val="none"/>
        </w:rPr>
        <w:t>”</w:t>
      </w:r>
      <w:r>
        <w:rPr>
          <w:rFonts w:hint="default" w:ascii="Times New Roman" w:hAnsi="Times New Roman" w:cs="Times New Roman"/>
          <w:color w:val="auto"/>
          <w:highlight w:val="none"/>
        </w:rPr>
        <w:t>第3.5.3项的要求在本表后附相关证明材料。</w:t>
      </w:r>
    </w:p>
    <w:p w14:paraId="30B36AB1">
      <w:pPr>
        <w:pageBreakBefore w:val="0"/>
        <w:kinsoku/>
        <w:wordWrap w:val="0"/>
        <w:bidi w:val="0"/>
        <w:spacing w:line="400" w:lineRule="atLeast"/>
        <w:ind w:left="588" w:leftChars="200" w:hanging="168" w:hangingChars="8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3.如近年来，投标人法人机构发生合法变更或重组或法人名称变更时，应提供相关部门的合法批件或其他相关证明材料来证明其所附业绩的继承性。</w:t>
      </w:r>
    </w:p>
    <w:p w14:paraId="523D0CC0">
      <w:pPr>
        <w:pageBreakBefore w:val="0"/>
        <w:kinsoku/>
        <w:wordWrap w:val="0"/>
        <w:bidi w:val="0"/>
        <w:spacing w:line="400" w:lineRule="atLeast"/>
        <w:ind w:left="609" w:leftChars="190" w:hanging="210" w:hangingChars="1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4.以联合体形式参与投标的，联合体各成员</w:t>
      </w:r>
      <w:r>
        <w:rPr>
          <w:rFonts w:hint="default" w:ascii="Times New Roman" w:hAnsi="Times New Roman" w:cs="Times New Roman"/>
          <w:color w:val="auto"/>
          <w:szCs w:val="21"/>
          <w:highlight w:val="none"/>
          <w:lang w:val="en-US" w:eastAsia="zh-CN"/>
        </w:rPr>
        <w:t>根据招标文件第二章</w:t>
      </w:r>
      <w:r>
        <w:rPr>
          <w:rFonts w:hint="eastAsia" w:ascii="宋体" w:hAnsi="宋体" w:eastAsia="宋体" w:cs="宋体"/>
          <w:color w:val="auto"/>
          <w:highlight w:val="none"/>
        </w:rPr>
        <w:t>“</w:t>
      </w:r>
      <w:r>
        <w:rPr>
          <w:rFonts w:hint="default" w:ascii="Times New Roman" w:hAnsi="Times New Roman" w:cs="Times New Roman"/>
          <w:color w:val="auto"/>
          <w:highlight w:val="none"/>
        </w:rPr>
        <w:t>投标人须知</w:t>
      </w:r>
      <w:r>
        <w:rPr>
          <w:rFonts w:hint="eastAsia" w:ascii="宋体" w:hAnsi="宋体" w:eastAsia="宋体" w:cs="宋体"/>
          <w:color w:val="auto"/>
          <w:highlight w:val="none"/>
        </w:rPr>
        <w:t>”</w:t>
      </w:r>
      <w:r>
        <w:rPr>
          <w:rFonts w:hint="default" w:ascii="Times New Roman" w:hAnsi="Times New Roman" w:cs="Times New Roman"/>
          <w:color w:val="auto"/>
          <w:highlight w:val="none"/>
          <w:lang w:val="en-US" w:eastAsia="zh-CN"/>
        </w:rPr>
        <w:t>前附表附录3要求及第三章</w:t>
      </w:r>
      <w:r>
        <w:rPr>
          <w:rFonts w:hint="eastAsia" w:ascii="宋体" w:hAnsi="宋体" w:eastAsia="宋体" w:cs="宋体"/>
          <w:color w:val="auto"/>
          <w:highlight w:val="none"/>
          <w:lang w:val="en-US" w:eastAsia="zh-CN"/>
        </w:rPr>
        <w:t>“</w:t>
      </w:r>
      <w:r>
        <w:rPr>
          <w:rFonts w:hint="default" w:ascii="Times New Roman" w:hAnsi="Times New Roman" w:cs="Times New Roman"/>
          <w:color w:val="auto"/>
          <w:highlight w:val="none"/>
          <w:lang w:val="en-US" w:eastAsia="zh-CN"/>
        </w:rPr>
        <w:t>评标办法</w:t>
      </w:r>
      <w:r>
        <w:rPr>
          <w:rFonts w:hint="eastAsia" w:ascii="宋体" w:hAnsi="宋体" w:eastAsia="宋体" w:cs="宋体"/>
          <w:color w:val="auto"/>
          <w:highlight w:val="none"/>
          <w:lang w:val="en-US" w:eastAsia="zh-CN"/>
        </w:rPr>
        <w:t>”</w:t>
      </w:r>
      <w:r>
        <w:rPr>
          <w:rFonts w:hint="default" w:ascii="Times New Roman" w:hAnsi="Times New Roman" w:cs="Times New Roman"/>
          <w:color w:val="auto"/>
          <w:highlight w:val="none"/>
          <w:lang w:val="en-US" w:eastAsia="zh-CN"/>
        </w:rPr>
        <w:t>详细评审要求（如有）</w:t>
      </w:r>
      <w:r>
        <w:rPr>
          <w:rFonts w:hint="default" w:ascii="Times New Roman" w:hAnsi="Times New Roman" w:cs="Times New Roman"/>
          <w:color w:val="auto"/>
          <w:szCs w:val="21"/>
          <w:highlight w:val="none"/>
        </w:rPr>
        <w:t>分别填写。</w:t>
      </w:r>
    </w:p>
    <w:p w14:paraId="1DFF9D83">
      <w:pPr>
        <w:pageBreakBefore w:val="0"/>
        <w:kinsoku/>
        <w:wordWrap w:val="0"/>
        <w:bidi w:val="0"/>
        <w:spacing w:line="280" w:lineRule="exact"/>
        <w:rPr>
          <w:rFonts w:hint="default" w:ascii="Times New Roman" w:hAnsi="Times New Roman" w:eastAsia="黑体" w:cs="Times New Roman"/>
          <w:b w:val="0"/>
          <w:color w:val="auto"/>
          <w:sz w:val="24"/>
          <w:szCs w:val="24"/>
          <w:highlight w:val="none"/>
        </w:rPr>
      </w:pPr>
      <w:r>
        <w:rPr>
          <w:rFonts w:hint="default" w:ascii="Times New Roman" w:hAnsi="Times New Roman" w:eastAsia="黑体" w:cs="Times New Roman"/>
          <w:color w:val="auto"/>
          <w:sz w:val="23"/>
          <w:szCs w:val="23"/>
          <w:highlight w:val="none"/>
        </w:rPr>
        <w:br w:type="page"/>
      </w:r>
      <w:bookmarkStart w:id="1698" w:name="_Toc2693"/>
      <w:bookmarkStart w:id="1699" w:name="_Toc26533"/>
      <w:bookmarkStart w:id="1700" w:name="_Toc234833285"/>
      <w:r>
        <w:rPr>
          <w:rFonts w:hint="eastAsia" w:ascii="Times New Roman" w:hAnsi="Times New Roman" w:eastAsia="黑体" w:cs="Times New Roman"/>
          <w:b w:val="0"/>
          <w:color w:val="auto"/>
          <w:sz w:val="24"/>
          <w:szCs w:val="24"/>
          <w:highlight w:val="none"/>
          <w:lang w:val="en-US" w:eastAsia="zh-CN"/>
        </w:rPr>
        <w:t>（五）</w:t>
      </w:r>
      <w:r>
        <w:rPr>
          <w:rFonts w:hint="default" w:ascii="Times New Roman" w:hAnsi="Times New Roman" w:eastAsia="黑体" w:cs="Times New Roman"/>
          <w:b w:val="0"/>
          <w:color w:val="auto"/>
          <w:sz w:val="24"/>
          <w:szCs w:val="24"/>
          <w:highlight w:val="none"/>
        </w:rPr>
        <w:t>投标人的信誉情况表</w:t>
      </w:r>
      <w:bookmarkEnd w:id="1698"/>
      <w:bookmarkEnd w:id="1699"/>
    </w:p>
    <w:p w14:paraId="4E48B772">
      <w:pPr>
        <w:keepNext/>
        <w:keepLines/>
        <w:spacing w:before="80" w:after="64"/>
        <w:ind w:firstLine="566"/>
        <w:jc w:val="center"/>
        <w:rPr>
          <w:rFonts w:hint="default" w:eastAsia="黑体" w:cs="Times New Roman"/>
          <w:bCs/>
          <w:color w:val="auto"/>
          <w:kern w:val="0"/>
          <w:sz w:val="28"/>
          <w:szCs w:val="28"/>
          <w:highlight w:val="none"/>
          <w:lang w:val="en-US" w:eastAsia="zh-CN" w:bidi="zh-CN"/>
        </w:rPr>
      </w:pPr>
      <w:r>
        <w:rPr>
          <w:rFonts w:hint="eastAsia" w:eastAsia="黑体" w:cs="Times New Roman"/>
          <w:bCs/>
          <w:color w:val="auto"/>
          <w:kern w:val="0"/>
          <w:sz w:val="28"/>
          <w:szCs w:val="28"/>
          <w:highlight w:val="none"/>
          <w:lang w:val="en-US" w:eastAsia="zh-CN" w:bidi="zh-CN"/>
        </w:rPr>
        <w:t>5-1</w:t>
      </w:r>
    </w:p>
    <w:tbl>
      <w:tblPr>
        <w:tblStyle w:val="4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14:paraId="23F2B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rPr>
        <w:tc>
          <w:tcPr>
            <w:tcW w:w="4261" w:type="dxa"/>
            <w:noWrap w:val="0"/>
            <w:vAlign w:val="center"/>
          </w:tcPr>
          <w:p w14:paraId="01D9FDF4">
            <w:pPr>
              <w:pageBreakBefore w:val="0"/>
              <w:kinsoku/>
              <w:wordWrap w:val="0"/>
              <w:topLinePunct/>
              <w:bidi w:val="0"/>
              <w:spacing w:line="400" w:lineRule="atLeast"/>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项目</w:t>
            </w:r>
          </w:p>
        </w:tc>
        <w:tc>
          <w:tcPr>
            <w:tcW w:w="4261" w:type="dxa"/>
            <w:noWrap w:val="0"/>
            <w:vAlign w:val="center"/>
          </w:tcPr>
          <w:p w14:paraId="17E62E68">
            <w:pPr>
              <w:pageBreakBefore w:val="0"/>
              <w:kinsoku/>
              <w:wordWrap w:val="0"/>
              <w:topLinePunct/>
              <w:bidi w:val="0"/>
              <w:spacing w:line="400" w:lineRule="atLeast"/>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投标人情况说明</w:t>
            </w:r>
          </w:p>
        </w:tc>
      </w:tr>
      <w:tr w14:paraId="6DDA7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4261" w:type="dxa"/>
            <w:noWrap w:val="0"/>
            <w:vAlign w:val="top"/>
          </w:tcPr>
          <w:p w14:paraId="6E802B43">
            <w:pPr>
              <w:pageBreakBefore w:val="0"/>
              <w:kinsoku/>
              <w:wordWrap w:val="0"/>
              <w:topLinePunct/>
              <w:bidi w:val="0"/>
              <w:spacing w:line="400" w:lineRule="atLeast"/>
              <w:rPr>
                <w:rFonts w:hint="default" w:ascii="Times New Roman" w:hAnsi="Times New Roman" w:cs="Times New Roman"/>
                <w:bCs/>
                <w:color w:val="auto"/>
                <w:sz w:val="20"/>
                <w:szCs w:val="20"/>
                <w:highlight w:val="none"/>
              </w:rPr>
            </w:pPr>
          </w:p>
        </w:tc>
        <w:tc>
          <w:tcPr>
            <w:tcW w:w="4261" w:type="dxa"/>
            <w:noWrap w:val="0"/>
            <w:vAlign w:val="top"/>
          </w:tcPr>
          <w:p w14:paraId="459D5E71">
            <w:pPr>
              <w:pageBreakBefore w:val="0"/>
              <w:kinsoku/>
              <w:wordWrap w:val="0"/>
              <w:topLinePunct/>
              <w:bidi w:val="0"/>
              <w:spacing w:line="400" w:lineRule="atLeast"/>
              <w:rPr>
                <w:rFonts w:hint="default" w:ascii="Times New Roman" w:hAnsi="Times New Roman" w:cs="Times New Roman"/>
                <w:bCs/>
                <w:color w:val="auto"/>
                <w:sz w:val="20"/>
                <w:szCs w:val="20"/>
                <w:highlight w:val="none"/>
              </w:rPr>
            </w:pPr>
          </w:p>
        </w:tc>
      </w:tr>
      <w:tr w14:paraId="10077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4261" w:type="dxa"/>
            <w:noWrap w:val="0"/>
            <w:vAlign w:val="top"/>
          </w:tcPr>
          <w:p w14:paraId="34353CB9">
            <w:pPr>
              <w:pageBreakBefore w:val="0"/>
              <w:kinsoku/>
              <w:wordWrap w:val="0"/>
              <w:topLinePunct/>
              <w:bidi w:val="0"/>
              <w:spacing w:line="400" w:lineRule="atLeast"/>
              <w:rPr>
                <w:rFonts w:hint="default" w:ascii="Times New Roman" w:hAnsi="Times New Roman" w:cs="Times New Roman"/>
                <w:bCs/>
                <w:color w:val="auto"/>
                <w:sz w:val="20"/>
                <w:szCs w:val="20"/>
                <w:highlight w:val="none"/>
              </w:rPr>
            </w:pPr>
          </w:p>
        </w:tc>
        <w:tc>
          <w:tcPr>
            <w:tcW w:w="4261" w:type="dxa"/>
            <w:noWrap w:val="0"/>
            <w:vAlign w:val="top"/>
          </w:tcPr>
          <w:p w14:paraId="0608AC5F">
            <w:pPr>
              <w:pageBreakBefore w:val="0"/>
              <w:kinsoku/>
              <w:wordWrap w:val="0"/>
              <w:topLinePunct/>
              <w:bidi w:val="0"/>
              <w:spacing w:line="400" w:lineRule="atLeast"/>
              <w:rPr>
                <w:rFonts w:hint="default" w:ascii="Times New Roman" w:hAnsi="Times New Roman" w:cs="Times New Roman"/>
                <w:bCs/>
                <w:color w:val="auto"/>
                <w:sz w:val="20"/>
                <w:szCs w:val="20"/>
                <w:highlight w:val="none"/>
              </w:rPr>
            </w:pPr>
          </w:p>
        </w:tc>
      </w:tr>
      <w:tr w14:paraId="5FBE7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4261" w:type="dxa"/>
            <w:noWrap w:val="0"/>
            <w:vAlign w:val="top"/>
          </w:tcPr>
          <w:p w14:paraId="5137FE42">
            <w:pPr>
              <w:pageBreakBefore w:val="0"/>
              <w:kinsoku/>
              <w:wordWrap w:val="0"/>
              <w:topLinePunct/>
              <w:bidi w:val="0"/>
              <w:spacing w:line="400" w:lineRule="atLeast"/>
              <w:rPr>
                <w:rFonts w:hint="default" w:ascii="Times New Roman" w:hAnsi="Times New Roman" w:cs="Times New Roman"/>
                <w:bCs/>
                <w:color w:val="auto"/>
                <w:sz w:val="20"/>
                <w:szCs w:val="20"/>
                <w:highlight w:val="none"/>
              </w:rPr>
            </w:pPr>
          </w:p>
        </w:tc>
        <w:tc>
          <w:tcPr>
            <w:tcW w:w="4261" w:type="dxa"/>
            <w:noWrap w:val="0"/>
            <w:vAlign w:val="top"/>
          </w:tcPr>
          <w:p w14:paraId="6FD5112D">
            <w:pPr>
              <w:pageBreakBefore w:val="0"/>
              <w:kinsoku/>
              <w:wordWrap w:val="0"/>
              <w:topLinePunct/>
              <w:bidi w:val="0"/>
              <w:spacing w:line="400" w:lineRule="atLeast"/>
              <w:rPr>
                <w:rFonts w:hint="default" w:ascii="Times New Roman" w:hAnsi="Times New Roman" w:cs="Times New Roman"/>
                <w:bCs/>
                <w:color w:val="auto"/>
                <w:sz w:val="20"/>
                <w:szCs w:val="20"/>
                <w:highlight w:val="none"/>
              </w:rPr>
            </w:pPr>
          </w:p>
        </w:tc>
      </w:tr>
      <w:tr w14:paraId="218B7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4261" w:type="dxa"/>
            <w:noWrap w:val="0"/>
            <w:vAlign w:val="top"/>
          </w:tcPr>
          <w:p w14:paraId="039E2B02">
            <w:pPr>
              <w:pageBreakBefore w:val="0"/>
              <w:kinsoku/>
              <w:wordWrap w:val="0"/>
              <w:topLinePunct/>
              <w:bidi w:val="0"/>
              <w:spacing w:line="400" w:lineRule="atLeast"/>
              <w:rPr>
                <w:rFonts w:hint="default" w:ascii="Times New Roman" w:hAnsi="Times New Roman" w:cs="Times New Roman"/>
                <w:bCs/>
                <w:color w:val="auto"/>
                <w:sz w:val="20"/>
                <w:szCs w:val="20"/>
                <w:highlight w:val="none"/>
              </w:rPr>
            </w:pPr>
          </w:p>
        </w:tc>
        <w:tc>
          <w:tcPr>
            <w:tcW w:w="4261" w:type="dxa"/>
            <w:noWrap w:val="0"/>
            <w:vAlign w:val="top"/>
          </w:tcPr>
          <w:p w14:paraId="53DAEA39">
            <w:pPr>
              <w:pageBreakBefore w:val="0"/>
              <w:kinsoku/>
              <w:wordWrap w:val="0"/>
              <w:topLinePunct/>
              <w:bidi w:val="0"/>
              <w:spacing w:line="400" w:lineRule="atLeast"/>
              <w:rPr>
                <w:rFonts w:hint="default" w:ascii="Times New Roman" w:hAnsi="Times New Roman" w:cs="Times New Roman"/>
                <w:bCs/>
                <w:color w:val="auto"/>
                <w:sz w:val="20"/>
                <w:szCs w:val="20"/>
                <w:highlight w:val="none"/>
              </w:rPr>
            </w:pPr>
          </w:p>
        </w:tc>
      </w:tr>
      <w:tr w14:paraId="0945D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4261" w:type="dxa"/>
            <w:noWrap w:val="0"/>
            <w:vAlign w:val="top"/>
          </w:tcPr>
          <w:p w14:paraId="2C50DB37">
            <w:pPr>
              <w:pageBreakBefore w:val="0"/>
              <w:kinsoku/>
              <w:wordWrap w:val="0"/>
              <w:topLinePunct/>
              <w:bidi w:val="0"/>
              <w:spacing w:line="400" w:lineRule="atLeast"/>
              <w:rPr>
                <w:rFonts w:hint="default" w:ascii="Times New Roman" w:hAnsi="Times New Roman" w:cs="Times New Roman"/>
                <w:bCs/>
                <w:color w:val="auto"/>
                <w:sz w:val="20"/>
                <w:szCs w:val="20"/>
                <w:highlight w:val="none"/>
              </w:rPr>
            </w:pPr>
          </w:p>
        </w:tc>
        <w:tc>
          <w:tcPr>
            <w:tcW w:w="4261" w:type="dxa"/>
            <w:noWrap w:val="0"/>
            <w:vAlign w:val="top"/>
          </w:tcPr>
          <w:p w14:paraId="6EEA8C18">
            <w:pPr>
              <w:pageBreakBefore w:val="0"/>
              <w:kinsoku/>
              <w:wordWrap w:val="0"/>
              <w:topLinePunct/>
              <w:bidi w:val="0"/>
              <w:spacing w:line="400" w:lineRule="atLeast"/>
              <w:rPr>
                <w:rFonts w:hint="default" w:ascii="Times New Roman" w:hAnsi="Times New Roman" w:cs="Times New Roman"/>
                <w:bCs/>
                <w:color w:val="auto"/>
                <w:sz w:val="20"/>
                <w:szCs w:val="20"/>
                <w:highlight w:val="none"/>
              </w:rPr>
            </w:pPr>
          </w:p>
        </w:tc>
      </w:tr>
      <w:tr w14:paraId="4BDB7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4261" w:type="dxa"/>
            <w:noWrap w:val="0"/>
            <w:vAlign w:val="top"/>
          </w:tcPr>
          <w:p w14:paraId="5D2E3A2F">
            <w:pPr>
              <w:pageBreakBefore w:val="0"/>
              <w:kinsoku/>
              <w:wordWrap w:val="0"/>
              <w:topLinePunct/>
              <w:bidi w:val="0"/>
              <w:spacing w:line="400" w:lineRule="atLeast"/>
              <w:rPr>
                <w:rFonts w:hint="default" w:ascii="Times New Roman" w:hAnsi="Times New Roman" w:cs="Times New Roman"/>
                <w:bCs/>
                <w:color w:val="auto"/>
                <w:sz w:val="20"/>
                <w:szCs w:val="20"/>
                <w:highlight w:val="none"/>
              </w:rPr>
            </w:pPr>
          </w:p>
        </w:tc>
        <w:tc>
          <w:tcPr>
            <w:tcW w:w="4261" w:type="dxa"/>
            <w:noWrap w:val="0"/>
            <w:vAlign w:val="top"/>
          </w:tcPr>
          <w:p w14:paraId="6DDFD1E8">
            <w:pPr>
              <w:pageBreakBefore w:val="0"/>
              <w:kinsoku/>
              <w:wordWrap w:val="0"/>
              <w:topLinePunct/>
              <w:bidi w:val="0"/>
              <w:spacing w:line="400" w:lineRule="atLeast"/>
              <w:rPr>
                <w:rFonts w:hint="default" w:ascii="Times New Roman" w:hAnsi="Times New Roman" w:cs="Times New Roman"/>
                <w:bCs/>
                <w:color w:val="auto"/>
                <w:sz w:val="20"/>
                <w:szCs w:val="20"/>
                <w:highlight w:val="none"/>
              </w:rPr>
            </w:pPr>
          </w:p>
        </w:tc>
      </w:tr>
      <w:tr w14:paraId="32286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4261" w:type="dxa"/>
            <w:noWrap w:val="0"/>
            <w:vAlign w:val="top"/>
          </w:tcPr>
          <w:p w14:paraId="5E4826FE">
            <w:pPr>
              <w:pageBreakBefore w:val="0"/>
              <w:kinsoku/>
              <w:wordWrap w:val="0"/>
              <w:topLinePunct/>
              <w:bidi w:val="0"/>
              <w:spacing w:line="400" w:lineRule="atLeast"/>
              <w:rPr>
                <w:rFonts w:hint="default" w:ascii="Times New Roman" w:hAnsi="Times New Roman" w:cs="Times New Roman"/>
                <w:bCs/>
                <w:color w:val="auto"/>
                <w:sz w:val="20"/>
                <w:szCs w:val="20"/>
                <w:highlight w:val="none"/>
              </w:rPr>
            </w:pPr>
          </w:p>
        </w:tc>
        <w:tc>
          <w:tcPr>
            <w:tcW w:w="4261" w:type="dxa"/>
            <w:noWrap w:val="0"/>
            <w:vAlign w:val="top"/>
          </w:tcPr>
          <w:p w14:paraId="72ED0E27">
            <w:pPr>
              <w:pageBreakBefore w:val="0"/>
              <w:kinsoku/>
              <w:wordWrap w:val="0"/>
              <w:topLinePunct/>
              <w:bidi w:val="0"/>
              <w:spacing w:line="400" w:lineRule="atLeast"/>
              <w:rPr>
                <w:rFonts w:hint="default" w:ascii="Times New Roman" w:hAnsi="Times New Roman" w:cs="Times New Roman"/>
                <w:bCs/>
                <w:color w:val="auto"/>
                <w:sz w:val="20"/>
                <w:szCs w:val="20"/>
                <w:highlight w:val="none"/>
              </w:rPr>
            </w:pPr>
          </w:p>
        </w:tc>
      </w:tr>
      <w:tr w14:paraId="0ABE1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4261" w:type="dxa"/>
            <w:noWrap w:val="0"/>
            <w:vAlign w:val="top"/>
          </w:tcPr>
          <w:p w14:paraId="0BB4F75C">
            <w:pPr>
              <w:pageBreakBefore w:val="0"/>
              <w:kinsoku/>
              <w:wordWrap w:val="0"/>
              <w:topLinePunct/>
              <w:bidi w:val="0"/>
              <w:spacing w:line="400" w:lineRule="atLeast"/>
              <w:rPr>
                <w:rFonts w:hint="default" w:ascii="Times New Roman" w:hAnsi="Times New Roman" w:cs="Times New Roman"/>
                <w:bCs/>
                <w:color w:val="auto"/>
                <w:sz w:val="20"/>
                <w:szCs w:val="20"/>
                <w:highlight w:val="none"/>
              </w:rPr>
            </w:pPr>
          </w:p>
        </w:tc>
        <w:tc>
          <w:tcPr>
            <w:tcW w:w="4261" w:type="dxa"/>
            <w:noWrap w:val="0"/>
            <w:vAlign w:val="top"/>
          </w:tcPr>
          <w:p w14:paraId="2FBFB6D4">
            <w:pPr>
              <w:pageBreakBefore w:val="0"/>
              <w:kinsoku/>
              <w:wordWrap w:val="0"/>
              <w:topLinePunct/>
              <w:bidi w:val="0"/>
              <w:spacing w:line="400" w:lineRule="atLeast"/>
              <w:rPr>
                <w:rFonts w:hint="default" w:ascii="Times New Roman" w:hAnsi="Times New Roman" w:cs="Times New Roman"/>
                <w:bCs/>
                <w:color w:val="auto"/>
                <w:sz w:val="20"/>
                <w:szCs w:val="20"/>
                <w:highlight w:val="none"/>
              </w:rPr>
            </w:pPr>
          </w:p>
        </w:tc>
      </w:tr>
    </w:tbl>
    <w:p w14:paraId="4CC66E75">
      <w:pPr>
        <w:keepNext w:val="0"/>
        <w:keepLines w:val="0"/>
        <w:pageBreakBefore w:val="0"/>
        <w:widowControl w:val="0"/>
        <w:kinsoku/>
        <w:wordWrap w:val="0"/>
        <w:overflowPunct/>
        <w:topLinePunct w:val="0"/>
        <w:autoSpaceDE/>
        <w:autoSpaceDN/>
        <w:bidi w:val="0"/>
        <w:adjustRightInd/>
        <w:snapToGrid/>
        <w:spacing w:line="400" w:lineRule="atLeast"/>
        <w:ind w:left="0"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注：1.投标人应按照招标文件第二章</w:t>
      </w:r>
      <w:r>
        <w:rPr>
          <w:rFonts w:hint="eastAsia" w:ascii="宋体" w:hAnsi="宋体" w:eastAsia="宋体" w:cs="宋体"/>
          <w:color w:val="auto"/>
          <w:szCs w:val="21"/>
          <w:highlight w:val="none"/>
        </w:rPr>
        <w:t>“</w:t>
      </w:r>
      <w:r>
        <w:rPr>
          <w:rFonts w:hint="default" w:ascii="Times New Roman" w:hAnsi="Times New Roman" w:cs="Times New Roman"/>
          <w:color w:val="auto"/>
          <w:szCs w:val="21"/>
          <w:highlight w:val="none"/>
        </w:rPr>
        <w:t>投标人须知</w:t>
      </w:r>
      <w:r>
        <w:rPr>
          <w:rFonts w:hint="eastAsia" w:ascii="宋体" w:hAnsi="宋体" w:eastAsia="宋体" w:cs="宋体"/>
          <w:color w:val="auto"/>
          <w:szCs w:val="21"/>
          <w:highlight w:val="none"/>
        </w:rPr>
        <w:t>”</w:t>
      </w:r>
      <w:r>
        <w:rPr>
          <w:rFonts w:hint="default" w:ascii="Times New Roman" w:hAnsi="Times New Roman" w:cs="Times New Roman"/>
          <w:color w:val="auto"/>
          <w:szCs w:val="21"/>
          <w:highlight w:val="none"/>
        </w:rPr>
        <w:t>前附表附录4和</w:t>
      </w:r>
      <w:r>
        <w:rPr>
          <w:rFonts w:hint="eastAsia" w:ascii="宋体" w:hAnsi="宋体" w:eastAsia="宋体" w:cs="宋体"/>
          <w:color w:val="auto"/>
          <w:szCs w:val="21"/>
          <w:highlight w:val="none"/>
        </w:rPr>
        <w:t>“</w:t>
      </w:r>
      <w:r>
        <w:rPr>
          <w:rFonts w:hint="default" w:ascii="Times New Roman" w:hAnsi="Times New Roman" w:cs="Times New Roman"/>
          <w:color w:val="auto"/>
          <w:szCs w:val="21"/>
          <w:highlight w:val="none"/>
        </w:rPr>
        <w:t>投标人须知</w:t>
      </w:r>
      <w:r>
        <w:rPr>
          <w:rFonts w:hint="eastAsia" w:ascii="宋体" w:hAnsi="宋体" w:eastAsia="宋体" w:cs="宋体"/>
          <w:color w:val="auto"/>
          <w:szCs w:val="21"/>
          <w:highlight w:val="none"/>
        </w:rPr>
        <w:t>”</w:t>
      </w:r>
      <w:r>
        <w:rPr>
          <w:rFonts w:hint="default" w:ascii="Times New Roman" w:hAnsi="Times New Roman" w:cs="Times New Roman"/>
          <w:color w:val="auto"/>
          <w:szCs w:val="21"/>
          <w:highlight w:val="none"/>
        </w:rPr>
        <w:t>正文第1.4.4项规定，逐条说明其信誉情况。</w:t>
      </w:r>
      <w:bookmarkEnd w:id="1700"/>
    </w:p>
    <w:p w14:paraId="65D31368">
      <w:pPr>
        <w:keepNext w:val="0"/>
        <w:keepLines w:val="0"/>
        <w:pageBreakBefore w:val="0"/>
        <w:widowControl w:val="0"/>
        <w:kinsoku/>
        <w:wordWrap w:val="0"/>
        <w:overflowPunct/>
        <w:topLinePunct w:val="0"/>
        <w:autoSpaceDE/>
        <w:autoSpaceDN/>
        <w:bidi w:val="0"/>
        <w:adjustRightInd/>
        <w:snapToGrid/>
        <w:spacing w:line="400" w:lineRule="atLeast"/>
        <w:ind w:left="0" w:firstLine="420" w:firstLineChars="200"/>
        <w:textAlignment w:val="auto"/>
        <w:rPr>
          <w:rFonts w:hint="default" w:ascii="Times New Roman" w:hAnsi="Times New Roman" w:cs="Times New Roman"/>
          <w:color w:val="auto"/>
          <w:szCs w:val="21"/>
          <w:highlight w:val="none"/>
        </w:rPr>
      </w:pPr>
      <w:bookmarkStart w:id="1701" w:name="_Hlk493477915"/>
      <w:r>
        <w:rPr>
          <w:rFonts w:hint="default" w:ascii="Times New Roman" w:hAnsi="Times New Roman" w:cs="Times New Roman"/>
          <w:color w:val="auto"/>
          <w:szCs w:val="21"/>
          <w:highlight w:val="none"/>
        </w:rPr>
        <w:t>2.</w:t>
      </w:r>
      <w:r>
        <w:rPr>
          <w:rFonts w:hint="default" w:ascii="Times New Roman" w:hAnsi="Times New Roman" w:cs="Times New Roman"/>
          <w:color w:val="auto"/>
          <w:highlight w:val="none"/>
        </w:rPr>
        <w:t>投标人应根据招标文件第二章</w:t>
      </w:r>
      <w:r>
        <w:rPr>
          <w:rFonts w:hint="eastAsia" w:ascii="宋体" w:hAnsi="宋体" w:eastAsia="宋体" w:cs="宋体"/>
          <w:color w:val="auto"/>
          <w:highlight w:val="none"/>
        </w:rPr>
        <w:t>“</w:t>
      </w:r>
      <w:r>
        <w:rPr>
          <w:rFonts w:hint="default" w:ascii="Times New Roman" w:hAnsi="Times New Roman" w:cs="Times New Roman"/>
          <w:color w:val="auto"/>
          <w:highlight w:val="none"/>
        </w:rPr>
        <w:t>投标人须知</w:t>
      </w:r>
      <w:r>
        <w:rPr>
          <w:rFonts w:hint="eastAsia" w:ascii="宋体" w:hAnsi="宋体" w:eastAsia="宋体" w:cs="宋体"/>
          <w:color w:val="auto"/>
          <w:highlight w:val="none"/>
        </w:rPr>
        <w:t>”</w:t>
      </w:r>
      <w:r>
        <w:rPr>
          <w:rFonts w:hint="default" w:ascii="Times New Roman" w:hAnsi="Times New Roman" w:cs="Times New Roman"/>
          <w:color w:val="auto"/>
          <w:highlight w:val="none"/>
        </w:rPr>
        <w:t>第3.5.4项的要求在本表后附相关证明材料。</w:t>
      </w:r>
      <w:bookmarkEnd w:id="1701"/>
    </w:p>
    <w:p w14:paraId="4F26CEBF">
      <w:pPr>
        <w:keepNext w:val="0"/>
        <w:keepLines w:val="0"/>
        <w:pageBreakBefore w:val="0"/>
        <w:widowControl w:val="0"/>
        <w:kinsoku/>
        <w:wordWrap w:val="0"/>
        <w:overflowPunct/>
        <w:topLinePunct w:val="0"/>
        <w:autoSpaceDE/>
        <w:autoSpaceDN/>
        <w:bidi w:val="0"/>
        <w:adjustRightInd/>
        <w:snapToGrid/>
        <w:spacing w:line="400" w:lineRule="atLeast"/>
        <w:ind w:left="0"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3.以联合体形式参与投标的，联合体各成员应分别填写。</w:t>
      </w:r>
    </w:p>
    <w:p w14:paraId="6714ECC4">
      <w:pPr>
        <w:pStyle w:val="2"/>
        <w:pageBreakBefore w:val="0"/>
        <w:kinsoku/>
        <w:wordWrap w:val="0"/>
        <w:bidi w:val="0"/>
        <w:spacing w:before="0" w:after="0" w:line="380" w:lineRule="atLeast"/>
        <w:jc w:val="center"/>
        <w:outlineLvl w:val="9"/>
        <w:rPr>
          <w:rFonts w:hint="default" w:ascii="Times New Roman" w:hAnsi="Times New Roman" w:cs="Times New Roman"/>
          <w:b w:val="0"/>
          <w:bCs w:val="0"/>
          <w:color w:val="auto"/>
          <w:kern w:val="2"/>
          <w:sz w:val="21"/>
          <w:szCs w:val="21"/>
          <w:highlight w:val="none"/>
          <w:lang w:val="en-US" w:eastAsia="zh-CN"/>
        </w:rPr>
        <w:sectPr>
          <w:headerReference r:id="rId40" w:type="default"/>
          <w:footerReference r:id="rId41" w:type="default"/>
          <w:footnotePr>
            <w:numFmt w:val="decimalEnclosedCircleChinese"/>
            <w:numRestart w:val="eachPage"/>
          </w:footnotePr>
          <w:type w:val="continuous"/>
          <w:pgSz w:w="11907" w:h="16840"/>
          <w:pgMar w:top="1588" w:right="1588" w:bottom="1474" w:left="1644" w:header="851" w:footer="851" w:gutter="0"/>
          <w:pgNumType w:fmt="decimal"/>
          <w:cols w:space="720" w:num="1"/>
          <w:docGrid w:linePitch="312" w:charSpace="0"/>
        </w:sectPr>
      </w:pPr>
    </w:p>
    <w:p w14:paraId="7021F7C4">
      <w:pPr>
        <w:keepNext/>
        <w:keepLines/>
        <w:spacing w:before="80" w:after="64"/>
        <w:ind w:firstLine="566"/>
        <w:jc w:val="center"/>
        <w:rPr>
          <w:rFonts w:hint="default" w:ascii="Times New Roman" w:hAnsi="Times New Roman" w:eastAsia="黑体" w:cs="Times New Roman"/>
          <w:bCs/>
          <w:color w:val="auto"/>
          <w:kern w:val="0"/>
          <w:sz w:val="28"/>
          <w:szCs w:val="28"/>
          <w:highlight w:val="none"/>
          <w:lang w:val="en-US" w:bidi="zh-CN"/>
        </w:rPr>
      </w:pPr>
      <w:r>
        <w:rPr>
          <w:rFonts w:hint="eastAsia" w:eastAsia="黑体" w:cs="Times New Roman"/>
          <w:bCs/>
          <w:color w:val="auto"/>
          <w:kern w:val="0"/>
          <w:sz w:val="28"/>
          <w:szCs w:val="28"/>
          <w:highlight w:val="none"/>
          <w:lang w:val="en-US" w:bidi="zh-CN"/>
        </w:rPr>
        <w:t>5-2</w:t>
      </w:r>
    </w:p>
    <w:tbl>
      <w:tblPr>
        <w:tblStyle w:val="40"/>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0"/>
        <w:gridCol w:w="1598"/>
        <w:gridCol w:w="1952"/>
        <w:gridCol w:w="1952"/>
        <w:gridCol w:w="1953"/>
      </w:tblGrid>
      <w:tr w14:paraId="54DE1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rPr>
        <w:tc>
          <w:tcPr>
            <w:tcW w:w="752" w:type="pct"/>
            <w:noWrap w:val="0"/>
            <w:vAlign w:val="center"/>
          </w:tcPr>
          <w:p w14:paraId="7EB550FF">
            <w:pPr>
              <w:pageBreakBefore w:val="0"/>
              <w:kinsoku/>
              <w:wordWrap w:val="0"/>
              <w:topLinePunct/>
              <w:bidi w:val="0"/>
              <w:spacing w:line="400" w:lineRule="atLeast"/>
              <w:jc w:val="center"/>
              <w:rPr>
                <w:rFonts w:hint="eastAsia" w:ascii="Times New Roman" w:hAnsi="Times New Roman" w:eastAsia="宋体" w:cs="Times New Roman"/>
                <w:bCs/>
                <w:color w:val="auto"/>
                <w:szCs w:val="21"/>
                <w:highlight w:val="none"/>
                <w:lang w:eastAsia="zh-CN"/>
              </w:rPr>
            </w:pPr>
            <w:r>
              <w:rPr>
                <w:rFonts w:hint="eastAsia" w:cs="Times New Roman"/>
                <w:bCs/>
                <w:color w:val="auto"/>
                <w:szCs w:val="21"/>
                <w:highlight w:val="none"/>
                <w:lang w:val="en-US" w:eastAsia="zh-CN"/>
              </w:rPr>
              <w:t>评价年度</w:t>
            </w:r>
          </w:p>
        </w:tc>
        <w:tc>
          <w:tcPr>
            <w:tcW w:w="910" w:type="pct"/>
            <w:noWrap w:val="0"/>
            <w:vAlign w:val="center"/>
          </w:tcPr>
          <w:p w14:paraId="7D0AA313">
            <w:pPr>
              <w:pageBreakBefore w:val="0"/>
              <w:kinsoku/>
              <w:wordWrap w:val="0"/>
              <w:topLinePunct/>
              <w:bidi w:val="0"/>
              <w:spacing w:line="400" w:lineRule="atLeast"/>
              <w:jc w:val="center"/>
              <w:rPr>
                <w:rFonts w:hint="default" w:ascii="Times New Roman" w:hAnsi="Times New Roman" w:eastAsia="宋体" w:cs="Times New Roman"/>
                <w:bCs/>
                <w:color w:val="auto"/>
                <w:szCs w:val="21"/>
                <w:highlight w:val="none"/>
                <w:lang w:val="en-US" w:eastAsia="zh-CN"/>
              </w:rPr>
            </w:pPr>
            <w:r>
              <w:rPr>
                <w:rFonts w:hint="eastAsia" w:cs="Times New Roman"/>
                <w:bCs/>
                <w:color w:val="auto"/>
                <w:szCs w:val="21"/>
                <w:highlight w:val="none"/>
                <w:lang w:val="en-US" w:eastAsia="zh-CN"/>
              </w:rPr>
              <w:t>评价机构</w:t>
            </w:r>
          </w:p>
        </w:tc>
        <w:tc>
          <w:tcPr>
            <w:tcW w:w="1112" w:type="pct"/>
            <w:noWrap w:val="0"/>
            <w:vAlign w:val="center"/>
          </w:tcPr>
          <w:p w14:paraId="0CA6BE20">
            <w:pPr>
              <w:pageBreakBefore w:val="0"/>
              <w:kinsoku/>
              <w:wordWrap w:val="0"/>
              <w:topLinePunct/>
              <w:bidi w:val="0"/>
              <w:spacing w:line="400" w:lineRule="atLeast"/>
              <w:jc w:val="center"/>
              <w:rPr>
                <w:rFonts w:hint="default" w:ascii="Times New Roman" w:hAnsi="Times New Roman" w:eastAsia="宋体" w:cs="Times New Roman"/>
                <w:bCs/>
                <w:color w:val="auto"/>
                <w:szCs w:val="21"/>
                <w:highlight w:val="none"/>
                <w:lang w:val="en-US" w:eastAsia="zh-CN"/>
              </w:rPr>
            </w:pPr>
            <w:r>
              <w:rPr>
                <w:rFonts w:hint="eastAsia" w:cs="Times New Roman"/>
                <w:bCs/>
                <w:color w:val="auto"/>
                <w:szCs w:val="21"/>
                <w:highlight w:val="none"/>
                <w:lang w:val="en-US" w:eastAsia="zh-CN"/>
              </w:rPr>
              <w:t>信用评价等级</w:t>
            </w:r>
          </w:p>
        </w:tc>
        <w:tc>
          <w:tcPr>
            <w:tcW w:w="1112" w:type="pct"/>
            <w:noWrap w:val="0"/>
            <w:vAlign w:val="center"/>
          </w:tcPr>
          <w:p w14:paraId="09BC65E2">
            <w:pPr>
              <w:pageBreakBefore w:val="0"/>
              <w:kinsoku/>
              <w:wordWrap w:val="0"/>
              <w:topLinePunct/>
              <w:bidi w:val="0"/>
              <w:spacing w:line="400" w:lineRule="atLeast"/>
              <w:jc w:val="center"/>
              <w:rPr>
                <w:rFonts w:hint="eastAsia" w:ascii="Times New Roman" w:hAnsi="Times New Roman" w:eastAsia="宋体" w:cs="Times New Roman"/>
                <w:bCs/>
                <w:color w:val="auto"/>
                <w:szCs w:val="21"/>
                <w:highlight w:val="none"/>
                <w:lang w:val="en-US" w:eastAsia="zh-CN"/>
              </w:rPr>
            </w:pPr>
            <w:r>
              <w:rPr>
                <w:rFonts w:hint="eastAsia" w:cs="Times New Roman"/>
                <w:bCs/>
                <w:color w:val="auto"/>
                <w:szCs w:val="21"/>
                <w:highlight w:val="none"/>
                <w:lang w:val="en-US" w:eastAsia="zh-CN"/>
              </w:rPr>
              <w:t>评价信息公示网站地址</w:t>
            </w:r>
          </w:p>
        </w:tc>
        <w:tc>
          <w:tcPr>
            <w:tcW w:w="1112" w:type="pct"/>
            <w:noWrap w:val="0"/>
            <w:vAlign w:val="center"/>
          </w:tcPr>
          <w:p w14:paraId="20FBCB11">
            <w:pPr>
              <w:pageBreakBefore w:val="0"/>
              <w:kinsoku/>
              <w:wordWrap w:val="0"/>
              <w:topLinePunct/>
              <w:bidi w:val="0"/>
              <w:spacing w:line="400" w:lineRule="atLeast"/>
              <w:jc w:val="center"/>
              <w:rPr>
                <w:rFonts w:hint="default" w:ascii="Times New Roman" w:hAnsi="Times New Roman" w:eastAsia="宋体" w:cs="Times New Roman"/>
                <w:bCs/>
                <w:color w:val="auto"/>
                <w:szCs w:val="21"/>
                <w:highlight w:val="none"/>
                <w:lang w:val="en-US" w:eastAsia="zh-CN"/>
              </w:rPr>
            </w:pPr>
            <w:r>
              <w:rPr>
                <w:rFonts w:hint="eastAsia" w:cs="Times New Roman"/>
                <w:bCs/>
                <w:color w:val="auto"/>
                <w:szCs w:val="21"/>
                <w:highlight w:val="none"/>
                <w:lang w:val="en-US" w:eastAsia="zh-CN"/>
              </w:rPr>
              <w:t>有效期</w:t>
            </w:r>
          </w:p>
        </w:tc>
      </w:tr>
      <w:tr w14:paraId="0D42D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752" w:type="pct"/>
            <w:noWrap w:val="0"/>
            <w:vAlign w:val="center"/>
          </w:tcPr>
          <w:p w14:paraId="6B04431A">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910" w:type="pct"/>
            <w:noWrap w:val="0"/>
            <w:vAlign w:val="center"/>
          </w:tcPr>
          <w:p w14:paraId="7B052BB6">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1112" w:type="pct"/>
            <w:noWrap w:val="0"/>
            <w:vAlign w:val="center"/>
          </w:tcPr>
          <w:p w14:paraId="5A0D7CDE">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1112" w:type="pct"/>
            <w:noWrap w:val="0"/>
            <w:vAlign w:val="center"/>
          </w:tcPr>
          <w:p w14:paraId="0C95D767">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1112" w:type="pct"/>
            <w:noWrap w:val="0"/>
            <w:vAlign w:val="center"/>
          </w:tcPr>
          <w:p w14:paraId="29A06EE8">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r>
      <w:tr w14:paraId="72E42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752" w:type="pct"/>
            <w:noWrap w:val="0"/>
            <w:vAlign w:val="center"/>
          </w:tcPr>
          <w:p w14:paraId="38B35AEB">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910" w:type="pct"/>
            <w:noWrap w:val="0"/>
            <w:vAlign w:val="center"/>
          </w:tcPr>
          <w:p w14:paraId="63CF90F2">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1112" w:type="pct"/>
            <w:noWrap w:val="0"/>
            <w:vAlign w:val="center"/>
          </w:tcPr>
          <w:p w14:paraId="7348804C">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1112" w:type="pct"/>
            <w:noWrap w:val="0"/>
            <w:vAlign w:val="center"/>
          </w:tcPr>
          <w:p w14:paraId="6D9B417C">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1112" w:type="pct"/>
            <w:noWrap w:val="0"/>
            <w:vAlign w:val="center"/>
          </w:tcPr>
          <w:p w14:paraId="6A8849B3">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r>
      <w:tr w14:paraId="3AEB4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752" w:type="pct"/>
            <w:noWrap w:val="0"/>
            <w:vAlign w:val="center"/>
          </w:tcPr>
          <w:p w14:paraId="62864EDE">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910" w:type="pct"/>
            <w:noWrap w:val="0"/>
            <w:vAlign w:val="center"/>
          </w:tcPr>
          <w:p w14:paraId="535D43B2">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1112" w:type="pct"/>
            <w:noWrap w:val="0"/>
            <w:vAlign w:val="center"/>
          </w:tcPr>
          <w:p w14:paraId="40404372">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1112" w:type="pct"/>
            <w:noWrap w:val="0"/>
            <w:vAlign w:val="center"/>
          </w:tcPr>
          <w:p w14:paraId="1BC088D9">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1112" w:type="pct"/>
            <w:noWrap w:val="0"/>
            <w:vAlign w:val="center"/>
          </w:tcPr>
          <w:p w14:paraId="39C66185">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r>
      <w:tr w14:paraId="14D60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752" w:type="pct"/>
            <w:noWrap w:val="0"/>
            <w:vAlign w:val="center"/>
          </w:tcPr>
          <w:p w14:paraId="3ABC5FF0">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910" w:type="pct"/>
            <w:noWrap w:val="0"/>
            <w:vAlign w:val="center"/>
          </w:tcPr>
          <w:p w14:paraId="1ACD0488">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1112" w:type="pct"/>
            <w:noWrap w:val="0"/>
            <w:vAlign w:val="center"/>
          </w:tcPr>
          <w:p w14:paraId="3B4F4944">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1112" w:type="pct"/>
            <w:noWrap w:val="0"/>
            <w:vAlign w:val="center"/>
          </w:tcPr>
          <w:p w14:paraId="5F2F6581">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1112" w:type="pct"/>
            <w:noWrap w:val="0"/>
            <w:vAlign w:val="center"/>
          </w:tcPr>
          <w:p w14:paraId="2FF01B9C">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r>
      <w:tr w14:paraId="52C59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752" w:type="pct"/>
            <w:noWrap w:val="0"/>
            <w:vAlign w:val="center"/>
          </w:tcPr>
          <w:p w14:paraId="1C8F9F79">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910" w:type="pct"/>
            <w:noWrap w:val="0"/>
            <w:vAlign w:val="center"/>
          </w:tcPr>
          <w:p w14:paraId="6D67BD6C">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1112" w:type="pct"/>
            <w:noWrap w:val="0"/>
            <w:vAlign w:val="center"/>
          </w:tcPr>
          <w:p w14:paraId="4764731F">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1112" w:type="pct"/>
            <w:noWrap w:val="0"/>
            <w:vAlign w:val="center"/>
          </w:tcPr>
          <w:p w14:paraId="148616B2">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1112" w:type="pct"/>
            <w:noWrap w:val="0"/>
            <w:vAlign w:val="center"/>
          </w:tcPr>
          <w:p w14:paraId="41A1EFC1">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r>
      <w:tr w14:paraId="23F1B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752" w:type="pct"/>
            <w:noWrap w:val="0"/>
            <w:vAlign w:val="center"/>
          </w:tcPr>
          <w:p w14:paraId="2FBA695A">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910" w:type="pct"/>
            <w:noWrap w:val="0"/>
            <w:vAlign w:val="center"/>
          </w:tcPr>
          <w:p w14:paraId="68A53557">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1112" w:type="pct"/>
            <w:noWrap w:val="0"/>
            <w:vAlign w:val="center"/>
          </w:tcPr>
          <w:p w14:paraId="5090CA7C">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1112" w:type="pct"/>
            <w:noWrap w:val="0"/>
            <w:vAlign w:val="center"/>
          </w:tcPr>
          <w:p w14:paraId="2585ABA0">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1112" w:type="pct"/>
            <w:noWrap w:val="0"/>
            <w:vAlign w:val="center"/>
          </w:tcPr>
          <w:p w14:paraId="09FBDD74">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r>
      <w:tr w14:paraId="0CD2B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752" w:type="pct"/>
            <w:noWrap w:val="0"/>
            <w:vAlign w:val="center"/>
          </w:tcPr>
          <w:p w14:paraId="423B77BA">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910" w:type="pct"/>
            <w:noWrap w:val="0"/>
            <w:vAlign w:val="center"/>
          </w:tcPr>
          <w:p w14:paraId="701F3E19">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1112" w:type="pct"/>
            <w:noWrap w:val="0"/>
            <w:vAlign w:val="center"/>
          </w:tcPr>
          <w:p w14:paraId="6551DE6C">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1112" w:type="pct"/>
            <w:noWrap w:val="0"/>
            <w:vAlign w:val="center"/>
          </w:tcPr>
          <w:p w14:paraId="2D1F28E2">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1112" w:type="pct"/>
            <w:noWrap w:val="0"/>
            <w:vAlign w:val="center"/>
          </w:tcPr>
          <w:p w14:paraId="58E08BEF">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r>
      <w:tr w14:paraId="32941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752" w:type="pct"/>
            <w:noWrap w:val="0"/>
            <w:vAlign w:val="center"/>
          </w:tcPr>
          <w:p w14:paraId="15FA798F">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910" w:type="pct"/>
            <w:noWrap w:val="0"/>
            <w:vAlign w:val="center"/>
          </w:tcPr>
          <w:p w14:paraId="0D1433A6">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1112" w:type="pct"/>
            <w:noWrap w:val="0"/>
            <w:vAlign w:val="center"/>
          </w:tcPr>
          <w:p w14:paraId="7189254D">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1112" w:type="pct"/>
            <w:noWrap w:val="0"/>
            <w:vAlign w:val="center"/>
          </w:tcPr>
          <w:p w14:paraId="06DA5B93">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1112" w:type="pct"/>
            <w:noWrap w:val="0"/>
            <w:vAlign w:val="center"/>
          </w:tcPr>
          <w:p w14:paraId="7DF620BA">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r>
    </w:tbl>
    <w:p w14:paraId="2C4F3E34">
      <w:pPr>
        <w:keepNext/>
        <w:keepLines/>
        <w:spacing w:before="80" w:after="64"/>
        <w:ind w:firstLine="566"/>
        <w:jc w:val="center"/>
        <w:rPr>
          <w:rFonts w:hint="default" w:ascii="Times New Roman" w:hAnsi="Times New Roman" w:eastAsia="黑体" w:cs="Times New Roman"/>
          <w:bCs/>
          <w:color w:val="auto"/>
          <w:kern w:val="0"/>
          <w:sz w:val="28"/>
          <w:szCs w:val="28"/>
          <w:highlight w:val="none"/>
          <w:lang w:val="zh-CN" w:bidi="zh-CN"/>
        </w:rPr>
        <w:sectPr>
          <w:footnotePr>
            <w:numFmt w:val="decimalEnclosedCircleChinese"/>
            <w:numRestart w:val="eachPage"/>
          </w:footnotePr>
          <w:pgSz w:w="11906" w:h="16838"/>
          <w:pgMar w:top="1588" w:right="1644" w:bottom="1474" w:left="1701" w:header="851" w:footer="851" w:gutter="0"/>
          <w:pgNumType w:fmt="decimal"/>
          <w:cols w:space="425" w:num="1"/>
          <w:docGrid w:linePitch="312" w:charSpace="0"/>
        </w:sectPr>
      </w:pPr>
    </w:p>
    <w:p w14:paraId="679F533B">
      <w:pPr>
        <w:keepNext/>
        <w:keepLines/>
        <w:spacing w:before="80" w:after="64"/>
        <w:ind w:firstLine="566"/>
        <w:jc w:val="center"/>
        <w:rPr>
          <w:rFonts w:hint="default" w:ascii="Times New Roman" w:hAnsi="Times New Roman" w:eastAsia="黑体" w:cs="Times New Roman"/>
          <w:bCs/>
          <w:color w:val="auto"/>
          <w:kern w:val="0"/>
          <w:sz w:val="28"/>
          <w:szCs w:val="28"/>
          <w:highlight w:val="none"/>
          <w:lang w:val="zh-CN" w:bidi="zh-CN"/>
        </w:rPr>
      </w:pPr>
      <w:r>
        <w:rPr>
          <w:rFonts w:hint="default" w:ascii="Times New Roman" w:hAnsi="Times New Roman" w:eastAsia="黑体" w:cs="Times New Roman"/>
          <w:bCs/>
          <w:color w:val="auto"/>
          <w:kern w:val="0"/>
          <w:sz w:val="28"/>
          <w:szCs w:val="28"/>
          <w:highlight w:val="none"/>
          <w:lang w:val="zh-CN" w:bidi="zh-CN"/>
        </w:rPr>
        <w:t>无行贿犯罪行为承诺函（格式）</w:t>
      </w:r>
    </w:p>
    <w:p w14:paraId="58BFCCA0">
      <w:pPr>
        <w:spacing w:line="360" w:lineRule="auto"/>
        <w:ind w:firstLine="480" w:firstLineChars="200"/>
        <w:rPr>
          <w:rFonts w:hint="default" w:ascii="Times New Roman" w:hAnsi="Times New Roman" w:cs="Times New Roman"/>
          <w:color w:val="auto"/>
          <w:sz w:val="24"/>
          <w:szCs w:val="22"/>
          <w:highlight w:val="none"/>
        </w:rPr>
      </w:pPr>
    </w:p>
    <w:p w14:paraId="611C05F8">
      <w:pPr>
        <w:spacing w:line="360" w:lineRule="auto"/>
        <w:rPr>
          <w:rFonts w:hint="default" w:ascii="Times New Roman" w:hAnsi="Times New Roman" w:cs="Times New Roman"/>
          <w:color w:val="auto"/>
          <w:sz w:val="24"/>
          <w:szCs w:val="22"/>
          <w:highlight w:val="none"/>
        </w:rPr>
      </w:pPr>
      <w:bookmarkStart w:id="1702" w:name="_Toc14547"/>
      <w:bookmarkStart w:id="1703" w:name="_Toc24695"/>
      <w:r>
        <w:rPr>
          <w:rFonts w:hint="default" w:ascii="Times New Roman" w:hAnsi="Times New Roman" w:cs="Times New Roman"/>
          <w:color w:val="auto"/>
          <w:sz w:val="24"/>
          <w:szCs w:val="22"/>
          <w:highlight w:val="none"/>
        </w:rPr>
        <w:t>致：</w:t>
      </w:r>
      <w:r>
        <w:rPr>
          <w:rFonts w:hint="default" w:ascii="Times New Roman" w:hAnsi="Times New Roman" w:cs="Times New Roman"/>
          <w:color w:val="auto"/>
          <w:sz w:val="24"/>
          <w:szCs w:val="22"/>
          <w:highlight w:val="none"/>
          <w:u w:val="single"/>
        </w:rPr>
        <w:t xml:space="preserve">  （招标人全称）  </w:t>
      </w:r>
    </w:p>
    <w:p w14:paraId="2DA2F1BC">
      <w:pPr>
        <w:spacing w:line="360" w:lineRule="auto"/>
        <w:ind w:firstLine="480" w:firstLineChars="200"/>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2"/>
          <w:highlight w:val="none"/>
        </w:rPr>
        <w:t>我单位承诺：在近三年内（</w:t>
      </w:r>
      <w:r>
        <w:rPr>
          <w:rFonts w:hint="default" w:ascii="Times New Roman" w:hAnsi="Times New Roman" w:cs="Times New Roman"/>
          <w:color w:val="auto"/>
          <w:sz w:val="24"/>
          <w:szCs w:val="22"/>
          <w:highlight w:val="none"/>
          <w:u w:val="single"/>
        </w:rPr>
        <w:t xml:space="preserve">   </w:t>
      </w:r>
      <w:r>
        <w:rPr>
          <w:rFonts w:hint="default" w:ascii="Times New Roman" w:hAnsi="Times New Roman" w:cs="Times New Roman"/>
          <w:color w:val="auto"/>
          <w:sz w:val="24"/>
          <w:szCs w:val="22"/>
          <w:highlight w:val="none"/>
        </w:rPr>
        <w:t>年</w:t>
      </w:r>
      <w:r>
        <w:rPr>
          <w:rFonts w:hint="default" w:ascii="Times New Roman" w:hAnsi="Times New Roman" w:cs="Times New Roman"/>
          <w:color w:val="auto"/>
          <w:sz w:val="24"/>
          <w:szCs w:val="22"/>
          <w:highlight w:val="none"/>
          <w:u w:val="single"/>
        </w:rPr>
        <w:t xml:space="preserve">   </w:t>
      </w:r>
      <w:r>
        <w:rPr>
          <w:rFonts w:hint="default" w:ascii="Times New Roman" w:hAnsi="Times New Roman" w:cs="Times New Roman"/>
          <w:color w:val="auto"/>
          <w:sz w:val="24"/>
          <w:szCs w:val="22"/>
          <w:highlight w:val="none"/>
        </w:rPr>
        <w:t>月</w:t>
      </w:r>
      <w:r>
        <w:rPr>
          <w:rFonts w:hint="default" w:ascii="Times New Roman" w:hAnsi="Times New Roman" w:cs="Times New Roman"/>
          <w:color w:val="auto"/>
          <w:sz w:val="24"/>
          <w:szCs w:val="22"/>
          <w:highlight w:val="none"/>
          <w:u w:val="single"/>
        </w:rPr>
        <w:t xml:space="preserve">   </w:t>
      </w:r>
      <w:r>
        <w:rPr>
          <w:rFonts w:hint="default" w:ascii="Times New Roman" w:hAnsi="Times New Roman" w:cs="Times New Roman"/>
          <w:color w:val="auto"/>
          <w:sz w:val="24"/>
          <w:szCs w:val="22"/>
          <w:highlight w:val="none"/>
        </w:rPr>
        <w:t>日至投标文件递交截止日），</w:t>
      </w:r>
      <w:r>
        <w:rPr>
          <w:rFonts w:hint="default" w:ascii="Times New Roman" w:hAnsi="Times New Roman" w:cs="Times New Roman"/>
          <w:color w:val="auto"/>
          <w:sz w:val="24"/>
          <w:szCs w:val="22"/>
          <w:highlight w:val="none"/>
          <w:u w:val="single"/>
        </w:rPr>
        <w:t xml:space="preserve">  （投标人单位名称及统一社会信用代码）  </w:t>
      </w:r>
      <w:r>
        <w:rPr>
          <w:rFonts w:hint="default" w:ascii="Times New Roman" w:hAnsi="Times New Roman" w:cs="Times New Roman"/>
          <w:color w:val="auto"/>
          <w:sz w:val="24"/>
          <w:szCs w:val="22"/>
          <w:highlight w:val="none"/>
        </w:rPr>
        <w:t>及法定代表人</w:t>
      </w:r>
      <w:r>
        <w:rPr>
          <w:rFonts w:hint="default" w:ascii="Times New Roman" w:hAnsi="Times New Roman" w:cs="Times New Roman"/>
          <w:color w:val="auto"/>
          <w:sz w:val="24"/>
          <w:szCs w:val="22"/>
          <w:highlight w:val="none"/>
          <w:u w:val="single"/>
        </w:rPr>
        <w:t xml:space="preserve">  （法定代表人姓名及身份证号码）  </w:t>
      </w:r>
      <w:r>
        <w:rPr>
          <w:rFonts w:hint="default" w:ascii="Times New Roman" w:hAnsi="Times New Roman" w:cs="Times New Roman"/>
          <w:color w:val="auto"/>
          <w:sz w:val="24"/>
          <w:szCs w:val="22"/>
          <w:highlight w:val="none"/>
        </w:rPr>
        <w:t>、拟委任的项目</w:t>
      </w:r>
      <w:r>
        <w:rPr>
          <w:rFonts w:hint="default" w:ascii="Times New Roman" w:hAnsi="Times New Roman" w:cs="Times New Roman"/>
          <w:color w:val="auto"/>
          <w:sz w:val="24"/>
          <w:szCs w:val="22"/>
          <w:highlight w:val="none"/>
          <w:lang w:val="en-US" w:eastAsia="zh-CN"/>
        </w:rPr>
        <w:t>经理</w:t>
      </w:r>
      <w:r>
        <w:rPr>
          <w:rFonts w:hint="default" w:ascii="Times New Roman" w:hAnsi="Times New Roman" w:cs="Times New Roman"/>
          <w:color w:val="auto"/>
          <w:sz w:val="24"/>
          <w:szCs w:val="22"/>
          <w:highlight w:val="none"/>
          <w:u w:val="single"/>
        </w:rPr>
        <w:t xml:space="preserve">   （项目</w:t>
      </w:r>
      <w:r>
        <w:rPr>
          <w:rFonts w:hint="default" w:ascii="Times New Roman" w:hAnsi="Times New Roman" w:cs="Times New Roman"/>
          <w:color w:val="auto"/>
          <w:sz w:val="24"/>
          <w:szCs w:val="22"/>
          <w:highlight w:val="none"/>
          <w:u w:val="single"/>
          <w:lang w:val="en-US" w:eastAsia="zh-CN"/>
        </w:rPr>
        <w:t>经理</w:t>
      </w:r>
      <w:r>
        <w:rPr>
          <w:rFonts w:hint="default" w:ascii="Times New Roman" w:hAnsi="Times New Roman" w:cs="Times New Roman"/>
          <w:color w:val="auto"/>
          <w:sz w:val="24"/>
          <w:szCs w:val="22"/>
          <w:highlight w:val="none"/>
          <w:u w:val="single"/>
        </w:rPr>
        <w:t xml:space="preserve">姓名及身份证号码）   </w:t>
      </w:r>
      <w:r>
        <w:rPr>
          <w:rFonts w:hint="default" w:ascii="Times New Roman" w:hAnsi="Times New Roman" w:cs="Times New Roman"/>
          <w:color w:val="auto"/>
          <w:sz w:val="24"/>
          <w:szCs w:val="22"/>
          <w:highlight w:val="none"/>
        </w:rPr>
        <w:t>均无行贿犯罪行为。</w:t>
      </w:r>
    </w:p>
    <w:p w14:paraId="12064B9C">
      <w:pPr>
        <w:spacing w:line="360" w:lineRule="auto"/>
        <w:ind w:firstLine="480" w:firstLineChars="200"/>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2"/>
          <w:highlight w:val="none"/>
        </w:rPr>
        <w:t>如经招标人或评标委员会核实我单位出具的该承诺存在弄虚作假，承诺不实的情形，</w:t>
      </w:r>
      <w:r>
        <w:rPr>
          <w:rFonts w:hint="eastAsia" w:cs="Times New Roman"/>
          <w:color w:val="auto"/>
          <w:sz w:val="24"/>
          <w:szCs w:val="22"/>
          <w:highlight w:val="none"/>
          <w:lang w:eastAsia="zh-CN"/>
        </w:rPr>
        <w:t>评标委员会</w:t>
      </w:r>
      <w:r>
        <w:rPr>
          <w:rFonts w:hint="default" w:ascii="Times New Roman" w:hAnsi="Times New Roman" w:cs="Times New Roman"/>
          <w:color w:val="auto"/>
          <w:sz w:val="24"/>
          <w:szCs w:val="22"/>
          <w:highlight w:val="none"/>
        </w:rPr>
        <w:t>有权否决我单位投标资格或招标人取消我单位中标资格，并由招标人上报上级行政主管部门，作为不良记录纳入信用信息管理系统。</w:t>
      </w:r>
    </w:p>
    <w:p w14:paraId="7D44C3E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2"/>
          <w:highlight w:val="none"/>
        </w:rPr>
        <w:t>特此承诺！</w:t>
      </w:r>
    </w:p>
    <w:p w14:paraId="6529201E">
      <w:pPr>
        <w:spacing w:line="360" w:lineRule="auto"/>
        <w:ind w:firstLine="480" w:firstLineChars="200"/>
        <w:rPr>
          <w:rFonts w:hint="default" w:ascii="Times New Roman" w:hAnsi="Times New Roman" w:cs="Times New Roman"/>
          <w:color w:val="auto"/>
          <w:sz w:val="24"/>
          <w:szCs w:val="22"/>
          <w:highlight w:val="none"/>
        </w:rPr>
      </w:pPr>
    </w:p>
    <w:p w14:paraId="1BA294F4">
      <w:pPr>
        <w:spacing w:line="360" w:lineRule="auto"/>
        <w:ind w:firstLine="480" w:firstLineChars="200"/>
        <w:rPr>
          <w:rFonts w:hint="default" w:ascii="Times New Roman" w:hAnsi="Times New Roman" w:cs="Times New Roman"/>
          <w:color w:val="auto"/>
          <w:sz w:val="24"/>
          <w:szCs w:val="22"/>
          <w:highlight w:val="none"/>
        </w:rPr>
      </w:pPr>
    </w:p>
    <w:p w14:paraId="20709830">
      <w:pPr>
        <w:spacing w:line="360" w:lineRule="auto"/>
        <w:ind w:left="2520" w:leftChars="1200" w:firstLine="1920" w:firstLineChars="800"/>
        <w:rPr>
          <w:rFonts w:hint="default" w:ascii="Times New Roman" w:hAnsi="Times New Roman" w:cs="Times New Roman"/>
          <w:color w:val="auto"/>
          <w:sz w:val="24"/>
          <w:szCs w:val="22"/>
          <w:highlight w:val="none"/>
        </w:rPr>
      </w:pPr>
    </w:p>
    <w:p w14:paraId="4E704B2C">
      <w:pPr>
        <w:wordWrap w:val="0"/>
        <w:topLinePunct/>
        <w:spacing w:line="440" w:lineRule="exac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2"/>
          <w:highlight w:val="none"/>
        </w:rPr>
        <w:t xml:space="preserve">                       </w:t>
      </w:r>
      <w:r>
        <w:rPr>
          <w:rFonts w:hint="default" w:ascii="Times New Roman" w:hAnsi="Times New Roman" w:cs="Times New Roman"/>
          <w:color w:val="auto"/>
          <w:sz w:val="24"/>
          <w:szCs w:val="24"/>
          <w:highlight w:val="none"/>
        </w:rPr>
        <w:t xml:space="preserve">   投标人：</w:t>
      </w:r>
      <w:r>
        <w:rPr>
          <w:rFonts w:hint="default" w:ascii="Times New Roman" w:hAnsi="Times New Roman" w:cs="Times New Roman"/>
          <w:color w:val="auto"/>
          <w:sz w:val="24"/>
          <w:szCs w:val="24"/>
          <w:highlight w:val="none"/>
          <w:u w:val="single"/>
        </w:rPr>
        <w:t xml:space="preserve">              </w:t>
      </w:r>
      <w:r>
        <w:rPr>
          <w:rFonts w:hint="default" w:ascii="Times New Roman" w:hAnsi="Times New Roman" w:cs="Times New Roman"/>
          <w:color w:val="auto"/>
          <w:sz w:val="24"/>
          <w:szCs w:val="24"/>
          <w:highlight w:val="none"/>
        </w:rPr>
        <w:t>（全称）</w:t>
      </w:r>
      <w:r>
        <w:rPr>
          <w:rFonts w:hint="default" w:ascii="Times New Roman" w:hAnsi="Times New Roman" w:cs="Times New Roman"/>
          <w:color w:val="auto"/>
          <w:sz w:val="24"/>
          <w:szCs w:val="24"/>
          <w:highlight w:val="none"/>
          <w:u w:val="none"/>
        </w:rPr>
        <w:t>（</w:t>
      </w:r>
      <w:r>
        <w:rPr>
          <w:rFonts w:hint="default" w:ascii="Times New Roman" w:hAnsi="Times New Roman" w:cs="Times New Roman"/>
          <w:color w:val="auto"/>
          <w:sz w:val="24"/>
          <w:szCs w:val="24"/>
          <w:highlight w:val="none"/>
          <w:u w:val="none"/>
          <w:lang w:val="en-US" w:eastAsia="zh-CN"/>
        </w:rPr>
        <w:t>盖单位电子印章</w:t>
      </w:r>
      <w:r>
        <w:rPr>
          <w:rFonts w:hint="default" w:ascii="Times New Roman" w:hAnsi="Times New Roman" w:cs="Times New Roman"/>
          <w:color w:val="auto"/>
          <w:sz w:val="24"/>
          <w:szCs w:val="24"/>
          <w:highlight w:val="none"/>
          <w:u w:val="none"/>
        </w:rPr>
        <w:t>）</w:t>
      </w:r>
    </w:p>
    <w:p w14:paraId="6CDCF735">
      <w:pPr>
        <w:spacing w:line="360" w:lineRule="auto"/>
        <w:ind w:left="2520" w:leftChars="1200" w:firstLine="1920" w:firstLineChars="800"/>
        <w:rPr>
          <w:rFonts w:hint="default" w:ascii="Times New Roman" w:hAnsi="Times New Roman" w:cs="Times New Roman"/>
          <w:color w:val="auto"/>
          <w:sz w:val="24"/>
          <w:szCs w:val="24"/>
          <w:highlight w:val="none"/>
        </w:rPr>
      </w:pPr>
    </w:p>
    <w:p w14:paraId="50560106">
      <w:pPr>
        <w:spacing w:line="360" w:lineRule="auto"/>
        <w:ind w:left="2520" w:leftChars="1200" w:firstLine="1920" w:firstLineChars="800"/>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4"/>
          <w:highlight w:val="none"/>
        </w:rPr>
        <w:t>日期：</w:t>
      </w:r>
      <w:r>
        <w:rPr>
          <w:rFonts w:hint="default" w:ascii="Times New Roman" w:hAnsi="Times New Roman" w:cs="Times New Roman"/>
          <w:color w:val="auto"/>
          <w:sz w:val="24"/>
          <w:szCs w:val="24"/>
          <w:highlight w:val="none"/>
          <w:u w:val="single"/>
        </w:rPr>
        <w:t xml:space="preserve">    </w:t>
      </w:r>
      <w:r>
        <w:rPr>
          <w:rFonts w:hint="default" w:ascii="Times New Roman" w:hAnsi="Times New Roman" w:cs="Times New Roman"/>
          <w:color w:val="auto"/>
          <w:sz w:val="24"/>
          <w:szCs w:val="24"/>
          <w:highlight w:val="none"/>
        </w:rPr>
        <w:t>年</w:t>
      </w:r>
      <w:r>
        <w:rPr>
          <w:rFonts w:hint="default" w:ascii="Times New Roman" w:hAnsi="Times New Roman" w:cs="Times New Roman"/>
          <w:color w:val="auto"/>
          <w:sz w:val="24"/>
          <w:szCs w:val="24"/>
          <w:highlight w:val="none"/>
          <w:u w:val="single"/>
        </w:rPr>
        <w:t xml:space="preserve">    </w:t>
      </w:r>
      <w:r>
        <w:rPr>
          <w:rFonts w:hint="default" w:ascii="Times New Roman" w:hAnsi="Times New Roman" w:cs="Times New Roman"/>
          <w:color w:val="auto"/>
          <w:sz w:val="24"/>
          <w:szCs w:val="24"/>
          <w:highlight w:val="none"/>
        </w:rPr>
        <w:t>月</w:t>
      </w:r>
      <w:r>
        <w:rPr>
          <w:rFonts w:hint="default" w:ascii="Times New Roman" w:hAnsi="Times New Roman" w:cs="Times New Roman"/>
          <w:color w:val="auto"/>
          <w:sz w:val="24"/>
          <w:szCs w:val="24"/>
          <w:highlight w:val="none"/>
          <w:u w:val="single"/>
        </w:rPr>
        <w:t xml:space="preserve">    </w:t>
      </w:r>
      <w:r>
        <w:rPr>
          <w:rFonts w:hint="default" w:ascii="Times New Roman" w:hAnsi="Times New Roman" w:cs="Times New Roman"/>
          <w:color w:val="auto"/>
          <w:sz w:val="24"/>
          <w:szCs w:val="24"/>
          <w:highlight w:val="none"/>
        </w:rPr>
        <w:t>日</w:t>
      </w:r>
    </w:p>
    <w:p w14:paraId="523CCC54">
      <w:pPr>
        <w:pStyle w:val="17"/>
        <w:rPr>
          <w:rFonts w:hint="default" w:ascii="Times New Roman" w:hAnsi="Times New Roman" w:cs="Times New Roman"/>
          <w:color w:val="auto"/>
          <w:highlight w:val="none"/>
        </w:rPr>
        <w:sectPr>
          <w:footnotePr>
            <w:numFmt w:val="decimalEnclosedCircleChinese"/>
            <w:numRestart w:val="eachPage"/>
          </w:footnotePr>
          <w:pgSz w:w="11906" w:h="16838"/>
          <w:pgMar w:top="1588" w:right="1644" w:bottom="1474" w:left="1701" w:header="851" w:footer="851" w:gutter="0"/>
          <w:pgNumType w:fmt="decimal"/>
          <w:cols w:space="425" w:num="1"/>
          <w:docGrid w:linePitch="312" w:charSpace="0"/>
        </w:sectPr>
      </w:pPr>
    </w:p>
    <w:p w14:paraId="4A4D6E82">
      <w:pPr>
        <w:pageBreakBefore w:val="0"/>
        <w:kinsoku/>
        <w:wordWrap w:val="0"/>
        <w:bidi w:val="0"/>
        <w:spacing w:before="0" w:after="0" w:line="380" w:lineRule="atLeast"/>
        <w:jc w:val="center"/>
        <w:outlineLvl w:val="9"/>
        <w:rPr>
          <w:rFonts w:hint="default" w:ascii="Times New Roman" w:hAnsi="Times New Roman" w:eastAsia="黑体" w:cs="Times New Roman"/>
          <w:b w:val="0"/>
          <w:color w:val="auto"/>
          <w:sz w:val="24"/>
          <w:szCs w:val="24"/>
          <w:highlight w:val="none"/>
        </w:rPr>
      </w:pPr>
      <w:r>
        <w:rPr>
          <w:rFonts w:hint="default" w:ascii="Times New Roman" w:hAnsi="Times New Roman" w:eastAsia="黑体" w:cs="Times New Roman"/>
          <w:b w:val="0"/>
          <w:color w:val="auto"/>
          <w:sz w:val="24"/>
          <w:szCs w:val="24"/>
          <w:highlight w:val="none"/>
        </w:rPr>
        <w:t>（六）拟委任的项目经理和项目总工资历表</w:t>
      </w:r>
      <w:bookmarkEnd w:id="1694"/>
      <w:bookmarkEnd w:id="1702"/>
      <w:bookmarkEnd w:id="1703"/>
    </w:p>
    <w:p w14:paraId="60E868FE">
      <w:pPr>
        <w:pageBreakBefore w:val="0"/>
        <w:widowControl/>
        <w:kinsoku/>
        <w:wordWrap w:val="0"/>
        <w:autoSpaceDE w:val="0"/>
        <w:autoSpaceDN w:val="0"/>
        <w:bidi w:val="0"/>
        <w:spacing w:line="400" w:lineRule="atLeast"/>
        <w:jc w:val="center"/>
        <w:textAlignment w:val="bottom"/>
        <w:rPr>
          <w:rFonts w:hint="default" w:ascii="Times New Roman" w:hAnsi="Times New Roman" w:cs="Times New Roman"/>
          <w:color w:val="auto"/>
          <w:highlight w:val="none"/>
        </w:rPr>
      </w:pPr>
    </w:p>
    <w:tbl>
      <w:tblPr>
        <w:tblStyle w:val="4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234"/>
        <w:gridCol w:w="51"/>
        <w:gridCol w:w="1352"/>
        <w:gridCol w:w="103"/>
        <w:gridCol w:w="1060"/>
        <w:gridCol w:w="1381"/>
        <w:gridCol w:w="337"/>
        <w:gridCol w:w="1544"/>
        <w:gridCol w:w="386"/>
        <w:gridCol w:w="1283"/>
      </w:tblGrid>
      <w:tr w14:paraId="467D3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60" w:hRule="atLeast"/>
        </w:trPr>
        <w:tc>
          <w:tcPr>
            <w:tcW w:w="1234" w:type="dxa"/>
            <w:noWrap w:val="0"/>
            <w:vAlign w:val="center"/>
          </w:tcPr>
          <w:p w14:paraId="79AB62DD">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姓名</w:t>
            </w:r>
          </w:p>
        </w:tc>
        <w:tc>
          <w:tcPr>
            <w:tcW w:w="1506" w:type="dxa"/>
            <w:gridSpan w:val="3"/>
            <w:noWrap w:val="0"/>
            <w:vAlign w:val="center"/>
          </w:tcPr>
          <w:p w14:paraId="6CBB7EE4">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1060" w:type="dxa"/>
            <w:noWrap w:val="0"/>
            <w:vAlign w:val="center"/>
          </w:tcPr>
          <w:p w14:paraId="2FA4B780">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年龄</w:t>
            </w:r>
          </w:p>
        </w:tc>
        <w:tc>
          <w:tcPr>
            <w:tcW w:w="1381" w:type="dxa"/>
            <w:noWrap w:val="0"/>
            <w:vAlign w:val="top"/>
          </w:tcPr>
          <w:p w14:paraId="071E6D07">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1881" w:type="dxa"/>
            <w:gridSpan w:val="2"/>
            <w:noWrap w:val="0"/>
            <w:vAlign w:val="top"/>
          </w:tcPr>
          <w:p w14:paraId="0CFD5C3F">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专业</w:t>
            </w:r>
          </w:p>
        </w:tc>
        <w:tc>
          <w:tcPr>
            <w:tcW w:w="1669" w:type="dxa"/>
            <w:gridSpan w:val="2"/>
            <w:noWrap w:val="0"/>
            <w:vAlign w:val="top"/>
          </w:tcPr>
          <w:p w14:paraId="487670DC">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r>
      <w:tr w14:paraId="0A0C5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Pr>
        <w:tc>
          <w:tcPr>
            <w:tcW w:w="1234" w:type="dxa"/>
            <w:noWrap w:val="0"/>
            <w:vAlign w:val="center"/>
          </w:tcPr>
          <w:p w14:paraId="48462384">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技术职称</w:t>
            </w:r>
          </w:p>
        </w:tc>
        <w:tc>
          <w:tcPr>
            <w:tcW w:w="1506" w:type="dxa"/>
            <w:gridSpan w:val="3"/>
            <w:noWrap w:val="0"/>
            <w:vAlign w:val="center"/>
          </w:tcPr>
          <w:p w14:paraId="3D8B2918">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1060" w:type="dxa"/>
            <w:noWrap w:val="0"/>
            <w:vAlign w:val="center"/>
          </w:tcPr>
          <w:p w14:paraId="63D77B5C">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学历</w:t>
            </w:r>
          </w:p>
        </w:tc>
        <w:tc>
          <w:tcPr>
            <w:tcW w:w="1381" w:type="dxa"/>
            <w:noWrap w:val="0"/>
            <w:vAlign w:val="top"/>
          </w:tcPr>
          <w:p w14:paraId="575C06DB">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1881" w:type="dxa"/>
            <w:gridSpan w:val="2"/>
            <w:noWrap w:val="0"/>
            <w:vAlign w:val="top"/>
          </w:tcPr>
          <w:p w14:paraId="790AE83A">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拟在本标段</w:t>
            </w:r>
          </w:p>
          <w:p w14:paraId="57CF3087">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工程任职</w:t>
            </w:r>
          </w:p>
        </w:tc>
        <w:tc>
          <w:tcPr>
            <w:tcW w:w="1669" w:type="dxa"/>
            <w:gridSpan w:val="2"/>
            <w:noWrap w:val="0"/>
            <w:vAlign w:val="top"/>
          </w:tcPr>
          <w:p w14:paraId="41F85DC2">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r>
      <w:tr w14:paraId="3D815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Pr>
        <w:tc>
          <w:tcPr>
            <w:tcW w:w="1234" w:type="dxa"/>
            <w:noWrap w:val="0"/>
            <w:vAlign w:val="center"/>
          </w:tcPr>
          <w:p w14:paraId="287948C8">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工作年限</w:t>
            </w:r>
          </w:p>
        </w:tc>
        <w:tc>
          <w:tcPr>
            <w:tcW w:w="3947" w:type="dxa"/>
            <w:gridSpan w:val="5"/>
            <w:noWrap w:val="0"/>
            <w:vAlign w:val="center"/>
          </w:tcPr>
          <w:p w14:paraId="37D7BDF8">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1881" w:type="dxa"/>
            <w:gridSpan w:val="2"/>
            <w:noWrap w:val="0"/>
            <w:vAlign w:val="center"/>
          </w:tcPr>
          <w:p w14:paraId="2155FB75">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类似施工经验年限</w:t>
            </w:r>
          </w:p>
        </w:tc>
        <w:tc>
          <w:tcPr>
            <w:tcW w:w="1669" w:type="dxa"/>
            <w:gridSpan w:val="2"/>
            <w:noWrap w:val="0"/>
            <w:vAlign w:val="top"/>
          </w:tcPr>
          <w:p w14:paraId="24045D6D">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r>
      <w:tr w14:paraId="06195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3" w:hRule="atLeast"/>
        </w:trPr>
        <w:tc>
          <w:tcPr>
            <w:tcW w:w="1234" w:type="dxa"/>
            <w:noWrap w:val="0"/>
            <w:vAlign w:val="center"/>
          </w:tcPr>
          <w:p w14:paraId="3BEC6AA9">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毕业学校</w:t>
            </w:r>
          </w:p>
        </w:tc>
        <w:tc>
          <w:tcPr>
            <w:tcW w:w="7497" w:type="dxa"/>
            <w:gridSpan w:val="9"/>
            <w:noWrap w:val="0"/>
            <w:vAlign w:val="center"/>
          </w:tcPr>
          <w:p w14:paraId="7FAB1D54">
            <w:pPr>
              <w:pageBreakBefore w:val="0"/>
              <w:widowControl/>
              <w:kinsoku/>
              <w:wordWrap w:val="0"/>
              <w:autoSpaceDE w:val="0"/>
              <w:autoSpaceDN w:val="0"/>
              <w:bidi w:val="0"/>
              <w:spacing w:before="60" w:beforeLines="25" w:after="60" w:afterLines="25" w:line="400" w:lineRule="atLeast"/>
              <w:ind w:left="-187" w:leftChars="-89"/>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______年___月毕业于___________________学校___________专业，学制______年</w:t>
            </w:r>
          </w:p>
        </w:tc>
      </w:tr>
      <w:tr w14:paraId="5CA95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Pr>
        <w:tc>
          <w:tcPr>
            <w:tcW w:w="8731" w:type="dxa"/>
            <w:gridSpan w:val="10"/>
            <w:noWrap w:val="0"/>
            <w:vAlign w:val="center"/>
          </w:tcPr>
          <w:p w14:paraId="387AECE6">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经历</w:t>
            </w:r>
          </w:p>
        </w:tc>
      </w:tr>
      <w:tr w14:paraId="00A84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Pr>
        <w:tc>
          <w:tcPr>
            <w:tcW w:w="1285" w:type="dxa"/>
            <w:gridSpan w:val="2"/>
            <w:noWrap w:val="0"/>
            <w:vAlign w:val="center"/>
          </w:tcPr>
          <w:p w14:paraId="5F890526">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highlight w:val="none"/>
              </w:rPr>
              <w:t>时间</w:t>
            </w:r>
          </w:p>
        </w:tc>
        <w:tc>
          <w:tcPr>
            <w:tcW w:w="4233" w:type="dxa"/>
            <w:gridSpan w:val="5"/>
            <w:noWrap w:val="0"/>
            <w:vAlign w:val="center"/>
          </w:tcPr>
          <w:p w14:paraId="3CC98B6C">
            <w:pPr>
              <w:pStyle w:val="76"/>
              <w:pageBreakBefore w:val="0"/>
              <w:widowControl/>
              <w:kinsoku/>
              <w:wordWrap w:val="0"/>
              <w:bidi w:val="0"/>
              <w:adjustRightInd/>
              <w:snapToGrid/>
              <w:spacing w:before="60" w:beforeLines="25" w:after="60" w:afterLines="25" w:line="400" w:lineRule="atLeast"/>
              <w:textAlignment w:val="bottom"/>
              <w:rPr>
                <w:rFonts w:hint="default" w:ascii="Times New Roman" w:hAnsi="Times New Roman" w:cs="Times New Roman"/>
                <w:color w:val="auto"/>
                <w:spacing w:val="0"/>
                <w:kern w:val="2"/>
                <w:szCs w:val="21"/>
                <w:highlight w:val="none"/>
              </w:rPr>
            </w:pPr>
            <w:r>
              <w:rPr>
                <w:rFonts w:hint="default" w:ascii="Times New Roman" w:hAnsi="Times New Roman" w:cs="Times New Roman"/>
                <w:color w:val="auto"/>
                <w:spacing w:val="0"/>
                <w:kern w:val="2"/>
                <w:szCs w:val="21"/>
                <w:highlight w:val="none"/>
              </w:rPr>
              <w:t>参加过的类似工程项目名称</w:t>
            </w:r>
          </w:p>
        </w:tc>
        <w:tc>
          <w:tcPr>
            <w:tcW w:w="1930" w:type="dxa"/>
            <w:gridSpan w:val="2"/>
            <w:noWrap w:val="0"/>
            <w:vAlign w:val="center"/>
          </w:tcPr>
          <w:p w14:paraId="05F6C5B3">
            <w:pPr>
              <w:pStyle w:val="76"/>
              <w:pageBreakBefore w:val="0"/>
              <w:widowControl/>
              <w:kinsoku/>
              <w:wordWrap w:val="0"/>
              <w:bidi w:val="0"/>
              <w:adjustRightInd/>
              <w:snapToGrid/>
              <w:spacing w:before="60" w:beforeLines="25" w:after="60" w:afterLines="25" w:line="400" w:lineRule="atLeast"/>
              <w:textAlignment w:val="bottom"/>
              <w:rPr>
                <w:rFonts w:hint="default" w:ascii="Times New Roman" w:hAnsi="Times New Roman" w:cs="Times New Roman"/>
                <w:color w:val="auto"/>
                <w:spacing w:val="0"/>
                <w:kern w:val="2"/>
                <w:szCs w:val="21"/>
                <w:highlight w:val="none"/>
              </w:rPr>
            </w:pPr>
            <w:r>
              <w:rPr>
                <w:rFonts w:hint="default" w:ascii="Times New Roman" w:hAnsi="Times New Roman" w:cs="Times New Roman"/>
                <w:color w:val="auto"/>
                <w:spacing w:val="0"/>
                <w:kern w:val="2"/>
                <w:szCs w:val="21"/>
                <w:highlight w:val="none"/>
              </w:rPr>
              <w:t>担任职务</w:t>
            </w:r>
          </w:p>
        </w:tc>
        <w:tc>
          <w:tcPr>
            <w:tcW w:w="1283" w:type="dxa"/>
            <w:noWrap w:val="0"/>
            <w:vAlign w:val="center"/>
          </w:tcPr>
          <w:p w14:paraId="42053649">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发包人及联系电话</w:t>
            </w:r>
          </w:p>
        </w:tc>
      </w:tr>
      <w:tr w14:paraId="1C251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Pr>
        <w:tc>
          <w:tcPr>
            <w:tcW w:w="1285" w:type="dxa"/>
            <w:gridSpan w:val="2"/>
            <w:noWrap w:val="0"/>
            <w:vAlign w:val="center"/>
          </w:tcPr>
          <w:p w14:paraId="613FD516">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4233" w:type="dxa"/>
            <w:gridSpan w:val="5"/>
            <w:noWrap w:val="0"/>
            <w:vAlign w:val="center"/>
          </w:tcPr>
          <w:p w14:paraId="4495287F">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1930" w:type="dxa"/>
            <w:gridSpan w:val="2"/>
            <w:noWrap w:val="0"/>
            <w:vAlign w:val="top"/>
          </w:tcPr>
          <w:p w14:paraId="16CABF4C">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c>
          <w:tcPr>
            <w:tcW w:w="1283" w:type="dxa"/>
            <w:noWrap w:val="0"/>
            <w:vAlign w:val="top"/>
          </w:tcPr>
          <w:p w14:paraId="5B55847C">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r>
      <w:tr w14:paraId="235A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Pr>
        <w:tc>
          <w:tcPr>
            <w:tcW w:w="1285" w:type="dxa"/>
            <w:gridSpan w:val="2"/>
            <w:noWrap w:val="0"/>
            <w:vAlign w:val="center"/>
          </w:tcPr>
          <w:p w14:paraId="6CD35EA3">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4233" w:type="dxa"/>
            <w:gridSpan w:val="5"/>
            <w:noWrap w:val="0"/>
            <w:vAlign w:val="center"/>
          </w:tcPr>
          <w:p w14:paraId="0A6D4CBA">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1930" w:type="dxa"/>
            <w:gridSpan w:val="2"/>
            <w:noWrap w:val="0"/>
            <w:vAlign w:val="top"/>
          </w:tcPr>
          <w:p w14:paraId="0D5A0E2E">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c>
          <w:tcPr>
            <w:tcW w:w="1283" w:type="dxa"/>
            <w:noWrap w:val="0"/>
            <w:vAlign w:val="top"/>
          </w:tcPr>
          <w:p w14:paraId="29B07712">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r>
      <w:tr w14:paraId="3A492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Pr>
        <w:tc>
          <w:tcPr>
            <w:tcW w:w="1285" w:type="dxa"/>
            <w:gridSpan w:val="2"/>
            <w:noWrap w:val="0"/>
            <w:vAlign w:val="center"/>
          </w:tcPr>
          <w:p w14:paraId="53B72D32">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4233" w:type="dxa"/>
            <w:gridSpan w:val="5"/>
            <w:noWrap w:val="0"/>
            <w:vAlign w:val="center"/>
          </w:tcPr>
          <w:p w14:paraId="0A096D90">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1930" w:type="dxa"/>
            <w:gridSpan w:val="2"/>
            <w:noWrap w:val="0"/>
            <w:vAlign w:val="top"/>
          </w:tcPr>
          <w:p w14:paraId="5FC5ADD1">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c>
          <w:tcPr>
            <w:tcW w:w="1283" w:type="dxa"/>
            <w:noWrap w:val="0"/>
            <w:vAlign w:val="top"/>
          </w:tcPr>
          <w:p w14:paraId="351030C2">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r>
      <w:tr w14:paraId="29F3F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Pr>
        <w:tc>
          <w:tcPr>
            <w:tcW w:w="1285" w:type="dxa"/>
            <w:gridSpan w:val="2"/>
            <w:noWrap w:val="0"/>
            <w:vAlign w:val="center"/>
          </w:tcPr>
          <w:p w14:paraId="14F4FD1D">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4233" w:type="dxa"/>
            <w:gridSpan w:val="5"/>
            <w:noWrap w:val="0"/>
            <w:vAlign w:val="center"/>
          </w:tcPr>
          <w:p w14:paraId="7E298E3A">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1930" w:type="dxa"/>
            <w:gridSpan w:val="2"/>
            <w:noWrap w:val="0"/>
            <w:vAlign w:val="top"/>
          </w:tcPr>
          <w:p w14:paraId="702E9C56">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c>
          <w:tcPr>
            <w:tcW w:w="1283" w:type="dxa"/>
            <w:noWrap w:val="0"/>
            <w:vAlign w:val="top"/>
          </w:tcPr>
          <w:p w14:paraId="44201A72">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r>
      <w:tr w14:paraId="4A509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Pr>
        <w:tc>
          <w:tcPr>
            <w:tcW w:w="1285" w:type="dxa"/>
            <w:gridSpan w:val="2"/>
            <w:noWrap w:val="0"/>
            <w:vAlign w:val="center"/>
          </w:tcPr>
          <w:p w14:paraId="5DB9B1C2">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4233" w:type="dxa"/>
            <w:gridSpan w:val="5"/>
            <w:noWrap w:val="0"/>
            <w:vAlign w:val="center"/>
          </w:tcPr>
          <w:p w14:paraId="597FF0B7">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1930" w:type="dxa"/>
            <w:gridSpan w:val="2"/>
            <w:noWrap w:val="0"/>
            <w:vAlign w:val="top"/>
          </w:tcPr>
          <w:p w14:paraId="51C7DB26">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c>
          <w:tcPr>
            <w:tcW w:w="1283" w:type="dxa"/>
            <w:noWrap w:val="0"/>
            <w:vAlign w:val="top"/>
          </w:tcPr>
          <w:p w14:paraId="35A61D80">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r>
      <w:tr w14:paraId="72B84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Pr>
        <w:tc>
          <w:tcPr>
            <w:tcW w:w="1285" w:type="dxa"/>
            <w:gridSpan w:val="2"/>
            <w:noWrap w:val="0"/>
            <w:vAlign w:val="center"/>
          </w:tcPr>
          <w:p w14:paraId="39332CB7">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4233" w:type="dxa"/>
            <w:gridSpan w:val="5"/>
            <w:noWrap w:val="0"/>
            <w:vAlign w:val="center"/>
          </w:tcPr>
          <w:p w14:paraId="29751E60">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1930" w:type="dxa"/>
            <w:gridSpan w:val="2"/>
            <w:noWrap w:val="0"/>
            <w:vAlign w:val="top"/>
          </w:tcPr>
          <w:p w14:paraId="333C7B79">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c>
          <w:tcPr>
            <w:tcW w:w="1283" w:type="dxa"/>
            <w:noWrap w:val="0"/>
            <w:vAlign w:val="top"/>
          </w:tcPr>
          <w:p w14:paraId="5F7CA879">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r>
      <w:tr w14:paraId="39FB8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Pr>
        <w:tc>
          <w:tcPr>
            <w:tcW w:w="1285" w:type="dxa"/>
            <w:gridSpan w:val="2"/>
            <w:noWrap w:val="0"/>
            <w:vAlign w:val="center"/>
          </w:tcPr>
          <w:p w14:paraId="4C95C7EE">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4233" w:type="dxa"/>
            <w:gridSpan w:val="5"/>
            <w:noWrap w:val="0"/>
            <w:vAlign w:val="center"/>
          </w:tcPr>
          <w:p w14:paraId="30C4519F">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1930" w:type="dxa"/>
            <w:gridSpan w:val="2"/>
            <w:noWrap w:val="0"/>
            <w:vAlign w:val="top"/>
          </w:tcPr>
          <w:p w14:paraId="336C2A3F">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c>
          <w:tcPr>
            <w:tcW w:w="1283" w:type="dxa"/>
            <w:noWrap w:val="0"/>
            <w:vAlign w:val="top"/>
          </w:tcPr>
          <w:p w14:paraId="61654DE8">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r>
      <w:tr w14:paraId="66CBA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Pr>
        <w:tc>
          <w:tcPr>
            <w:tcW w:w="1285" w:type="dxa"/>
            <w:gridSpan w:val="2"/>
            <w:noWrap w:val="0"/>
            <w:vAlign w:val="center"/>
          </w:tcPr>
          <w:p w14:paraId="55FA31F6">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4233" w:type="dxa"/>
            <w:gridSpan w:val="5"/>
            <w:noWrap w:val="0"/>
            <w:vAlign w:val="center"/>
          </w:tcPr>
          <w:p w14:paraId="504485F2">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1930" w:type="dxa"/>
            <w:gridSpan w:val="2"/>
            <w:noWrap w:val="0"/>
            <w:vAlign w:val="top"/>
          </w:tcPr>
          <w:p w14:paraId="56AA1C38">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c>
          <w:tcPr>
            <w:tcW w:w="1283" w:type="dxa"/>
            <w:noWrap w:val="0"/>
            <w:vAlign w:val="top"/>
          </w:tcPr>
          <w:p w14:paraId="725E91BF">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r>
      <w:tr w14:paraId="35A5C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Pr>
        <w:tc>
          <w:tcPr>
            <w:tcW w:w="1285" w:type="dxa"/>
            <w:gridSpan w:val="2"/>
            <w:noWrap w:val="0"/>
            <w:vAlign w:val="center"/>
          </w:tcPr>
          <w:p w14:paraId="6C5742C5">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4233" w:type="dxa"/>
            <w:gridSpan w:val="5"/>
            <w:noWrap w:val="0"/>
            <w:vAlign w:val="center"/>
          </w:tcPr>
          <w:p w14:paraId="5760B513">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1930" w:type="dxa"/>
            <w:gridSpan w:val="2"/>
            <w:noWrap w:val="0"/>
            <w:vAlign w:val="top"/>
          </w:tcPr>
          <w:p w14:paraId="3E9B241D">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c>
          <w:tcPr>
            <w:tcW w:w="1283" w:type="dxa"/>
            <w:noWrap w:val="0"/>
            <w:vAlign w:val="top"/>
          </w:tcPr>
          <w:p w14:paraId="012A6C73">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r>
      <w:tr w14:paraId="18696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2637" w:type="dxa"/>
            <w:gridSpan w:val="3"/>
            <w:noWrap w:val="0"/>
            <w:vAlign w:val="center"/>
          </w:tcPr>
          <w:p w14:paraId="485CCBDB">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获奖情况</w:t>
            </w:r>
          </w:p>
        </w:tc>
        <w:tc>
          <w:tcPr>
            <w:tcW w:w="6094" w:type="dxa"/>
            <w:gridSpan w:val="7"/>
            <w:noWrap w:val="0"/>
            <w:vAlign w:val="top"/>
          </w:tcPr>
          <w:p w14:paraId="7C471A93">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r>
      <w:tr w14:paraId="6235D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637" w:type="dxa"/>
            <w:gridSpan w:val="3"/>
            <w:noWrap w:val="0"/>
            <w:vAlign w:val="center"/>
          </w:tcPr>
          <w:p w14:paraId="00FCED4E">
            <w:pPr>
              <w:pageBreakBefore w:val="0"/>
              <w:widowControl/>
              <w:kinsoku/>
              <w:wordWrap w:val="0"/>
              <w:autoSpaceDE w:val="0"/>
              <w:autoSpaceDN w:val="0"/>
              <w:bidi w:val="0"/>
              <w:spacing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说明在岗情况</w:t>
            </w:r>
          </w:p>
        </w:tc>
        <w:tc>
          <w:tcPr>
            <w:tcW w:w="6094" w:type="dxa"/>
            <w:gridSpan w:val="7"/>
            <w:noWrap w:val="0"/>
            <w:vAlign w:val="top"/>
          </w:tcPr>
          <w:p w14:paraId="6766A91D">
            <w:pPr>
              <w:pStyle w:val="16"/>
              <w:pageBreakBefore w:val="0"/>
              <w:kinsoku/>
              <w:wordWrap w:val="0"/>
              <w:topLinePunct/>
              <w:bidi w:val="0"/>
              <w:spacing w:line="360" w:lineRule="atLeas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□目前未在其他项目上任职，现从事工作为：</w:t>
            </w:r>
            <w:r>
              <w:rPr>
                <w:rFonts w:hint="default" w:ascii="Times New Roman" w:hAnsi="Times New Roman" w:cs="Times New Roman"/>
                <w:sz w:val="21"/>
                <w:szCs w:val="21"/>
                <w:u w:val="single"/>
              </w:rPr>
              <w:t xml:space="preserve">              </w:t>
            </w:r>
            <w:r>
              <w:rPr>
                <w:rFonts w:hint="default" w:ascii="Times New Roman" w:hAnsi="Times New Roman" w:cs="Times New Roman"/>
                <w:sz w:val="21"/>
                <w:szCs w:val="21"/>
              </w:rPr>
              <w:t>。</w:t>
            </w:r>
          </w:p>
          <w:p w14:paraId="209ABDAB">
            <w:pPr>
              <w:pageBreakBefore w:val="0"/>
              <w:widowControl/>
              <w:kinsoku/>
              <w:wordWrap w:val="0"/>
              <w:autoSpaceDE w:val="0"/>
              <w:autoSpaceDN w:val="0"/>
              <w:bidi w:val="0"/>
              <w:spacing w:line="40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□目前虽</w:t>
            </w:r>
            <w:r>
              <w:rPr>
                <w:rFonts w:hint="default" w:ascii="Times New Roman" w:hAnsi="Times New Roman" w:cs="Times New Roman"/>
                <w:color w:val="auto"/>
                <w:highlight w:val="none"/>
              </w:rPr>
              <w:t>在其他项目</w:t>
            </w:r>
            <w:r>
              <w:rPr>
                <w:rFonts w:hint="default" w:ascii="Times New Roman" w:hAnsi="Times New Roman" w:cs="Times New Roman"/>
                <w:color w:val="auto"/>
                <w:szCs w:val="21"/>
                <w:highlight w:val="none"/>
              </w:rPr>
              <w:t>上</w:t>
            </w:r>
            <w:r>
              <w:rPr>
                <w:rFonts w:hint="default" w:ascii="Times New Roman" w:hAnsi="Times New Roman" w:cs="Times New Roman"/>
                <w:color w:val="auto"/>
                <w:highlight w:val="none"/>
              </w:rPr>
              <w:t>任职，但本项目中标后能够从该项目撤离，目前任职项目：</w:t>
            </w:r>
            <w:r>
              <w:rPr>
                <w:rFonts w:hint="default" w:ascii="Times New Roman" w:hAnsi="Times New Roman" w:cs="Times New Roman"/>
                <w:sz w:val="21"/>
                <w:szCs w:val="21"/>
                <w:u w:val="single"/>
              </w:rPr>
              <w:t xml:space="preserve">              </w:t>
            </w:r>
            <w:r>
              <w:rPr>
                <w:rFonts w:hint="default" w:ascii="Times New Roman" w:hAnsi="Times New Roman" w:cs="Times New Roman"/>
                <w:color w:val="auto"/>
                <w:highlight w:val="none"/>
              </w:rPr>
              <w:t>，担任职位：</w:t>
            </w:r>
            <w:r>
              <w:rPr>
                <w:rFonts w:hint="default" w:ascii="Times New Roman" w:hAnsi="Times New Roman" w:cs="Times New Roman"/>
                <w:sz w:val="21"/>
                <w:szCs w:val="21"/>
                <w:u w:val="single"/>
              </w:rPr>
              <w:t xml:space="preserve">              </w:t>
            </w:r>
            <w:r>
              <w:rPr>
                <w:rFonts w:hint="default" w:ascii="Times New Roman" w:hAnsi="Times New Roman" w:cs="Times New Roman"/>
                <w:sz w:val="21"/>
                <w:szCs w:val="21"/>
              </w:rPr>
              <w:t>。</w:t>
            </w:r>
          </w:p>
        </w:tc>
      </w:tr>
      <w:tr w14:paraId="498AA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637" w:type="dxa"/>
            <w:gridSpan w:val="3"/>
            <w:noWrap w:val="0"/>
            <w:vAlign w:val="center"/>
          </w:tcPr>
          <w:p w14:paraId="42AC9DD3">
            <w:pPr>
              <w:pageBreakBefore w:val="0"/>
              <w:widowControl/>
              <w:kinsoku/>
              <w:wordWrap w:val="0"/>
              <w:autoSpaceDE w:val="0"/>
              <w:autoSpaceDN w:val="0"/>
              <w:bidi w:val="0"/>
              <w:spacing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备注</w:t>
            </w:r>
          </w:p>
        </w:tc>
        <w:tc>
          <w:tcPr>
            <w:tcW w:w="6094" w:type="dxa"/>
            <w:gridSpan w:val="7"/>
            <w:noWrap w:val="0"/>
            <w:vAlign w:val="top"/>
          </w:tcPr>
          <w:p w14:paraId="4E1B0C04">
            <w:pPr>
              <w:pageBreakBefore w:val="0"/>
              <w:widowControl/>
              <w:kinsoku/>
              <w:wordWrap w:val="0"/>
              <w:autoSpaceDE w:val="0"/>
              <w:autoSpaceDN w:val="0"/>
              <w:bidi w:val="0"/>
              <w:spacing w:line="400" w:lineRule="atLeast"/>
              <w:textAlignment w:val="bottom"/>
              <w:rPr>
                <w:rFonts w:hint="default" w:ascii="Times New Roman" w:hAnsi="Times New Roman" w:cs="Times New Roman"/>
                <w:color w:val="auto"/>
                <w:szCs w:val="21"/>
                <w:highlight w:val="none"/>
              </w:rPr>
            </w:pPr>
          </w:p>
        </w:tc>
      </w:tr>
    </w:tbl>
    <w:p w14:paraId="1FD139E2">
      <w:pPr>
        <w:pStyle w:val="18"/>
        <w:pageBreakBefore w:val="0"/>
        <w:kinsoku/>
        <w:wordWrap w:val="0"/>
        <w:bidi w:val="0"/>
        <w:spacing w:after="0" w:line="400" w:lineRule="atLeast"/>
        <w:ind w:left="699" w:leftChars="0" w:hanging="699" w:hangingChars="333"/>
        <w:rPr>
          <w:rFonts w:hint="default" w:ascii="Times New Roman" w:hAnsi="Times New Roman" w:cs="Times New Roman"/>
          <w:color w:val="auto"/>
          <w:highlight w:val="none"/>
        </w:rPr>
      </w:pPr>
      <w:r>
        <w:rPr>
          <w:rFonts w:hint="default" w:ascii="Times New Roman" w:hAnsi="Times New Roman" w:cs="Times New Roman"/>
          <w:color w:val="auto"/>
          <w:highlight w:val="none"/>
        </w:rPr>
        <w:t>注：1.本表应填写项目经理和项目总工相关情况。</w:t>
      </w:r>
    </w:p>
    <w:p w14:paraId="2000A595">
      <w:pPr>
        <w:pageBreakBefore w:val="0"/>
        <w:kinsoku/>
        <w:wordWrap w:val="0"/>
        <w:bidi w:val="0"/>
        <w:spacing w:line="40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2.投标人应根据招标文件第二章</w:t>
      </w:r>
      <w:r>
        <w:rPr>
          <w:rFonts w:hint="eastAsia" w:ascii="宋体" w:hAnsi="宋体" w:eastAsia="宋体" w:cs="宋体"/>
          <w:color w:val="auto"/>
          <w:szCs w:val="21"/>
          <w:highlight w:val="none"/>
        </w:rPr>
        <w:t>“</w:t>
      </w:r>
      <w:r>
        <w:rPr>
          <w:rFonts w:hint="default" w:ascii="Times New Roman" w:hAnsi="Times New Roman" w:cs="Times New Roman"/>
          <w:color w:val="auto"/>
          <w:szCs w:val="21"/>
          <w:highlight w:val="none"/>
        </w:rPr>
        <w:t>投标人须知</w:t>
      </w:r>
      <w:r>
        <w:rPr>
          <w:rFonts w:hint="eastAsia" w:ascii="宋体" w:hAnsi="宋体" w:eastAsia="宋体" w:cs="宋体"/>
          <w:color w:val="auto"/>
          <w:szCs w:val="21"/>
          <w:highlight w:val="none"/>
        </w:rPr>
        <w:t>”</w:t>
      </w:r>
      <w:r>
        <w:rPr>
          <w:rFonts w:hint="default" w:ascii="Times New Roman" w:hAnsi="Times New Roman" w:cs="Times New Roman"/>
          <w:color w:val="auto"/>
          <w:szCs w:val="21"/>
          <w:highlight w:val="none"/>
        </w:rPr>
        <w:t>第3.5.5项的要求在本表后附相关证明材料。</w:t>
      </w:r>
    </w:p>
    <w:p w14:paraId="1644EFAD">
      <w:pPr>
        <w:pageBreakBefore w:val="0"/>
        <w:kinsoku/>
        <w:wordWrap/>
        <w:bidi w:val="0"/>
        <w:spacing w:line="24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br w:type="page"/>
      </w:r>
    </w:p>
    <w:p w14:paraId="50D64B8C">
      <w:pPr>
        <w:pageBreakBefore w:val="0"/>
        <w:kinsoku/>
        <w:wordWrap w:val="0"/>
        <w:overflowPunct/>
        <w:topLinePunct/>
        <w:bidi w:val="0"/>
        <w:spacing w:line="400" w:lineRule="atLeast"/>
        <w:jc w:val="center"/>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主要人员撤离承诺函（如有）</w:t>
      </w:r>
    </w:p>
    <w:p w14:paraId="54E79FA6">
      <w:pPr>
        <w:pageBreakBefore w:val="0"/>
        <w:kinsoku/>
        <w:wordWrap w:val="0"/>
        <w:overflowPunct/>
        <w:bidi w:val="0"/>
        <w:ind w:firstLine="232"/>
        <w:jc w:val="center"/>
        <w:rPr>
          <w:rFonts w:hint="default" w:ascii="Times New Roman" w:hAnsi="Times New Roman" w:cs="Times New Roman"/>
          <w:color w:val="auto"/>
          <w:sz w:val="28"/>
          <w:szCs w:val="36"/>
          <w:highlight w:val="none"/>
        </w:rPr>
      </w:pPr>
    </w:p>
    <w:p w14:paraId="69CA1E6E">
      <w:pPr>
        <w:pageBreakBefore w:val="0"/>
        <w:kinsoku/>
        <w:wordWrap w:val="0"/>
        <w:overflowPunct/>
        <w:bidi w:val="0"/>
        <w:spacing w:line="40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（招标人名称）：</w:t>
      </w:r>
    </w:p>
    <w:p w14:paraId="2125A582">
      <w:pPr>
        <w:pageBreakBefore w:val="0"/>
        <w:kinsoku/>
        <w:wordWrap w:val="0"/>
        <w:overflowPunct/>
        <w:bidi w:val="0"/>
        <w:spacing w:line="40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我方参加了</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（项目名称）</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标段（以下简称</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本项目</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）投标，我方在此承诺：</w:t>
      </w:r>
    </w:p>
    <w:p w14:paraId="6D356344">
      <w:pPr>
        <w:pageBreakBefore w:val="0"/>
        <w:kinsoku/>
        <w:wordWrap w:val="0"/>
        <w:overflowPunct/>
        <w:bidi w:val="0"/>
        <w:spacing w:line="40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鉴于我方拟投入的</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w:t>
      </w:r>
      <w:r>
        <w:rPr>
          <w:rFonts w:hint="eastAsia" w:cs="Times New Roman"/>
          <w:color w:val="auto"/>
          <w:sz w:val="24"/>
          <w:highlight w:val="none"/>
          <w:lang w:val="en-US" w:eastAsia="zh-CN"/>
        </w:rPr>
        <w:t>项目经理</w:t>
      </w:r>
      <w:r>
        <w:rPr>
          <w:rFonts w:hint="default" w:ascii="Times New Roman" w:hAnsi="Times New Roman" w:cs="Times New Roman"/>
          <w:color w:val="auto"/>
          <w:sz w:val="24"/>
          <w:highlight w:val="none"/>
        </w:rPr>
        <w:t>和/或</w:t>
      </w:r>
      <w:r>
        <w:rPr>
          <w:rFonts w:hint="eastAsia" w:cs="Times New Roman"/>
          <w:color w:val="auto"/>
          <w:sz w:val="24"/>
          <w:highlight w:val="none"/>
          <w:lang w:val="en-US" w:eastAsia="zh-CN"/>
        </w:rPr>
        <w:t>项目总工</w:t>
      </w:r>
      <w:r>
        <w:rPr>
          <w:rFonts w:hint="default" w:ascii="Times New Roman" w:hAnsi="Times New Roman" w:cs="Times New Roman"/>
          <w:color w:val="auto"/>
          <w:sz w:val="24"/>
          <w:highlight w:val="none"/>
        </w:rPr>
        <w:t>姓名）目前仍在</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（项目名称）上任职，若我方中标，立即将</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w:t>
      </w:r>
      <w:r>
        <w:rPr>
          <w:rFonts w:hint="eastAsia" w:cs="Times New Roman"/>
          <w:color w:val="auto"/>
          <w:sz w:val="24"/>
          <w:highlight w:val="none"/>
          <w:lang w:val="en-US" w:eastAsia="zh-CN"/>
        </w:rPr>
        <w:t>项目经理</w:t>
      </w:r>
      <w:r>
        <w:rPr>
          <w:rFonts w:hint="default" w:ascii="Times New Roman" w:hAnsi="Times New Roman" w:cs="Times New Roman"/>
          <w:color w:val="auto"/>
          <w:sz w:val="24"/>
          <w:highlight w:val="none"/>
        </w:rPr>
        <w:t>和/或</w:t>
      </w:r>
      <w:r>
        <w:rPr>
          <w:rFonts w:hint="eastAsia" w:cs="Times New Roman"/>
          <w:color w:val="auto"/>
          <w:sz w:val="24"/>
          <w:highlight w:val="none"/>
          <w:lang w:val="en-US" w:eastAsia="zh-CN"/>
        </w:rPr>
        <w:t>项目总工</w:t>
      </w:r>
      <w:r>
        <w:rPr>
          <w:rFonts w:hint="default" w:ascii="Times New Roman" w:hAnsi="Times New Roman" w:cs="Times New Roman"/>
          <w:color w:val="auto"/>
          <w:sz w:val="24"/>
          <w:highlight w:val="none"/>
        </w:rPr>
        <w:t>）从上述项目撤离，投入本项目。</w:t>
      </w:r>
    </w:p>
    <w:p w14:paraId="129F5BF6">
      <w:pPr>
        <w:pageBreakBefore w:val="0"/>
        <w:kinsoku/>
        <w:wordWrap w:val="0"/>
        <w:overflowPunct/>
        <w:bidi w:val="0"/>
        <w:spacing w:line="40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如我方违背了上述承诺，招标人有权取消我方的中标资格，并由招标人将我方的违约行为上报省级交通运输主管部门，作为不良记录纳入</w:t>
      </w:r>
      <w:r>
        <w:rPr>
          <w:rFonts w:hint="eastAsia" w:cs="Times New Roman"/>
          <w:color w:val="auto"/>
          <w:sz w:val="24"/>
          <w:highlight w:val="none"/>
          <w:lang w:eastAsia="zh-CN"/>
        </w:rPr>
        <w:t>全国公路建设市场监督管理系统</w:t>
      </w:r>
      <w:r>
        <w:rPr>
          <w:rFonts w:hint="default" w:ascii="Times New Roman" w:hAnsi="Times New Roman" w:cs="Times New Roman"/>
          <w:color w:val="auto"/>
          <w:sz w:val="24"/>
          <w:highlight w:val="none"/>
        </w:rPr>
        <w:t>。</w:t>
      </w:r>
    </w:p>
    <w:p w14:paraId="2421A7D3">
      <w:pPr>
        <w:pageBreakBefore w:val="0"/>
        <w:kinsoku/>
        <w:wordWrap w:val="0"/>
        <w:overflowPunct/>
        <w:bidi w:val="0"/>
        <w:spacing w:line="400" w:lineRule="exact"/>
        <w:ind w:firstLine="480" w:firstLineChars="200"/>
        <w:rPr>
          <w:rFonts w:hint="default" w:ascii="Times New Roman" w:hAnsi="Times New Roman" w:cs="Times New Roman"/>
          <w:color w:val="auto"/>
          <w:sz w:val="24"/>
          <w:highlight w:val="none"/>
        </w:rPr>
      </w:pPr>
    </w:p>
    <w:p w14:paraId="2D2406C9">
      <w:pPr>
        <w:pageBreakBefore w:val="0"/>
        <w:kinsoku/>
        <w:wordWrap w:val="0"/>
        <w:overflowPunct/>
        <w:bidi w:val="0"/>
        <w:spacing w:line="400" w:lineRule="exact"/>
        <w:ind w:firstLine="480" w:firstLineChars="200"/>
        <w:rPr>
          <w:rFonts w:hint="default" w:ascii="Times New Roman" w:hAnsi="Times New Roman" w:cs="Times New Roman"/>
          <w:color w:val="auto"/>
          <w:sz w:val="24"/>
          <w:highlight w:val="none"/>
        </w:rPr>
      </w:pPr>
    </w:p>
    <w:p w14:paraId="175985D9">
      <w:pPr>
        <w:pageBreakBefore w:val="0"/>
        <w:kinsoku/>
        <w:wordWrap w:val="0"/>
        <w:overflowPunct/>
        <w:bidi w:val="0"/>
        <w:spacing w:line="400" w:lineRule="exact"/>
        <w:ind w:firstLine="2880" w:firstLineChars="1200"/>
        <w:rPr>
          <w:rFonts w:hint="default" w:ascii="Times New Roman" w:hAnsi="Times New Roman" w:cs="Times New Roman"/>
          <w:color w:val="auto"/>
          <w:sz w:val="24"/>
          <w:highlight w:val="none"/>
        </w:rPr>
      </w:pPr>
      <w:r>
        <w:rPr>
          <w:rFonts w:hint="default" w:ascii="Times New Roman" w:hAnsi="Times New Roman" w:cs="Times New Roman"/>
          <w:color w:val="auto"/>
          <w:sz w:val="24"/>
          <w:szCs w:val="24"/>
          <w:highlight w:val="none"/>
        </w:rPr>
        <w:t>投标人：</w:t>
      </w:r>
      <w:r>
        <w:rPr>
          <w:rFonts w:hint="default" w:ascii="Times New Roman" w:hAnsi="Times New Roman" w:cs="Times New Roman"/>
          <w:color w:val="auto"/>
          <w:sz w:val="24"/>
          <w:szCs w:val="24"/>
          <w:highlight w:val="none"/>
          <w:u w:val="single"/>
        </w:rPr>
        <w:t xml:space="preserve">              </w:t>
      </w:r>
      <w:r>
        <w:rPr>
          <w:rFonts w:hint="default" w:ascii="Times New Roman" w:hAnsi="Times New Roman" w:cs="Times New Roman"/>
          <w:color w:val="auto"/>
          <w:sz w:val="24"/>
          <w:szCs w:val="24"/>
          <w:highlight w:val="none"/>
        </w:rPr>
        <w:t>（全称）</w:t>
      </w:r>
      <w:r>
        <w:rPr>
          <w:rFonts w:hint="default" w:ascii="Times New Roman" w:hAnsi="Times New Roman" w:cs="Times New Roman"/>
          <w:color w:val="auto"/>
          <w:sz w:val="24"/>
          <w:szCs w:val="24"/>
          <w:highlight w:val="none"/>
          <w:u w:val="none"/>
        </w:rPr>
        <w:t>（</w:t>
      </w:r>
      <w:r>
        <w:rPr>
          <w:rFonts w:hint="default" w:ascii="Times New Roman" w:hAnsi="Times New Roman" w:cs="Times New Roman"/>
          <w:color w:val="auto"/>
          <w:sz w:val="24"/>
          <w:szCs w:val="24"/>
          <w:highlight w:val="none"/>
          <w:u w:val="none"/>
          <w:lang w:val="en-US" w:eastAsia="zh-CN"/>
        </w:rPr>
        <w:t>盖单位电子印章</w:t>
      </w:r>
      <w:r>
        <w:rPr>
          <w:rFonts w:hint="default" w:ascii="Times New Roman" w:hAnsi="Times New Roman" w:cs="Times New Roman"/>
          <w:color w:val="auto"/>
          <w:sz w:val="24"/>
          <w:szCs w:val="24"/>
          <w:highlight w:val="none"/>
          <w:u w:val="none"/>
        </w:rPr>
        <w:t>）</w:t>
      </w:r>
    </w:p>
    <w:p w14:paraId="3457235D">
      <w:pPr>
        <w:pageBreakBefore w:val="0"/>
        <w:kinsoku/>
        <w:wordWrap w:val="0"/>
        <w:overflowPunct/>
        <w:bidi w:val="0"/>
        <w:spacing w:line="400" w:lineRule="exac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法定代表人或其委托代理人：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(个人</w:t>
      </w:r>
      <w:r>
        <w:rPr>
          <w:rFonts w:hint="eastAsia" w:cs="Times New Roman"/>
          <w:color w:val="auto"/>
          <w:sz w:val="24"/>
          <w:highlight w:val="none"/>
          <w:lang w:eastAsia="zh-CN"/>
        </w:rPr>
        <w:t>电子签名</w:t>
      </w:r>
      <w:r>
        <w:rPr>
          <w:rFonts w:hint="default" w:ascii="Times New Roman" w:hAnsi="Times New Roman" w:cs="Times New Roman"/>
          <w:color w:val="auto"/>
          <w:sz w:val="24"/>
          <w:highlight w:val="none"/>
        </w:rPr>
        <w:t>或个人电子印章)</w:t>
      </w:r>
    </w:p>
    <w:p w14:paraId="32E73286">
      <w:pPr>
        <w:pageBreakBefore w:val="0"/>
        <w:kinsoku/>
        <w:wordWrap w:val="0"/>
        <w:overflowPunct/>
        <w:bidi w:val="0"/>
        <w:spacing w:line="400" w:lineRule="exact"/>
        <w:ind w:firstLine="3120" w:firstLineChars="1300"/>
        <w:rPr>
          <w:rFonts w:hint="default" w:ascii="Times New Roman" w:hAnsi="Times New Roman" w:cs="Times New Roman"/>
          <w:color w:val="auto"/>
          <w:sz w:val="24"/>
          <w:highlight w:val="none"/>
        </w:rPr>
      </w:pPr>
    </w:p>
    <w:p w14:paraId="6DD60662">
      <w:pPr>
        <w:pageBreakBefore w:val="0"/>
        <w:kinsoku/>
        <w:wordWrap w:val="0"/>
        <w:overflowPunct/>
        <w:bidi w:val="0"/>
        <w:spacing w:line="400" w:lineRule="exact"/>
        <w:ind w:firstLine="3840" w:firstLineChars="16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月</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日</w:t>
      </w:r>
    </w:p>
    <w:p w14:paraId="4E9F3BEA">
      <w:pPr>
        <w:pageBreakBefore w:val="0"/>
        <w:kinsoku/>
        <w:wordWrap w:val="0"/>
        <w:overflowPunct/>
        <w:bidi w:val="0"/>
        <w:spacing w:line="400" w:lineRule="exact"/>
        <w:ind w:firstLine="3840" w:firstLineChars="1600"/>
        <w:rPr>
          <w:rFonts w:hint="default" w:ascii="Times New Roman" w:hAnsi="Times New Roman" w:cs="Times New Roman"/>
          <w:color w:val="auto"/>
          <w:sz w:val="24"/>
          <w:highlight w:val="none"/>
        </w:rPr>
      </w:pPr>
    </w:p>
    <w:p w14:paraId="5A6B602F">
      <w:pPr>
        <w:pageBreakBefore w:val="0"/>
        <w:kinsoku/>
        <w:wordWrap w:val="0"/>
        <w:overflowPunct/>
        <w:bidi w:val="0"/>
        <w:spacing w:line="36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注：1、如项目经理和/或项目总工目前仍在其他项目上任职，投标人应提供项目经理和/或项目总工能够从该项目撤离的承诺函。</w:t>
      </w:r>
    </w:p>
    <w:p w14:paraId="51F5C5BF">
      <w:pPr>
        <w:pageBreakBefore w:val="0"/>
        <w:kinsoku/>
        <w:wordWrap w:val="0"/>
        <w:overflowPunct/>
        <w:bidi w:val="0"/>
        <w:spacing w:line="360" w:lineRule="exact"/>
        <w:ind w:firstLine="840" w:firstLineChars="4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2、投标人所提供的承诺函格式和内容须与招标文件提供的格式和内容一致，不得更改招标文件提供的承诺函格式和内容，否则其投标将被否决。</w:t>
      </w:r>
    </w:p>
    <w:p w14:paraId="0755A5D9">
      <w:pPr>
        <w:pageBreakBefore w:val="0"/>
        <w:kinsoku/>
        <w:wordWrap w:val="0"/>
        <w:bidi w:val="0"/>
        <w:spacing w:line="400" w:lineRule="atLeast"/>
        <w:ind w:firstLine="420" w:firstLineChars="200"/>
        <w:rPr>
          <w:rFonts w:hint="default" w:ascii="Times New Roman" w:hAnsi="Times New Roman" w:cs="Times New Roman"/>
          <w:color w:val="auto"/>
          <w:szCs w:val="21"/>
          <w:highlight w:val="none"/>
        </w:rPr>
      </w:pPr>
    </w:p>
    <w:p w14:paraId="2B3A01E5">
      <w:pPr>
        <w:pageBreakBefore w:val="0"/>
        <w:kinsoku/>
        <w:wordWrap w:val="0"/>
        <w:bidi w:val="0"/>
        <w:spacing w:before="0" w:after="0" w:line="380" w:lineRule="atLeast"/>
        <w:jc w:val="center"/>
        <w:outlineLvl w:val="9"/>
        <w:rPr>
          <w:rFonts w:hint="default" w:ascii="Times New Roman" w:hAnsi="Times New Roman" w:eastAsia="黑体" w:cs="Times New Roman"/>
          <w:b w:val="0"/>
          <w:color w:val="auto"/>
          <w:sz w:val="24"/>
          <w:szCs w:val="24"/>
          <w:highlight w:val="none"/>
        </w:rPr>
      </w:pPr>
      <w:r>
        <w:rPr>
          <w:rFonts w:hint="default" w:ascii="Times New Roman" w:hAnsi="Times New Roman" w:eastAsia="黑体" w:cs="Times New Roman"/>
          <w:color w:val="auto"/>
          <w:sz w:val="24"/>
          <w:highlight w:val="none"/>
        </w:rPr>
        <w:br w:type="page"/>
      </w:r>
      <w:bookmarkStart w:id="1704" w:name="_Toc15670"/>
      <w:bookmarkStart w:id="1705" w:name="_Toc30763"/>
      <w:bookmarkStart w:id="1706" w:name="_Toc234833286"/>
      <w:r>
        <w:rPr>
          <w:rFonts w:hint="default" w:ascii="Times New Roman" w:hAnsi="Times New Roman" w:eastAsia="黑体" w:cs="Times New Roman"/>
          <w:b w:val="0"/>
          <w:color w:val="auto"/>
          <w:sz w:val="24"/>
          <w:szCs w:val="24"/>
          <w:highlight w:val="none"/>
        </w:rPr>
        <w:t>（</w:t>
      </w:r>
      <w:r>
        <w:rPr>
          <w:rFonts w:hint="default" w:ascii="Times New Roman" w:hAnsi="Times New Roman" w:eastAsia="黑体" w:cs="Times New Roman"/>
          <w:b w:val="0"/>
          <w:color w:val="auto"/>
          <w:sz w:val="24"/>
          <w:szCs w:val="24"/>
          <w:highlight w:val="none"/>
          <w:lang w:eastAsia="zh-CN"/>
        </w:rPr>
        <w:t>七</w:t>
      </w:r>
      <w:r>
        <w:rPr>
          <w:rFonts w:hint="default" w:ascii="Times New Roman" w:hAnsi="Times New Roman" w:eastAsia="黑体" w:cs="Times New Roman"/>
          <w:b w:val="0"/>
          <w:color w:val="auto"/>
          <w:sz w:val="24"/>
          <w:szCs w:val="24"/>
          <w:highlight w:val="none"/>
        </w:rPr>
        <w:t>）拟委任的其他管理和技术人员汇总表</w:t>
      </w:r>
      <w:r>
        <w:rPr>
          <w:rFonts w:hint="default" w:ascii="Times New Roman" w:hAnsi="Times New Roman" w:eastAsia="黑体" w:cs="Times New Roman"/>
          <w:b w:val="0"/>
          <w:color w:val="auto"/>
          <w:sz w:val="24"/>
          <w:szCs w:val="24"/>
          <w:highlight w:val="none"/>
          <w:vertAlign w:val="superscript"/>
        </w:rPr>
        <w:footnoteReference w:id="52"/>
      </w:r>
      <w:bookmarkEnd w:id="1704"/>
      <w:bookmarkEnd w:id="1705"/>
      <w:bookmarkEnd w:id="1706"/>
    </w:p>
    <w:p w14:paraId="55ED1300">
      <w:pPr>
        <w:pageBreakBefore w:val="0"/>
        <w:kinsoku/>
        <w:wordWrap w:val="0"/>
        <w:bidi w:val="0"/>
        <w:spacing w:line="400" w:lineRule="atLeast"/>
        <w:rPr>
          <w:rFonts w:hint="default" w:ascii="Times New Roman" w:hAnsi="Times New Roman" w:cs="Times New Roman"/>
          <w:color w:val="auto"/>
          <w:sz w:val="24"/>
          <w:highlight w:val="none"/>
        </w:rPr>
      </w:pP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3"/>
        <w:gridCol w:w="926"/>
        <w:gridCol w:w="2682"/>
        <w:gridCol w:w="1101"/>
        <w:gridCol w:w="1307"/>
        <w:gridCol w:w="1942"/>
      </w:tblGrid>
      <w:tr w14:paraId="0CB87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933" w:type="dxa"/>
            <w:noWrap w:val="0"/>
            <w:vAlign w:val="center"/>
          </w:tcPr>
          <w:p w14:paraId="46A0EF44">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姓名</w:t>
            </w:r>
          </w:p>
        </w:tc>
        <w:tc>
          <w:tcPr>
            <w:tcW w:w="926" w:type="dxa"/>
            <w:noWrap w:val="0"/>
            <w:vAlign w:val="center"/>
          </w:tcPr>
          <w:p w14:paraId="45ACA244">
            <w:pPr>
              <w:pStyle w:val="76"/>
              <w:pageBreakBefore w:val="0"/>
              <w:kinsoku/>
              <w:wordWrap w:val="0"/>
              <w:autoSpaceDE/>
              <w:autoSpaceDN/>
              <w:bidi w:val="0"/>
              <w:adjustRightInd/>
              <w:snapToGrid/>
              <w:spacing w:line="400" w:lineRule="atLeast"/>
              <w:textAlignment w:val="auto"/>
              <w:rPr>
                <w:rFonts w:hint="default" w:ascii="Times New Roman" w:hAnsi="Times New Roman" w:cs="Times New Roman"/>
                <w:color w:val="auto"/>
                <w:spacing w:val="0"/>
                <w:kern w:val="2"/>
                <w:szCs w:val="21"/>
                <w:highlight w:val="none"/>
              </w:rPr>
            </w:pPr>
            <w:r>
              <w:rPr>
                <w:rFonts w:hint="default" w:ascii="Times New Roman" w:hAnsi="Times New Roman" w:cs="Times New Roman"/>
                <w:color w:val="auto"/>
                <w:spacing w:val="0"/>
                <w:kern w:val="2"/>
                <w:szCs w:val="21"/>
                <w:highlight w:val="none"/>
              </w:rPr>
              <w:t>年龄</w:t>
            </w:r>
          </w:p>
        </w:tc>
        <w:tc>
          <w:tcPr>
            <w:tcW w:w="2682" w:type="dxa"/>
            <w:noWrap w:val="0"/>
            <w:vAlign w:val="center"/>
          </w:tcPr>
          <w:p w14:paraId="76973EE8">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拟在本标段工程任职</w:t>
            </w:r>
          </w:p>
        </w:tc>
        <w:tc>
          <w:tcPr>
            <w:tcW w:w="1101" w:type="dxa"/>
            <w:noWrap w:val="0"/>
            <w:vAlign w:val="center"/>
          </w:tcPr>
          <w:p w14:paraId="6185B6A4">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技术职称</w:t>
            </w:r>
          </w:p>
        </w:tc>
        <w:tc>
          <w:tcPr>
            <w:tcW w:w="1307" w:type="dxa"/>
            <w:noWrap w:val="0"/>
            <w:vAlign w:val="center"/>
          </w:tcPr>
          <w:p w14:paraId="616E1FBA">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工作年限</w:t>
            </w:r>
          </w:p>
        </w:tc>
        <w:tc>
          <w:tcPr>
            <w:tcW w:w="1942" w:type="dxa"/>
            <w:noWrap w:val="0"/>
            <w:vAlign w:val="center"/>
          </w:tcPr>
          <w:p w14:paraId="4B3FF7AE">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类似施工经验年限</w:t>
            </w:r>
          </w:p>
        </w:tc>
      </w:tr>
      <w:tr w14:paraId="1469E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933" w:type="dxa"/>
            <w:noWrap w:val="0"/>
            <w:vAlign w:val="center"/>
          </w:tcPr>
          <w:p w14:paraId="79A52437">
            <w:pPr>
              <w:pageBreakBefore w:val="0"/>
              <w:kinsoku/>
              <w:wordWrap w:val="0"/>
              <w:bidi w:val="0"/>
              <w:spacing w:line="400" w:lineRule="atLeast"/>
              <w:jc w:val="center"/>
              <w:rPr>
                <w:rFonts w:hint="default" w:ascii="Times New Roman" w:hAnsi="Times New Roman" w:cs="Times New Roman"/>
                <w:color w:val="auto"/>
                <w:highlight w:val="none"/>
              </w:rPr>
            </w:pPr>
          </w:p>
        </w:tc>
        <w:tc>
          <w:tcPr>
            <w:tcW w:w="926" w:type="dxa"/>
            <w:noWrap w:val="0"/>
            <w:vAlign w:val="center"/>
          </w:tcPr>
          <w:p w14:paraId="736E2C3A">
            <w:pPr>
              <w:pageBreakBefore w:val="0"/>
              <w:kinsoku/>
              <w:wordWrap w:val="0"/>
              <w:bidi w:val="0"/>
              <w:spacing w:line="400" w:lineRule="atLeast"/>
              <w:jc w:val="center"/>
              <w:rPr>
                <w:rFonts w:hint="default" w:ascii="Times New Roman" w:hAnsi="Times New Roman" w:cs="Times New Roman"/>
                <w:color w:val="auto"/>
                <w:highlight w:val="none"/>
              </w:rPr>
            </w:pPr>
          </w:p>
        </w:tc>
        <w:tc>
          <w:tcPr>
            <w:tcW w:w="2682" w:type="dxa"/>
            <w:noWrap w:val="0"/>
            <w:vAlign w:val="center"/>
          </w:tcPr>
          <w:p w14:paraId="3CF781CC">
            <w:pPr>
              <w:pageBreakBefore w:val="0"/>
              <w:kinsoku/>
              <w:wordWrap w:val="0"/>
              <w:bidi w:val="0"/>
              <w:spacing w:line="400" w:lineRule="atLeast"/>
              <w:jc w:val="center"/>
              <w:rPr>
                <w:rFonts w:hint="default" w:ascii="Times New Roman" w:hAnsi="Times New Roman" w:cs="Times New Roman"/>
                <w:color w:val="auto"/>
                <w:highlight w:val="none"/>
              </w:rPr>
            </w:pPr>
          </w:p>
        </w:tc>
        <w:tc>
          <w:tcPr>
            <w:tcW w:w="1101" w:type="dxa"/>
            <w:noWrap w:val="0"/>
            <w:vAlign w:val="center"/>
          </w:tcPr>
          <w:p w14:paraId="19D62083">
            <w:pPr>
              <w:pageBreakBefore w:val="0"/>
              <w:kinsoku/>
              <w:wordWrap w:val="0"/>
              <w:bidi w:val="0"/>
              <w:spacing w:line="400" w:lineRule="atLeast"/>
              <w:jc w:val="center"/>
              <w:rPr>
                <w:rFonts w:hint="default" w:ascii="Times New Roman" w:hAnsi="Times New Roman" w:cs="Times New Roman"/>
                <w:color w:val="auto"/>
                <w:highlight w:val="none"/>
              </w:rPr>
            </w:pPr>
          </w:p>
        </w:tc>
        <w:tc>
          <w:tcPr>
            <w:tcW w:w="1307" w:type="dxa"/>
            <w:noWrap w:val="0"/>
            <w:vAlign w:val="center"/>
          </w:tcPr>
          <w:p w14:paraId="18A77816">
            <w:pPr>
              <w:pageBreakBefore w:val="0"/>
              <w:kinsoku/>
              <w:wordWrap w:val="0"/>
              <w:bidi w:val="0"/>
              <w:spacing w:line="400" w:lineRule="atLeast"/>
              <w:jc w:val="center"/>
              <w:rPr>
                <w:rFonts w:hint="default" w:ascii="Times New Roman" w:hAnsi="Times New Roman" w:cs="Times New Roman"/>
                <w:color w:val="auto"/>
                <w:highlight w:val="none"/>
              </w:rPr>
            </w:pPr>
          </w:p>
        </w:tc>
        <w:tc>
          <w:tcPr>
            <w:tcW w:w="1942" w:type="dxa"/>
            <w:noWrap w:val="0"/>
            <w:vAlign w:val="center"/>
          </w:tcPr>
          <w:p w14:paraId="1F2081AA">
            <w:pPr>
              <w:pageBreakBefore w:val="0"/>
              <w:kinsoku/>
              <w:wordWrap w:val="0"/>
              <w:bidi w:val="0"/>
              <w:spacing w:line="400" w:lineRule="atLeast"/>
              <w:jc w:val="center"/>
              <w:rPr>
                <w:rFonts w:hint="default" w:ascii="Times New Roman" w:hAnsi="Times New Roman" w:cs="Times New Roman"/>
                <w:color w:val="auto"/>
                <w:highlight w:val="none"/>
              </w:rPr>
            </w:pPr>
          </w:p>
        </w:tc>
      </w:tr>
      <w:tr w14:paraId="129D2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933" w:type="dxa"/>
            <w:noWrap w:val="0"/>
            <w:vAlign w:val="center"/>
          </w:tcPr>
          <w:p w14:paraId="31AFCCAF">
            <w:pPr>
              <w:pageBreakBefore w:val="0"/>
              <w:kinsoku/>
              <w:wordWrap w:val="0"/>
              <w:bidi w:val="0"/>
              <w:spacing w:line="400" w:lineRule="atLeast"/>
              <w:jc w:val="center"/>
              <w:rPr>
                <w:rFonts w:hint="default" w:ascii="Times New Roman" w:hAnsi="Times New Roman" w:cs="Times New Roman"/>
                <w:color w:val="auto"/>
                <w:highlight w:val="none"/>
              </w:rPr>
            </w:pPr>
          </w:p>
        </w:tc>
        <w:tc>
          <w:tcPr>
            <w:tcW w:w="926" w:type="dxa"/>
            <w:noWrap w:val="0"/>
            <w:vAlign w:val="center"/>
          </w:tcPr>
          <w:p w14:paraId="4921EAA1">
            <w:pPr>
              <w:pageBreakBefore w:val="0"/>
              <w:kinsoku/>
              <w:wordWrap w:val="0"/>
              <w:bidi w:val="0"/>
              <w:spacing w:line="400" w:lineRule="atLeast"/>
              <w:jc w:val="center"/>
              <w:rPr>
                <w:rFonts w:hint="default" w:ascii="Times New Roman" w:hAnsi="Times New Roman" w:cs="Times New Roman"/>
                <w:color w:val="auto"/>
                <w:highlight w:val="none"/>
              </w:rPr>
            </w:pPr>
          </w:p>
        </w:tc>
        <w:tc>
          <w:tcPr>
            <w:tcW w:w="2682" w:type="dxa"/>
            <w:noWrap w:val="0"/>
            <w:vAlign w:val="center"/>
          </w:tcPr>
          <w:p w14:paraId="3F1104E0">
            <w:pPr>
              <w:pageBreakBefore w:val="0"/>
              <w:kinsoku/>
              <w:wordWrap w:val="0"/>
              <w:bidi w:val="0"/>
              <w:spacing w:line="400" w:lineRule="atLeast"/>
              <w:jc w:val="center"/>
              <w:rPr>
                <w:rFonts w:hint="default" w:ascii="Times New Roman" w:hAnsi="Times New Roman" w:cs="Times New Roman"/>
                <w:color w:val="auto"/>
                <w:highlight w:val="none"/>
              </w:rPr>
            </w:pPr>
          </w:p>
        </w:tc>
        <w:tc>
          <w:tcPr>
            <w:tcW w:w="1101" w:type="dxa"/>
            <w:noWrap w:val="0"/>
            <w:vAlign w:val="center"/>
          </w:tcPr>
          <w:p w14:paraId="5E849BE5">
            <w:pPr>
              <w:pageBreakBefore w:val="0"/>
              <w:kinsoku/>
              <w:wordWrap w:val="0"/>
              <w:bidi w:val="0"/>
              <w:spacing w:line="400" w:lineRule="atLeast"/>
              <w:jc w:val="center"/>
              <w:rPr>
                <w:rFonts w:hint="default" w:ascii="Times New Roman" w:hAnsi="Times New Roman" w:cs="Times New Roman"/>
                <w:color w:val="auto"/>
                <w:highlight w:val="none"/>
              </w:rPr>
            </w:pPr>
          </w:p>
        </w:tc>
        <w:tc>
          <w:tcPr>
            <w:tcW w:w="1307" w:type="dxa"/>
            <w:noWrap w:val="0"/>
            <w:vAlign w:val="center"/>
          </w:tcPr>
          <w:p w14:paraId="4FCE431A">
            <w:pPr>
              <w:pageBreakBefore w:val="0"/>
              <w:kinsoku/>
              <w:wordWrap w:val="0"/>
              <w:bidi w:val="0"/>
              <w:spacing w:line="400" w:lineRule="atLeast"/>
              <w:jc w:val="center"/>
              <w:rPr>
                <w:rFonts w:hint="default" w:ascii="Times New Roman" w:hAnsi="Times New Roman" w:cs="Times New Roman"/>
                <w:color w:val="auto"/>
                <w:highlight w:val="none"/>
              </w:rPr>
            </w:pPr>
          </w:p>
        </w:tc>
        <w:tc>
          <w:tcPr>
            <w:tcW w:w="1942" w:type="dxa"/>
            <w:noWrap w:val="0"/>
            <w:vAlign w:val="center"/>
          </w:tcPr>
          <w:p w14:paraId="53011F10">
            <w:pPr>
              <w:pageBreakBefore w:val="0"/>
              <w:kinsoku/>
              <w:wordWrap w:val="0"/>
              <w:bidi w:val="0"/>
              <w:spacing w:line="400" w:lineRule="atLeast"/>
              <w:jc w:val="center"/>
              <w:rPr>
                <w:rFonts w:hint="default" w:ascii="Times New Roman" w:hAnsi="Times New Roman" w:cs="Times New Roman"/>
                <w:color w:val="auto"/>
                <w:highlight w:val="none"/>
              </w:rPr>
            </w:pPr>
          </w:p>
        </w:tc>
      </w:tr>
      <w:tr w14:paraId="0481A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933" w:type="dxa"/>
            <w:noWrap w:val="0"/>
            <w:vAlign w:val="center"/>
          </w:tcPr>
          <w:p w14:paraId="7F558560">
            <w:pPr>
              <w:pageBreakBefore w:val="0"/>
              <w:kinsoku/>
              <w:wordWrap w:val="0"/>
              <w:bidi w:val="0"/>
              <w:spacing w:line="400" w:lineRule="atLeast"/>
              <w:jc w:val="center"/>
              <w:rPr>
                <w:rFonts w:hint="default" w:ascii="Times New Roman" w:hAnsi="Times New Roman" w:cs="Times New Roman"/>
                <w:color w:val="auto"/>
                <w:highlight w:val="none"/>
              </w:rPr>
            </w:pPr>
          </w:p>
        </w:tc>
        <w:tc>
          <w:tcPr>
            <w:tcW w:w="926" w:type="dxa"/>
            <w:noWrap w:val="0"/>
            <w:vAlign w:val="center"/>
          </w:tcPr>
          <w:p w14:paraId="24E587B8">
            <w:pPr>
              <w:pageBreakBefore w:val="0"/>
              <w:kinsoku/>
              <w:wordWrap w:val="0"/>
              <w:bidi w:val="0"/>
              <w:spacing w:line="400" w:lineRule="atLeast"/>
              <w:jc w:val="center"/>
              <w:rPr>
                <w:rFonts w:hint="default" w:ascii="Times New Roman" w:hAnsi="Times New Roman" w:cs="Times New Roman"/>
                <w:color w:val="auto"/>
                <w:highlight w:val="none"/>
              </w:rPr>
            </w:pPr>
          </w:p>
        </w:tc>
        <w:tc>
          <w:tcPr>
            <w:tcW w:w="2682" w:type="dxa"/>
            <w:noWrap w:val="0"/>
            <w:vAlign w:val="center"/>
          </w:tcPr>
          <w:p w14:paraId="2BEA3A98">
            <w:pPr>
              <w:pageBreakBefore w:val="0"/>
              <w:kinsoku/>
              <w:wordWrap w:val="0"/>
              <w:bidi w:val="0"/>
              <w:spacing w:line="400" w:lineRule="atLeast"/>
              <w:jc w:val="center"/>
              <w:rPr>
                <w:rFonts w:hint="default" w:ascii="Times New Roman" w:hAnsi="Times New Roman" w:cs="Times New Roman"/>
                <w:color w:val="auto"/>
                <w:highlight w:val="none"/>
              </w:rPr>
            </w:pPr>
          </w:p>
        </w:tc>
        <w:tc>
          <w:tcPr>
            <w:tcW w:w="1101" w:type="dxa"/>
            <w:noWrap w:val="0"/>
            <w:vAlign w:val="center"/>
          </w:tcPr>
          <w:p w14:paraId="0F51B9A7">
            <w:pPr>
              <w:pageBreakBefore w:val="0"/>
              <w:kinsoku/>
              <w:wordWrap w:val="0"/>
              <w:bidi w:val="0"/>
              <w:spacing w:line="400" w:lineRule="atLeast"/>
              <w:jc w:val="center"/>
              <w:rPr>
                <w:rFonts w:hint="default" w:ascii="Times New Roman" w:hAnsi="Times New Roman" w:cs="Times New Roman"/>
                <w:color w:val="auto"/>
                <w:highlight w:val="none"/>
              </w:rPr>
            </w:pPr>
          </w:p>
        </w:tc>
        <w:tc>
          <w:tcPr>
            <w:tcW w:w="1307" w:type="dxa"/>
            <w:noWrap w:val="0"/>
            <w:vAlign w:val="center"/>
          </w:tcPr>
          <w:p w14:paraId="63DB19D6">
            <w:pPr>
              <w:pageBreakBefore w:val="0"/>
              <w:kinsoku/>
              <w:wordWrap w:val="0"/>
              <w:bidi w:val="0"/>
              <w:spacing w:line="400" w:lineRule="atLeast"/>
              <w:jc w:val="center"/>
              <w:rPr>
                <w:rFonts w:hint="default" w:ascii="Times New Roman" w:hAnsi="Times New Roman" w:cs="Times New Roman"/>
                <w:color w:val="auto"/>
                <w:highlight w:val="none"/>
              </w:rPr>
            </w:pPr>
          </w:p>
        </w:tc>
        <w:tc>
          <w:tcPr>
            <w:tcW w:w="1942" w:type="dxa"/>
            <w:noWrap w:val="0"/>
            <w:vAlign w:val="center"/>
          </w:tcPr>
          <w:p w14:paraId="0C1FF758">
            <w:pPr>
              <w:pageBreakBefore w:val="0"/>
              <w:kinsoku/>
              <w:wordWrap w:val="0"/>
              <w:bidi w:val="0"/>
              <w:spacing w:line="400" w:lineRule="atLeast"/>
              <w:jc w:val="center"/>
              <w:rPr>
                <w:rFonts w:hint="default" w:ascii="Times New Roman" w:hAnsi="Times New Roman" w:cs="Times New Roman"/>
                <w:color w:val="auto"/>
                <w:highlight w:val="none"/>
              </w:rPr>
            </w:pPr>
          </w:p>
        </w:tc>
      </w:tr>
      <w:tr w14:paraId="02152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933" w:type="dxa"/>
            <w:noWrap w:val="0"/>
            <w:vAlign w:val="center"/>
          </w:tcPr>
          <w:p w14:paraId="0425706F">
            <w:pPr>
              <w:pageBreakBefore w:val="0"/>
              <w:kinsoku/>
              <w:wordWrap w:val="0"/>
              <w:bidi w:val="0"/>
              <w:spacing w:line="400" w:lineRule="atLeast"/>
              <w:jc w:val="center"/>
              <w:rPr>
                <w:rFonts w:hint="default" w:ascii="Times New Roman" w:hAnsi="Times New Roman" w:cs="Times New Roman"/>
                <w:color w:val="auto"/>
                <w:highlight w:val="none"/>
              </w:rPr>
            </w:pPr>
          </w:p>
        </w:tc>
        <w:tc>
          <w:tcPr>
            <w:tcW w:w="926" w:type="dxa"/>
            <w:noWrap w:val="0"/>
            <w:vAlign w:val="center"/>
          </w:tcPr>
          <w:p w14:paraId="6CD362DF">
            <w:pPr>
              <w:pageBreakBefore w:val="0"/>
              <w:kinsoku/>
              <w:wordWrap w:val="0"/>
              <w:bidi w:val="0"/>
              <w:spacing w:line="400" w:lineRule="atLeast"/>
              <w:jc w:val="center"/>
              <w:rPr>
                <w:rFonts w:hint="default" w:ascii="Times New Roman" w:hAnsi="Times New Roman" w:cs="Times New Roman"/>
                <w:color w:val="auto"/>
                <w:highlight w:val="none"/>
              </w:rPr>
            </w:pPr>
          </w:p>
        </w:tc>
        <w:tc>
          <w:tcPr>
            <w:tcW w:w="2682" w:type="dxa"/>
            <w:noWrap w:val="0"/>
            <w:vAlign w:val="center"/>
          </w:tcPr>
          <w:p w14:paraId="28EF59CE">
            <w:pPr>
              <w:pageBreakBefore w:val="0"/>
              <w:kinsoku/>
              <w:wordWrap w:val="0"/>
              <w:bidi w:val="0"/>
              <w:spacing w:line="400" w:lineRule="atLeast"/>
              <w:jc w:val="center"/>
              <w:rPr>
                <w:rFonts w:hint="default" w:ascii="Times New Roman" w:hAnsi="Times New Roman" w:cs="Times New Roman"/>
                <w:color w:val="auto"/>
                <w:highlight w:val="none"/>
              </w:rPr>
            </w:pPr>
          </w:p>
        </w:tc>
        <w:tc>
          <w:tcPr>
            <w:tcW w:w="1101" w:type="dxa"/>
            <w:noWrap w:val="0"/>
            <w:vAlign w:val="center"/>
          </w:tcPr>
          <w:p w14:paraId="30CAF5D0">
            <w:pPr>
              <w:pageBreakBefore w:val="0"/>
              <w:kinsoku/>
              <w:wordWrap w:val="0"/>
              <w:bidi w:val="0"/>
              <w:spacing w:line="400" w:lineRule="atLeast"/>
              <w:jc w:val="center"/>
              <w:rPr>
                <w:rFonts w:hint="default" w:ascii="Times New Roman" w:hAnsi="Times New Roman" w:cs="Times New Roman"/>
                <w:color w:val="auto"/>
                <w:highlight w:val="none"/>
              </w:rPr>
            </w:pPr>
          </w:p>
        </w:tc>
        <w:tc>
          <w:tcPr>
            <w:tcW w:w="1307" w:type="dxa"/>
            <w:noWrap w:val="0"/>
            <w:vAlign w:val="center"/>
          </w:tcPr>
          <w:p w14:paraId="001171B4">
            <w:pPr>
              <w:pageBreakBefore w:val="0"/>
              <w:kinsoku/>
              <w:wordWrap w:val="0"/>
              <w:bidi w:val="0"/>
              <w:spacing w:line="400" w:lineRule="atLeast"/>
              <w:jc w:val="center"/>
              <w:rPr>
                <w:rFonts w:hint="default" w:ascii="Times New Roman" w:hAnsi="Times New Roman" w:cs="Times New Roman"/>
                <w:color w:val="auto"/>
                <w:highlight w:val="none"/>
              </w:rPr>
            </w:pPr>
          </w:p>
        </w:tc>
        <w:tc>
          <w:tcPr>
            <w:tcW w:w="1942" w:type="dxa"/>
            <w:noWrap w:val="0"/>
            <w:vAlign w:val="center"/>
          </w:tcPr>
          <w:p w14:paraId="74EC3426">
            <w:pPr>
              <w:pageBreakBefore w:val="0"/>
              <w:kinsoku/>
              <w:wordWrap w:val="0"/>
              <w:bidi w:val="0"/>
              <w:spacing w:line="400" w:lineRule="atLeast"/>
              <w:jc w:val="center"/>
              <w:rPr>
                <w:rFonts w:hint="default" w:ascii="Times New Roman" w:hAnsi="Times New Roman" w:cs="Times New Roman"/>
                <w:color w:val="auto"/>
                <w:highlight w:val="none"/>
              </w:rPr>
            </w:pPr>
          </w:p>
        </w:tc>
      </w:tr>
      <w:tr w14:paraId="0A744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933" w:type="dxa"/>
            <w:noWrap w:val="0"/>
            <w:vAlign w:val="center"/>
          </w:tcPr>
          <w:p w14:paraId="23DC30EA">
            <w:pPr>
              <w:pageBreakBefore w:val="0"/>
              <w:kinsoku/>
              <w:wordWrap w:val="0"/>
              <w:bidi w:val="0"/>
              <w:spacing w:line="400" w:lineRule="atLeast"/>
              <w:jc w:val="center"/>
              <w:rPr>
                <w:rFonts w:hint="default" w:ascii="Times New Roman" w:hAnsi="Times New Roman" w:cs="Times New Roman"/>
                <w:color w:val="auto"/>
                <w:highlight w:val="none"/>
              </w:rPr>
            </w:pPr>
          </w:p>
        </w:tc>
        <w:tc>
          <w:tcPr>
            <w:tcW w:w="926" w:type="dxa"/>
            <w:noWrap w:val="0"/>
            <w:vAlign w:val="center"/>
          </w:tcPr>
          <w:p w14:paraId="668FF0DC">
            <w:pPr>
              <w:pageBreakBefore w:val="0"/>
              <w:kinsoku/>
              <w:wordWrap w:val="0"/>
              <w:bidi w:val="0"/>
              <w:spacing w:line="400" w:lineRule="atLeast"/>
              <w:jc w:val="center"/>
              <w:rPr>
                <w:rFonts w:hint="default" w:ascii="Times New Roman" w:hAnsi="Times New Roman" w:cs="Times New Roman"/>
                <w:color w:val="auto"/>
                <w:highlight w:val="none"/>
              </w:rPr>
            </w:pPr>
          </w:p>
        </w:tc>
        <w:tc>
          <w:tcPr>
            <w:tcW w:w="2682" w:type="dxa"/>
            <w:noWrap w:val="0"/>
            <w:vAlign w:val="center"/>
          </w:tcPr>
          <w:p w14:paraId="15602679">
            <w:pPr>
              <w:pageBreakBefore w:val="0"/>
              <w:kinsoku/>
              <w:wordWrap w:val="0"/>
              <w:bidi w:val="0"/>
              <w:spacing w:line="400" w:lineRule="atLeast"/>
              <w:jc w:val="center"/>
              <w:rPr>
                <w:rFonts w:hint="default" w:ascii="Times New Roman" w:hAnsi="Times New Roman" w:cs="Times New Roman"/>
                <w:color w:val="auto"/>
                <w:highlight w:val="none"/>
              </w:rPr>
            </w:pPr>
          </w:p>
        </w:tc>
        <w:tc>
          <w:tcPr>
            <w:tcW w:w="1101" w:type="dxa"/>
            <w:noWrap w:val="0"/>
            <w:vAlign w:val="center"/>
          </w:tcPr>
          <w:p w14:paraId="4DFC1CB6">
            <w:pPr>
              <w:pageBreakBefore w:val="0"/>
              <w:kinsoku/>
              <w:wordWrap w:val="0"/>
              <w:bidi w:val="0"/>
              <w:spacing w:line="400" w:lineRule="atLeast"/>
              <w:jc w:val="center"/>
              <w:rPr>
                <w:rFonts w:hint="default" w:ascii="Times New Roman" w:hAnsi="Times New Roman" w:cs="Times New Roman"/>
                <w:color w:val="auto"/>
                <w:highlight w:val="none"/>
              </w:rPr>
            </w:pPr>
          </w:p>
        </w:tc>
        <w:tc>
          <w:tcPr>
            <w:tcW w:w="1307" w:type="dxa"/>
            <w:noWrap w:val="0"/>
            <w:vAlign w:val="center"/>
          </w:tcPr>
          <w:p w14:paraId="78C00A6C">
            <w:pPr>
              <w:pageBreakBefore w:val="0"/>
              <w:kinsoku/>
              <w:wordWrap w:val="0"/>
              <w:bidi w:val="0"/>
              <w:spacing w:line="400" w:lineRule="atLeast"/>
              <w:jc w:val="center"/>
              <w:rPr>
                <w:rFonts w:hint="default" w:ascii="Times New Roman" w:hAnsi="Times New Roman" w:cs="Times New Roman"/>
                <w:color w:val="auto"/>
                <w:highlight w:val="none"/>
              </w:rPr>
            </w:pPr>
          </w:p>
        </w:tc>
        <w:tc>
          <w:tcPr>
            <w:tcW w:w="1942" w:type="dxa"/>
            <w:noWrap w:val="0"/>
            <w:vAlign w:val="center"/>
          </w:tcPr>
          <w:p w14:paraId="58D4AAE0">
            <w:pPr>
              <w:pageBreakBefore w:val="0"/>
              <w:kinsoku/>
              <w:wordWrap w:val="0"/>
              <w:bidi w:val="0"/>
              <w:spacing w:line="400" w:lineRule="atLeast"/>
              <w:jc w:val="center"/>
              <w:rPr>
                <w:rFonts w:hint="default" w:ascii="Times New Roman" w:hAnsi="Times New Roman" w:cs="Times New Roman"/>
                <w:color w:val="auto"/>
                <w:highlight w:val="none"/>
              </w:rPr>
            </w:pPr>
          </w:p>
        </w:tc>
      </w:tr>
      <w:tr w14:paraId="4A35D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933" w:type="dxa"/>
            <w:noWrap w:val="0"/>
            <w:vAlign w:val="center"/>
          </w:tcPr>
          <w:p w14:paraId="7F531213">
            <w:pPr>
              <w:pageBreakBefore w:val="0"/>
              <w:kinsoku/>
              <w:wordWrap w:val="0"/>
              <w:bidi w:val="0"/>
              <w:spacing w:line="400" w:lineRule="atLeast"/>
              <w:jc w:val="center"/>
              <w:rPr>
                <w:rFonts w:hint="default" w:ascii="Times New Roman" w:hAnsi="Times New Roman" w:cs="Times New Roman"/>
                <w:color w:val="auto"/>
                <w:highlight w:val="none"/>
              </w:rPr>
            </w:pPr>
          </w:p>
        </w:tc>
        <w:tc>
          <w:tcPr>
            <w:tcW w:w="926" w:type="dxa"/>
            <w:noWrap w:val="0"/>
            <w:vAlign w:val="center"/>
          </w:tcPr>
          <w:p w14:paraId="5B7A1AE9">
            <w:pPr>
              <w:pageBreakBefore w:val="0"/>
              <w:kinsoku/>
              <w:wordWrap w:val="0"/>
              <w:bidi w:val="0"/>
              <w:spacing w:line="400" w:lineRule="atLeast"/>
              <w:jc w:val="center"/>
              <w:rPr>
                <w:rFonts w:hint="default" w:ascii="Times New Roman" w:hAnsi="Times New Roman" w:cs="Times New Roman"/>
                <w:color w:val="auto"/>
                <w:highlight w:val="none"/>
              </w:rPr>
            </w:pPr>
          </w:p>
        </w:tc>
        <w:tc>
          <w:tcPr>
            <w:tcW w:w="2682" w:type="dxa"/>
            <w:noWrap w:val="0"/>
            <w:vAlign w:val="center"/>
          </w:tcPr>
          <w:p w14:paraId="23D0A318">
            <w:pPr>
              <w:pageBreakBefore w:val="0"/>
              <w:kinsoku/>
              <w:wordWrap w:val="0"/>
              <w:bidi w:val="0"/>
              <w:spacing w:line="400" w:lineRule="atLeast"/>
              <w:jc w:val="center"/>
              <w:rPr>
                <w:rFonts w:hint="default" w:ascii="Times New Roman" w:hAnsi="Times New Roman" w:cs="Times New Roman"/>
                <w:color w:val="auto"/>
                <w:highlight w:val="none"/>
              </w:rPr>
            </w:pPr>
          </w:p>
        </w:tc>
        <w:tc>
          <w:tcPr>
            <w:tcW w:w="1101" w:type="dxa"/>
            <w:noWrap w:val="0"/>
            <w:vAlign w:val="center"/>
          </w:tcPr>
          <w:p w14:paraId="615674C7">
            <w:pPr>
              <w:pageBreakBefore w:val="0"/>
              <w:kinsoku/>
              <w:wordWrap w:val="0"/>
              <w:bidi w:val="0"/>
              <w:spacing w:line="400" w:lineRule="atLeast"/>
              <w:jc w:val="center"/>
              <w:rPr>
                <w:rFonts w:hint="default" w:ascii="Times New Roman" w:hAnsi="Times New Roman" w:cs="Times New Roman"/>
                <w:color w:val="auto"/>
                <w:highlight w:val="none"/>
              </w:rPr>
            </w:pPr>
          </w:p>
        </w:tc>
        <w:tc>
          <w:tcPr>
            <w:tcW w:w="1307" w:type="dxa"/>
            <w:noWrap w:val="0"/>
            <w:vAlign w:val="center"/>
          </w:tcPr>
          <w:p w14:paraId="677D0E70">
            <w:pPr>
              <w:pageBreakBefore w:val="0"/>
              <w:kinsoku/>
              <w:wordWrap w:val="0"/>
              <w:bidi w:val="0"/>
              <w:spacing w:line="400" w:lineRule="atLeast"/>
              <w:jc w:val="center"/>
              <w:rPr>
                <w:rFonts w:hint="default" w:ascii="Times New Roman" w:hAnsi="Times New Roman" w:cs="Times New Roman"/>
                <w:color w:val="auto"/>
                <w:highlight w:val="none"/>
              </w:rPr>
            </w:pPr>
          </w:p>
        </w:tc>
        <w:tc>
          <w:tcPr>
            <w:tcW w:w="1942" w:type="dxa"/>
            <w:noWrap w:val="0"/>
            <w:vAlign w:val="center"/>
          </w:tcPr>
          <w:p w14:paraId="5E413DD5">
            <w:pPr>
              <w:pageBreakBefore w:val="0"/>
              <w:kinsoku/>
              <w:wordWrap w:val="0"/>
              <w:bidi w:val="0"/>
              <w:spacing w:line="400" w:lineRule="atLeast"/>
              <w:jc w:val="center"/>
              <w:rPr>
                <w:rFonts w:hint="default" w:ascii="Times New Roman" w:hAnsi="Times New Roman" w:cs="Times New Roman"/>
                <w:color w:val="auto"/>
                <w:highlight w:val="none"/>
              </w:rPr>
            </w:pPr>
          </w:p>
        </w:tc>
      </w:tr>
      <w:tr w14:paraId="393BC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933" w:type="dxa"/>
            <w:noWrap w:val="0"/>
            <w:vAlign w:val="center"/>
          </w:tcPr>
          <w:p w14:paraId="1B6676E3">
            <w:pPr>
              <w:pageBreakBefore w:val="0"/>
              <w:kinsoku/>
              <w:wordWrap w:val="0"/>
              <w:bidi w:val="0"/>
              <w:spacing w:line="400" w:lineRule="atLeast"/>
              <w:jc w:val="center"/>
              <w:rPr>
                <w:rFonts w:hint="default" w:ascii="Times New Roman" w:hAnsi="Times New Roman" w:cs="Times New Roman"/>
                <w:color w:val="auto"/>
                <w:highlight w:val="none"/>
              </w:rPr>
            </w:pPr>
          </w:p>
        </w:tc>
        <w:tc>
          <w:tcPr>
            <w:tcW w:w="926" w:type="dxa"/>
            <w:noWrap w:val="0"/>
            <w:vAlign w:val="center"/>
          </w:tcPr>
          <w:p w14:paraId="20DAA939">
            <w:pPr>
              <w:pageBreakBefore w:val="0"/>
              <w:kinsoku/>
              <w:wordWrap w:val="0"/>
              <w:bidi w:val="0"/>
              <w:spacing w:line="400" w:lineRule="atLeast"/>
              <w:jc w:val="center"/>
              <w:rPr>
                <w:rFonts w:hint="default" w:ascii="Times New Roman" w:hAnsi="Times New Roman" w:cs="Times New Roman"/>
                <w:color w:val="auto"/>
                <w:highlight w:val="none"/>
              </w:rPr>
            </w:pPr>
          </w:p>
        </w:tc>
        <w:tc>
          <w:tcPr>
            <w:tcW w:w="2682" w:type="dxa"/>
            <w:noWrap w:val="0"/>
            <w:vAlign w:val="center"/>
          </w:tcPr>
          <w:p w14:paraId="428BFBAA">
            <w:pPr>
              <w:pageBreakBefore w:val="0"/>
              <w:kinsoku/>
              <w:wordWrap w:val="0"/>
              <w:bidi w:val="0"/>
              <w:spacing w:line="400" w:lineRule="atLeast"/>
              <w:jc w:val="center"/>
              <w:rPr>
                <w:rFonts w:hint="default" w:ascii="Times New Roman" w:hAnsi="Times New Roman" w:cs="Times New Roman"/>
                <w:color w:val="auto"/>
                <w:highlight w:val="none"/>
              </w:rPr>
            </w:pPr>
          </w:p>
        </w:tc>
        <w:tc>
          <w:tcPr>
            <w:tcW w:w="1101" w:type="dxa"/>
            <w:noWrap w:val="0"/>
            <w:vAlign w:val="center"/>
          </w:tcPr>
          <w:p w14:paraId="1E803EEC">
            <w:pPr>
              <w:pageBreakBefore w:val="0"/>
              <w:kinsoku/>
              <w:wordWrap w:val="0"/>
              <w:bidi w:val="0"/>
              <w:spacing w:line="400" w:lineRule="atLeast"/>
              <w:jc w:val="center"/>
              <w:rPr>
                <w:rFonts w:hint="default" w:ascii="Times New Roman" w:hAnsi="Times New Roman" w:cs="Times New Roman"/>
                <w:color w:val="auto"/>
                <w:highlight w:val="none"/>
              </w:rPr>
            </w:pPr>
          </w:p>
        </w:tc>
        <w:tc>
          <w:tcPr>
            <w:tcW w:w="1307" w:type="dxa"/>
            <w:noWrap w:val="0"/>
            <w:vAlign w:val="center"/>
          </w:tcPr>
          <w:p w14:paraId="11CDB528">
            <w:pPr>
              <w:pageBreakBefore w:val="0"/>
              <w:kinsoku/>
              <w:wordWrap w:val="0"/>
              <w:bidi w:val="0"/>
              <w:spacing w:line="400" w:lineRule="atLeast"/>
              <w:jc w:val="center"/>
              <w:rPr>
                <w:rFonts w:hint="default" w:ascii="Times New Roman" w:hAnsi="Times New Roman" w:cs="Times New Roman"/>
                <w:color w:val="auto"/>
                <w:highlight w:val="none"/>
              </w:rPr>
            </w:pPr>
          </w:p>
        </w:tc>
        <w:tc>
          <w:tcPr>
            <w:tcW w:w="1942" w:type="dxa"/>
            <w:noWrap w:val="0"/>
            <w:vAlign w:val="center"/>
          </w:tcPr>
          <w:p w14:paraId="1D85C34E">
            <w:pPr>
              <w:pageBreakBefore w:val="0"/>
              <w:kinsoku/>
              <w:wordWrap w:val="0"/>
              <w:bidi w:val="0"/>
              <w:spacing w:line="400" w:lineRule="atLeast"/>
              <w:jc w:val="center"/>
              <w:rPr>
                <w:rFonts w:hint="default" w:ascii="Times New Roman" w:hAnsi="Times New Roman" w:cs="Times New Roman"/>
                <w:color w:val="auto"/>
                <w:highlight w:val="none"/>
              </w:rPr>
            </w:pPr>
          </w:p>
        </w:tc>
      </w:tr>
      <w:tr w14:paraId="7325A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933" w:type="dxa"/>
            <w:noWrap w:val="0"/>
            <w:vAlign w:val="center"/>
          </w:tcPr>
          <w:p w14:paraId="7D32E44A">
            <w:pPr>
              <w:pageBreakBefore w:val="0"/>
              <w:kinsoku/>
              <w:wordWrap w:val="0"/>
              <w:bidi w:val="0"/>
              <w:spacing w:line="400" w:lineRule="atLeast"/>
              <w:jc w:val="center"/>
              <w:rPr>
                <w:rFonts w:hint="default" w:ascii="Times New Roman" w:hAnsi="Times New Roman" w:cs="Times New Roman"/>
                <w:color w:val="auto"/>
                <w:highlight w:val="none"/>
              </w:rPr>
            </w:pPr>
          </w:p>
        </w:tc>
        <w:tc>
          <w:tcPr>
            <w:tcW w:w="926" w:type="dxa"/>
            <w:noWrap w:val="0"/>
            <w:vAlign w:val="center"/>
          </w:tcPr>
          <w:p w14:paraId="2A355724">
            <w:pPr>
              <w:pageBreakBefore w:val="0"/>
              <w:kinsoku/>
              <w:wordWrap w:val="0"/>
              <w:bidi w:val="0"/>
              <w:spacing w:line="400" w:lineRule="atLeast"/>
              <w:jc w:val="center"/>
              <w:rPr>
                <w:rFonts w:hint="default" w:ascii="Times New Roman" w:hAnsi="Times New Roman" w:cs="Times New Roman"/>
                <w:color w:val="auto"/>
                <w:highlight w:val="none"/>
              </w:rPr>
            </w:pPr>
          </w:p>
        </w:tc>
        <w:tc>
          <w:tcPr>
            <w:tcW w:w="2682" w:type="dxa"/>
            <w:noWrap w:val="0"/>
            <w:vAlign w:val="center"/>
          </w:tcPr>
          <w:p w14:paraId="0EC01A65">
            <w:pPr>
              <w:pageBreakBefore w:val="0"/>
              <w:kinsoku/>
              <w:wordWrap w:val="0"/>
              <w:bidi w:val="0"/>
              <w:spacing w:line="400" w:lineRule="atLeast"/>
              <w:jc w:val="center"/>
              <w:rPr>
                <w:rFonts w:hint="default" w:ascii="Times New Roman" w:hAnsi="Times New Roman" w:cs="Times New Roman"/>
                <w:color w:val="auto"/>
                <w:highlight w:val="none"/>
              </w:rPr>
            </w:pPr>
          </w:p>
        </w:tc>
        <w:tc>
          <w:tcPr>
            <w:tcW w:w="1101" w:type="dxa"/>
            <w:noWrap w:val="0"/>
            <w:vAlign w:val="center"/>
          </w:tcPr>
          <w:p w14:paraId="4AE05605">
            <w:pPr>
              <w:pageBreakBefore w:val="0"/>
              <w:kinsoku/>
              <w:wordWrap w:val="0"/>
              <w:bidi w:val="0"/>
              <w:spacing w:line="400" w:lineRule="atLeast"/>
              <w:jc w:val="center"/>
              <w:rPr>
                <w:rFonts w:hint="default" w:ascii="Times New Roman" w:hAnsi="Times New Roman" w:cs="Times New Roman"/>
                <w:color w:val="auto"/>
                <w:highlight w:val="none"/>
              </w:rPr>
            </w:pPr>
          </w:p>
        </w:tc>
        <w:tc>
          <w:tcPr>
            <w:tcW w:w="1307" w:type="dxa"/>
            <w:noWrap w:val="0"/>
            <w:vAlign w:val="center"/>
          </w:tcPr>
          <w:p w14:paraId="4995E385">
            <w:pPr>
              <w:pageBreakBefore w:val="0"/>
              <w:kinsoku/>
              <w:wordWrap w:val="0"/>
              <w:bidi w:val="0"/>
              <w:spacing w:line="400" w:lineRule="atLeast"/>
              <w:jc w:val="center"/>
              <w:rPr>
                <w:rFonts w:hint="default" w:ascii="Times New Roman" w:hAnsi="Times New Roman" w:cs="Times New Roman"/>
                <w:color w:val="auto"/>
                <w:highlight w:val="none"/>
              </w:rPr>
            </w:pPr>
          </w:p>
        </w:tc>
        <w:tc>
          <w:tcPr>
            <w:tcW w:w="1942" w:type="dxa"/>
            <w:noWrap w:val="0"/>
            <w:vAlign w:val="center"/>
          </w:tcPr>
          <w:p w14:paraId="5D8DB342">
            <w:pPr>
              <w:pageBreakBefore w:val="0"/>
              <w:kinsoku/>
              <w:wordWrap w:val="0"/>
              <w:bidi w:val="0"/>
              <w:spacing w:line="400" w:lineRule="atLeast"/>
              <w:jc w:val="center"/>
              <w:rPr>
                <w:rFonts w:hint="default" w:ascii="Times New Roman" w:hAnsi="Times New Roman" w:cs="Times New Roman"/>
                <w:color w:val="auto"/>
                <w:highlight w:val="none"/>
              </w:rPr>
            </w:pPr>
          </w:p>
        </w:tc>
      </w:tr>
      <w:tr w14:paraId="510CA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933" w:type="dxa"/>
            <w:noWrap w:val="0"/>
            <w:vAlign w:val="center"/>
          </w:tcPr>
          <w:p w14:paraId="6669087B">
            <w:pPr>
              <w:pageBreakBefore w:val="0"/>
              <w:kinsoku/>
              <w:wordWrap w:val="0"/>
              <w:bidi w:val="0"/>
              <w:spacing w:line="400" w:lineRule="atLeast"/>
              <w:jc w:val="center"/>
              <w:rPr>
                <w:rFonts w:hint="default" w:ascii="Times New Roman" w:hAnsi="Times New Roman" w:cs="Times New Roman"/>
                <w:color w:val="auto"/>
                <w:highlight w:val="none"/>
              </w:rPr>
            </w:pPr>
          </w:p>
        </w:tc>
        <w:tc>
          <w:tcPr>
            <w:tcW w:w="926" w:type="dxa"/>
            <w:noWrap w:val="0"/>
            <w:vAlign w:val="center"/>
          </w:tcPr>
          <w:p w14:paraId="34E52F2E">
            <w:pPr>
              <w:pageBreakBefore w:val="0"/>
              <w:kinsoku/>
              <w:wordWrap w:val="0"/>
              <w:bidi w:val="0"/>
              <w:spacing w:line="400" w:lineRule="atLeast"/>
              <w:jc w:val="center"/>
              <w:rPr>
                <w:rFonts w:hint="default" w:ascii="Times New Roman" w:hAnsi="Times New Roman" w:cs="Times New Roman"/>
                <w:color w:val="auto"/>
                <w:highlight w:val="none"/>
              </w:rPr>
            </w:pPr>
          </w:p>
        </w:tc>
        <w:tc>
          <w:tcPr>
            <w:tcW w:w="2682" w:type="dxa"/>
            <w:noWrap w:val="0"/>
            <w:vAlign w:val="center"/>
          </w:tcPr>
          <w:p w14:paraId="7F07176F">
            <w:pPr>
              <w:pageBreakBefore w:val="0"/>
              <w:kinsoku/>
              <w:wordWrap w:val="0"/>
              <w:bidi w:val="0"/>
              <w:spacing w:line="400" w:lineRule="atLeast"/>
              <w:jc w:val="center"/>
              <w:rPr>
                <w:rFonts w:hint="default" w:ascii="Times New Roman" w:hAnsi="Times New Roman" w:cs="Times New Roman"/>
                <w:color w:val="auto"/>
                <w:highlight w:val="none"/>
              </w:rPr>
            </w:pPr>
          </w:p>
        </w:tc>
        <w:tc>
          <w:tcPr>
            <w:tcW w:w="1101" w:type="dxa"/>
            <w:noWrap w:val="0"/>
            <w:vAlign w:val="center"/>
          </w:tcPr>
          <w:p w14:paraId="51458469">
            <w:pPr>
              <w:pageBreakBefore w:val="0"/>
              <w:kinsoku/>
              <w:wordWrap w:val="0"/>
              <w:bidi w:val="0"/>
              <w:spacing w:line="400" w:lineRule="atLeast"/>
              <w:jc w:val="center"/>
              <w:rPr>
                <w:rFonts w:hint="default" w:ascii="Times New Roman" w:hAnsi="Times New Roman" w:cs="Times New Roman"/>
                <w:color w:val="auto"/>
                <w:highlight w:val="none"/>
              </w:rPr>
            </w:pPr>
          </w:p>
        </w:tc>
        <w:tc>
          <w:tcPr>
            <w:tcW w:w="1307" w:type="dxa"/>
            <w:noWrap w:val="0"/>
            <w:vAlign w:val="center"/>
          </w:tcPr>
          <w:p w14:paraId="731228B1">
            <w:pPr>
              <w:pageBreakBefore w:val="0"/>
              <w:kinsoku/>
              <w:wordWrap w:val="0"/>
              <w:bidi w:val="0"/>
              <w:spacing w:line="400" w:lineRule="atLeast"/>
              <w:jc w:val="center"/>
              <w:rPr>
                <w:rFonts w:hint="default" w:ascii="Times New Roman" w:hAnsi="Times New Roman" w:cs="Times New Roman"/>
                <w:color w:val="auto"/>
                <w:highlight w:val="none"/>
              </w:rPr>
            </w:pPr>
          </w:p>
        </w:tc>
        <w:tc>
          <w:tcPr>
            <w:tcW w:w="1942" w:type="dxa"/>
            <w:noWrap w:val="0"/>
            <w:vAlign w:val="center"/>
          </w:tcPr>
          <w:p w14:paraId="2663DC1B">
            <w:pPr>
              <w:pageBreakBefore w:val="0"/>
              <w:kinsoku/>
              <w:wordWrap w:val="0"/>
              <w:bidi w:val="0"/>
              <w:spacing w:line="400" w:lineRule="atLeast"/>
              <w:jc w:val="center"/>
              <w:rPr>
                <w:rFonts w:hint="default" w:ascii="Times New Roman" w:hAnsi="Times New Roman" w:cs="Times New Roman"/>
                <w:color w:val="auto"/>
                <w:highlight w:val="none"/>
              </w:rPr>
            </w:pPr>
          </w:p>
        </w:tc>
      </w:tr>
      <w:tr w14:paraId="20966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933" w:type="dxa"/>
            <w:noWrap w:val="0"/>
            <w:vAlign w:val="center"/>
          </w:tcPr>
          <w:p w14:paraId="73E0B63C">
            <w:pPr>
              <w:pageBreakBefore w:val="0"/>
              <w:kinsoku/>
              <w:wordWrap w:val="0"/>
              <w:bidi w:val="0"/>
              <w:spacing w:line="400" w:lineRule="atLeast"/>
              <w:jc w:val="center"/>
              <w:rPr>
                <w:rFonts w:hint="default" w:ascii="Times New Roman" w:hAnsi="Times New Roman" w:cs="Times New Roman"/>
                <w:color w:val="auto"/>
                <w:highlight w:val="none"/>
              </w:rPr>
            </w:pPr>
          </w:p>
        </w:tc>
        <w:tc>
          <w:tcPr>
            <w:tcW w:w="926" w:type="dxa"/>
            <w:noWrap w:val="0"/>
            <w:vAlign w:val="center"/>
          </w:tcPr>
          <w:p w14:paraId="50F8D285">
            <w:pPr>
              <w:pageBreakBefore w:val="0"/>
              <w:kinsoku/>
              <w:wordWrap w:val="0"/>
              <w:bidi w:val="0"/>
              <w:spacing w:line="400" w:lineRule="atLeast"/>
              <w:jc w:val="center"/>
              <w:rPr>
                <w:rFonts w:hint="default" w:ascii="Times New Roman" w:hAnsi="Times New Roman" w:cs="Times New Roman"/>
                <w:color w:val="auto"/>
                <w:highlight w:val="none"/>
              </w:rPr>
            </w:pPr>
          </w:p>
        </w:tc>
        <w:tc>
          <w:tcPr>
            <w:tcW w:w="2682" w:type="dxa"/>
            <w:noWrap w:val="0"/>
            <w:vAlign w:val="center"/>
          </w:tcPr>
          <w:p w14:paraId="5DDCC473">
            <w:pPr>
              <w:pageBreakBefore w:val="0"/>
              <w:kinsoku/>
              <w:wordWrap w:val="0"/>
              <w:bidi w:val="0"/>
              <w:spacing w:line="400" w:lineRule="atLeast"/>
              <w:jc w:val="center"/>
              <w:rPr>
                <w:rFonts w:hint="default" w:ascii="Times New Roman" w:hAnsi="Times New Roman" w:cs="Times New Roman"/>
                <w:color w:val="auto"/>
                <w:highlight w:val="none"/>
              </w:rPr>
            </w:pPr>
          </w:p>
        </w:tc>
        <w:tc>
          <w:tcPr>
            <w:tcW w:w="1101" w:type="dxa"/>
            <w:noWrap w:val="0"/>
            <w:vAlign w:val="center"/>
          </w:tcPr>
          <w:p w14:paraId="1D36A35E">
            <w:pPr>
              <w:pageBreakBefore w:val="0"/>
              <w:kinsoku/>
              <w:wordWrap w:val="0"/>
              <w:bidi w:val="0"/>
              <w:spacing w:line="400" w:lineRule="atLeast"/>
              <w:jc w:val="center"/>
              <w:rPr>
                <w:rFonts w:hint="default" w:ascii="Times New Roman" w:hAnsi="Times New Roman" w:cs="Times New Roman"/>
                <w:color w:val="auto"/>
                <w:highlight w:val="none"/>
              </w:rPr>
            </w:pPr>
          </w:p>
        </w:tc>
        <w:tc>
          <w:tcPr>
            <w:tcW w:w="1307" w:type="dxa"/>
            <w:noWrap w:val="0"/>
            <w:vAlign w:val="center"/>
          </w:tcPr>
          <w:p w14:paraId="37A6E5F1">
            <w:pPr>
              <w:pageBreakBefore w:val="0"/>
              <w:kinsoku/>
              <w:wordWrap w:val="0"/>
              <w:bidi w:val="0"/>
              <w:spacing w:line="400" w:lineRule="atLeast"/>
              <w:jc w:val="center"/>
              <w:rPr>
                <w:rFonts w:hint="default" w:ascii="Times New Roman" w:hAnsi="Times New Roman" w:cs="Times New Roman"/>
                <w:color w:val="auto"/>
                <w:highlight w:val="none"/>
              </w:rPr>
            </w:pPr>
          </w:p>
        </w:tc>
        <w:tc>
          <w:tcPr>
            <w:tcW w:w="1942" w:type="dxa"/>
            <w:noWrap w:val="0"/>
            <w:vAlign w:val="center"/>
          </w:tcPr>
          <w:p w14:paraId="18E7EFD2">
            <w:pPr>
              <w:pageBreakBefore w:val="0"/>
              <w:kinsoku/>
              <w:wordWrap w:val="0"/>
              <w:bidi w:val="0"/>
              <w:spacing w:line="400" w:lineRule="atLeast"/>
              <w:jc w:val="center"/>
              <w:rPr>
                <w:rFonts w:hint="default" w:ascii="Times New Roman" w:hAnsi="Times New Roman" w:cs="Times New Roman"/>
                <w:color w:val="auto"/>
                <w:highlight w:val="none"/>
              </w:rPr>
            </w:pPr>
          </w:p>
        </w:tc>
      </w:tr>
      <w:tr w14:paraId="5DC34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933" w:type="dxa"/>
            <w:noWrap w:val="0"/>
            <w:vAlign w:val="center"/>
          </w:tcPr>
          <w:p w14:paraId="20BBF965">
            <w:pPr>
              <w:pageBreakBefore w:val="0"/>
              <w:kinsoku/>
              <w:wordWrap w:val="0"/>
              <w:bidi w:val="0"/>
              <w:spacing w:line="400" w:lineRule="atLeast"/>
              <w:jc w:val="center"/>
              <w:rPr>
                <w:rFonts w:hint="default" w:ascii="Times New Roman" w:hAnsi="Times New Roman" w:cs="Times New Roman"/>
                <w:color w:val="auto"/>
                <w:highlight w:val="none"/>
              </w:rPr>
            </w:pPr>
          </w:p>
        </w:tc>
        <w:tc>
          <w:tcPr>
            <w:tcW w:w="926" w:type="dxa"/>
            <w:noWrap w:val="0"/>
            <w:vAlign w:val="center"/>
          </w:tcPr>
          <w:p w14:paraId="6A44B0EC">
            <w:pPr>
              <w:pageBreakBefore w:val="0"/>
              <w:kinsoku/>
              <w:wordWrap w:val="0"/>
              <w:bidi w:val="0"/>
              <w:spacing w:line="400" w:lineRule="atLeast"/>
              <w:jc w:val="center"/>
              <w:rPr>
                <w:rFonts w:hint="default" w:ascii="Times New Roman" w:hAnsi="Times New Roman" w:cs="Times New Roman"/>
                <w:color w:val="auto"/>
                <w:highlight w:val="none"/>
              </w:rPr>
            </w:pPr>
          </w:p>
        </w:tc>
        <w:tc>
          <w:tcPr>
            <w:tcW w:w="2682" w:type="dxa"/>
            <w:noWrap w:val="0"/>
            <w:vAlign w:val="center"/>
          </w:tcPr>
          <w:p w14:paraId="71F6EE2E">
            <w:pPr>
              <w:pageBreakBefore w:val="0"/>
              <w:kinsoku/>
              <w:wordWrap w:val="0"/>
              <w:bidi w:val="0"/>
              <w:spacing w:line="400" w:lineRule="atLeast"/>
              <w:jc w:val="center"/>
              <w:rPr>
                <w:rFonts w:hint="default" w:ascii="Times New Roman" w:hAnsi="Times New Roman" w:cs="Times New Roman"/>
                <w:color w:val="auto"/>
                <w:highlight w:val="none"/>
              </w:rPr>
            </w:pPr>
          </w:p>
        </w:tc>
        <w:tc>
          <w:tcPr>
            <w:tcW w:w="1101" w:type="dxa"/>
            <w:noWrap w:val="0"/>
            <w:vAlign w:val="center"/>
          </w:tcPr>
          <w:p w14:paraId="59B5D722">
            <w:pPr>
              <w:pageBreakBefore w:val="0"/>
              <w:kinsoku/>
              <w:wordWrap w:val="0"/>
              <w:bidi w:val="0"/>
              <w:spacing w:line="400" w:lineRule="atLeast"/>
              <w:jc w:val="center"/>
              <w:rPr>
                <w:rFonts w:hint="default" w:ascii="Times New Roman" w:hAnsi="Times New Roman" w:cs="Times New Roman"/>
                <w:color w:val="auto"/>
                <w:highlight w:val="none"/>
              </w:rPr>
            </w:pPr>
          </w:p>
        </w:tc>
        <w:tc>
          <w:tcPr>
            <w:tcW w:w="1307" w:type="dxa"/>
            <w:noWrap w:val="0"/>
            <w:vAlign w:val="center"/>
          </w:tcPr>
          <w:p w14:paraId="00F21184">
            <w:pPr>
              <w:pageBreakBefore w:val="0"/>
              <w:kinsoku/>
              <w:wordWrap w:val="0"/>
              <w:bidi w:val="0"/>
              <w:spacing w:line="400" w:lineRule="atLeast"/>
              <w:jc w:val="center"/>
              <w:rPr>
                <w:rFonts w:hint="default" w:ascii="Times New Roman" w:hAnsi="Times New Roman" w:cs="Times New Roman"/>
                <w:color w:val="auto"/>
                <w:highlight w:val="none"/>
              </w:rPr>
            </w:pPr>
          </w:p>
        </w:tc>
        <w:tc>
          <w:tcPr>
            <w:tcW w:w="1942" w:type="dxa"/>
            <w:noWrap w:val="0"/>
            <w:vAlign w:val="center"/>
          </w:tcPr>
          <w:p w14:paraId="0A382F47">
            <w:pPr>
              <w:pageBreakBefore w:val="0"/>
              <w:kinsoku/>
              <w:wordWrap w:val="0"/>
              <w:bidi w:val="0"/>
              <w:spacing w:line="400" w:lineRule="atLeast"/>
              <w:jc w:val="center"/>
              <w:rPr>
                <w:rFonts w:hint="default" w:ascii="Times New Roman" w:hAnsi="Times New Roman" w:cs="Times New Roman"/>
                <w:color w:val="auto"/>
                <w:highlight w:val="none"/>
              </w:rPr>
            </w:pPr>
          </w:p>
        </w:tc>
      </w:tr>
      <w:tr w14:paraId="33F8C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933" w:type="dxa"/>
            <w:noWrap w:val="0"/>
            <w:vAlign w:val="center"/>
          </w:tcPr>
          <w:p w14:paraId="0F1E522C">
            <w:pPr>
              <w:pageBreakBefore w:val="0"/>
              <w:kinsoku/>
              <w:wordWrap w:val="0"/>
              <w:bidi w:val="0"/>
              <w:spacing w:line="400" w:lineRule="atLeast"/>
              <w:jc w:val="center"/>
              <w:rPr>
                <w:rFonts w:hint="default" w:ascii="Times New Roman" w:hAnsi="Times New Roman" w:cs="Times New Roman"/>
                <w:color w:val="auto"/>
                <w:highlight w:val="none"/>
              </w:rPr>
            </w:pPr>
          </w:p>
        </w:tc>
        <w:tc>
          <w:tcPr>
            <w:tcW w:w="926" w:type="dxa"/>
            <w:noWrap w:val="0"/>
            <w:vAlign w:val="center"/>
          </w:tcPr>
          <w:p w14:paraId="3AB29D95">
            <w:pPr>
              <w:pageBreakBefore w:val="0"/>
              <w:kinsoku/>
              <w:wordWrap w:val="0"/>
              <w:bidi w:val="0"/>
              <w:spacing w:line="400" w:lineRule="atLeast"/>
              <w:jc w:val="center"/>
              <w:rPr>
                <w:rFonts w:hint="default" w:ascii="Times New Roman" w:hAnsi="Times New Roman" w:cs="Times New Roman"/>
                <w:color w:val="auto"/>
                <w:highlight w:val="none"/>
              </w:rPr>
            </w:pPr>
          </w:p>
        </w:tc>
        <w:tc>
          <w:tcPr>
            <w:tcW w:w="2682" w:type="dxa"/>
            <w:noWrap w:val="0"/>
            <w:vAlign w:val="center"/>
          </w:tcPr>
          <w:p w14:paraId="73844086">
            <w:pPr>
              <w:pageBreakBefore w:val="0"/>
              <w:kinsoku/>
              <w:wordWrap w:val="0"/>
              <w:bidi w:val="0"/>
              <w:spacing w:line="400" w:lineRule="atLeast"/>
              <w:jc w:val="center"/>
              <w:rPr>
                <w:rFonts w:hint="default" w:ascii="Times New Roman" w:hAnsi="Times New Roman" w:cs="Times New Roman"/>
                <w:color w:val="auto"/>
                <w:highlight w:val="none"/>
              </w:rPr>
            </w:pPr>
          </w:p>
        </w:tc>
        <w:tc>
          <w:tcPr>
            <w:tcW w:w="1101" w:type="dxa"/>
            <w:noWrap w:val="0"/>
            <w:vAlign w:val="center"/>
          </w:tcPr>
          <w:p w14:paraId="61C52C64">
            <w:pPr>
              <w:pageBreakBefore w:val="0"/>
              <w:kinsoku/>
              <w:wordWrap w:val="0"/>
              <w:bidi w:val="0"/>
              <w:spacing w:line="400" w:lineRule="atLeast"/>
              <w:jc w:val="center"/>
              <w:rPr>
                <w:rFonts w:hint="default" w:ascii="Times New Roman" w:hAnsi="Times New Roman" w:cs="Times New Roman"/>
                <w:color w:val="auto"/>
                <w:highlight w:val="none"/>
              </w:rPr>
            </w:pPr>
          </w:p>
        </w:tc>
        <w:tc>
          <w:tcPr>
            <w:tcW w:w="1307" w:type="dxa"/>
            <w:noWrap w:val="0"/>
            <w:vAlign w:val="center"/>
          </w:tcPr>
          <w:p w14:paraId="3885077A">
            <w:pPr>
              <w:pageBreakBefore w:val="0"/>
              <w:kinsoku/>
              <w:wordWrap w:val="0"/>
              <w:bidi w:val="0"/>
              <w:spacing w:line="400" w:lineRule="atLeast"/>
              <w:jc w:val="center"/>
              <w:rPr>
                <w:rFonts w:hint="default" w:ascii="Times New Roman" w:hAnsi="Times New Roman" w:cs="Times New Roman"/>
                <w:color w:val="auto"/>
                <w:highlight w:val="none"/>
              </w:rPr>
            </w:pPr>
          </w:p>
        </w:tc>
        <w:tc>
          <w:tcPr>
            <w:tcW w:w="1942" w:type="dxa"/>
            <w:noWrap w:val="0"/>
            <w:vAlign w:val="center"/>
          </w:tcPr>
          <w:p w14:paraId="1261A027">
            <w:pPr>
              <w:pageBreakBefore w:val="0"/>
              <w:kinsoku/>
              <w:wordWrap w:val="0"/>
              <w:bidi w:val="0"/>
              <w:spacing w:line="400" w:lineRule="atLeast"/>
              <w:jc w:val="center"/>
              <w:rPr>
                <w:rFonts w:hint="default" w:ascii="Times New Roman" w:hAnsi="Times New Roman" w:cs="Times New Roman"/>
                <w:color w:val="auto"/>
                <w:highlight w:val="none"/>
              </w:rPr>
            </w:pPr>
          </w:p>
        </w:tc>
      </w:tr>
      <w:tr w14:paraId="68EB6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933" w:type="dxa"/>
            <w:noWrap w:val="0"/>
            <w:vAlign w:val="center"/>
          </w:tcPr>
          <w:p w14:paraId="2CC1649A">
            <w:pPr>
              <w:pageBreakBefore w:val="0"/>
              <w:kinsoku/>
              <w:wordWrap w:val="0"/>
              <w:bidi w:val="0"/>
              <w:spacing w:line="400" w:lineRule="atLeast"/>
              <w:jc w:val="center"/>
              <w:rPr>
                <w:rFonts w:hint="default" w:ascii="Times New Roman" w:hAnsi="Times New Roman" w:cs="Times New Roman"/>
                <w:color w:val="auto"/>
                <w:highlight w:val="none"/>
              </w:rPr>
            </w:pPr>
          </w:p>
        </w:tc>
        <w:tc>
          <w:tcPr>
            <w:tcW w:w="926" w:type="dxa"/>
            <w:noWrap w:val="0"/>
            <w:vAlign w:val="center"/>
          </w:tcPr>
          <w:p w14:paraId="66B32BBD">
            <w:pPr>
              <w:pageBreakBefore w:val="0"/>
              <w:kinsoku/>
              <w:wordWrap w:val="0"/>
              <w:bidi w:val="0"/>
              <w:spacing w:line="400" w:lineRule="atLeast"/>
              <w:jc w:val="center"/>
              <w:rPr>
                <w:rFonts w:hint="default" w:ascii="Times New Roman" w:hAnsi="Times New Roman" w:cs="Times New Roman"/>
                <w:color w:val="auto"/>
                <w:highlight w:val="none"/>
              </w:rPr>
            </w:pPr>
          </w:p>
        </w:tc>
        <w:tc>
          <w:tcPr>
            <w:tcW w:w="2682" w:type="dxa"/>
            <w:noWrap w:val="0"/>
            <w:vAlign w:val="center"/>
          </w:tcPr>
          <w:p w14:paraId="5591F8C5">
            <w:pPr>
              <w:pageBreakBefore w:val="0"/>
              <w:kinsoku/>
              <w:wordWrap w:val="0"/>
              <w:bidi w:val="0"/>
              <w:spacing w:line="400" w:lineRule="atLeast"/>
              <w:jc w:val="center"/>
              <w:rPr>
                <w:rFonts w:hint="default" w:ascii="Times New Roman" w:hAnsi="Times New Roman" w:cs="Times New Roman"/>
                <w:color w:val="auto"/>
                <w:highlight w:val="none"/>
              </w:rPr>
            </w:pPr>
          </w:p>
        </w:tc>
        <w:tc>
          <w:tcPr>
            <w:tcW w:w="1101" w:type="dxa"/>
            <w:noWrap w:val="0"/>
            <w:vAlign w:val="center"/>
          </w:tcPr>
          <w:p w14:paraId="4D02F701">
            <w:pPr>
              <w:pageBreakBefore w:val="0"/>
              <w:kinsoku/>
              <w:wordWrap w:val="0"/>
              <w:bidi w:val="0"/>
              <w:spacing w:line="400" w:lineRule="atLeast"/>
              <w:jc w:val="center"/>
              <w:rPr>
                <w:rFonts w:hint="default" w:ascii="Times New Roman" w:hAnsi="Times New Roman" w:cs="Times New Roman"/>
                <w:color w:val="auto"/>
                <w:highlight w:val="none"/>
              </w:rPr>
            </w:pPr>
          </w:p>
        </w:tc>
        <w:tc>
          <w:tcPr>
            <w:tcW w:w="1307" w:type="dxa"/>
            <w:noWrap w:val="0"/>
            <w:vAlign w:val="center"/>
          </w:tcPr>
          <w:p w14:paraId="5F5E5FBB">
            <w:pPr>
              <w:pageBreakBefore w:val="0"/>
              <w:kinsoku/>
              <w:wordWrap w:val="0"/>
              <w:bidi w:val="0"/>
              <w:spacing w:line="400" w:lineRule="atLeast"/>
              <w:jc w:val="center"/>
              <w:rPr>
                <w:rFonts w:hint="default" w:ascii="Times New Roman" w:hAnsi="Times New Roman" w:cs="Times New Roman"/>
                <w:color w:val="auto"/>
                <w:highlight w:val="none"/>
              </w:rPr>
            </w:pPr>
          </w:p>
        </w:tc>
        <w:tc>
          <w:tcPr>
            <w:tcW w:w="1942" w:type="dxa"/>
            <w:noWrap w:val="0"/>
            <w:vAlign w:val="center"/>
          </w:tcPr>
          <w:p w14:paraId="407EB6CC">
            <w:pPr>
              <w:pageBreakBefore w:val="0"/>
              <w:kinsoku/>
              <w:wordWrap w:val="0"/>
              <w:bidi w:val="0"/>
              <w:spacing w:line="400" w:lineRule="atLeast"/>
              <w:jc w:val="center"/>
              <w:rPr>
                <w:rFonts w:hint="default" w:ascii="Times New Roman" w:hAnsi="Times New Roman" w:cs="Times New Roman"/>
                <w:color w:val="auto"/>
                <w:highlight w:val="none"/>
              </w:rPr>
            </w:pPr>
          </w:p>
        </w:tc>
      </w:tr>
    </w:tbl>
    <w:p w14:paraId="751BBFB8">
      <w:pPr>
        <w:pStyle w:val="18"/>
        <w:pageBreakBefore w:val="0"/>
        <w:kinsoku/>
        <w:wordWrap w:val="0"/>
        <w:bidi w:val="0"/>
        <w:spacing w:after="0" w:line="400" w:lineRule="atLeast"/>
        <w:ind w:left="735" w:leftChars="0" w:hanging="735" w:hangingChars="350"/>
        <w:rPr>
          <w:rFonts w:hint="default" w:ascii="Times New Roman" w:hAnsi="Times New Roman" w:cs="Times New Roman"/>
          <w:bCs/>
          <w:color w:val="auto"/>
          <w:kern w:val="0"/>
          <w:szCs w:val="21"/>
          <w:highlight w:val="none"/>
        </w:rPr>
      </w:pPr>
      <w:r>
        <w:rPr>
          <w:rFonts w:hint="default" w:ascii="Times New Roman" w:hAnsi="Times New Roman" w:cs="Times New Roman"/>
          <w:color w:val="auto"/>
          <w:szCs w:val="21"/>
          <w:highlight w:val="none"/>
        </w:rPr>
        <w:t>注：本表填报的人员应满足招标文件第二章</w:t>
      </w:r>
      <w:r>
        <w:rPr>
          <w:rFonts w:hint="eastAsia" w:ascii="宋体" w:hAnsi="宋体" w:eastAsia="宋体" w:cs="宋体"/>
          <w:color w:val="auto"/>
          <w:szCs w:val="21"/>
          <w:highlight w:val="none"/>
        </w:rPr>
        <w:t>“</w:t>
      </w:r>
      <w:r>
        <w:rPr>
          <w:rFonts w:hint="default" w:ascii="Times New Roman" w:hAnsi="Times New Roman" w:cs="Times New Roman"/>
          <w:color w:val="auto"/>
          <w:szCs w:val="21"/>
          <w:highlight w:val="none"/>
        </w:rPr>
        <w:t>投标人须知</w:t>
      </w:r>
      <w:r>
        <w:rPr>
          <w:rFonts w:hint="eastAsia" w:ascii="宋体" w:hAnsi="宋体" w:eastAsia="宋体" w:cs="宋体"/>
          <w:color w:val="auto"/>
          <w:szCs w:val="21"/>
          <w:highlight w:val="none"/>
        </w:rPr>
        <w:t>”</w:t>
      </w:r>
      <w:r>
        <w:rPr>
          <w:rFonts w:hint="default" w:ascii="Times New Roman" w:hAnsi="Times New Roman" w:cs="Times New Roman"/>
          <w:color w:val="auto"/>
          <w:szCs w:val="21"/>
          <w:highlight w:val="none"/>
        </w:rPr>
        <w:t>前附表附录6的要求。</w:t>
      </w:r>
    </w:p>
    <w:p w14:paraId="4F814862">
      <w:pPr>
        <w:pageBreakBefore w:val="0"/>
        <w:kinsoku/>
        <w:wordWrap w:val="0"/>
        <w:bidi w:val="0"/>
        <w:spacing w:line="400" w:lineRule="atLeast"/>
        <w:jc w:val="center"/>
        <w:rPr>
          <w:rFonts w:hint="default" w:ascii="Times New Roman" w:hAnsi="Times New Roman" w:eastAsia="黑体" w:cs="Times New Roman"/>
          <w:color w:val="auto"/>
          <w:sz w:val="28"/>
          <w:highlight w:val="none"/>
        </w:rPr>
      </w:pPr>
      <w:r>
        <w:rPr>
          <w:rFonts w:hint="default" w:ascii="Times New Roman" w:hAnsi="Times New Roman" w:eastAsia="黑体" w:cs="Times New Roman"/>
          <w:color w:val="auto"/>
          <w:sz w:val="28"/>
          <w:highlight w:val="none"/>
        </w:rPr>
        <w:br w:type="page"/>
      </w:r>
    </w:p>
    <w:p w14:paraId="79EC4D9C">
      <w:pPr>
        <w:pageBreakBefore w:val="0"/>
        <w:kinsoku/>
        <w:wordWrap w:val="0"/>
        <w:overflowPunct/>
        <w:topLinePunct/>
        <w:bidi w:val="0"/>
        <w:spacing w:line="400" w:lineRule="atLeast"/>
        <w:jc w:val="center"/>
        <w:rPr>
          <w:rFonts w:hint="default" w:ascii="Times New Roman" w:hAnsi="Times New Roman" w:eastAsia="黑体" w:cs="Times New Roman"/>
          <w:color w:val="auto"/>
          <w:sz w:val="24"/>
          <w:highlight w:val="none"/>
        </w:rPr>
      </w:pPr>
      <w:bookmarkStart w:id="1707" w:name="_Toc234833287"/>
      <w:bookmarkStart w:id="1708" w:name="_Toc4744"/>
      <w:bookmarkStart w:id="1709" w:name="_Toc31833"/>
      <w:r>
        <w:rPr>
          <w:rFonts w:hint="default" w:ascii="Times New Roman" w:hAnsi="Times New Roman" w:eastAsia="黑体" w:cs="Times New Roman"/>
          <w:color w:val="auto"/>
          <w:sz w:val="24"/>
          <w:highlight w:val="none"/>
        </w:rPr>
        <w:t>（</w:t>
      </w:r>
      <w:r>
        <w:rPr>
          <w:rFonts w:hint="default" w:ascii="Times New Roman" w:hAnsi="Times New Roman" w:eastAsia="黑体" w:cs="Times New Roman"/>
          <w:color w:val="auto"/>
          <w:sz w:val="24"/>
          <w:highlight w:val="none"/>
          <w:lang w:eastAsia="zh-CN"/>
        </w:rPr>
        <w:t>八</w:t>
      </w:r>
      <w:r>
        <w:rPr>
          <w:rFonts w:hint="default" w:ascii="Times New Roman" w:hAnsi="Times New Roman" w:eastAsia="黑体" w:cs="Times New Roman"/>
          <w:color w:val="auto"/>
          <w:sz w:val="24"/>
          <w:highlight w:val="none"/>
        </w:rPr>
        <w:t>）拟委任的其他管理和技术人员资历表</w:t>
      </w:r>
      <w:r>
        <w:rPr>
          <w:rFonts w:hint="default" w:ascii="Times New Roman" w:hAnsi="Times New Roman" w:eastAsia="黑体" w:cs="Times New Roman"/>
          <w:color w:val="auto"/>
          <w:sz w:val="24"/>
          <w:highlight w:val="none"/>
        </w:rPr>
        <w:footnoteReference w:id="53"/>
      </w:r>
      <w:bookmarkEnd w:id="1707"/>
      <w:bookmarkEnd w:id="1708"/>
      <w:bookmarkEnd w:id="1709"/>
    </w:p>
    <w:p w14:paraId="6ACA3E38">
      <w:pPr>
        <w:pageBreakBefore w:val="0"/>
        <w:widowControl/>
        <w:kinsoku/>
        <w:wordWrap w:val="0"/>
        <w:autoSpaceDE w:val="0"/>
        <w:autoSpaceDN w:val="0"/>
        <w:bidi w:val="0"/>
        <w:spacing w:line="400" w:lineRule="atLeast"/>
        <w:jc w:val="center"/>
        <w:textAlignment w:val="bottom"/>
        <w:rPr>
          <w:rFonts w:hint="default" w:ascii="Times New Roman" w:hAnsi="Times New Roman" w:cs="Times New Roman"/>
          <w:color w:val="auto"/>
          <w:highlight w:val="none"/>
        </w:rPr>
      </w:pPr>
    </w:p>
    <w:tbl>
      <w:tblPr>
        <w:tblStyle w:val="40"/>
        <w:tblW w:w="87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234"/>
        <w:gridCol w:w="51"/>
        <w:gridCol w:w="1352"/>
        <w:gridCol w:w="103"/>
        <w:gridCol w:w="1060"/>
        <w:gridCol w:w="1381"/>
        <w:gridCol w:w="337"/>
        <w:gridCol w:w="1544"/>
        <w:gridCol w:w="386"/>
        <w:gridCol w:w="1283"/>
      </w:tblGrid>
      <w:tr w14:paraId="4AC07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60" w:hRule="atLeast"/>
        </w:trPr>
        <w:tc>
          <w:tcPr>
            <w:tcW w:w="123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DDAAC9A">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姓    名</w:t>
            </w:r>
          </w:p>
        </w:tc>
        <w:tc>
          <w:tcPr>
            <w:tcW w:w="1506"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6D1DAE9F">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eastAsia="宋体" w:cs="Times New Roman"/>
                <w:color w:val="auto"/>
                <w:kern w:val="2"/>
                <w:sz w:val="21"/>
                <w:szCs w:val="21"/>
                <w:highlight w:val="none"/>
                <w:lang w:val="en-US" w:eastAsia="zh-CN" w:bidi="ar-SA"/>
              </w:rPr>
            </w:pPr>
          </w:p>
        </w:tc>
        <w:tc>
          <w:tcPr>
            <w:tcW w:w="106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9D296AC">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年    龄</w:t>
            </w:r>
          </w:p>
        </w:tc>
        <w:tc>
          <w:tcPr>
            <w:tcW w:w="1381"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185A8540">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eastAsia="宋体" w:cs="Times New Roman"/>
                <w:color w:val="auto"/>
                <w:kern w:val="2"/>
                <w:sz w:val="21"/>
                <w:szCs w:val="21"/>
                <w:highlight w:val="none"/>
                <w:lang w:val="en-US" w:eastAsia="zh-CN" w:bidi="ar-SA"/>
              </w:rPr>
            </w:pPr>
          </w:p>
        </w:tc>
        <w:tc>
          <w:tcPr>
            <w:tcW w:w="1881" w:type="dxa"/>
            <w:gridSpan w:val="2"/>
            <w:tcBorders>
              <w:top w:val="single" w:color="auto" w:sz="4" w:space="0"/>
              <w:left w:val="single" w:color="auto" w:sz="4" w:space="0"/>
              <w:bottom w:val="single" w:color="auto" w:sz="4" w:space="0"/>
              <w:right w:val="single" w:color="auto" w:sz="4" w:space="0"/>
            </w:tcBorders>
            <w:shd w:val="clear" w:color="auto" w:fill="auto"/>
            <w:noWrap w:val="0"/>
            <w:vAlign w:val="top"/>
          </w:tcPr>
          <w:p w14:paraId="21F5AF05">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专    业</w:t>
            </w:r>
          </w:p>
        </w:tc>
        <w:tc>
          <w:tcPr>
            <w:tcW w:w="1669" w:type="dxa"/>
            <w:gridSpan w:val="2"/>
            <w:tcBorders>
              <w:top w:val="single" w:color="auto" w:sz="4" w:space="0"/>
              <w:left w:val="single" w:color="auto" w:sz="4" w:space="0"/>
              <w:bottom w:val="single" w:color="auto" w:sz="4" w:space="0"/>
              <w:right w:val="single" w:color="auto" w:sz="4" w:space="0"/>
            </w:tcBorders>
            <w:shd w:val="clear" w:color="auto" w:fill="auto"/>
            <w:noWrap w:val="0"/>
            <w:vAlign w:val="top"/>
          </w:tcPr>
          <w:p w14:paraId="10F50C09">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eastAsia="宋体" w:cs="Times New Roman"/>
                <w:color w:val="auto"/>
                <w:kern w:val="2"/>
                <w:sz w:val="21"/>
                <w:szCs w:val="21"/>
                <w:highlight w:val="none"/>
                <w:lang w:val="en-US" w:eastAsia="zh-CN" w:bidi="ar-SA"/>
              </w:rPr>
            </w:pPr>
          </w:p>
        </w:tc>
      </w:tr>
      <w:tr w14:paraId="16584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60" w:hRule="atLeast"/>
        </w:trPr>
        <w:tc>
          <w:tcPr>
            <w:tcW w:w="123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7822218">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技术职称</w:t>
            </w:r>
          </w:p>
        </w:tc>
        <w:tc>
          <w:tcPr>
            <w:tcW w:w="1506"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53D6272F">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eastAsia="宋体" w:cs="Times New Roman"/>
                <w:color w:val="auto"/>
                <w:kern w:val="2"/>
                <w:sz w:val="21"/>
                <w:szCs w:val="21"/>
                <w:highlight w:val="none"/>
                <w:lang w:val="en-US" w:eastAsia="zh-CN" w:bidi="ar-SA"/>
              </w:rPr>
            </w:pPr>
          </w:p>
        </w:tc>
        <w:tc>
          <w:tcPr>
            <w:tcW w:w="106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81B91D9">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学    历</w:t>
            </w:r>
          </w:p>
        </w:tc>
        <w:tc>
          <w:tcPr>
            <w:tcW w:w="1381"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A5B8F03">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eastAsia="宋体" w:cs="Times New Roman"/>
                <w:color w:val="auto"/>
                <w:kern w:val="2"/>
                <w:sz w:val="21"/>
                <w:szCs w:val="21"/>
                <w:highlight w:val="none"/>
                <w:lang w:val="en-US" w:eastAsia="zh-CN" w:bidi="ar-SA"/>
              </w:rPr>
            </w:pPr>
          </w:p>
        </w:tc>
        <w:tc>
          <w:tcPr>
            <w:tcW w:w="1881" w:type="dxa"/>
            <w:gridSpan w:val="2"/>
            <w:tcBorders>
              <w:top w:val="single" w:color="auto" w:sz="4" w:space="0"/>
              <w:left w:val="single" w:color="auto" w:sz="4" w:space="0"/>
              <w:bottom w:val="single" w:color="auto" w:sz="4" w:space="0"/>
              <w:right w:val="single" w:color="auto" w:sz="4" w:space="0"/>
            </w:tcBorders>
            <w:shd w:val="clear" w:color="auto" w:fill="auto"/>
            <w:noWrap w:val="0"/>
            <w:vAlign w:val="top"/>
          </w:tcPr>
          <w:p w14:paraId="336583F8">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拟在本标段</w:t>
            </w:r>
          </w:p>
          <w:p w14:paraId="4FA95559">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工程任职</w:t>
            </w:r>
          </w:p>
        </w:tc>
        <w:tc>
          <w:tcPr>
            <w:tcW w:w="1669" w:type="dxa"/>
            <w:gridSpan w:val="2"/>
            <w:tcBorders>
              <w:top w:val="single" w:color="auto" w:sz="4" w:space="0"/>
              <w:left w:val="single" w:color="auto" w:sz="4" w:space="0"/>
              <w:bottom w:val="single" w:color="auto" w:sz="4" w:space="0"/>
              <w:right w:val="single" w:color="auto" w:sz="4" w:space="0"/>
            </w:tcBorders>
            <w:shd w:val="clear" w:color="auto" w:fill="auto"/>
            <w:noWrap w:val="0"/>
            <w:vAlign w:val="top"/>
          </w:tcPr>
          <w:p w14:paraId="5C68AB5D">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eastAsia="宋体" w:cs="Times New Roman"/>
                <w:color w:val="auto"/>
                <w:kern w:val="2"/>
                <w:sz w:val="21"/>
                <w:szCs w:val="21"/>
                <w:highlight w:val="none"/>
                <w:lang w:val="en-US" w:eastAsia="zh-CN" w:bidi="ar-SA"/>
              </w:rPr>
            </w:pPr>
          </w:p>
        </w:tc>
      </w:tr>
      <w:tr w14:paraId="50BEE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Pr>
        <w:tc>
          <w:tcPr>
            <w:tcW w:w="1234" w:type="dxa"/>
            <w:shd w:val="clear" w:color="auto" w:fill="auto"/>
            <w:noWrap w:val="0"/>
            <w:vAlign w:val="center"/>
          </w:tcPr>
          <w:p w14:paraId="67033C1E">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工作年限</w:t>
            </w:r>
          </w:p>
        </w:tc>
        <w:tc>
          <w:tcPr>
            <w:tcW w:w="3947" w:type="dxa"/>
            <w:gridSpan w:val="5"/>
            <w:shd w:val="clear" w:color="auto" w:fill="auto"/>
            <w:noWrap w:val="0"/>
            <w:vAlign w:val="center"/>
          </w:tcPr>
          <w:p w14:paraId="72E1DBAC">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eastAsia="宋体" w:cs="Times New Roman"/>
                <w:color w:val="auto"/>
                <w:kern w:val="2"/>
                <w:sz w:val="21"/>
                <w:szCs w:val="21"/>
                <w:highlight w:val="none"/>
                <w:lang w:val="en-US" w:eastAsia="zh-CN" w:bidi="ar-SA"/>
              </w:rPr>
            </w:pPr>
          </w:p>
        </w:tc>
        <w:tc>
          <w:tcPr>
            <w:tcW w:w="1881" w:type="dxa"/>
            <w:gridSpan w:val="2"/>
            <w:shd w:val="clear" w:color="auto" w:fill="auto"/>
            <w:noWrap w:val="0"/>
            <w:vAlign w:val="center"/>
          </w:tcPr>
          <w:p w14:paraId="5C06C817">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类似施工经验年限</w:t>
            </w:r>
          </w:p>
        </w:tc>
        <w:tc>
          <w:tcPr>
            <w:tcW w:w="1669" w:type="dxa"/>
            <w:gridSpan w:val="2"/>
            <w:shd w:val="clear" w:color="auto" w:fill="auto"/>
            <w:noWrap w:val="0"/>
            <w:vAlign w:val="top"/>
          </w:tcPr>
          <w:p w14:paraId="3C5BC67C">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eastAsia="宋体" w:cs="Times New Roman"/>
                <w:color w:val="auto"/>
                <w:kern w:val="2"/>
                <w:sz w:val="21"/>
                <w:szCs w:val="21"/>
                <w:highlight w:val="none"/>
                <w:lang w:val="en-US" w:eastAsia="zh-CN" w:bidi="ar-SA"/>
              </w:rPr>
            </w:pPr>
          </w:p>
        </w:tc>
      </w:tr>
      <w:tr w14:paraId="6C609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3" w:hRule="atLeast"/>
        </w:trPr>
        <w:tc>
          <w:tcPr>
            <w:tcW w:w="1234" w:type="dxa"/>
            <w:shd w:val="clear" w:color="auto" w:fill="auto"/>
            <w:noWrap w:val="0"/>
            <w:vAlign w:val="center"/>
          </w:tcPr>
          <w:p w14:paraId="62C74D43">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毕业学校</w:t>
            </w:r>
          </w:p>
        </w:tc>
        <w:tc>
          <w:tcPr>
            <w:tcW w:w="7497" w:type="dxa"/>
            <w:gridSpan w:val="9"/>
            <w:shd w:val="clear" w:color="auto" w:fill="auto"/>
            <w:noWrap w:val="0"/>
            <w:vAlign w:val="center"/>
          </w:tcPr>
          <w:p w14:paraId="77F9C979">
            <w:pPr>
              <w:pageBreakBefore w:val="0"/>
              <w:widowControl/>
              <w:kinsoku/>
              <w:wordWrap w:val="0"/>
              <w:autoSpaceDE w:val="0"/>
              <w:autoSpaceDN w:val="0"/>
              <w:bidi w:val="0"/>
              <w:spacing w:before="60" w:beforeLines="25" w:after="60" w:afterLines="25" w:line="400" w:lineRule="atLeast"/>
              <w:ind w:left="-187" w:leftChars="-89"/>
              <w:jc w:val="center"/>
              <w:textAlignment w:val="bottom"/>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______年___月毕业于___________________学校___________专业，学制______年</w:t>
            </w:r>
          </w:p>
        </w:tc>
      </w:tr>
      <w:tr w14:paraId="62D31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Pr>
        <w:tc>
          <w:tcPr>
            <w:tcW w:w="8731" w:type="dxa"/>
            <w:gridSpan w:val="10"/>
            <w:noWrap w:val="0"/>
            <w:vAlign w:val="center"/>
          </w:tcPr>
          <w:p w14:paraId="0955222B">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经         历</w:t>
            </w:r>
          </w:p>
        </w:tc>
      </w:tr>
      <w:tr w14:paraId="1DCD9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Pr>
        <w:tc>
          <w:tcPr>
            <w:tcW w:w="1285" w:type="dxa"/>
            <w:gridSpan w:val="2"/>
            <w:noWrap w:val="0"/>
            <w:vAlign w:val="center"/>
          </w:tcPr>
          <w:p w14:paraId="2EE63B9C">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highlight w:val="none"/>
              </w:rPr>
              <w:t>时  间</w:t>
            </w:r>
          </w:p>
        </w:tc>
        <w:tc>
          <w:tcPr>
            <w:tcW w:w="4233" w:type="dxa"/>
            <w:gridSpan w:val="5"/>
            <w:noWrap w:val="0"/>
            <w:vAlign w:val="center"/>
          </w:tcPr>
          <w:p w14:paraId="1B819DB8">
            <w:pPr>
              <w:pStyle w:val="76"/>
              <w:pageBreakBefore w:val="0"/>
              <w:widowControl/>
              <w:kinsoku/>
              <w:wordWrap w:val="0"/>
              <w:bidi w:val="0"/>
              <w:adjustRightInd/>
              <w:snapToGrid/>
              <w:spacing w:before="60" w:beforeLines="25" w:after="60" w:afterLines="25" w:line="400" w:lineRule="atLeast"/>
              <w:textAlignment w:val="bottom"/>
              <w:rPr>
                <w:rFonts w:hint="default" w:ascii="Times New Roman" w:hAnsi="Times New Roman" w:cs="Times New Roman"/>
                <w:color w:val="auto"/>
                <w:spacing w:val="0"/>
                <w:kern w:val="2"/>
                <w:szCs w:val="21"/>
                <w:highlight w:val="none"/>
              </w:rPr>
            </w:pPr>
            <w:r>
              <w:rPr>
                <w:rFonts w:hint="default" w:ascii="Times New Roman" w:hAnsi="Times New Roman" w:cs="Times New Roman"/>
                <w:color w:val="auto"/>
                <w:spacing w:val="0"/>
                <w:kern w:val="2"/>
                <w:szCs w:val="21"/>
                <w:highlight w:val="none"/>
              </w:rPr>
              <w:t>参加过的类似工程项目名称</w:t>
            </w:r>
          </w:p>
        </w:tc>
        <w:tc>
          <w:tcPr>
            <w:tcW w:w="1930" w:type="dxa"/>
            <w:gridSpan w:val="2"/>
            <w:noWrap w:val="0"/>
            <w:vAlign w:val="center"/>
          </w:tcPr>
          <w:p w14:paraId="4916F445">
            <w:pPr>
              <w:pStyle w:val="76"/>
              <w:pageBreakBefore w:val="0"/>
              <w:widowControl/>
              <w:kinsoku/>
              <w:wordWrap w:val="0"/>
              <w:bidi w:val="0"/>
              <w:adjustRightInd/>
              <w:snapToGrid/>
              <w:spacing w:before="60" w:beforeLines="25" w:after="60" w:afterLines="25" w:line="400" w:lineRule="atLeast"/>
              <w:textAlignment w:val="bottom"/>
              <w:rPr>
                <w:rFonts w:hint="default" w:ascii="Times New Roman" w:hAnsi="Times New Roman" w:cs="Times New Roman"/>
                <w:color w:val="auto"/>
                <w:spacing w:val="0"/>
                <w:kern w:val="2"/>
                <w:szCs w:val="21"/>
                <w:highlight w:val="none"/>
              </w:rPr>
            </w:pPr>
            <w:r>
              <w:rPr>
                <w:rFonts w:hint="default" w:ascii="Times New Roman" w:hAnsi="Times New Roman" w:cs="Times New Roman"/>
                <w:color w:val="auto"/>
                <w:spacing w:val="0"/>
                <w:kern w:val="2"/>
                <w:szCs w:val="21"/>
                <w:highlight w:val="none"/>
              </w:rPr>
              <w:t>担任职务</w:t>
            </w:r>
          </w:p>
        </w:tc>
        <w:tc>
          <w:tcPr>
            <w:tcW w:w="1283" w:type="dxa"/>
            <w:noWrap w:val="0"/>
            <w:vAlign w:val="center"/>
          </w:tcPr>
          <w:p w14:paraId="2CE0DECC">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发包人及联系电话</w:t>
            </w:r>
          </w:p>
        </w:tc>
      </w:tr>
      <w:tr w14:paraId="170BF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Pr>
        <w:tc>
          <w:tcPr>
            <w:tcW w:w="1285" w:type="dxa"/>
            <w:gridSpan w:val="2"/>
            <w:noWrap w:val="0"/>
            <w:vAlign w:val="center"/>
          </w:tcPr>
          <w:p w14:paraId="3FCE9F62">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4233" w:type="dxa"/>
            <w:gridSpan w:val="5"/>
            <w:noWrap w:val="0"/>
            <w:vAlign w:val="center"/>
          </w:tcPr>
          <w:p w14:paraId="429D918F">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1930" w:type="dxa"/>
            <w:gridSpan w:val="2"/>
            <w:noWrap w:val="0"/>
            <w:vAlign w:val="top"/>
          </w:tcPr>
          <w:p w14:paraId="0BE5B38A">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c>
          <w:tcPr>
            <w:tcW w:w="1283" w:type="dxa"/>
            <w:noWrap w:val="0"/>
            <w:vAlign w:val="top"/>
          </w:tcPr>
          <w:p w14:paraId="2063D32C">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r>
      <w:tr w14:paraId="13F08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Pr>
        <w:tc>
          <w:tcPr>
            <w:tcW w:w="1285" w:type="dxa"/>
            <w:gridSpan w:val="2"/>
            <w:noWrap w:val="0"/>
            <w:vAlign w:val="center"/>
          </w:tcPr>
          <w:p w14:paraId="498D17DF">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4233" w:type="dxa"/>
            <w:gridSpan w:val="5"/>
            <w:noWrap w:val="0"/>
            <w:vAlign w:val="center"/>
          </w:tcPr>
          <w:p w14:paraId="75AD3EE0">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1930" w:type="dxa"/>
            <w:gridSpan w:val="2"/>
            <w:noWrap w:val="0"/>
            <w:vAlign w:val="top"/>
          </w:tcPr>
          <w:p w14:paraId="07312AF3">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c>
          <w:tcPr>
            <w:tcW w:w="1283" w:type="dxa"/>
            <w:noWrap w:val="0"/>
            <w:vAlign w:val="top"/>
          </w:tcPr>
          <w:p w14:paraId="7FDC5267">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r>
      <w:tr w14:paraId="28E84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Pr>
        <w:tc>
          <w:tcPr>
            <w:tcW w:w="1285" w:type="dxa"/>
            <w:gridSpan w:val="2"/>
            <w:noWrap w:val="0"/>
            <w:vAlign w:val="center"/>
          </w:tcPr>
          <w:p w14:paraId="6E3ABBBE">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4233" w:type="dxa"/>
            <w:gridSpan w:val="5"/>
            <w:noWrap w:val="0"/>
            <w:vAlign w:val="center"/>
          </w:tcPr>
          <w:p w14:paraId="28C149FB">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1930" w:type="dxa"/>
            <w:gridSpan w:val="2"/>
            <w:noWrap w:val="0"/>
            <w:vAlign w:val="top"/>
          </w:tcPr>
          <w:p w14:paraId="11D07EC5">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c>
          <w:tcPr>
            <w:tcW w:w="1283" w:type="dxa"/>
            <w:noWrap w:val="0"/>
            <w:vAlign w:val="top"/>
          </w:tcPr>
          <w:p w14:paraId="00E0E005">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r>
      <w:tr w14:paraId="74F88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Pr>
        <w:tc>
          <w:tcPr>
            <w:tcW w:w="1285" w:type="dxa"/>
            <w:gridSpan w:val="2"/>
            <w:noWrap w:val="0"/>
            <w:vAlign w:val="center"/>
          </w:tcPr>
          <w:p w14:paraId="608A9245">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4233" w:type="dxa"/>
            <w:gridSpan w:val="5"/>
            <w:noWrap w:val="0"/>
            <w:vAlign w:val="center"/>
          </w:tcPr>
          <w:p w14:paraId="06A8BC5D">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1930" w:type="dxa"/>
            <w:gridSpan w:val="2"/>
            <w:noWrap w:val="0"/>
            <w:vAlign w:val="top"/>
          </w:tcPr>
          <w:p w14:paraId="7FC456EC">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c>
          <w:tcPr>
            <w:tcW w:w="1283" w:type="dxa"/>
            <w:noWrap w:val="0"/>
            <w:vAlign w:val="top"/>
          </w:tcPr>
          <w:p w14:paraId="60449389">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r>
      <w:tr w14:paraId="0234E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Pr>
        <w:tc>
          <w:tcPr>
            <w:tcW w:w="1285" w:type="dxa"/>
            <w:gridSpan w:val="2"/>
            <w:noWrap w:val="0"/>
            <w:vAlign w:val="center"/>
          </w:tcPr>
          <w:p w14:paraId="50D8F100">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4233" w:type="dxa"/>
            <w:gridSpan w:val="5"/>
            <w:noWrap w:val="0"/>
            <w:vAlign w:val="center"/>
          </w:tcPr>
          <w:p w14:paraId="6F1BA488">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1930" w:type="dxa"/>
            <w:gridSpan w:val="2"/>
            <w:noWrap w:val="0"/>
            <w:vAlign w:val="top"/>
          </w:tcPr>
          <w:p w14:paraId="5A31DCB8">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c>
          <w:tcPr>
            <w:tcW w:w="1283" w:type="dxa"/>
            <w:noWrap w:val="0"/>
            <w:vAlign w:val="top"/>
          </w:tcPr>
          <w:p w14:paraId="2F8A0391">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r>
      <w:tr w14:paraId="1597B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Pr>
        <w:tc>
          <w:tcPr>
            <w:tcW w:w="1285" w:type="dxa"/>
            <w:gridSpan w:val="2"/>
            <w:noWrap w:val="0"/>
            <w:vAlign w:val="center"/>
          </w:tcPr>
          <w:p w14:paraId="4672C37B">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4233" w:type="dxa"/>
            <w:gridSpan w:val="5"/>
            <w:noWrap w:val="0"/>
            <w:vAlign w:val="center"/>
          </w:tcPr>
          <w:p w14:paraId="276696DC">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1930" w:type="dxa"/>
            <w:gridSpan w:val="2"/>
            <w:noWrap w:val="0"/>
            <w:vAlign w:val="top"/>
          </w:tcPr>
          <w:p w14:paraId="148932CC">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c>
          <w:tcPr>
            <w:tcW w:w="1283" w:type="dxa"/>
            <w:noWrap w:val="0"/>
            <w:vAlign w:val="top"/>
          </w:tcPr>
          <w:p w14:paraId="73DFBA39">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r>
      <w:tr w14:paraId="7F7A9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Pr>
        <w:tc>
          <w:tcPr>
            <w:tcW w:w="1285" w:type="dxa"/>
            <w:gridSpan w:val="2"/>
            <w:noWrap w:val="0"/>
            <w:vAlign w:val="center"/>
          </w:tcPr>
          <w:p w14:paraId="1D36F7CA">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4233" w:type="dxa"/>
            <w:gridSpan w:val="5"/>
            <w:noWrap w:val="0"/>
            <w:vAlign w:val="center"/>
          </w:tcPr>
          <w:p w14:paraId="16DE4B7E">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1930" w:type="dxa"/>
            <w:gridSpan w:val="2"/>
            <w:noWrap w:val="0"/>
            <w:vAlign w:val="top"/>
          </w:tcPr>
          <w:p w14:paraId="4837868F">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c>
          <w:tcPr>
            <w:tcW w:w="1283" w:type="dxa"/>
            <w:noWrap w:val="0"/>
            <w:vAlign w:val="top"/>
          </w:tcPr>
          <w:p w14:paraId="5EF977D8">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r>
      <w:tr w14:paraId="25D14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2637" w:type="dxa"/>
            <w:gridSpan w:val="3"/>
            <w:shd w:val="clear" w:color="auto" w:fill="auto"/>
            <w:noWrap w:val="0"/>
            <w:vAlign w:val="center"/>
          </w:tcPr>
          <w:p w14:paraId="5C417B4E">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获奖情况</w:t>
            </w:r>
          </w:p>
        </w:tc>
        <w:tc>
          <w:tcPr>
            <w:tcW w:w="6094" w:type="dxa"/>
            <w:gridSpan w:val="7"/>
            <w:shd w:val="clear" w:color="auto" w:fill="auto"/>
            <w:noWrap w:val="0"/>
            <w:vAlign w:val="top"/>
          </w:tcPr>
          <w:p w14:paraId="0D61C2CF">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eastAsia="宋体" w:cs="Times New Roman"/>
                <w:color w:val="auto"/>
                <w:kern w:val="2"/>
                <w:sz w:val="21"/>
                <w:szCs w:val="21"/>
                <w:highlight w:val="none"/>
                <w:lang w:val="en-US" w:eastAsia="zh-CN" w:bidi="ar-SA"/>
              </w:rPr>
            </w:pPr>
          </w:p>
        </w:tc>
      </w:tr>
      <w:tr w14:paraId="2F29E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637" w:type="dxa"/>
            <w:gridSpan w:val="3"/>
            <w:shd w:val="clear" w:color="auto" w:fill="auto"/>
            <w:noWrap w:val="0"/>
            <w:vAlign w:val="center"/>
          </w:tcPr>
          <w:p w14:paraId="16CC97CC">
            <w:pPr>
              <w:pageBreakBefore w:val="0"/>
              <w:widowControl/>
              <w:kinsoku/>
              <w:wordWrap w:val="0"/>
              <w:autoSpaceDE w:val="0"/>
              <w:autoSpaceDN w:val="0"/>
              <w:bidi w:val="0"/>
              <w:spacing w:line="400" w:lineRule="atLeast"/>
              <w:jc w:val="center"/>
              <w:textAlignment w:val="bottom"/>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说明在岗情况</w:t>
            </w:r>
          </w:p>
        </w:tc>
        <w:tc>
          <w:tcPr>
            <w:tcW w:w="6094" w:type="dxa"/>
            <w:gridSpan w:val="7"/>
            <w:shd w:val="clear" w:color="auto" w:fill="auto"/>
            <w:noWrap w:val="0"/>
            <w:vAlign w:val="top"/>
          </w:tcPr>
          <w:p w14:paraId="0119C973">
            <w:pPr>
              <w:pStyle w:val="16"/>
              <w:pageBreakBefore w:val="0"/>
              <w:kinsoku/>
              <w:wordWrap w:val="0"/>
              <w:topLinePunct/>
              <w:bidi w:val="0"/>
              <w:spacing w:line="360" w:lineRule="atLeas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□目前未在其他项目上任职，现从事工作为：</w:t>
            </w:r>
            <w:r>
              <w:rPr>
                <w:rFonts w:hint="default" w:ascii="Times New Roman" w:hAnsi="Times New Roman" w:cs="Times New Roman"/>
                <w:color w:val="auto"/>
                <w:sz w:val="21"/>
                <w:szCs w:val="21"/>
                <w:highlight w:val="none"/>
                <w:u w:val="single"/>
              </w:rPr>
              <w:t xml:space="preserve">              </w:t>
            </w:r>
            <w:r>
              <w:rPr>
                <w:rFonts w:hint="default" w:ascii="Times New Roman" w:hAnsi="Times New Roman" w:cs="Times New Roman"/>
                <w:color w:val="auto"/>
                <w:sz w:val="21"/>
                <w:szCs w:val="21"/>
                <w:highlight w:val="none"/>
              </w:rPr>
              <w:t>。</w:t>
            </w:r>
          </w:p>
          <w:p w14:paraId="7829D601">
            <w:pPr>
              <w:pageBreakBefore w:val="0"/>
              <w:widowControl/>
              <w:kinsoku/>
              <w:wordWrap w:val="0"/>
              <w:autoSpaceDE w:val="0"/>
              <w:autoSpaceDN w:val="0"/>
              <w:bidi w:val="0"/>
              <w:spacing w:line="400" w:lineRule="atLeast"/>
              <w:textAlignment w:val="bottom"/>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□目前虽</w:t>
            </w:r>
            <w:r>
              <w:rPr>
                <w:rFonts w:hint="default" w:ascii="Times New Roman" w:hAnsi="Times New Roman" w:cs="Times New Roman"/>
                <w:color w:val="auto"/>
                <w:highlight w:val="none"/>
              </w:rPr>
              <w:t>在其他项目</w:t>
            </w:r>
            <w:r>
              <w:rPr>
                <w:rFonts w:hint="default" w:ascii="Times New Roman" w:hAnsi="Times New Roman" w:cs="Times New Roman"/>
                <w:color w:val="auto"/>
                <w:szCs w:val="21"/>
                <w:highlight w:val="none"/>
              </w:rPr>
              <w:t>上</w:t>
            </w:r>
            <w:r>
              <w:rPr>
                <w:rFonts w:hint="default" w:ascii="Times New Roman" w:hAnsi="Times New Roman" w:cs="Times New Roman"/>
                <w:color w:val="auto"/>
                <w:highlight w:val="none"/>
              </w:rPr>
              <w:t>任职，但本项目中标后能够从该项目撤离，目前任职项目：</w:t>
            </w:r>
            <w:r>
              <w:rPr>
                <w:rFonts w:hint="default" w:ascii="Times New Roman" w:hAnsi="Times New Roman" w:cs="Times New Roman"/>
                <w:color w:val="auto"/>
                <w:highlight w:val="none"/>
                <w:u w:val="single"/>
              </w:rPr>
              <w:t xml:space="preserve">                 </w:t>
            </w:r>
            <w:r>
              <w:rPr>
                <w:rFonts w:hint="default" w:ascii="Times New Roman" w:hAnsi="Times New Roman" w:cs="Times New Roman"/>
                <w:color w:val="auto"/>
                <w:highlight w:val="none"/>
              </w:rPr>
              <w:t>，担任职位：</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highlight w:val="none"/>
              </w:rPr>
              <w:t>。</w:t>
            </w:r>
          </w:p>
        </w:tc>
      </w:tr>
      <w:tr w14:paraId="31560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637" w:type="dxa"/>
            <w:gridSpan w:val="3"/>
            <w:shd w:val="clear" w:color="auto" w:fill="auto"/>
            <w:noWrap w:val="0"/>
            <w:vAlign w:val="center"/>
          </w:tcPr>
          <w:p w14:paraId="63CE66EB">
            <w:pPr>
              <w:pageBreakBefore w:val="0"/>
              <w:widowControl/>
              <w:kinsoku/>
              <w:wordWrap w:val="0"/>
              <w:autoSpaceDE w:val="0"/>
              <w:autoSpaceDN w:val="0"/>
              <w:bidi w:val="0"/>
              <w:spacing w:line="400" w:lineRule="atLeast"/>
              <w:jc w:val="center"/>
              <w:textAlignment w:val="bottom"/>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备     注</w:t>
            </w:r>
          </w:p>
        </w:tc>
        <w:tc>
          <w:tcPr>
            <w:tcW w:w="6094" w:type="dxa"/>
            <w:gridSpan w:val="7"/>
            <w:shd w:val="clear" w:color="auto" w:fill="auto"/>
            <w:noWrap w:val="0"/>
            <w:vAlign w:val="top"/>
          </w:tcPr>
          <w:p w14:paraId="1B53C811">
            <w:pPr>
              <w:pageBreakBefore w:val="0"/>
              <w:widowControl/>
              <w:kinsoku/>
              <w:wordWrap w:val="0"/>
              <w:autoSpaceDE w:val="0"/>
              <w:autoSpaceDN w:val="0"/>
              <w:bidi w:val="0"/>
              <w:spacing w:line="400" w:lineRule="atLeast"/>
              <w:textAlignment w:val="bottom"/>
              <w:rPr>
                <w:rFonts w:hint="default" w:ascii="Times New Roman" w:hAnsi="Times New Roman" w:eastAsia="宋体" w:cs="Times New Roman"/>
                <w:color w:val="auto"/>
                <w:kern w:val="2"/>
                <w:sz w:val="21"/>
                <w:szCs w:val="21"/>
                <w:highlight w:val="none"/>
                <w:lang w:val="en-US" w:eastAsia="zh-CN" w:bidi="ar-SA"/>
              </w:rPr>
            </w:pPr>
          </w:p>
        </w:tc>
      </w:tr>
    </w:tbl>
    <w:p w14:paraId="1AEFE075">
      <w:pPr>
        <w:pStyle w:val="18"/>
        <w:pageBreakBefore w:val="0"/>
        <w:kinsoku/>
        <w:wordWrap w:val="0"/>
        <w:bidi w:val="0"/>
        <w:spacing w:after="0" w:line="400" w:lineRule="atLeast"/>
        <w:ind w:left="588" w:leftChars="0" w:right="-61" w:rightChars="-29" w:hanging="588" w:hangingChars="28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注：1.本表人员应与表（七）中所列人员相一致。</w:t>
      </w:r>
    </w:p>
    <w:p w14:paraId="3FBE663A">
      <w:pPr>
        <w:pStyle w:val="18"/>
        <w:pageBreakBefore w:val="0"/>
        <w:kinsoku/>
        <w:wordWrap w:val="0"/>
        <w:bidi w:val="0"/>
        <w:spacing w:after="0" w:line="400" w:lineRule="atLeast"/>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2.</w:t>
      </w:r>
      <w:r>
        <w:rPr>
          <w:rFonts w:hint="default" w:ascii="Times New Roman" w:hAnsi="Times New Roman" w:cs="Times New Roman"/>
          <w:color w:val="auto"/>
          <w:highlight w:val="none"/>
        </w:rPr>
        <w:t>投标人应根据招标文件第二章</w:t>
      </w:r>
      <w:r>
        <w:rPr>
          <w:rFonts w:hint="eastAsia" w:ascii="宋体" w:hAnsi="宋体" w:eastAsia="宋体" w:cs="宋体"/>
          <w:color w:val="auto"/>
          <w:highlight w:val="none"/>
        </w:rPr>
        <w:t>“</w:t>
      </w:r>
      <w:r>
        <w:rPr>
          <w:rFonts w:hint="default" w:ascii="Times New Roman" w:hAnsi="Times New Roman" w:cs="Times New Roman"/>
          <w:color w:val="auto"/>
          <w:highlight w:val="none"/>
        </w:rPr>
        <w:t>投标人须知</w:t>
      </w:r>
      <w:r>
        <w:rPr>
          <w:rFonts w:hint="eastAsia" w:ascii="宋体" w:hAnsi="宋体" w:eastAsia="宋体" w:cs="宋体"/>
          <w:color w:val="auto"/>
          <w:highlight w:val="none"/>
        </w:rPr>
        <w:t>”</w:t>
      </w:r>
      <w:r>
        <w:rPr>
          <w:rFonts w:hint="default" w:ascii="Times New Roman" w:hAnsi="Times New Roman" w:cs="Times New Roman"/>
          <w:color w:val="auto"/>
          <w:highlight w:val="none"/>
        </w:rPr>
        <w:t>第3.5.6项的要求在本表后附相关证明材料。</w:t>
      </w:r>
    </w:p>
    <w:p w14:paraId="4BBE8E6B">
      <w:pPr>
        <w:pageBreakBefore w:val="0"/>
        <w:kinsoku/>
        <w:wordWrap w:val="0"/>
        <w:overflowPunct/>
        <w:topLinePunct/>
        <w:bidi w:val="0"/>
        <w:spacing w:line="400" w:lineRule="atLeast"/>
        <w:jc w:val="center"/>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br w:type="page"/>
      </w:r>
      <w:bookmarkStart w:id="1710" w:name="_Toc21686"/>
      <w:bookmarkStart w:id="1711" w:name="_Toc234833288"/>
      <w:bookmarkStart w:id="1712" w:name="_Toc26111"/>
      <w:r>
        <w:rPr>
          <w:rFonts w:hint="default" w:ascii="Times New Roman" w:hAnsi="Times New Roman" w:eastAsia="黑体" w:cs="Times New Roman"/>
          <w:color w:val="auto"/>
          <w:sz w:val="24"/>
          <w:highlight w:val="none"/>
        </w:rPr>
        <w:t>（</w:t>
      </w:r>
      <w:r>
        <w:rPr>
          <w:rFonts w:hint="default" w:ascii="Times New Roman" w:hAnsi="Times New Roman" w:eastAsia="黑体" w:cs="Times New Roman"/>
          <w:color w:val="auto"/>
          <w:sz w:val="24"/>
          <w:highlight w:val="none"/>
          <w:lang w:eastAsia="zh-CN"/>
        </w:rPr>
        <w:t>九</w:t>
      </w:r>
      <w:r>
        <w:rPr>
          <w:rFonts w:hint="default" w:ascii="Times New Roman" w:hAnsi="Times New Roman" w:eastAsia="黑体" w:cs="Times New Roman"/>
          <w:color w:val="auto"/>
          <w:sz w:val="24"/>
          <w:highlight w:val="none"/>
        </w:rPr>
        <w:t>）拟投入本标段的主要施工机械表</w:t>
      </w:r>
      <w:r>
        <w:rPr>
          <w:rFonts w:hint="default" w:ascii="Times New Roman" w:hAnsi="Times New Roman" w:eastAsia="黑体" w:cs="Times New Roman"/>
          <w:color w:val="auto"/>
          <w:sz w:val="24"/>
          <w:highlight w:val="none"/>
          <w:vertAlign w:val="superscript"/>
        </w:rPr>
        <w:footnoteReference w:id="54"/>
      </w:r>
      <w:bookmarkEnd w:id="1710"/>
      <w:bookmarkEnd w:id="1711"/>
      <w:bookmarkEnd w:id="1712"/>
    </w:p>
    <w:p w14:paraId="04F41334">
      <w:pPr>
        <w:pageBreakBefore w:val="0"/>
        <w:widowControl/>
        <w:kinsoku/>
        <w:wordWrap w:val="0"/>
        <w:autoSpaceDE w:val="0"/>
        <w:autoSpaceDN w:val="0"/>
        <w:bidi w:val="0"/>
        <w:spacing w:line="400" w:lineRule="atLeast"/>
        <w:ind w:left="180"/>
        <w:textAlignment w:val="bottom"/>
        <w:rPr>
          <w:rFonts w:hint="default" w:ascii="Times New Roman" w:hAnsi="Times New Roman" w:eastAsia="黑体" w:cs="Times New Roman"/>
          <w:color w:val="auto"/>
          <w:sz w:val="23"/>
          <w:szCs w:val="23"/>
          <w:highlight w:val="none"/>
        </w:rPr>
      </w:pPr>
    </w:p>
    <w:tbl>
      <w:tblPr>
        <w:tblStyle w:val="4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1085"/>
        <w:gridCol w:w="758"/>
        <w:gridCol w:w="670"/>
        <w:gridCol w:w="659"/>
        <w:gridCol w:w="941"/>
        <w:gridCol w:w="646"/>
        <w:gridCol w:w="430"/>
        <w:gridCol w:w="559"/>
        <w:gridCol w:w="559"/>
        <w:gridCol w:w="561"/>
        <w:gridCol w:w="948"/>
      </w:tblGrid>
      <w:tr w14:paraId="5D528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814" w:type="dxa"/>
            <w:vMerge w:val="restart"/>
            <w:noWrap w:val="0"/>
            <w:vAlign w:val="center"/>
          </w:tcPr>
          <w:p w14:paraId="6B42E29D">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序号</w:t>
            </w:r>
          </w:p>
        </w:tc>
        <w:tc>
          <w:tcPr>
            <w:tcW w:w="1085" w:type="dxa"/>
            <w:vMerge w:val="restart"/>
            <w:noWrap w:val="0"/>
            <w:vAlign w:val="center"/>
          </w:tcPr>
          <w:p w14:paraId="5B8CBE8B">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设备名称</w:t>
            </w:r>
          </w:p>
        </w:tc>
        <w:tc>
          <w:tcPr>
            <w:tcW w:w="758" w:type="dxa"/>
            <w:vMerge w:val="restart"/>
            <w:noWrap w:val="0"/>
            <w:vAlign w:val="center"/>
          </w:tcPr>
          <w:p w14:paraId="3C4C8BD3">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型号</w:t>
            </w:r>
          </w:p>
          <w:p w14:paraId="72F994D6">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规格</w:t>
            </w:r>
          </w:p>
        </w:tc>
        <w:tc>
          <w:tcPr>
            <w:tcW w:w="670" w:type="dxa"/>
            <w:vMerge w:val="restart"/>
            <w:noWrap w:val="0"/>
            <w:vAlign w:val="center"/>
          </w:tcPr>
          <w:p w14:paraId="320D362B">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国别</w:t>
            </w:r>
          </w:p>
          <w:p w14:paraId="78D34584">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产地</w:t>
            </w:r>
          </w:p>
        </w:tc>
        <w:tc>
          <w:tcPr>
            <w:tcW w:w="659" w:type="dxa"/>
            <w:vMerge w:val="restart"/>
            <w:noWrap w:val="0"/>
            <w:vAlign w:val="center"/>
          </w:tcPr>
          <w:p w14:paraId="014394E5">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制造</w:t>
            </w:r>
          </w:p>
          <w:p w14:paraId="5A9545DF">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年份</w:t>
            </w:r>
          </w:p>
        </w:tc>
        <w:tc>
          <w:tcPr>
            <w:tcW w:w="941" w:type="dxa"/>
            <w:vMerge w:val="restart"/>
            <w:noWrap w:val="0"/>
            <w:vAlign w:val="center"/>
          </w:tcPr>
          <w:p w14:paraId="5DAFD080">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额定功率（kW）</w:t>
            </w:r>
          </w:p>
        </w:tc>
        <w:tc>
          <w:tcPr>
            <w:tcW w:w="646" w:type="dxa"/>
            <w:vMerge w:val="restart"/>
            <w:noWrap w:val="0"/>
            <w:vAlign w:val="center"/>
          </w:tcPr>
          <w:p w14:paraId="42F24041">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生产</w:t>
            </w:r>
          </w:p>
          <w:p w14:paraId="213E1EEA">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能力</w:t>
            </w:r>
          </w:p>
        </w:tc>
        <w:tc>
          <w:tcPr>
            <w:tcW w:w="2109" w:type="dxa"/>
            <w:gridSpan w:val="4"/>
            <w:noWrap w:val="0"/>
            <w:vAlign w:val="center"/>
          </w:tcPr>
          <w:p w14:paraId="22359360">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数量（台）</w:t>
            </w:r>
          </w:p>
        </w:tc>
        <w:tc>
          <w:tcPr>
            <w:tcW w:w="948" w:type="dxa"/>
            <w:vMerge w:val="restart"/>
            <w:noWrap w:val="0"/>
            <w:vAlign w:val="center"/>
          </w:tcPr>
          <w:p w14:paraId="657A97A2">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预计进场时间</w:t>
            </w:r>
          </w:p>
        </w:tc>
      </w:tr>
      <w:tr w14:paraId="792ED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vMerge w:val="continue"/>
            <w:noWrap w:val="0"/>
            <w:vAlign w:val="center"/>
          </w:tcPr>
          <w:p w14:paraId="5E5175BD">
            <w:pPr>
              <w:pageBreakBefore w:val="0"/>
              <w:kinsoku/>
              <w:wordWrap w:val="0"/>
              <w:bidi w:val="0"/>
              <w:spacing w:line="400" w:lineRule="atLeast"/>
              <w:rPr>
                <w:rFonts w:hint="default" w:ascii="Times New Roman" w:hAnsi="Times New Roman" w:cs="Times New Roman"/>
                <w:color w:val="auto"/>
                <w:szCs w:val="21"/>
                <w:highlight w:val="none"/>
              </w:rPr>
            </w:pPr>
          </w:p>
        </w:tc>
        <w:tc>
          <w:tcPr>
            <w:tcW w:w="1085" w:type="dxa"/>
            <w:vMerge w:val="continue"/>
            <w:noWrap w:val="0"/>
            <w:vAlign w:val="center"/>
          </w:tcPr>
          <w:p w14:paraId="7742B5D2">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vMerge w:val="continue"/>
            <w:noWrap w:val="0"/>
            <w:vAlign w:val="center"/>
          </w:tcPr>
          <w:p w14:paraId="00EBAA30">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vMerge w:val="continue"/>
            <w:noWrap w:val="0"/>
            <w:vAlign w:val="center"/>
          </w:tcPr>
          <w:p w14:paraId="2ABD6884">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vMerge w:val="continue"/>
            <w:noWrap w:val="0"/>
            <w:vAlign w:val="center"/>
          </w:tcPr>
          <w:p w14:paraId="3AD1654E">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vMerge w:val="continue"/>
            <w:noWrap w:val="0"/>
            <w:vAlign w:val="center"/>
          </w:tcPr>
          <w:p w14:paraId="0F12D9D9">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vMerge w:val="continue"/>
            <w:noWrap w:val="0"/>
            <w:vAlign w:val="center"/>
          </w:tcPr>
          <w:p w14:paraId="4BDB5DB7">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vMerge w:val="restart"/>
            <w:noWrap w:val="0"/>
            <w:vAlign w:val="center"/>
          </w:tcPr>
          <w:p w14:paraId="2A97AA73">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小计</w:t>
            </w:r>
          </w:p>
        </w:tc>
        <w:tc>
          <w:tcPr>
            <w:tcW w:w="1679" w:type="dxa"/>
            <w:gridSpan w:val="3"/>
            <w:noWrap w:val="0"/>
            <w:vAlign w:val="center"/>
          </w:tcPr>
          <w:p w14:paraId="01362080">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其中</w:t>
            </w:r>
          </w:p>
        </w:tc>
        <w:tc>
          <w:tcPr>
            <w:tcW w:w="948" w:type="dxa"/>
            <w:vMerge w:val="continue"/>
            <w:noWrap w:val="0"/>
            <w:vAlign w:val="center"/>
          </w:tcPr>
          <w:p w14:paraId="20535806">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46DCD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14" w:type="dxa"/>
            <w:vMerge w:val="continue"/>
            <w:noWrap w:val="0"/>
            <w:vAlign w:val="center"/>
          </w:tcPr>
          <w:p w14:paraId="172A3E29">
            <w:pPr>
              <w:pageBreakBefore w:val="0"/>
              <w:kinsoku/>
              <w:wordWrap w:val="0"/>
              <w:bidi w:val="0"/>
              <w:spacing w:line="400" w:lineRule="atLeast"/>
              <w:rPr>
                <w:rFonts w:hint="default" w:ascii="Times New Roman" w:hAnsi="Times New Roman" w:cs="Times New Roman"/>
                <w:color w:val="auto"/>
                <w:szCs w:val="21"/>
                <w:highlight w:val="none"/>
              </w:rPr>
            </w:pPr>
          </w:p>
        </w:tc>
        <w:tc>
          <w:tcPr>
            <w:tcW w:w="1085" w:type="dxa"/>
            <w:vMerge w:val="continue"/>
            <w:noWrap w:val="0"/>
            <w:vAlign w:val="center"/>
          </w:tcPr>
          <w:p w14:paraId="4A04A92A">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vMerge w:val="continue"/>
            <w:noWrap w:val="0"/>
            <w:vAlign w:val="center"/>
          </w:tcPr>
          <w:p w14:paraId="0DC66B9D">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vMerge w:val="continue"/>
            <w:noWrap w:val="0"/>
            <w:vAlign w:val="center"/>
          </w:tcPr>
          <w:p w14:paraId="278B91A7">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vMerge w:val="continue"/>
            <w:noWrap w:val="0"/>
            <w:vAlign w:val="center"/>
          </w:tcPr>
          <w:p w14:paraId="1D2810C9">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vMerge w:val="continue"/>
            <w:noWrap w:val="0"/>
            <w:vAlign w:val="center"/>
          </w:tcPr>
          <w:p w14:paraId="7668AFD9">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vMerge w:val="continue"/>
            <w:noWrap w:val="0"/>
            <w:vAlign w:val="center"/>
          </w:tcPr>
          <w:p w14:paraId="6B3DEF47">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vMerge w:val="continue"/>
            <w:noWrap w:val="0"/>
            <w:vAlign w:val="center"/>
          </w:tcPr>
          <w:p w14:paraId="46793EAE">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559" w:type="dxa"/>
            <w:noWrap w:val="0"/>
            <w:vAlign w:val="center"/>
          </w:tcPr>
          <w:p w14:paraId="68F8E876">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自有</w:t>
            </w:r>
          </w:p>
        </w:tc>
        <w:tc>
          <w:tcPr>
            <w:tcW w:w="559" w:type="dxa"/>
            <w:noWrap w:val="0"/>
            <w:vAlign w:val="center"/>
          </w:tcPr>
          <w:p w14:paraId="02D5FA85">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新购</w:t>
            </w:r>
          </w:p>
        </w:tc>
        <w:tc>
          <w:tcPr>
            <w:tcW w:w="561" w:type="dxa"/>
            <w:noWrap w:val="0"/>
            <w:vAlign w:val="center"/>
          </w:tcPr>
          <w:p w14:paraId="688C3B21">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租赁</w:t>
            </w:r>
          </w:p>
        </w:tc>
        <w:tc>
          <w:tcPr>
            <w:tcW w:w="948" w:type="dxa"/>
            <w:vMerge w:val="continue"/>
            <w:noWrap w:val="0"/>
            <w:vAlign w:val="center"/>
          </w:tcPr>
          <w:p w14:paraId="0971F963">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6380E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center"/>
          </w:tcPr>
          <w:p w14:paraId="2487A45E">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1085" w:type="dxa"/>
            <w:noWrap w:val="0"/>
            <w:vAlign w:val="center"/>
          </w:tcPr>
          <w:p w14:paraId="562E7EE4">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noWrap w:val="0"/>
            <w:vAlign w:val="center"/>
          </w:tcPr>
          <w:p w14:paraId="6B766439">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noWrap w:val="0"/>
            <w:vAlign w:val="center"/>
          </w:tcPr>
          <w:p w14:paraId="6713AD7D">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noWrap w:val="0"/>
            <w:vAlign w:val="center"/>
          </w:tcPr>
          <w:p w14:paraId="1DE38CC2">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noWrap w:val="0"/>
            <w:vAlign w:val="center"/>
          </w:tcPr>
          <w:p w14:paraId="5052FB3A">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noWrap w:val="0"/>
            <w:vAlign w:val="center"/>
          </w:tcPr>
          <w:p w14:paraId="184AFA13">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noWrap w:val="0"/>
            <w:vAlign w:val="center"/>
          </w:tcPr>
          <w:p w14:paraId="75839A4F">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559" w:type="dxa"/>
            <w:noWrap w:val="0"/>
            <w:vAlign w:val="center"/>
          </w:tcPr>
          <w:p w14:paraId="0E98969A">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59" w:type="dxa"/>
            <w:noWrap w:val="0"/>
            <w:vAlign w:val="center"/>
          </w:tcPr>
          <w:p w14:paraId="3FE17BF4">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61" w:type="dxa"/>
            <w:noWrap w:val="0"/>
            <w:vAlign w:val="center"/>
          </w:tcPr>
          <w:p w14:paraId="5BAA8AF1">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948" w:type="dxa"/>
            <w:noWrap w:val="0"/>
            <w:vAlign w:val="center"/>
          </w:tcPr>
          <w:p w14:paraId="3D6965D0">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14ECE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center"/>
          </w:tcPr>
          <w:p w14:paraId="530AB042">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1085" w:type="dxa"/>
            <w:noWrap w:val="0"/>
            <w:vAlign w:val="center"/>
          </w:tcPr>
          <w:p w14:paraId="26FAC799">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noWrap w:val="0"/>
            <w:vAlign w:val="center"/>
          </w:tcPr>
          <w:p w14:paraId="04B7445A">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noWrap w:val="0"/>
            <w:vAlign w:val="center"/>
          </w:tcPr>
          <w:p w14:paraId="5B24066E">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noWrap w:val="0"/>
            <w:vAlign w:val="center"/>
          </w:tcPr>
          <w:p w14:paraId="2BEA0607">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noWrap w:val="0"/>
            <w:vAlign w:val="center"/>
          </w:tcPr>
          <w:p w14:paraId="0B85A2B4">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noWrap w:val="0"/>
            <w:vAlign w:val="center"/>
          </w:tcPr>
          <w:p w14:paraId="62084B61">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noWrap w:val="0"/>
            <w:vAlign w:val="center"/>
          </w:tcPr>
          <w:p w14:paraId="3C8B0BC8">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559" w:type="dxa"/>
            <w:noWrap w:val="0"/>
            <w:vAlign w:val="center"/>
          </w:tcPr>
          <w:p w14:paraId="18A0F244">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59" w:type="dxa"/>
            <w:noWrap w:val="0"/>
            <w:vAlign w:val="center"/>
          </w:tcPr>
          <w:p w14:paraId="00B7C5C5">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61" w:type="dxa"/>
            <w:noWrap w:val="0"/>
            <w:vAlign w:val="center"/>
          </w:tcPr>
          <w:p w14:paraId="6C06CC53">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948" w:type="dxa"/>
            <w:noWrap w:val="0"/>
            <w:vAlign w:val="center"/>
          </w:tcPr>
          <w:p w14:paraId="77D6F1BE">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2742E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top"/>
          </w:tcPr>
          <w:p w14:paraId="0C57198B">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1085" w:type="dxa"/>
            <w:noWrap w:val="0"/>
            <w:vAlign w:val="top"/>
          </w:tcPr>
          <w:p w14:paraId="68FE8A77">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noWrap w:val="0"/>
            <w:vAlign w:val="top"/>
          </w:tcPr>
          <w:p w14:paraId="0AA59DB1">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noWrap w:val="0"/>
            <w:vAlign w:val="top"/>
          </w:tcPr>
          <w:p w14:paraId="1F6A3939">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noWrap w:val="0"/>
            <w:vAlign w:val="top"/>
          </w:tcPr>
          <w:p w14:paraId="6FEEA1D8">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noWrap w:val="0"/>
            <w:vAlign w:val="top"/>
          </w:tcPr>
          <w:p w14:paraId="0D271113">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noWrap w:val="0"/>
            <w:vAlign w:val="top"/>
          </w:tcPr>
          <w:p w14:paraId="6EB29A2D">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noWrap w:val="0"/>
            <w:vAlign w:val="top"/>
          </w:tcPr>
          <w:p w14:paraId="2D94D1D5">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559" w:type="dxa"/>
            <w:noWrap w:val="0"/>
            <w:vAlign w:val="top"/>
          </w:tcPr>
          <w:p w14:paraId="05F7C279">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59" w:type="dxa"/>
            <w:noWrap w:val="0"/>
            <w:vAlign w:val="top"/>
          </w:tcPr>
          <w:p w14:paraId="22367D1E">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61" w:type="dxa"/>
            <w:noWrap w:val="0"/>
            <w:vAlign w:val="top"/>
          </w:tcPr>
          <w:p w14:paraId="6D199324">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948" w:type="dxa"/>
            <w:noWrap w:val="0"/>
            <w:vAlign w:val="top"/>
          </w:tcPr>
          <w:p w14:paraId="53BB337C">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493A3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top"/>
          </w:tcPr>
          <w:p w14:paraId="0F07ECCF">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1085" w:type="dxa"/>
            <w:noWrap w:val="0"/>
            <w:vAlign w:val="top"/>
          </w:tcPr>
          <w:p w14:paraId="6C9615D8">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noWrap w:val="0"/>
            <w:vAlign w:val="top"/>
          </w:tcPr>
          <w:p w14:paraId="0F2EC280">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noWrap w:val="0"/>
            <w:vAlign w:val="top"/>
          </w:tcPr>
          <w:p w14:paraId="22A35096">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noWrap w:val="0"/>
            <w:vAlign w:val="top"/>
          </w:tcPr>
          <w:p w14:paraId="1B855832">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noWrap w:val="0"/>
            <w:vAlign w:val="top"/>
          </w:tcPr>
          <w:p w14:paraId="0304278C">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noWrap w:val="0"/>
            <w:vAlign w:val="top"/>
          </w:tcPr>
          <w:p w14:paraId="23C86C69">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noWrap w:val="0"/>
            <w:vAlign w:val="top"/>
          </w:tcPr>
          <w:p w14:paraId="2B9CB301">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559" w:type="dxa"/>
            <w:noWrap w:val="0"/>
            <w:vAlign w:val="top"/>
          </w:tcPr>
          <w:p w14:paraId="3647E4C7">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59" w:type="dxa"/>
            <w:noWrap w:val="0"/>
            <w:vAlign w:val="top"/>
          </w:tcPr>
          <w:p w14:paraId="76DCC360">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61" w:type="dxa"/>
            <w:noWrap w:val="0"/>
            <w:vAlign w:val="top"/>
          </w:tcPr>
          <w:p w14:paraId="612DA9D5">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948" w:type="dxa"/>
            <w:noWrap w:val="0"/>
            <w:vAlign w:val="top"/>
          </w:tcPr>
          <w:p w14:paraId="4EA5F65C">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511AC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top"/>
          </w:tcPr>
          <w:p w14:paraId="4E3265AD">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1085" w:type="dxa"/>
            <w:noWrap w:val="0"/>
            <w:vAlign w:val="top"/>
          </w:tcPr>
          <w:p w14:paraId="365B0E69">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noWrap w:val="0"/>
            <w:vAlign w:val="top"/>
          </w:tcPr>
          <w:p w14:paraId="0A5509CF">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noWrap w:val="0"/>
            <w:vAlign w:val="top"/>
          </w:tcPr>
          <w:p w14:paraId="01B8BB0C">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noWrap w:val="0"/>
            <w:vAlign w:val="top"/>
          </w:tcPr>
          <w:p w14:paraId="6F9C58F0">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noWrap w:val="0"/>
            <w:vAlign w:val="top"/>
          </w:tcPr>
          <w:p w14:paraId="5AAD0B9B">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noWrap w:val="0"/>
            <w:vAlign w:val="top"/>
          </w:tcPr>
          <w:p w14:paraId="0B32CC39">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noWrap w:val="0"/>
            <w:vAlign w:val="top"/>
          </w:tcPr>
          <w:p w14:paraId="53A96A3C">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559" w:type="dxa"/>
            <w:noWrap w:val="0"/>
            <w:vAlign w:val="top"/>
          </w:tcPr>
          <w:p w14:paraId="04BEB3CC">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59" w:type="dxa"/>
            <w:noWrap w:val="0"/>
            <w:vAlign w:val="top"/>
          </w:tcPr>
          <w:p w14:paraId="0B9C0FF2">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61" w:type="dxa"/>
            <w:noWrap w:val="0"/>
            <w:vAlign w:val="top"/>
          </w:tcPr>
          <w:p w14:paraId="63A552FF">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948" w:type="dxa"/>
            <w:noWrap w:val="0"/>
            <w:vAlign w:val="top"/>
          </w:tcPr>
          <w:p w14:paraId="7528F939">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26DE6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top"/>
          </w:tcPr>
          <w:p w14:paraId="227343BF">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1085" w:type="dxa"/>
            <w:noWrap w:val="0"/>
            <w:vAlign w:val="top"/>
          </w:tcPr>
          <w:p w14:paraId="48482383">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noWrap w:val="0"/>
            <w:vAlign w:val="top"/>
          </w:tcPr>
          <w:p w14:paraId="49FDFDCB">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noWrap w:val="0"/>
            <w:vAlign w:val="top"/>
          </w:tcPr>
          <w:p w14:paraId="2EFA362A">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noWrap w:val="0"/>
            <w:vAlign w:val="top"/>
          </w:tcPr>
          <w:p w14:paraId="5F4315E0">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noWrap w:val="0"/>
            <w:vAlign w:val="top"/>
          </w:tcPr>
          <w:p w14:paraId="7AFB39B8">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noWrap w:val="0"/>
            <w:vAlign w:val="top"/>
          </w:tcPr>
          <w:p w14:paraId="2D34FEE8">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noWrap w:val="0"/>
            <w:vAlign w:val="top"/>
          </w:tcPr>
          <w:p w14:paraId="2CD67C56">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559" w:type="dxa"/>
            <w:noWrap w:val="0"/>
            <w:vAlign w:val="top"/>
          </w:tcPr>
          <w:p w14:paraId="19E6F7BA">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59" w:type="dxa"/>
            <w:noWrap w:val="0"/>
            <w:vAlign w:val="top"/>
          </w:tcPr>
          <w:p w14:paraId="7C8F2AF1">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61" w:type="dxa"/>
            <w:noWrap w:val="0"/>
            <w:vAlign w:val="top"/>
          </w:tcPr>
          <w:p w14:paraId="073010A8">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948" w:type="dxa"/>
            <w:noWrap w:val="0"/>
            <w:vAlign w:val="top"/>
          </w:tcPr>
          <w:p w14:paraId="6FC61631">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4924C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top"/>
          </w:tcPr>
          <w:p w14:paraId="3691EE71">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1085" w:type="dxa"/>
            <w:noWrap w:val="0"/>
            <w:vAlign w:val="top"/>
          </w:tcPr>
          <w:p w14:paraId="627AEDC4">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noWrap w:val="0"/>
            <w:vAlign w:val="top"/>
          </w:tcPr>
          <w:p w14:paraId="0DDDD009">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noWrap w:val="0"/>
            <w:vAlign w:val="top"/>
          </w:tcPr>
          <w:p w14:paraId="039E7AF5">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noWrap w:val="0"/>
            <w:vAlign w:val="top"/>
          </w:tcPr>
          <w:p w14:paraId="4C0042EB">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noWrap w:val="0"/>
            <w:vAlign w:val="top"/>
          </w:tcPr>
          <w:p w14:paraId="6A8EF25A">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noWrap w:val="0"/>
            <w:vAlign w:val="top"/>
          </w:tcPr>
          <w:p w14:paraId="3D0D2A20">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noWrap w:val="0"/>
            <w:vAlign w:val="top"/>
          </w:tcPr>
          <w:p w14:paraId="117A3599">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559" w:type="dxa"/>
            <w:noWrap w:val="0"/>
            <w:vAlign w:val="top"/>
          </w:tcPr>
          <w:p w14:paraId="3EDD6321">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59" w:type="dxa"/>
            <w:noWrap w:val="0"/>
            <w:vAlign w:val="top"/>
          </w:tcPr>
          <w:p w14:paraId="5A839247">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61" w:type="dxa"/>
            <w:noWrap w:val="0"/>
            <w:vAlign w:val="top"/>
          </w:tcPr>
          <w:p w14:paraId="4FFD0F20">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948" w:type="dxa"/>
            <w:noWrap w:val="0"/>
            <w:vAlign w:val="top"/>
          </w:tcPr>
          <w:p w14:paraId="54A0D992">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3C062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top"/>
          </w:tcPr>
          <w:p w14:paraId="391D3F3D">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1085" w:type="dxa"/>
            <w:noWrap w:val="0"/>
            <w:vAlign w:val="top"/>
          </w:tcPr>
          <w:p w14:paraId="10256177">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noWrap w:val="0"/>
            <w:vAlign w:val="top"/>
          </w:tcPr>
          <w:p w14:paraId="0D5D8239">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noWrap w:val="0"/>
            <w:vAlign w:val="top"/>
          </w:tcPr>
          <w:p w14:paraId="332F9C90">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noWrap w:val="0"/>
            <w:vAlign w:val="top"/>
          </w:tcPr>
          <w:p w14:paraId="0FCD349D">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noWrap w:val="0"/>
            <w:vAlign w:val="top"/>
          </w:tcPr>
          <w:p w14:paraId="3042E400">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noWrap w:val="0"/>
            <w:vAlign w:val="top"/>
          </w:tcPr>
          <w:p w14:paraId="1DC1E1FF">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noWrap w:val="0"/>
            <w:vAlign w:val="top"/>
          </w:tcPr>
          <w:p w14:paraId="615D8EF9">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559" w:type="dxa"/>
            <w:noWrap w:val="0"/>
            <w:vAlign w:val="top"/>
          </w:tcPr>
          <w:p w14:paraId="45AFC2F5">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59" w:type="dxa"/>
            <w:noWrap w:val="0"/>
            <w:vAlign w:val="top"/>
          </w:tcPr>
          <w:p w14:paraId="63AF7C62">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61" w:type="dxa"/>
            <w:noWrap w:val="0"/>
            <w:vAlign w:val="top"/>
          </w:tcPr>
          <w:p w14:paraId="4A525531">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948" w:type="dxa"/>
            <w:noWrap w:val="0"/>
            <w:vAlign w:val="top"/>
          </w:tcPr>
          <w:p w14:paraId="587C08F4">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7643C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top"/>
          </w:tcPr>
          <w:p w14:paraId="308B89C5">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1085" w:type="dxa"/>
            <w:noWrap w:val="0"/>
            <w:vAlign w:val="top"/>
          </w:tcPr>
          <w:p w14:paraId="0866E0BB">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noWrap w:val="0"/>
            <w:vAlign w:val="top"/>
          </w:tcPr>
          <w:p w14:paraId="12F2B473">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noWrap w:val="0"/>
            <w:vAlign w:val="top"/>
          </w:tcPr>
          <w:p w14:paraId="2BB35442">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noWrap w:val="0"/>
            <w:vAlign w:val="top"/>
          </w:tcPr>
          <w:p w14:paraId="60E31FFA">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noWrap w:val="0"/>
            <w:vAlign w:val="top"/>
          </w:tcPr>
          <w:p w14:paraId="728C676D">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noWrap w:val="0"/>
            <w:vAlign w:val="top"/>
          </w:tcPr>
          <w:p w14:paraId="10512FF3">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noWrap w:val="0"/>
            <w:vAlign w:val="top"/>
          </w:tcPr>
          <w:p w14:paraId="5DE8C77E">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559" w:type="dxa"/>
            <w:noWrap w:val="0"/>
            <w:vAlign w:val="top"/>
          </w:tcPr>
          <w:p w14:paraId="268FECBF">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59" w:type="dxa"/>
            <w:noWrap w:val="0"/>
            <w:vAlign w:val="top"/>
          </w:tcPr>
          <w:p w14:paraId="1C030467">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61" w:type="dxa"/>
            <w:noWrap w:val="0"/>
            <w:vAlign w:val="top"/>
          </w:tcPr>
          <w:p w14:paraId="07CF66CD">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948" w:type="dxa"/>
            <w:noWrap w:val="0"/>
            <w:vAlign w:val="top"/>
          </w:tcPr>
          <w:p w14:paraId="51EA1DFF">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51240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top"/>
          </w:tcPr>
          <w:p w14:paraId="5CB62CED">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1085" w:type="dxa"/>
            <w:noWrap w:val="0"/>
            <w:vAlign w:val="top"/>
          </w:tcPr>
          <w:p w14:paraId="7EB392A3">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noWrap w:val="0"/>
            <w:vAlign w:val="top"/>
          </w:tcPr>
          <w:p w14:paraId="59B94546">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noWrap w:val="0"/>
            <w:vAlign w:val="top"/>
          </w:tcPr>
          <w:p w14:paraId="6545EBAF">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noWrap w:val="0"/>
            <w:vAlign w:val="top"/>
          </w:tcPr>
          <w:p w14:paraId="48849423">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noWrap w:val="0"/>
            <w:vAlign w:val="top"/>
          </w:tcPr>
          <w:p w14:paraId="130A84C0">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noWrap w:val="0"/>
            <w:vAlign w:val="top"/>
          </w:tcPr>
          <w:p w14:paraId="769266D4">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noWrap w:val="0"/>
            <w:vAlign w:val="top"/>
          </w:tcPr>
          <w:p w14:paraId="50EAFC5F">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559" w:type="dxa"/>
            <w:noWrap w:val="0"/>
            <w:vAlign w:val="top"/>
          </w:tcPr>
          <w:p w14:paraId="1B49BCA5">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59" w:type="dxa"/>
            <w:noWrap w:val="0"/>
            <w:vAlign w:val="top"/>
          </w:tcPr>
          <w:p w14:paraId="7B4AD191">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61" w:type="dxa"/>
            <w:noWrap w:val="0"/>
            <w:vAlign w:val="top"/>
          </w:tcPr>
          <w:p w14:paraId="5D026262">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948" w:type="dxa"/>
            <w:noWrap w:val="0"/>
            <w:vAlign w:val="top"/>
          </w:tcPr>
          <w:p w14:paraId="772631DB">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40514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top"/>
          </w:tcPr>
          <w:p w14:paraId="0F977971">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1085" w:type="dxa"/>
            <w:noWrap w:val="0"/>
            <w:vAlign w:val="top"/>
          </w:tcPr>
          <w:p w14:paraId="2626DBD9">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noWrap w:val="0"/>
            <w:vAlign w:val="top"/>
          </w:tcPr>
          <w:p w14:paraId="151FB29F">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noWrap w:val="0"/>
            <w:vAlign w:val="top"/>
          </w:tcPr>
          <w:p w14:paraId="641B2565">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noWrap w:val="0"/>
            <w:vAlign w:val="top"/>
          </w:tcPr>
          <w:p w14:paraId="2C7BD539">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noWrap w:val="0"/>
            <w:vAlign w:val="top"/>
          </w:tcPr>
          <w:p w14:paraId="1132F5A4">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noWrap w:val="0"/>
            <w:vAlign w:val="top"/>
          </w:tcPr>
          <w:p w14:paraId="6C5C4BD3">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noWrap w:val="0"/>
            <w:vAlign w:val="top"/>
          </w:tcPr>
          <w:p w14:paraId="51018391">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559" w:type="dxa"/>
            <w:noWrap w:val="0"/>
            <w:vAlign w:val="top"/>
          </w:tcPr>
          <w:p w14:paraId="49246996">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59" w:type="dxa"/>
            <w:noWrap w:val="0"/>
            <w:vAlign w:val="top"/>
          </w:tcPr>
          <w:p w14:paraId="4DEA794D">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61" w:type="dxa"/>
            <w:noWrap w:val="0"/>
            <w:vAlign w:val="top"/>
          </w:tcPr>
          <w:p w14:paraId="0E77DD8E">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948" w:type="dxa"/>
            <w:noWrap w:val="0"/>
            <w:vAlign w:val="top"/>
          </w:tcPr>
          <w:p w14:paraId="799A5739">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6B611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top"/>
          </w:tcPr>
          <w:p w14:paraId="49806CB0">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1085" w:type="dxa"/>
            <w:noWrap w:val="0"/>
            <w:vAlign w:val="top"/>
          </w:tcPr>
          <w:p w14:paraId="57399D85">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noWrap w:val="0"/>
            <w:vAlign w:val="top"/>
          </w:tcPr>
          <w:p w14:paraId="42355235">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noWrap w:val="0"/>
            <w:vAlign w:val="top"/>
          </w:tcPr>
          <w:p w14:paraId="00614514">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noWrap w:val="0"/>
            <w:vAlign w:val="top"/>
          </w:tcPr>
          <w:p w14:paraId="4130C8DA">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noWrap w:val="0"/>
            <w:vAlign w:val="top"/>
          </w:tcPr>
          <w:p w14:paraId="4EB31A1A">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noWrap w:val="0"/>
            <w:vAlign w:val="top"/>
          </w:tcPr>
          <w:p w14:paraId="430D53FB">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noWrap w:val="0"/>
            <w:vAlign w:val="top"/>
          </w:tcPr>
          <w:p w14:paraId="663C4DDF">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559" w:type="dxa"/>
            <w:noWrap w:val="0"/>
            <w:vAlign w:val="top"/>
          </w:tcPr>
          <w:p w14:paraId="0E28D0AE">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59" w:type="dxa"/>
            <w:noWrap w:val="0"/>
            <w:vAlign w:val="top"/>
          </w:tcPr>
          <w:p w14:paraId="773D4031">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61" w:type="dxa"/>
            <w:noWrap w:val="0"/>
            <w:vAlign w:val="top"/>
          </w:tcPr>
          <w:p w14:paraId="6AD62B10">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948" w:type="dxa"/>
            <w:noWrap w:val="0"/>
            <w:vAlign w:val="top"/>
          </w:tcPr>
          <w:p w14:paraId="7036D4F8">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34E60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top"/>
          </w:tcPr>
          <w:p w14:paraId="4931F0D0">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1085" w:type="dxa"/>
            <w:noWrap w:val="0"/>
            <w:vAlign w:val="top"/>
          </w:tcPr>
          <w:p w14:paraId="64A08AC8">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noWrap w:val="0"/>
            <w:vAlign w:val="top"/>
          </w:tcPr>
          <w:p w14:paraId="73601CEE">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noWrap w:val="0"/>
            <w:vAlign w:val="top"/>
          </w:tcPr>
          <w:p w14:paraId="1CD5A893">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noWrap w:val="0"/>
            <w:vAlign w:val="top"/>
          </w:tcPr>
          <w:p w14:paraId="538A18BB">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noWrap w:val="0"/>
            <w:vAlign w:val="top"/>
          </w:tcPr>
          <w:p w14:paraId="50587AAE">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noWrap w:val="0"/>
            <w:vAlign w:val="top"/>
          </w:tcPr>
          <w:p w14:paraId="419C71C8">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noWrap w:val="0"/>
            <w:vAlign w:val="top"/>
          </w:tcPr>
          <w:p w14:paraId="75094635">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559" w:type="dxa"/>
            <w:noWrap w:val="0"/>
            <w:vAlign w:val="top"/>
          </w:tcPr>
          <w:p w14:paraId="77000EF1">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59" w:type="dxa"/>
            <w:noWrap w:val="0"/>
            <w:vAlign w:val="top"/>
          </w:tcPr>
          <w:p w14:paraId="435C0E66">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61" w:type="dxa"/>
            <w:noWrap w:val="0"/>
            <w:vAlign w:val="top"/>
          </w:tcPr>
          <w:p w14:paraId="5FC55CEF">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948" w:type="dxa"/>
            <w:noWrap w:val="0"/>
            <w:vAlign w:val="top"/>
          </w:tcPr>
          <w:p w14:paraId="5DF9CC09">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6C14E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top"/>
          </w:tcPr>
          <w:p w14:paraId="3D22A3C3">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1085" w:type="dxa"/>
            <w:noWrap w:val="0"/>
            <w:vAlign w:val="top"/>
          </w:tcPr>
          <w:p w14:paraId="53C077DC">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noWrap w:val="0"/>
            <w:vAlign w:val="top"/>
          </w:tcPr>
          <w:p w14:paraId="5728A6FB">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noWrap w:val="0"/>
            <w:vAlign w:val="top"/>
          </w:tcPr>
          <w:p w14:paraId="417C6E50">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noWrap w:val="0"/>
            <w:vAlign w:val="top"/>
          </w:tcPr>
          <w:p w14:paraId="03FC5F5E">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noWrap w:val="0"/>
            <w:vAlign w:val="top"/>
          </w:tcPr>
          <w:p w14:paraId="6594C3FA">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noWrap w:val="0"/>
            <w:vAlign w:val="top"/>
          </w:tcPr>
          <w:p w14:paraId="36CFB6C9">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noWrap w:val="0"/>
            <w:vAlign w:val="top"/>
          </w:tcPr>
          <w:p w14:paraId="2092E623">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559" w:type="dxa"/>
            <w:noWrap w:val="0"/>
            <w:vAlign w:val="top"/>
          </w:tcPr>
          <w:p w14:paraId="54BCC5D1">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59" w:type="dxa"/>
            <w:noWrap w:val="0"/>
            <w:vAlign w:val="top"/>
          </w:tcPr>
          <w:p w14:paraId="078FE087">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61" w:type="dxa"/>
            <w:noWrap w:val="0"/>
            <w:vAlign w:val="top"/>
          </w:tcPr>
          <w:p w14:paraId="28A4A23E">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948" w:type="dxa"/>
            <w:noWrap w:val="0"/>
            <w:vAlign w:val="top"/>
          </w:tcPr>
          <w:p w14:paraId="6EEFB8E0">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04A5B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top"/>
          </w:tcPr>
          <w:p w14:paraId="5853A220">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1085" w:type="dxa"/>
            <w:noWrap w:val="0"/>
            <w:vAlign w:val="top"/>
          </w:tcPr>
          <w:p w14:paraId="121DE671">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noWrap w:val="0"/>
            <w:vAlign w:val="top"/>
          </w:tcPr>
          <w:p w14:paraId="491BB79A">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noWrap w:val="0"/>
            <w:vAlign w:val="top"/>
          </w:tcPr>
          <w:p w14:paraId="01A58199">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noWrap w:val="0"/>
            <w:vAlign w:val="top"/>
          </w:tcPr>
          <w:p w14:paraId="1FBA4187">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noWrap w:val="0"/>
            <w:vAlign w:val="top"/>
          </w:tcPr>
          <w:p w14:paraId="2FA0FD13">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noWrap w:val="0"/>
            <w:vAlign w:val="top"/>
          </w:tcPr>
          <w:p w14:paraId="421825AC">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noWrap w:val="0"/>
            <w:vAlign w:val="top"/>
          </w:tcPr>
          <w:p w14:paraId="3A85CC8F">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559" w:type="dxa"/>
            <w:noWrap w:val="0"/>
            <w:vAlign w:val="top"/>
          </w:tcPr>
          <w:p w14:paraId="079BD867">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59" w:type="dxa"/>
            <w:noWrap w:val="0"/>
            <w:vAlign w:val="top"/>
          </w:tcPr>
          <w:p w14:paraId="7BDAEE87">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61" w:type="dxa"/>
            <w:noWrap w:val="0"/>
            <w:vAlign w:val="top"/>
          </w:tcPr>
          <w:p w14:paraId="639D4832">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948" w:type="dxa"/>
            <w:noWrap w:val="0"/>
            <w:vAlign w:val="top"/>
          </w:tcPr>
          <w:p w14:paraId="2E8E055A">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68BD8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top"/>
          </w:tcPr>
          <w:p w14:paraId="322D5488">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1085" w:type="dxa"/>
            <w:noWrap w:val="0"/>
            <w:vAlign w:val="top"/>
          </w:tcPr>
          <w:p w14:paraId="29026FDE">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noWrap w:val="0"/>
            <w:vAlign w:val="top"/>
          </w:tcPr>
          <w:p w14:paraId="24CD1275">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noWrap w:val="0"/>
            <w:vAlign w:val="top"/>
          </w:tcPr>
          <w:p w14:paraId="2C37E658">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noWrap w:val="0"/>
            <w:vAlign w:val="top"/>
          </w:tcPr>
          <w:p w14:paraId="6317F5CA">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noWrap w:val="0"/>
            <w:vAlign w:val="top"/>
          </w:tcPr>
          <w:p w14:paraId="040220E0">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noWrap w:val="0"/>
            <w:vAlign w:val="top"/>
          </w:tcPr>
          <w:p w14:paraId="0C10E863">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noWrap w:val="0"/>
            <w:vAlign w:val="top"/>
          </w:tcPr>
          <w:p w14:paraId="2DE62BCE">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559" w:type="dxa"/>
            <w:noWrap w:val="0"/>
            <w:vAlign w:val="top"/>
          </w:tcPr>
          <w:p w14:paraId="31969604">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59" w:type="dxa"/>
            <w:noWrap w:val="0"/>
            <w:vAlign w:val="top"/>
          </w:tcPr>
          <w:p w14:paraId="15496131">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61" w:type="dxa"/>
            <w:noWrap w:val="0"/>
            <w:vAlign w:val="top"/>
          </w:tcPr>
          <w:p w14:paraId="73A72A9B">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948" w:type="dxa"/>
            <w:noWrap w:val="0"/>
            <w:vAlign w:val="top"/>
          </w:tcPr>
          <w:p w14:paraId="7420B577">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2730C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top"/>
          </w:tcPr>
          <w:p w14:paraId="6D38660A">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1085" w:type="dxa"/>
            <w:noWrap w:val="0"/>
            <w:vAlign w:val="top"/>
          </w:tcPr>
          <w:p w14:paraId="2F691DE8">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noWrap w:val="0"/>
            <w:vAlign w:val="top"/>
          </w:tcPr>
          <w:p w14:paraId="367758C5">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noWrap w:val="0"/>
            <w:vAlign w:val="top"/>
          </w:tcPr>
          <w:p w14:paraId="0D3590F6">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noWrap w:val="0"/>
            <w:vAlign w:val="top"/>
          </w:tcPr>
          <w:p w14:paraId="7EB2FC68">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noWrap w:val="0"/>
            <w:vAlign w:val="top"/>
          </w:tcPr>
          <w:p w14:paraId="1B006A6F">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noWrap w:val="0"/>
            <w:vAlign w:val="top"/>
          </w:tcPr>
          <w:p w14:paraId="1CE952EB">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noWrap w:val="0"/>
            <w:vAlign w:val="top"/>
          </w:tcPr>
          <w:p w14:paraId="14A0A790">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559" w:type="dxa"/>
            <w:noWrap w:val="0"/>
            <w:vAlign w:val="top"/>
          </w:tcPr>
          <w:p w14:paraId="44D30D60">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59" w:type="dxa"/>
            <w:noWrap w:val="0"/>
            <w:vAlign w:val="top"/>
          </w:tcPr>
          <w:p w14:paraId="1B301133">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61" w:type="dxa"/>
            <w:noWrap w:val="0"/>
            <w:vAlign w:val="top"/>
          </w:tcPr>
          <w:p w14:paraId="38C9B2B8">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948" w:type="dxa"/>
            <w:noWrap w:val="0"/>
            <w:vAlign w:val="top"/>
          </w:tcPr>
          <w:p w14:paraId="6F1DCE3C">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25102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top"/>
          </w:tcPr>
          <w:p w14:paraId="10FFB5AA">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1085" w:type="dxa"/>
            <w:noWrap w:val="0"/>
            <w:vAlign w:val="top"/>
          </w:tcPr>
          <w:p w14:paraId="30119C17">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noWrap w:val="0"/>
            <w:vAlign w:val="top"/>
          </w:tcPr>
          <w:p w14:paraId="2FFE89B2">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noWrap w:val="0"/>
            <w:vAlign w:val="top"/>
          </w:tcPr>
          <w:p w14:paraId="28CCEAAC">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noWrap w:val="0"/>
            <w:vAlign w:val="top"/>
          </w:tcPr>
          <w:p w14:paraId="36194B9B">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noWrap w:val="0"/>
            <w:vAlign w:val="top"/>
          </w:tcPr>
          <w:p w14:paraId="3E12D60A">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noWrap w:val="0"/>
            <w:vAlign w:val="top"/>
          </w:tcPr>
          <w:p w14:paraId="31841FBD">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noWrap w:val="0"/>
            <w:vAlign w:val="top"/>
          </w:tcPr>
          <w:p w14:paraId="1582046F">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559" w:type="dxa"/>
            <w:noWrap w:val="0"/>
            <w:vAlign w:val="top"/>
          </w:tcPr>
          <w:p w14:paraId="4CE5845F">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59" w:type="dxa"/>
            <w:noWrap w:val="0"/>
            <w:vAlign w:val="top"/>
          </w:tcPr>
          <w:p w14:paraId="25832CBD">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61" w:type="dxa"/>
            <w:noWrap w:val="0"/>
            <w:vAlign w:val="top"/>
          </w:tcPr>
          <w:p w14:paraId="2215E0EE">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948" w:type="dxa"/>
            <w:noWrap w:val="0"/>
            <w:vAlign w:val="top"/>
          </w:tcPr>
          <w:p w14:paraId="7A2532DF">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3733C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top"/>
          </w:tcPr>
          <w:p w14:paraId="7734E742">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1085" w:type="dxa"/>
            <w:noWrap w:val="0"/>
            <w:vAlign w:val="top"/>
          </w:tcPr>
          <w:p w14:paraId="424FAB61">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noWrap w:val="0"/>
            <w:vAlign w:val="top"/>
          </w:tcPr>
          <w:p w14:paraId="14A811A9">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noWrap w:val="0"/>
            <w:vAlign w:val="top"/>
          </w:tcPr>
          <w:p w14:paraId="5288A169">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noWrap w:val="0"/>
            <w:vAlign w:val="top"/>
          </w:tcPr>
          <w:p w14:paraId="51B97B3C">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noWrap w:val="0"/>
            <w:vAlign w:val="top"/>
          </w:tcPr>
          <w:p w14:paraId="00D33837">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noWrap w:val="0"/>
            <w:vAlign w:val="top"/>
          </w:tcPr>
          <w:p w14:paraId="135F854A">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noWrap w:val="0"/>
            <w:vAlign w:val="top"/>
          </w:tcPr>
          <w:p w14:paraId="0C98B4AC">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559" w:type="dxa"/>
            <w:noWrap w:val="0"/>
            <w:vAlign w:val="top"/>
          </w:tcPr>
          <w:p w14:paraId="1CF01C4A">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59" w:type="dxa"/>
            <w:noWrap w:val="0"/>
            <w:vAlign w:val="top"/>
          </w:tcPr>
          <w:p w14:paraId="0E203FAE">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61" w:type="dxa"/>
            <w:noWrap w:val="0"/>
            <w:vAlign w:val="top"/>
          </w:tcPr>
          <w:p w14:paraId="2C78E838">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948" w:type="dxa"/>
            <w:noWrap w:val="0"/>
            <w:vAlign w:val="top"/>
          </w:tcPr>
          <w:p w14:paraId="4A9B35C1">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49908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top"/>
          </w:tcPr>
          <w:p w14:paraId="37522ACC">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1085" w:type="dxa"/>
            <w:noWrap w:val="0"/>
            <w:vAlign w:val="top"/>
          </w:tcPr>
          <w:p w14:paraId="4B9210F8">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noWrap w:val="0"/>
            <w:vAlign w:val="top"/>
          </w:tcPr>
          <w:p w14:paraId="1275686E">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noWrap w:val="0"/>
            <w:vAlign w:val="top"/>
          </w:tcPr>
          <w:p w14:paraId="11136F57">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noWrap w:val="0"/>
            <w:vAlign w:val="top"/>
          </w:tcPr>
          <w:p w14:paraId="0C9BEE3B">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noWrap w:val="0"/>
            <w:vAlign w:val="top"/>
          </w:tcPr>
          <w:p w14:paraId="17220CFF">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noWrap w:val="0"/>
            <w:vAlign w:val="top"/>
          </w:tcPr>
          <w:p w14:paraId="1522BC56">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noWrap w:val="0"/>
            <w:vAlign w:val="top"/>
          </w:tcPr>
          <w:p w14:paraId="5D815A77">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559" w:type="dxa"/>
            <w:noWrap w:val="0"/>
            <w:vAlign w:val="top"/>
          </w:tcPr>
          <w:p w14:paraId="7B6F9361">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59" w:type="dxa"/>
            <w:noWrap w:val="0"/>
            <w:vAlign w:val="top"/>
          </w:tcPr>
          <w:p w14:paraId="3936BE34">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61" w:type="dxa"/>
            <w:noWrap w:val="0"/>
            <w:vAlign w:val="top"/>
          </w:tcPr>
          <w:p w14:paraId="4D82AE67">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948" w:type="dxa"/>
            <w:noWrap w:val="0"/>
            <w:vAlign w:val="top"/>
          </w:tcPr>
          <w:p w14:paraId="2E891606">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53E66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top"/>
          </w:tcPr>
          <w:p w14:paraId="05BF156A">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1085" w:type="dxa"/>
            <w:noWrap w:val="0"/>
            <w:vAlign w:val="top"/>
          </w:tcPr>
          <w:p w14:paraId="6A73A142">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noWrap w:val="0"/>
            <w:vAlign w:val="top"/>
          </w:tcPr>
          <w:p w14:paraId="429552C8">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noWrap w:val="0"/>
            <w:vAlign w:val="top"/>
          </w:tcPr>
          <w:p w14:paraId="63C88B98">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noWrap w:val="0"/>
            <w:vAlign w:val="top"/>
          </w:tcPr>
          <w:p w14:paraId="0495892A">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noWrap w:val="0"/>
            <w:vAlign w:val="top"/>
          </w:tcPr>
          <w:p w14:paraId="17022C03">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noWrap w:val="0"/>
            <w:vAlign w:val="top"/>
          </w:tcPr>
          <w:p w14:paraId="6356AC71">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noWrap w:val="0"/>
            <w:vAlign w:val="top"/>
          </w:tcPr>
          <w:p w14:paraId="4A337B36">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559" w:type="dxa"/>
            <w:noWrap w:val="0"/>
            <w:vAlign w:val="top"/>
          </w:tcPr>
          <w:p w14:paraId="6E32C874">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59" w:type="dxa"/>
            <w:noWrap w:val="0"/>
            <w:vAlign w:val="top"/>
          </w:tcPr>
          <w:p w14:paraId="02B8862F">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61" w:type="dxa"/>
            <w:noWrap w:val="0"/>
            <w:vAlign w:val="top"/>
          </w:tcPr>
          <w:p w14:paraId="053D4C4F">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948" w:type="dxa"/>
            <w:noWrap w:val="0"/>
            <w:vAlign w:val="top"/>
          </w:tcPr>
          <w:p w14:paraId="54CC721D">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6808D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top"/>
          </w:tcPr>
          <w:p w14:paraId="6243322E">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1085" w:type="dxa"/>
            <w:noWrap w:val="0"/>
            <w:vAlign w:val="top"/>
          </w:tcPr>
          <w:p w14:paraId="457E8670">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noWrap w:val="0"/>
            <w:vAlign w:val="top"/>
          </w:tcPr>
          <w:p w14:paraId="579772F9">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noWrap w:val="0"/>
            <w:vAlign w:val="top"/>
          </w:tcPr>
          <w:p w14:paraId="573D28EE">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noWrap w:val="0"/>
            <w:vAlign w:val="top"/>
          </w:tcPr>
          <w:p w14:paraId="3E5FB5D5">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noWrap w:val="0"/>
            <w:vAlign w:val="top"/>
          </w:tcPr>
          <w:p w14:paraId="6F4395D9">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noWrap w:val="0"/>
            <w:vAlign w:val="top"/>
          </w:tcPr>
          <w:p w14:paraId="1E2154A0">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noWrap w:val="0"/>
            <w:vAlign w:val="top"/>
          </w:tcPr>
          <w:p w14:paraId="2F8A6403">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559" w:type="dxa"/>
            <w:noWrap w:val="0"/>
            <w:vAlign w:val="top"/>
          </w:tcPr>
          <w:p w14:paraId="149E7FF2">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59" w:type="dxa"/>
            <w:noWrap w:val="0"/>
            <w:vAlign w:val="top"/>
          </w:tcPr>
          <w:p w14:paraId="3FEB9EEC">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61" w:type="dxa"/>
            <w:noWrap w:val="0"/>
            <w:vAlign w:val="top"/>
          </w:tcPr>
          <w:p w14:paraId="78926B6E">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948" w:type="dxa"/>
            <w:noWrap w:val="0"/>
            <w:vAlign w:val="top"/>
          </w:tcPr>
          <w:p w14:paraId="24B0991D">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0C6C4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top"/>
          </w:tcPr>
          <w:p w14:paraId="264E81E4">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1085" w:type="dxa"/>
            <w:noWrap w:val="0"/>
            <w:vAlign w:val="top"/>
          </w:tcPr>
          <w:p w14:paraId="4C821AC3">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noWrap w:val="0"/>
            <w:vAlign w:val="top"/>
          </w:tcPr>
          <w:p w14:paraId="7A606D07">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noWrap w:val="0"/>
            <w:vAlign w:val="top"/>
          </w:tcPr>
          <w:p w14:paraId="179D88D7">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noWrap w:val="0"/>
            <w:vAlign w:val="top"/>
          </w:tcPr>
          <w:p w14:paraId="5ECF9311">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noWrap w:val="0"/>
            <w:vAlign w:val="top"/>
          </w:tcPr>
          <w:p w14:paraId="1BD01D88">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noWrap w:val="0"/>
            <w:vAlign w:val="top"/>
          </w:tcPr>
          <w:p w14:paraId="116E6D67">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noWrap w:val="0"/>
            <w:vAlign w:val="top"/>
          </w:tcPr>
          <w:p w14:paraId="05E9BDD8">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559" w:type="dxa"/>
            <w:noWrap w:val="0"/>
            <w:vAlign w:val="top"/>
          </w:tcPr>
          <w:p w14:paraId="18468651">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59" w:type="dxa"/>
            <w:noWrap w:val="0"/>
            <w:vAlign w:val="top"/>
          </w:tcPr>
          <w:p w14:paraId="3B772BD2">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61" w:type="dxa"/>
            <w:noWrap w:val="0"/>
            <w:vAlign w:val="top"/>
          </w:tcPr>
          <w:p w14:paraId="45EDEC22">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948" w:type="dxa"/>
            <w:noWrap w:val="0"/>
            <w:vAlign w:val="top"/>
          </w:tcPr>
          <w:p w14:paraId="624B22B6">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6FB5E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top"/>
          </w:tcPr>
          <w:p w14:paraId="1EACA3CD">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1085" w:type="dxa"/>
            <w:noWrap w:val="0"/>
            <w:vAlign w:val="top"/>
          </w:tcPr>
          <w:p w14:paraId="1AD59C8E">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noWrap w:val="0"/>
            <w:vAlign w:val="top"/>
          </w:tcPr>
          <w:p w14:paraId="2508A9AF">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noWrap w:val="0"/>
            <w:vAlign w:val="top"/>
          </w:tcPr>
          <w:p w14:paraId="0DEF75DE">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noWrap w:val="0"/>
            <w:vAlign w:val="top"/>
          </w:tcPr>
          <w:p w14:paraId="65AD4F74">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noWrap w:val="0"/>
            <w:vAlign w:val="top"/>
          </w:tcPr>
          <w:p w14:paraId="5482D1CE">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noWrap w:val="0"/>
            <w:vAlign w:val="top"/>
          </w:tcPr>
          <w:p w14:paraId="6C518B05">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noWrap w:val="0"/>
            <w:vAlign w:val="top"/>
          </w:tcPr>
          <w:p w14:paraId="5314B371">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559" w:type="dxa"/>
            <w:noWrap w:val="0"/>
            <w:vAlign w:val="top"/>
          </w:tcPr>
          <w:p w14:paraId="5165792F">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59" w:type="dxa"/>
            <w:noWrap w:val="0"/>
            <w:vAlign w:val="top"/>
          </w:tcPr>
          <w:p w14:paraId="7ACE6112">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61" w:type="dxa"/>
            <w:noWrap w:val="0"/>
            <w:vAlign w:val="top"/>
          </w:tcPr>
          <w:p w14:paraId="1E0CF250">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948" w:type="dxa"/>
            <w:noWrap w:val="0"/>
            <w:vAlign w:val="top"/>
          </w:tcPr>
          <w:p w14:paraId="6BFF28EC">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6FC54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top"/>
          </w:tcPr>
          <w:p w14:paraId="16F243C1">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1085" w:type="dxa"/>
            <w:noWrap w:val="0"/>
            <w:vAlign w:val="top"/>
          </w:tcPr>
          <w:p w14:paraId="5D917FCB">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noWrap w:val="0"/>
            <w:vAlign w:val="top"/>
          </w:tcPr>
          <w:p w14:paraId="79C04ED6">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noWrap w:val="0"/>
            <w:vAlign w:val="top"/>
          </w:tcPr>
          <w:p w14:paraId="59EE0955">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noWrap w:val="0"/>
            <w:vAlign w:val="top"/>
          </w:tcPr>
          <w:p w14:paraId="4F63F65A">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noWrap w:val="0"/>
            <w:vAlign w:val="top"/>
          </w:tcPr>
          <w:p w14:paraId="11BAAE24">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noWrap w:val="0"/>
            <w:vAlign w:val="top"/>
          </w:tcPr>
          <w:p w14:paraId="2CCE0DB1">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noWrap w:val="0"/>
            <w:vAlign w:val="top"/>
          </w:tcPr>
          <w:p w14:paraId="68EF3578">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559" w:type="dxa"/>
            <w:noWrap w:val="0"/>
            <w:vAlign w:val="top"/>
          </w:tcPr>
          <w:p w14:paraId="653D86DA">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59" w:type="dxa"/>
            <w:noWrap w:val="0"/>
            <w:vAlign w:val="top"/>
          </w:tcPr>
          <w:p w14:paraId="6CE39825">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61" w:type="dxa"/>
            <w:noWrap w:val="0"/>
            <w:vAlign w:val="top"/>
          </w:tcPr>
          <w:p w14:paraId="22CAB68F">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948" w:type="dxa"/>
            <w:noWrap w:val="0"/>
            <w:vAlign w:val="top"/>
          </w:tcPr>
          <w:p w14:paraId="2218F8F4">
            <w:pPr>
              <w:pageBreakBefore w:val="0"/>
              <w:kinsoku/>
              <w:wordWrap w:val="0"/>
              <w:bidi w:val="0"/>
              <w:spacing w:line="400" w:lineRule="atLeast"/>
              <w:jc w:val="center"/>
              <w:rPr>
                <w:rFonts w:hint="default" w:ascii="Times New Roman" w:hAnsi="Times New Roman" w:cs="Times New Roman"/>
                <w:color w:val="auto"/>
                <w:szCs w:val="21"/>
                <w:highlight w:val="none"/>
              </w:rPr>
            </w:pPr>
          </w:p>
        </w:tc>
      </w:tr>
    </w:tbl>
    <w:p w14:paraId="1F2A34F1">
      <w:pPr>
        <w:pStyle w:val="18"/>
        <w:pageBreakBefore w:val="0"/>
        <w:kinsoku/>
        <w:wordWrap w:val="0"/>
        <w:bidi w:val="0"/>
        <w:spacing w:after="0" w:line="400" w:lineRule="atLeast"/>
        <w:ind w:left="735" w:leftChars="0" w:hanging="735" w:hangingChars="350"/>
        <w:rPr>
          <w:rFonts w:hint="default" w:ascii="Times New Roman" w:hAnsi="Times New Roman" w:cs="Times New Roman"/>
          <w:bCs/>
          <w:color w:val="auto"/>
          <w:kern w:val="0"/>
          <w:szCs w:val="21"/>
          <w:highlight w:val="none"/>
        </w:rPr>
      </w:pPr>
      <w:r>
        <w:rPr>
          <w:rFonts w:hint="default" w:ascii="Times New Roman" w:hAnsi="Times New Roman" w:cs="Times New Roman"/>
          <w:color w:val="auto"/>
          <w:szCs w:val="21"/>
          <w:highlight w:val="none"/>
        </w:rPr>
        <w:t>注：本表填报的设备应满足招标文件第二章</w:t>
      </w:r>
      <w:r>
        <w:rPr>
          <w:rFonts w:hint="eastAsia" w:ascii="宋体" w:hAnsi="宋体" w:eastAsia="宋体" w:cs="宋体"/>
          <w:color w:val="auto"/>
          <w:szCs w:val="21"/>
          <w:highlight w:val="none"/>
        </w:rPr>
        <w:t>“</w:t>
      </w:r>
      <w:r>
        <w:rPr>
          <w:rFonts w:hint="default" w:ascii="Times New Roman" w:hAnsi="Times New Roman" w:cs="Times New Roman"/>
          <w:color w:val="auto"/>
          <w:szCs w:val="21"/>
          <w:highlight w:val="none"/>
        </w:rPr>
        <w:t>投标人须知</w:t>
      </w:r>
      <w:r>
        <w:rPr>
          <w:rFonts w:hint="eastAsia" w:ascii="宋体" w:hAnsi="宋体" w:eastAsia="宋体" w:cs="宋体"/>
          <w:color w:val="auto"/>
          <w:szCs w:val="21"/>
          <w:highlight w:val="none"/>
        </w:rPr>
        <w:t>”</w:t>
      </w:r>
      <w:r>
        <w:rPr>
          <w:rFonts w:hint="default" w:ascii="Times New Roman" w:hAnsi="Times New Roman" w:cs="Times New Roman"/>
          <w:color w:val="auto"/>
          <w:szCs w:val="21"/>
          <w:highlight w:val="none"/>
        </w:rPr>
        <w:t>前附表附录7的要求。</w:t>
      </w:r>
    </w:p>
    <w:p w14:paraId="467A4783">
      <w:pPr>
        <w:pageBreakBefore w:val="0"/>
        <w:kinsoku/>
        <w:wordWrap w:val="0"/>
        <w:overflowPunct/>
        <w:topLinePunct/>
        <w:bidi w:val="0"/>
        <w:spacing w:line="400" w:lineRule="atLeast"/>
        <w:jc w:val="center"/>
        <w:rPr>
          <w:rFonts w:hint="default" w:ascii="Times New Roman" w:hAnsi="Times New Roman" w:eastAsia="黑体" w:cs="Times New Roman"/>
          <w:color w:val="auto"/>
          <w:sz w:val="24"/>
          <w:highlight w:val="none"/>
        </w:rPr>
      </w:pPr>
      <w:bookmarkStart w:id="1713" w:name="_Toc234833289"/>
      <w:bookmarkStart w:id="1714" w:name="_Toc32334"/>
      <w:bookmarkStart w:id="1715" w:name="_Toc19215"/>
      <w:r>
        <w:rPr>
          <w:rFonts w:hint="default" w:ascii="Times New Roman" w:hAnsi="Times New Roman" w:eastAsia="黑体" w:cs="Times New Roman"/>
          <w:color w:val="auto"/>
          <w:sz w:val="24"/>
          <w:highlight w:val="none"/>
        </w:rPr>
        <w:t>（十）拟配备本标段的主要材料试验、测量、质检仪器设备表</w:t>
      </w:r>
      <w:r>
        <w:rPr>
          <w:rFonts w:hint="default" w:ascii="Times New Roman" w:hAnsi="Times New Roman" w:eastAsia="黑体" w:cs="Times New Roman"/>
          <w:color w:val="auto"/>
          <w:sz w:val="24"/>
          <w:highlight w:val="none"/>
          <w:vertAlign w:val="superscript"/>
        </w:rPr>
        <w:footnoteReference w:id="55"/>
      </w:r>
      <w:bookmarkEnd w:id="1713"/>
      <w:bookmarkEnd w:id="1714"/>
      <w:bookmarkEnd w:id="1715"/>
    </w:p>
    <w:p w14:paraId="313118EB">
      <w:pPr>
        <w:pageBreakBefore w:val="0"/>
        <w:kinsoku/>
        <w:wordWrap w:val="0"/>
        <w:bidi w:val="0"/>
        <w:spacing w:line="400" w:lineRule="atLeast"/>
        <w:rPr>
          <w:rFonts w:hint="default" w:ascii="Times New Roman" w:hAnsi="Times New Roman" w:cs="Times New Roman"/>
          <w:color w:val="auto"/>
          <w:sz w:val="20"/>
          <w:szCs w:val="20"/>
          <w:highlight w:val="none"/>
        </w:rPr>
      </w:pPr>
    </w:p>
    <w:tbl>
      <w:tblPr>
        <w:tblStyle w:val="4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5"/>
        <w:gridCol w:w="1617"/>
        <w:gridCol w:w="1030"/>
        <w:gridCol w:w="1016"/>
        <w:gridCol w:w="1026"/>
        <w:gridCol w:w="1026"/>
        <w:gridCol w:w="1693"/>
        <w:gridCol w:w="697"/>
      </w:tblGrid>
      <w:tr w14:paraId="637E3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dxa"/>
            <w:noWrap w:val="0"/>
            <w:vAlign w:val="center"/>
          </w:tcPr>
          <w:p w14:paraId="503D223E">
            <w:pPr>
              <w:pageBreakBefore w:val="0"/>
              <w:kinsoku/>
              <w:wordWrap w:val="0"/>
              <w:bidi w:val="0"/>
              <w:spacing w:before="120" w:beforeLines="50" w:after="120" w:afterLines="50" w:line="400" w:lineRule="atLeast"/>
              <w:ind w:left="-105" w:leftChars="-50" w:right="-105" w:rightChar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序号</w:t>
            </w:r>
          </w:p>
        </w:tc>
        <w:tc>
          <w:tcPr>
            <w:tcW w:w="1617" w:type="dxa"/>
            <w:noWrap w:val="0"/>
            <w:vAlign w:val="center"/>
          </w:tcPr>
          <w:p w14:paraId="2141B468">
            <w:pPr>
              <w:pageBreakBefore w:val="0"/>
              <w:kinsoku/>
              <w:wordWrap w:val="0"/>
              <w:bidi w:val="0"/>
              <w:spacing w:before="120" w:beforeLines="50" w:after="120" w:afterLines="50" w:line="400" w:lineRule="atLeast"/>
              <w:ind w:left="-105" w:leftChars="-50" w:right="-105" w:rightChar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仪器设备名称</w:t>
            </w:r>
          </w:p>
        </w:tc>
        <w:tc>
          <w:tcPr>
            <w:tcW w:w="1030" w:type="dxa"/>
            <w:noWrap w:val="0"/>
            <w:vAlign w:val="center"/>
          </w:tcPr>
          <w:p w14:paraId="2B1210A8">
            <w:pPr>
              <w:pageBreakBefore w:val="0"/>
              <w:kinsoku/>
              <w:wordWrap w:val="0"/>
              <w:bidi w:val="0"/>
              <w:spacing w:before="120" w:beforeLines="50" w:after="120" w:afterLines="50" w:line="400" w:lineRule="atLeast"/>
              <w:ind w:left="-105" w:leftChars="-50" w:right="-105" w:rightChar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型号规格</w:t>
            </w:r>
          </w:p>
        </w:tc>
        <w:tc>
          <w:tcPr>
            <w:tcW w:w="1016" w:type="dxa"/>
            <w:noWrap w:val="0"/>
            <w:vAlign w:val="center"/>
          </w:tcPr>
          <w:p w14:paraId="238CFABD">
            <w:pPr>
              <w:pageBreakBefore w:val="0"/>
              <w:kinsoku/>
              <w:wordWrap w:val="0"/>
              <w:bidi w:val="0"/>
              <w:spacing w:before="120" w:beforeLines="50" w:after="120" w:afterLines="50" w:line="400" w:lineRule="atLeast"/>
              <w:ind w:left="-105" w:leftChars="-50" w:right="-105" w:rightChar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数量</w:t>
            </w:r>
          </w:p>
        </w:tc>
        <w:tc>
          <w:tcPr>
            <w:tcW w:w="1026" w:type="dxa"/>
            <w:noWrap w:val="0"/>
            <w:vAlign w:val="center"/>
          </w:tcPr>
          <w:p w14:paraId="6BEEB64A">
            <w:pPr>
              <w:pageBreakBefore w:val="0"/>
              <w:kinsoku/>
              <w:wordWrap w:val="0"/>
              <w:bidi w:val="0"/>
              <w:spacing w:before="120" w:beforeLines="50" w:after="120" w:afterLines="50" w:line="400" w:lineRule="atLeast"/>
              <w:ind w:left="-105" w:leftChars="-50" w:right="-105" w:rightChar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国别产地</w:t>
            </w:r>
          </w:p>
        </w:tc>
        <w:tc>
          <w:tcPr>
            <w:tcW w:w="1026" w:type="dxa"/>
            <w:noWrap w:val="0"/>
            <w:vAlign w:val="center"/>
          </w:tcPr>
          <w:p w14:paraId="3EEAF37E">
            <w:pPr>
              <w:pageBreakBefore w:val="0"/>
              <w:kinsoku/>
              <w:wordWrap w:val="0"/>
              <w:bidi w:val="0"/>
              <w:spacing w:before="120" w:beforeLines="50" w:after="120" w:afterLines="50" w:line="400" w:lineRule="atLeast"/>
              <w:ind w:left="-105" w:leftChars="-50" w:right="-105" w:rightChar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制造年份</w:t>
            </w:r>
          </w:p>
        </w:tc>
        <w:tc>
          <w:tcPr>
            <w:tcW w:w="1693" w:type="dxa"/>
            <w:noWrap w:val="0"/>
            <w:vAlign w:val="center"/>
          </w:tcPr>
          <w:p w14:paraId="529D7A6F">
            <w:pPr>
              <w:pageBreakBefore w:val="0"/>
              <w:kinsoku/>
              <w:wordWrap w:val="0"/>
              <w:bidi w:val="0"/>
              <w:spacing w:before="120" w:beforeLines="50" w:after="120" w:afterLines="50" w:line="400" w:lineRule="atLeast"/>
              <w:ind w:left="-105" w:leftChars="-50" w:right="-105" w:rightChar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用途</w:t>
            </w:r>
          </w:p>
        </w:tc>
        <w:tc>
          <w:tcPr>
            <w:tcW w:w="697" w:type="dxa"/>
            <w:noWrap w:val="0"/>
            <w:vAlign w:val="center"/>
          </w:tcPr>
          <w:p w14:paraId="2EE9C3F7">
            <w:pPr>
              <w:pageBreakBefore w:val="0"/>
              <w:kinsoku/>
              <w:wordWrap w:val="0"/>
              <w:bidi w:val="0"/>
              <w:spacing w:before="120" w:beforeLines="50" w:after="120" w:afterLines="50" w:line="400" w:lineRule="atLeast"/>
              <w:ind w:left="-105" w:leftChars="-50" w:right="-105" w:rightChar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备注</w:t>
            </w:r>
          </w:p>
        </w:tc>
      </w:tr>
      <w:tr w14:paraId="7F2A5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dxa"/>
            <w:noWrap w:val="0"/>
            <w:vAlign w:val="center"/>
          </w:tcPr>
          <w:p w14:paraId="2AD9B574">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17" w:type="dxa"/>
            <w:noWrap w:val="0"/>
            <w:vAlign w:val="center"/>
          </w:tcPr>
          <w:p w14:paraId="65305E54">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30" w:type="dxa"/>
            <w:noWrap w:val="0"/>
            <w:vAlign w:val="center"/>
          </w:tcPr>
          <w:p w14:paraId="0A20BAF3">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16" w:type="dxa"/>
            <w:noWrap w:val="0"/>
            <w:vAlign w:val="center"/>
          </w:tcPr>
          <w:p w14:paraId="32BB92B7">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center"/>
          </w:tcPr>
          <w:p w14:paraId="2359E0FC">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center"/>
          </w:tcPr>
          <w:p w14:paraId="3173BFC0">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93" w:type="dxa"/>
            <w:noWrap w:val="0"/>
            <w:vAlign w:val="center"/>
          </w:tcPr>
          <w:p w14:paraId="3E046406">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697" w:type="dxa"/>
            <w:noWrap w:val="0"/>
            <w:vAlign w:val="center"/>
          </w:tcPr>
          <w:p w14:paraId="636FC997">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r>
      <w:tr w14:paraId="4A94A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dxa"/>
            <w:noWrap w:val="0"/>
            <w:vAlign w:val="center"/>
          </w:tcPr>
          <w:p w14:paraId="287F0A85">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17" w:type="dxa"/>
            <w:noWrap w:val="0"/>
            <w:vAlign w:val="center"/>
          </w:tcPr>
          <w:p w14:paraId="5543BC9E">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30" w:type="dxa"/>
            <w:noWrap w:val="0"/>
            <w:vAlign w:val="center"/>
          </w:tcPr>
          <w:p w14:paraId="04B9C913">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16" w:type="dxa"/>
            <w:noWrap w:val="0"/>
            <w:vAlign w:val="center"/>
          </w:tcPr>
          <w:p w14:paraId="2AE08B59">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center"/>
          </w:tcPr>
          <w:p w14:paraId="134A8868">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center"/>
          </w:tcPr>
          <w:p w14:paraId="68A879BF">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93" w:type="dxa"/>
            <w:noWrap w:val="0"/>
            <w:vAlign w:val="center"/>
          </w:tcPr>
          <w:p w14:paraId="6249686F">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697" w:type="dxa"/>
            <w:noWrap w:val="0"/>
            <w:vAlign w:val="center"/>
          </w:tcPr>
          <w:p w14:paraId="7CCBE1C3">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r>
      <w:tr w14:paraId="58174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dxa"/>
            <w:noWrap w:val="0"/>
            <w:vAlign w:val="top"/>
          </w:tcPr>
          <w:p w14:paraId="291D1193">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17" w:type="dxa"/>
            <w:noWrap w:val="0"/>
            <w:vAlign w:val="top"/>
          </w:tcPr>
          <w:p w14:paraId="2EC9B071">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30" w:type="dxa"/>
            <w:noWrap w:val="0"/>
            <w:vAlign w:val="top"/>
          </w:tcPr>
          <w:p w14:paraId="43CF5C01">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16" w:type="dxa"/>
            <w:noWrap w:val="0"/>
            <w:vAlign w:val="top"/>
          </w:tcPr>
          <w:p w14:paraId="5CFA6A55">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top"/>
          </w:tcPr>
          <w:p w14:paraId="6331100D">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top"/>
          </w:tcPr>
          <w:p w14:paraId="3C6782E5">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93" w:type="dxa"/>
            <w:noWrap w:val="0"/>
            <w:vAlign w:val="top"/>
          </w:tcPr>
          <w:p w14:paraId="1652CD0F">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697" w:type="dxa"/>
            <w:noWrap w:val="0"/>
            <w:vAlign w:val="top"/>
          </w:tcPr>
          <w:p w14:paraId="35BB42D6">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r>
      <w:tr w14:paraId="2335A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dxa"/>
            <w:noWrap w:val="0"/>
            <w:vAlign w:val="top"/>
          </w:tcPr>
          <w:p w14:paraId="05F75C18">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17" w:type="dxa"/>
            <w:noWrap w:val="0"/>
            <w:vAlign w:val="top"/>
          </w:tcPr>
          <w:p w14:paraId="234566EF">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30" w:type="dxa"/>
            <w:noWrap w:val="0"/>
            <w:vAlign w:val="top"/>
          </w:tcPr>
          <w:p w14:paraId="6B7469CA">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16" w:type="dxa"/>
            <w:noWrap w:val="0"/>
            <w:vAlign w:val="top"/>
          </w:tcPr>
          <w:p w14:paraId="5DCB42FE">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top"/>
          </w:tcPr>
          <w:p w14:paraId="621CB5DB">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top"/>
          </w:tcPr>
          <w:p w14:paraId="5A4549F0">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93" w:type="dxa"/>
            <w:noWrap w:val="0"/>
            <w:vAlign w:val="top"/>
          </w:tcPr>
          <w:p w14:paraId="54AA07BF">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697" w:type="dxa"/>
            <w:noWrap w:val="0"/>
            <w:vAlign w:val="top"/>
          </w:tcPr>
          <w:p w14:paraId="45D5B752">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r>
      <w:tr w14:paraId="79867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dxa"/>
            <w:noWrap w:val="0"/>
            <w:vAlign w:val="top"/>
          </w:tcPr>
          <w:p w14:paraId="4B8AEAE0">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17" w:type="dxa"/>
            <w:noWrap w:val="0"/>
            <w:vAlign w:val="top"/>
          </w:tcPr>
          <w:p w14:paraId="7575CAB2">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30" w:type="dxa"/>
            <w:noWrap w:val="0"/>
            <w:vAlign w:val="top"/>
          </w:tcPr>
          <w:p w14:paraId="6DD7664B">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16" w:type="dxa"/>
            <w:noWrap w:val="0"/>
            <w:vAlign w:val="top"/>
          </w:tcPr>
          <w:p w14:paraId="6B763235">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top"/>
          </w:tcPr>
          <w:p w14:paraId="1A5A7631">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top"/>
          </w:tcPr>
          <w:p w14:paraId="19C814AB">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93" w:type="dxa"/>
            <w:noWrap w:val="0"/>
            <w:vAlign w:val="top"/>
          </w:tcPr>
          <w:p w14:paraId="3C3B724C">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697" w:type="dxa"/>
            <w:noWrap w:val="0"/>
            <w:vAlign w:val="top"/>
          </w:tcPr>
          <w:p w14:paraId="75570E19">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r>
      <w:tr w14:paraId="3CA3C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dxa"/>
            <w:noWrap w:val="0"/>
            <w:vAlign w:val="top"/>
          </w:tcPr>
          <w:p w14:paraId="45FAECE4">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17" w:type="dxa"/>
            <w:noWrap w:val="0"/>
            <w:vAlign w:val="top"/>
          </w:tcPr>
          <w:p w14:paraId="7073C0D4">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30" w:type="dxa"/>
            <w:noWrap w:val="0"/>
            <w:vAlign w:val="top"/>
          </w:tcPr>
          <w:p w14:paraId="3921076D">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16" w:type="dxa"/>
            <w:noWrap w:val="0"/>
            <w:vAlign w:val="top"/>
          </w:tcPr>
          <w:p w14:paraId="0630FE01">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top"/>
          </w:tcPr>
          <w:p w14:paraId="5A9D6F74">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top"/>
          </w:tcPr>
          <w:p w14:paraId="117D67E8">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93" w:type="dxa"/>
            <w:noWrap w:val="0"/>
            <w:vAlign w:val="top"/>
          </w:tcPr>
          <w:p w14:paraId="6412A02F">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697" w:type="dxa"/>
            <w:noWrap w:val="0"/>
            <w:vAlign w:val="top"/>
          </w:tcPr>
          <w:p w14:paraId="0F47FC7A">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r>
      <w:tr w14:paraId="76BEC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dxa"/>
            <w:noWrap w:val="0"/>
            <w:vAlign w:val="top"/>
          </w:tcPr>
          <w:p w14:paraId="3DEFF64F">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17" w:type="dxa"/>
            <w:noWrap w:val="0"/>
            <w:vAlign w:val="top"/>
          </w:tcPr>
          <w:p w14:paraId="736A8F70">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30" w:type="dxa"/>
            <w:noWrap w:val="0"/>
            <w:vAlign w:val="top"/>
          </w:tcPr>
          <w:p w14:paraId="55DE6E9B">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16" w:type="dxa"/>
            <w:noWrap w:val="0"/>
            <w:vAlign w:val="top"/>
          </w:tcPr>
          <w:p w14:paraId="105E50AE">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top"/>
          </w:tcPr>
          <w:p w14:paraId="0B1511EF">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top"/>
          </w:tcPr>
          <w:p w14:paraId="31820B50">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93" w:type="dxa"/>
            <w:noWrap w:val="0"/>
            <w:vAlign w:val="top"/>
          </w:tcPr>
          <w:p w14:paraId="618C4AC5">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697" w:type="dxa"/>
            <w:noWrap w:val="0"/>
            <w:vAlign w:val="top"/>
          </w:tcPr>
          <w:p w14:paraId="5AADE4D6">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r>
      <w:tr w14:paraId="138BB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dxa"/>
            <w:noWrap w:val="0"/>
            <w:vAlign w:val="top"/>
          </w:tcPr>
          <w:p w14:paraId="78DDD6B7">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17" w:type="dxa"/>
            <w:noWrap w:val="0"/>
            <w:vAlign w:val="top"/>
          </w:tcPr>
          <w:p w14:paraId="6C770A00">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30" w:type="dxa"/>
            <w:noWrap w:val="0"/>
            <w:vAlign w:val="top"/>
          </w:tcPr>
          <w:p w14:paraId="47E96D1B">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16" w:type="dxa"/>
            <w:noWrap w:val="0"/>
            <w:vAlign w:val="top"/>
          </w:tcPr>
          <w:p w14:paraId="1339D1E0">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top"/>
          </w:tcPr>
          <w:p w14:paraId="10D5B572">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top"/>
          </w:tcPr>
          <w:p w14:paraId="6C67E816">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93" w:type="dxa"/>
            <w:noWrap w:val="0"/>
            <w:vAlign w:val="top"/>
          </w:tcPr>
          <w:p w14:paraId="1A8FE318">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697" w:type="dxa"/>
            <w:noWrap w:val="0"/>
            <w:vAlign w:val="top"/>
          </w:tcPr>
          <w:p w14:paraId="2FBC0DF4">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r>
      <w:tr w14:paraId="53CE2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dxa"/>
            <w:noWrap w:val="0"/>
            <w:vAlign w:val="top"/>
          </w:tcPr>
          <w:p w14:paraId="0C4E1820">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17" w:type="dxa"/>
            <w:noWrap w:val="0"/>
            <w:vAlign w:val="top"/>
          </w:tcPr>
          <w:p w14:paraId="69CB35A5">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30" w:type="dxa"/>
            <w:noWrap w:val="0"/>
            <w:vAlign w:val="top"/>
          </w:tcPr>
          <w:p w14:paraId="5762480E">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16" w:type="dxa"/>
            <w:noWrap w:val="0"/>
            <w:vAlign w:val="top"/>
          </w:tcPr>
          <w:p w14:paraId="02CC3016">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top"/>
          </w:tcPr>
          <w:p w14:paraId="78CD0381">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top"/>
          </w:tcPr>
          <w:p w14:paraId="44EB7F56">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93" w:type="dxa"/>
            <w:noWrap w:val="0"/>
            <w:vAlign w:val="top"/>
          </w:tcPr>
          <w:p w14:paraId="47D95A44">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697" w:type="dxa"/>
            <w:noWrap w:val="0"/>
            <w:vAlign w:val="top"/>
          </w:tcPr>
          <w:p w14:paraId="718DBC20">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r>
      <w:tr w14:paraId="15055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dxa"/>
            <w:noWrap w:val="0"/>
            <w:vAlign w:val="top"/>
          </w:tcPr>
          <w:p w14:paraId="339AC295">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17" w:type="dxa"/>
            <w:noWrap w:val="0"/>
            <w:vAlign w:val="top"/>
          </w:tcPr>
          <w:p w14:paraId="1BB0206E">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30" w:type="dxa"/>
            <w:noWrap w:val="0"/>
            <w:vAlign w:val="top"/>
          </w:tcPr>
          <w:p w14:paraId="1A43982A">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16" w:type="dxa"/>
            <w:noWrap w:val="0"/>
            <w:vAlign w:val="top"/>
          </w:tcPr>
          <w:p w14:paraId="3596DD65">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top"/>
          </w:tcPr>
          <w:p w14:paraId="6D22F21E">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top"/>
          </w:tcPr>
          <w:p w14:paraId="0B028B30">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93" w:type="dxa"/>
            <w:noWrap w:val="0"/>
            <w:vAlign w:val="top"/>
          </w:tcPr>
          <w:p w14:paraId="251888C4">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697" w:type="dxa"/>
            <w:noWrap w:val="0"/>
            <w:vAlign w:val="top"/>
          </w:tcPr>
          <w:p w14:paraId="2C7D4937">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r>
      <w:tr w14:paraId="32C0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dxa"/>
            <w:noWrap w:val="0"/>
            <w:vAlign w:val="top"/>
          </w:tcPr>
          <w:p w14:paraId="2EFC95F2">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17" w:type="dxa"/>
            <w:noWrap w:val="0"/>
            <w:vAlign w:val="top"/>
          </w:tcPr>
          <w:p w14:paraId="48EB9BC5">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30" w:type="dxa"/>
            <w:noWrap w:val="0"/>
            <w:vAlign w:val="top"/>
          </w:tcPr>
          <w:p w14:paraId="2B8FEB02">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16" w:type="dxa"/>
            <w:noWrap w:val="0"/>
            <w:vAlign w:val="top"/>
          </w:tcPr>
          <w:p w14:paraId="4B6E0101">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top"/>
          </w:tcPr>
          <w:p w14:paraId="7C55DD91">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top"/>
          </w:tcPr>
          <w:p w14:paraId="2ED7F9E0">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93" w:type="dxa"/>
            <w:noWrap w:val="0"/>
            <w:vAlign w:val="top"/>
          </w:tcPr>
          <w:p w14:paraId="7AE03090">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697" w:type="dxa"/>
            <w:noWrap w:val="0"/>
            <w:vAlign w:val="top"/>
          </w:tcPr>
          <w:p w14:paraId="63337D9B">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r>
      <w:tr w14:paraId="36022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dxa"/>
            <w:noWrap w:val="0"/>
            <w:vAlign w:val="top"/>
          </w:tcPr>
          <w:p w14:paraId="6211B93E">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17" w:type="dxa"/>
            <w:noWrap w:val="0"/>
            <w:vAlign w:val="top"/>
          </w:tcPr>
          <w:p w14:paraId="6374BC4F">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30" w:type="dxa"/>
            <w:noWrap w:val="0"/>
            <w:vAlign w:val="top"/>
          </w:tcPr>
          <w:p w14:paraId="014EAF22">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16" w:type="dxa"/>
            <w:noWrap w:val="0"/>
            <w:vAlign w:val="top"/>
          </w:tcPr>
          <w:p w14:paraId="2A304EF8">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top"/>
          </w:tcPr>
          <w:p w14:paraId="1A24A0E4">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top"/>
          </w:tcPr>
          <w:p w14:paraId="347F691B">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93" w:type="dxa"/>
            <w:noWrap w:val="0"/>
            <w:vAlign w:val="top"/>
          </w:tcPr>
          <w:p w14:paraId="6D589011">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697" w:type="dxa"/>
            <w:noWrap w:val="0"/>
            <w:vAlign w:val="top"/>
          </w:tcPr>
          <w:p w14:paraId="739971AF">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r>
      <w:tr w14:paraId="3BD59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dxa"/>
            <w:noWrap w:val="0"/>
            <w:vAlign w:val="top"/>
          </w:tcPr>
          <w:p w14:paraId="1088ED8D">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17" w:type="dxa"/>
            <w:noWrap w:val="0"/>
            <w:vAlign w:val="top"/>
          </w:tcPr>
          <w:p w14:paraId="7D4E5574">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30" w:type="dxa"/>
            <w:noWrap w:val="0"/>
            <w:vAlign w:val="top"/>
          </w:tcPr>
          <w:p w14:paraId="5D725A76">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16" w:type="dxa"/>
            <w:noWrap w:val="0"/>
            <w:vAlign w:val="top"/>
          </w:tcPr>
          <w:p w14:paraId="725E66F6">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top"/>
          </w:tcPr>
          <w:p w14:paraId="5E07B82A">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top"/>
          </w:tcPr>
          <w:p w14:paraId="217F3AC8">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93" w:type="dxa"/>
            <w:noWrap w:val="0"/>
            <w:vAlign w:val="top"/>
          </w:tcPr>
          <w:p w14:paraId="6396C124">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697" w:type="dxa"/>
            <w:noWrap w:val="0"/>
            <w:vAlign w:val="top"/>
          </w:tcPr>
          <w:p w14:paraId="3FAD816A">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r>
      <w:tr w14:paraId="081C2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dxa"/>
            <w:noWrap w:val="0"/>
            <w:vAlign w:val="top"/>
          </w:tcPr>
          <w:p w14:paraId="6D1BC7A1">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17" w:type="dxa"/>
            <w:noWrap w:val="0"/>
            <w:vAlign w:val="top"/>
          </w:tcPr>
          <w:p w14:paraId="244F3D72">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30" w:type="dxa"/>
            <w:noWrap w:val="0"/>
            <w:vAlign w:val="top"/>
          </w:tcPr>
          <w:p w14:paraId="54D6B48F">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16" w:type="dxa"/>
            <w:noWrap w:val="0"/>
            <w:vAlign w:val="top"/>
          </w:tcPr>
          <w:p w14:paraId="01811B98">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top"/>
          </w:tcPr>
          <w:p w14:paraId="7A1CEF08">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top"/>
          </w:tcPr>
          <w:p w14:paraId="634F0412">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93" w:type="dxa"/>
            <w:noWrap w:val="0"/>
            <w:vAlign w:val="top"/>
          </w:tcPr>
          <w:p w14:paraId="4E56F492">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697" w:type="dxa"/>
            <w:noWrap w:val="0"/>
            <w:vAlign w:val="top"/>
          </w:tcPr>
          <w:p w14:paraId="0B7BD9B1">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r>
      <w:tr w14:paraId="002B1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dxa"/>
            <w:noWrap w:val="0"/>
            <w:vAlign w:val="top"/>
          </w:tcPr>
          <w:p w14:paraId="30717242">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17" w:type="dxa"/>
            <w:noWrap w:val="0"/>
            <w:vAlign w:val="top"/>
          </w:tcPr>
          <w:p w14:paraId="79F87A24">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30" w:type="dxa"/>
            <w:noWrap w:val="0"/>
            <w:vAlign w:val="top"/>
          </w:tcPr>
          <w:p w14:paraId="1BE467CF">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16" w:type="dxa"/>
            <w:noWrap w:val="0"/>
            <w:vAlign w:val="top"/>
          </w:tcPr>
          <w:p w14:paraId="3ECD30AD">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top"/>
          </w:tcPr>
          <w:p w14:paraId="1672BDDF">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top"/>
          </w:tcPr>
          <w:p w14:paraId="75C352E2">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93" w:type="dxa"/>
            <w:noWrap w:val="0"/>
            <w:vAlign w:val="top"/>
          </w:tcPr>
          <w:p w14:paraId="4EC39BA8">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697" w:type="dxa"/>
            <w:noWrap w:val="0"/>
            <w:vAlign w:val="top"/>
          </w:tcPr>
          <w:p w14:paraId="2DF051C2">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r>
      <w:tr w14:paraId="46366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dxa"/>
            <w:noWrap w:val="0"/>
            <w:vAlign w:val="top"/>
          </w:tcPr>
          <w:p w14:paraId="482C50F3">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17" w:type="dxa"/>
            <w:noWrap w:val="0"/>
            <w:vAlign w:val="top"/>
          </w:tcPr>
          <w:p w14:paraId="6BC0672E">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30" w:type="dxa"/>
            <w:noWrap w:val="0"/>
            <w:vAlign w:val="top"/>
          </w:tcPr>
          <w:p w14:paraId="5364E95C">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16" w:type="dxa"/>
            <w:noWrap w:val="0"/>
            <w:vAlign w:val="top"/>
          </w:tcPr>
          <w:p w14:paraId="56EC0E93">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top"/>
          </w:tcPr>
          <w:p w14:paraId="32889880">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top"/>
          </w:tcPr>
          <w:p w14:paraId="41BD9DB5">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93" w:type="dxa"/>
            <w:noWrap w:val="0"/>
            <w:vAlign w:val="top"/>
          </w:tcPr>
          <w:p w14:paraId="2D012937">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697" w:type="dxa"/>
            <w:noWrap w:val="0"/>
            <w:vAlign w:val="top"/>
          </w:tcPr>
          <w:p w14:paraId="0DBDCAAA">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r>
    </w:tbl>
    <w:p w14:paraId="25088CC4">
      <w:pPr>
        <w:pStyle w:val="18"/>
        <w:pageBreakBefore w:val="0"/>
        <w:kinsoku/>
        <w:wordWrap w:val="0"/>
        <w:bidi w:val="0"/>
        <w:spacing w:after="0" w:line="400" w:lineRule="atLeast"/>
        <w:ind w:left="735" w:leftChars="0" w:hanging="735" w:hangingChars="35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注：本表填报的设备应满足招标文件第二章</w:t>
      </w:r>
      <w:r>
        <w:rPr>
          <w:rFonts w:hint="eastAsia" w:ascii="宋体" w:hAnsi="宋体" w:eastAsia="宋体" w:cs="宋体"/>
          <w:color w:val="auto"/>
          <w:szCs w:val="21"/>
          <w:highlight w:val="none"/>
        </w:rPr>
        <w:t>“</w:t>
      </w:r>
      <w:r>
        <w:rPr>
          <w:rFonts w:hint="default" w:ascii="Times New Roman" w:hAnsi="Times New Roman" w:cs="Times New Roman"/>
          <w:color w:val="auto"/>
          <w:szCs w:val="21"/>
          <w:highlight w:val="none"/>
        </w:rPr>
        <w:t>投标人须知</w:t>
      </w:r>
      <w:r>
        <w:rPr>
          <w:rFonts w:hint="eastAsia" w:ascii="宋体" w:hAnsi="宋体" w:eastAsia="宋体" w:cs="宋体"/>
          <w:color w:val="auto"/>
          <w:szCs w:val="21"/>
          <w:highlight w:val="none"/>
        </w:rPr>
        <w:t>”</w:t>
      </w:r>
      <w:r>
        <w:rPr>
          <w:rFonts w:hint="default" w:ascii="Times New Roman" w:hAnsi="Times New Roman" w:cs="Times New Roman"/>
          <w:color w:val="auto"/>
          <w:szCs w:val="21"/>
          <w:highlight w:val="none"/>
        </w:rPr>
        <w:t>前附表附录7的要求。</w:t>
      </w:r>
    </w:p>
    <w:p w14:paraId="3F5BA925">
      <w:pPr>
        <w:pStyle w:val="6"/>
        <w:pageBreakBefore w:val="0"/>
        <w:kinsoku/>
        <w:wordWrap w:val="0"/>
        <w:bidi w:val="0"/>
        <w:spacing w:before="0" w:after="0" w:line="400" w:lineRule="atLeast"/>
        <w:jc w:val="center"/>
        <w:outlineLvl w:val="3"/>
        <w:rPr>
          <w:rFonts w:hint="default" w:ascii="Times New Roman" w:hAnsi="Times New Roman" w:eastAsia="黑体" w:cs="Times New Roman"/>
          <w:b w:val="0"/>
          <w:color w:val="auto"/>
          <w:sz w:val="30"/>
          <w:szCs w:val="30"/>
          <w:highlight w:val="none"/>
        </w:rPr>
      </w:pPr>
      <w:r>
        <w:rPr>
          <w:rFonts w:hint="default" w:ascii="Times New Roman" w:hAnsi="Times New Roman" w:cs="Times New Roman"/>
          <w:color w:val="auto"/>
          <w:sz w:val="24"/>
          <w:highlight w:val="none"/>
        </w:rPr>
        <w:br w:type="page"/>
      </w:r>
      <w:bookmarkStart w:id="1716" w:name="_Toc15816"/>
      <w:bookmarkStart w:id="1717" w:name="_Toc5710"/>
      <w:bookmarkStart w:id="1718" w:name="_Toc8012"/>
      <w:bookmarkStart w:id="1719" w:name="_Toc234833291"/>
      <w:r>
        <w:rPr>
          <w:rFonts w:hint="eastAsia" w:ascii="Times New Roman" w:hAnsi="Times New Roman" w:eastAsia="黑体" w:cs="Times New Roman"/>
          <w:b w:val="0"/>
          <w:i w:val="0"/>
          <w:iCs/>
          <w:color w:val="auto"/>
          <w:sz w:val="30"/>
          <w:szCs w:val="30"/>
          <w:highlight w:val="none"/>
          <w:lang w:val="en-US" w:eastAsia="zh-CN"/>
        </w:rPr>
        <w:t>九</w:t>
      </w:r>
      <w:r>
        <w:rPr>
          <w:rFonts w:hint="default" w:ascii="Times New Roman" w:hAnsi="Times New Roman" w:eastAsia="黑体" w:cs="Times New Roman"/>
          <w:b w:val="0"/>
          <w:i w:val="0"/>
          <w:iCs/>
          <w:color w:val="auto"/>
          <w:sz w:val="30"/>
          <w:szCs w:val="30"/>
          <w:highlight w:val="none"/>
          <w:lang w:val="en-US" w:eastAsia="zh-CN"/>
        </w:rPr>
        <w:t>、投标人告知承诺函</w:t>
      </w:r>
      <w:bookmarkEnd w:id="1716"/>
      <w:bookmarkEnd w:id="1717"/>
      <w:bookmarkEnd w:id="1718"/>
      <w:r>
        <w:rPr>
          <w:rFonts w:hint="default" w:ascii="Times New Roman" w:hAnsi="Times New Roman" w:eastAsia="黑体" w:cs="Times New Roman"/>
          <w:b w:val="0"/>
          <w:i w:val="0"/>
          <w:iCs/>
          <w:color w:val="auto"/>
          <w:sz w:val="30"/>
          <w:szCs w:val="30"/>
          <w:highlight w:val="none"/>
          <w:vertAlign w:val="superscript"/>
          <w:lang w:val="zh-CN" w:eastAsia="zh-CN"/>
        </w:rPr>
        <w:footnoteReference w:id="56"/>
      </w:r>
    </w:p>
    <w:p w14:paraId="361AB61E">
      <w:pPr>
        <w:spacing w:line="380" w:lineRule="exact"/>
        <w:rPr>
          <w:rFonts w:hint="default" w:ascii="Times New Roman" w:hAnsi="Times New Roman" w:cs="Times New Roman"/>
          <w:color w:val="auto"/>
          <w:sz w:val="24"/>
          <w:highlight w:val="none"/>
          <w:u w:val="single"/>
        </w:rPr>
      </w:pPr>
    </w:p>
    <w:p w14:paraId="06F58AAA">
      <w:pPr>
        <w:wordWrap w:val="0"/>
        <w:spacing w:line="380" w:lineRule="exact"/>
        <w:ind w:firstLine="480" w:firstLineChars="200"/>
        <w:rPr>
          <w:rFonts w:hint="default" w:ascii="Times New Roman" w:hAnsi="Times New Roman" w:cs="Times New Roman"/>
          <w:color w:val="auto"/>
          <w:sz w:val="24"/>
          <w:highlight w:val="none"/>
        </w:rPr>
      </w:pPr>
      <w:bookmarkStart w:id="1720" w:name="_Toc29420"/>
      <w:bookmarkStart w:id="1721" w:name="_Toc18802"/>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u w:val="single"/>
          <w:lang w:val="en-US" w:eastAsia="zh-CN"/>
        </w:rPr>
        <w:t xml:space="preserve">  </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（招标人名称）、</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u w:val="single"/>
          <w:lang w:val="en-US" w:eastAsia="zh-CN"/>
        </w:rPr>
        <w:t xml:space="preserve">  </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（监管部门名称）：</w:t>
      </w:r>
    </w:p>
    <w:p w14:paraId="658FAD39">
      <w:pPr>
        <w:wordWrap w:val="0"/>
        <w:spacing w:line="38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我单位参与</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（项目名称）</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u w:val="none"/>
        </w:rPr>
        <w:t>（标段名称）</w:t>
      </w:r>
      <w:r>
        <w:rPr>
          <w:rFonts w:hint="eastAsia" w:cs="Times New Roman"/>
          <w:color w:val="auto"/>
          <w:sz w:val="24"/>
          <w:highlight w:val="none"/>
          <w:u w:val="none"/>
          <w:lang w:val="en-US" w:eastAsia="zh-CN"/>
        </w:rPr>
        <w:t>施工</w:t>
      </w:r>
      <w:r>
        <w:rPr>
          <w:rFonts w:hint="default" w:ascii="Times New Roman" w:hAnsi="Times New Roman" w:cs="Times New Roman"/>
          <w:color w:val="auto"/>
          <w:sz w:val="24"/>
          <w:highlight w:val="none"/>
        </w:rPr>
        <w:t>的投标。根据《中华人民共和国招标投标法》等法律法规的规定，我已知悉本单位相关权利义务，作为法定代表人（或授权委托人），本人清楚知晓我单位在本项目投标活动的情况。本人已详细阅读告知承诺函的内容，并在此郑重承诺：</w:t>
      </w:r>
    </w:p>
    <w:p w14:paraId="6A4AAE1C">
      <w:pPr>
        <w:spacing w:line="38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一、我单位和我本人遵循公开、公平、公正、诚实守信的原则，依法依规参与本项目投标。</w:t>
      </w:r>
    </w:p>
    <w:p w14:paraId="28C31056">
      <w:pPr>
        <w:spacing w:line="38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二、我单位具有参与本次投标的资质和能力，公司运营状况良好，不存在挂靠投标、不受让、租借、出租、出借资格或资质证书，无处罚期内的不良行为。</w:t>
      </w:r>
    </w:p>
    <w:p w14:paraId="07429FB7">
      <w:pPr>
        <w:spacing w:line="38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三、我单位在本项目投标过程中从招标公告列明的渠道获取招标文件，没有通过其他不正当渠道获取招标文件。</w:t>
      </w:r>
    </w:p>
    <w:p w14:paraId="6949BD64">
      <w:pPr>
        <w:spacing w:line="38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四、我单位承诺投标文件由本单位员工独立编制，严格遵守保密义务。所提供的一切投标相关材料都是真实、有效、合法的。</w:t>
      </w:r>
    </w:p>
    <w:p w14:paraId="155E9BBE">
      <w:pPr>
        <w:spacing w:line="38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五、我单位不与其他投标人相互串通投标报价，不恶意压低或抬高投标报价，不排挤其他投标人的公平竞争，不损害招标人或其他投标人的合法权益。</w:t>
      </w:r>
    </w:p>
    <w:p w14:paraId="2CD17FC4">
      <w:pPr>
        <w:spacing w:line="38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六、我单位不与招标人或招标代理机构串通投标，损害国家利益、社会公共利益或者他人的合法权益。</w:t>
      </w:r>
    </w:p>
    <w:p w14:paraId="620DFBEA">
      <w:pPr>
        <w:spacing w:line="38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七、我单位不向招标人或者评标委员会成员行贿以牟取中标，不在开标后进行虚假恶意投诉。</w:t>
      </w:r>
    </w:p>
    <w:p w14:paraId="28EDD8AF">
      <w:pPr>
        <w:spacing w:line="38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八、我单位和我个人清楚并知晓《中华人民共和国刑法》第二百二十三条</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投标人相互串通投标报价，损害招标人或者其他投标人利益，情节严重的，处三年以下有期徒刑或者拘役，并处或者单处罚金。投标人与招标人串通投标，损害国家、集体、公民的合法利益的，依照前款的规定处罚</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的规定。</w:t>
      </w:r>
    </w:p>
    <w:p w14:paraId="0FB36096">
      <w:pPr>
        <w:spacing w:line="38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九、我单位如在本项目招标投标活动评标工作中存在串通投标、弄虚作假等行为的，本单位及本人自愿承担法律责任，接受相应刑事、纪律和行政处罚以及失信惩戒。</w:t>
      </w:r>
    </w:p>
    <w:p w14:paraId="0715A326">
      <w:pPr>
        <w:spacing w:line="38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十、本承诺函由我单位盖章及法定代表人（授权委托人）本人</w:t>
      </w:r>
      <w:r>
        <w:rPr>
          <w:rFonts w:hint="eastAsia" w:cs="Times New Roman"/>
          <w:color w:val="auto"/>
          <w:sz w:val="24"/>
          <w:highlight w:val="none"/>
          <w:lang w:val="en-US" w:eastAsia="zh-CN"/>
        </w:rPr>
        <w:t>电子</w:t>
      </w:r>
      <w:r>
        <w:rPr>
          <w:rFonts w:hint="default" w:ascii="Times New Roman" w:hAnsi="Times New Roman" w:cs="Times New Roman"/>
          <w:color w:val="auto"/>
          <w:sz w:val="24"/>
          <w:highlight w:val="none"/>
        </w:rPr>
        <w:t>确认。</w:t>
      </w:r>
    </w:p>
    <w:p w14:paraId="7DEBB9CE">
      <w:pPr>
        <w:spacing w:line="380" w:lineRule="exact"/>
        <w:ind w:firstLine="480" w:firstLineChars="200"/>
        <w:rPr>
          <w:rFonts w:hint="default" w:ascii="Times New Roman" w:hAnsi="Times New Roman" w:cs="Times New Roman"/>
          <w:color w:val="auto"/>
          <w:sz w:val="24"/>
          <w:highlight w:val="none"/>
        </w:rPr>
      </w:pPr>
    </w:p>
    <w:p w14:paraId="008F3A57">
      <w:pPr>
        <w:widowControl/>
        <w:spacing w:line="380" w:lineRule="exact"/>
        <w:jc w:val="right"/>
        <w:rPr>
          <w:rFonts w:hint="default" w:ascii="Times New Roman" w:hAnsi="Times New Roman" w:cs="Times New Roman"/>
          <w:color w:val="auto"/>
          <w:kern w:val="0"/>
          <w:sz w:val="24"/>
          <w:highlight w:val="none"/>
          <w:u w:val="single"/>
          <w:lang w:val="zh-CN" w:bidi="zh-CN"/>
        </w:rPr>
      </w:pPr>
      <w:r>
        <w:rPr>
          <w:rFonts w:hint="default" w:ascii="Times New Roman" w:hAnsi="Times New Roman" w:cs="Times New Roman"/>
          <w:color w:val="auto"/>
          <w:kern w:val="0"/>
          <w:sz w:val="24"/>
          <w:highlight w:val="none"/>
          <w:lang w:val="zh-CN" w:bidi="zh-CN"/>
        </w:rPr>
        <w:t>投标人：</w:t>
      </w:r>
      <w:r>
        <w:rPr>
          <w:rFonts w:hint="default" w:ascii="Times New Roman" w:hAnsi="Times New Roman" w:cs="Times New Roman"/>
          <w:color w:val="auto"/>
          <w:kern w:val="0"/>
          <w:sz w:val="24"/>
          <w:highlight w:val="none"/>
          <w:u w:val="single"/>
          <w:lang w:val="zh-CN" w:bidi="zh-CN"/>
        </w:rPr>
        <w:t>投标人全称（加盖单位</w:t>
      </w:r>
      <w:r>
        <w:rPr>
          <w:rFonts w:hint="default" w:ascii="Times New Roman" w:hAnsi="Times New Roman" w:cs="Times New Roman"/>
          <w:color w:val="auto"/>
          <w:kern w:val="0"/>
          <w:sz w:val="24"/>
          <w:highlight w:val="none"/>
          <w:u w:val="single"/>
          <w:lang w:val="en-US" w:bidi="zh-CN"/>
        </w:rPr>
        <w:t>电子印</w:t>
      </w:r>
      <w:r>
        <w:rPr>
          <w:rFonts w:hint="default" w:ascii="Times New Roman" w:hAnsi="Times New Roman" w:cs="Times New Roman"/>
          <w:color w:val="auto"/>
          <w:kern w:val="0"/>
          <w:sz w:val="24"/>
          <w:highlight w:val="none"/>
          <w:u w:val="single"/>
          <w:lang w:val="zh-CN" w:bidi="zh-CN"/>
        </w:rPr>
        <w:t>章）</w:t>
      </w:r>
    </w:p>
    <w:p w14:paraId="522F9E30">
      <w:pPr>
        <w:keepNext w:val="0"/>
        <w:keepLines w:val="0"/>
        <w:pageBreakBefore w:val="0"/>
        <w:widowControl/>
        <w:kinsoku/>
        <w:wordWrap w:val="0"/>
        <w:overflowPunct/>
        <w:topLinePunct w:val="0"/>
        <w:autoSpaceDE/>
        <w:autoSpaceDN/>
        <w:bidi w:val="0"/>
        <w:adjustRightInd/>
        <w:snapToGrid/>
        <w:spacing w:line="380" w:lineRule="exact"/>
        <w:jc w:val="right"/>
        <w:textAlignment w:val="auto"/>
        <w:outlineLvl w:val="9"/>
        <w:rPr>
          <w:rFonts w:hint="default" w:ascii="Times New Roman" w:hAnsi="Times New Roman" w:cs="Times New Roman"/>
          <w:color w:val="auto"/>
          <w:kern w:val="0"/>
          <w:sz w:val="24"/>
          <w:highlight w:val="none"/>
          <w:lang w:val="zh-CN" w:bidi="zh-CN"/>
        </w:rPr>
      </w:pPr>
      <w:r>
        <w:rPr>
          <w:rFonts w:hint="default" w:ascii="Times New Roman" w:hAnsi="Times New Roman" w:cs="Times New Roman"/>
          <w:color w:val="auto"/>
          <w:kern w:val="0"/>
          <w:sz w:val="24"/>
          <w:highlight w:val="none"/>
          <w:lang w:val="zh-CN" w:bidi="zh-CN"/>
        </w:rPr>
        <w:t>法定代表人（或授权委托人）：</w:t>
      </w:r>
      <w:r>
        <w:rPr>
          <w:rFonts w:hint="default" w:ascii="Times New Roman" w:hAnsi="Times New Roman" w:cs="Times New Roman"/>
          <w:color w:val="auto"/>
          <w:kern w:val="0"/>
          <w:sz w:val="24"/>
          <w:highlight w:val="none"/>
          <w:u w:val="single"/>
          <w:lang w:val="zh-CN" w:bidi="zh-CN"/>
        </w:rPr>
        <w:t xml:space="preserve">       </w:t>
      </w:r>
      <w:r>
        <w:rPr>
          <w:rFonts w:hint="default" w:ascii="Times New Roman" w:hAnsi="Times New Roman" w:cs="Times New Roman"/>
          <w:color w:val="auto"/>
          <w:kern w:val="0"/>
          <w:sz w:val="24"/>
          <w:highlight w:val="none"/>
          <w:lang w:val="zh-CN" w:bidi="zh-CN"/>
        </w:rPr>
        <w:t>（</w:t>
      </w:r>
      <w:r>
        <w:rPr>
          <w:rFonts w:hint="default" w:ascii="Times New Roman" w:hAnsi="Times New Roman" w:cs="Times New Roman"/>
          <w:color w:val="auto"/>
          <w:sz w:val="24"/>
          <w:highlight w:val="none"/>
        </w:rPr>
        <w:t>个人</w:t>
      </w:r>
      <w:r>
        <w:rPr>
          <w:rFonts w:hint="eastAsia" w:cs="Times New Roman"/>
          <w:color w:val="auto"/>
          <w:sz w:val="24"/>
          <w:highlight w:val="none"/>
          <w:lang w:eastAsia="zh-CN"/>
        </w:rPr>
        <w:t>电子签名</w:t>
      </w:r>
      <w:r>
        <w:rPr>
          <w:rFonts w:hint="default" w:ascii="Times New Roman" w:hAnsi="Times New Roman" w:cs="Times New Roman"/>
          <w:color w:val="auto"/>
          <w:sz w:val="24"/>
          <w:highlight w:val="none"/>
        </w:rPr>
        <w:t>或个人电子印章</w:t>
      </w:r>
      <w:r>
        <w:rPr>
          <w:rFonts w:hint="default" w:ascii="Times New Roman" w:hAnsi="Times New Roman" w:cs="Times New Roman"/>
          <w:color w:val="auto"/>
          <w:kern w:val="0"/>
          <w:sz w:val="24"/>
          <w:highlight w:val="none"/>
          <w:lang w:val="zh-CN" w:bidi="zh-CN"/>
        </w:rPr>
        <w:t>）</w:t>
      </w:r>
    </w:p>
    <w:p w14:paraId="68846DCE">
      <w:pPr>
        <w:widowControl/>
        <w:wordWrap w:val="0"/>
        <w:spacing w:line="380" w:lineRule="exact"/>
        <w:jc w:val="right"/>
        <w:rPr>
          <w:rFonts w:hint="default" w:ascii="Times New Roman" w:hAnsi="Times New Roman" w:eastAsia="黑体" w:cs="Times New Roman"/>
          <w:b w:val="0"/>
          <w:color w:val="auto"/>
          <w:sz w:val="28"/>
          <w:szCs w:val="28"/>
          <w:highlight w:val="none"/>
        </w:rPr>
      </w:pPr>
      <w:r>
        <w:rPr>
          <w:rFonts w:hint="default" w:ascii="Times New Roman" w:hAnsi="Times New Roman" w:cs="Times New Roman"/>
          <w:color w:val="auto"/>
          <w:kern w:val="0"/>
          <w:sz w:val="24"/>
          <w:highlight w:val="none"/>
          <w:lang w:val="zh-CN" w:bidi="zh-CN"/>
        </w:rPr>
        <w:t>承诺日期：</w:t>
      </w:r>
      <w:r>
        <w:rPr>
          <w:rFonts w:hint="default" w:ascii="Times New Roman" w:hAnsi="Times New Roman" w:cs="Times New Roman"/>
          <w:color w:val="auto"/>
          <w:kern w:val="0"/>
          <w:sz w:val="24"/>
          <w:highlight w:val="none"/>
          <w:u w:val="single"/>
          <w:lang w:val="zh-CN" w:bidi="zh-CN"/>
        </w:rPr>
        <w:t xml:space="preserve">     </w:t>
      </w:r>
      <w:r>
        <w:rPr>
          <w:rFonts w:hint="default" w:ascii="Times New Roman" w:hAnsi="Times New Roman" w:cs="Times New Roman"/>
          <w:color w:val="auto"/>
          <w:kern w:val="0"/>
          <w:sz w:val="24"/>
          <w:highlight w:val="none"/>
          <w:lang w:val="zh-CN" w:bidi="zh-CN"/>
        </w:rPr>
        <w:t>年</w:t>
      </w:r>
      <w:r>
        <w:rPr>
          <w:rFonts w:hint="default" w:ascii="Times New Roman" w:hAnsi="Times New Roman" w:cs="Times New Roman"/>
          <w:color w:val="auto"/>
          <w:kern w:val="0"/>
          <w:sz w:val="24"/>
          <w:highlight w:val="none"/>
          <w:u w:val="single"/>
          <w:lang w:val="zh-CN" w:bidi="zh-CN"/>
        </w:rPr>
        <w:t xml:space="preserve">    </w:t>
      </w:r>
      <w:r>
        <w:rPr>
          <w:rFonts w:hint="default" w:ascii="Times New Roman" w:hAnsi="Times New Roman" w:cs="Times New Roman"/>
          <w:color w:val="auto"/>
          <w:kern w:val="0"/>
          <w:sz w:val="24"/>
          <w:highlight w:val="none"/>
          <w:lang w:val="zh-CN" w:bidi="zh-CN"/>
        </w:rPr>
        <w:t>月</w:t>
      </w:r>
      <w:r>
        <w:rPr>
          <w:rFonts w:hint="default" w:ascii="Times New Roman" w:hAnsi="Times New Roman" w:cs="Times New Roman"/>
          <w:color w:val="auto"/>
          <w:kern w:val="0"/>
          <w:sz w:val="24"/>
          <w:highlight w:val="none"/>
          <w:u w:val="single"/>
          <w:lang w:val="zh-CN" w:bidi="zh-CN"/>
        </w:rPr>
        <w:t xml:space="preserve">    </w:t>
      </w:r>
      <w:r>
        <w:rPr>
          <w:rFonts w:hint="default" w:ascii="Times New Roman" w:hAnsi="Times New Roman" w:cs="Times New Roman"/>
          <w:color w:val="auto"/>
          <w:kern w:val="0"/>
          <w:sz w:val="24"/>
          <w:highlight w:val="none"/>
          <w:lang w:val="zh-CN" w:bidi="zh-CN"/>
        </w:rPr>
        <w:t>日</w:t>
      </w:r>
    </w:p>
    <w:p w14:paraId="6CB4DC58">
      <w:pPr>
        <w:pStyle w:val="2"/>
        <w:pageBreakBefore w:val="0"/>
        <w:kinsoku/>
        <w:wordWrap w:val="0"/>
        <w:overflowPunct/>
        <w:bidi w:val="0"/>
        <w:spacing w:before="0" w:after="0" w:line="380" w:lineRule="atLeast"/>
        <w:jc w:val="center"/>
        <w:outlineLvl w:val="9"/>
        <w:rPr>
          <w:rFonts w:hint="default" w:ascii="Times New Roman" w:hAnsi="Times New Roman" w:cs="Times New Roman"/>
          <w:b w:val="0"/>
          <w:color w:val="auto"/>
          <w:sz w:val="28"/>
          <w:szCs w:val="28"/>
          <w:highlight w:val="none"/>
          <w:lang w:val="en-US" w:eastAsia="zh-CN"/>
        </w:rPr>
        <w:sectPr>
          <w:footnotePr>
            <w:numFmt w:val="decimalEnclosedCircleChinese"/>
            <w:numRestart w:val="eachPage"/>
          </w:footnotePr>
          <w:pgSz w:w="11906" w:h="16838"/>
          <w:pgMar w:top="1588" w:right="1644" w:bottom="1474" w:left="1701" w:header="851" w:footer="851" w:gutter="0"/>
          <w:pgNumType w:fmt="decimal"/>
          <w:cols w:space="425" w:num="1"/>
          <w:docGrid w:linePitch="312" w:charSpace="0"/>
        </w:sectPr>
      </w:pPr>
    </w:p>
    <w:p w14:paraId="61ECDAFE">
      <w:pPr>
        <w:pStyle w:val="6"/>
        <w:pageBreakBefore w:val="0"/>
        <w:kinsoku/>
        <w:wordWrap w:val="0"/>
        <w:bidi w:val="0"/>
        <w:spacing w:before="0" w:after="0" w:line="400" w:lineRule="atLeast"/>
        <w:jc w:val="center"/>
        <w:outlineLvl w:val="3"/>
        <w:rPr>
          <w:rFonts w:hint="default" w:ascii="Times New Roman" w:hAnsi="Times New Roman" w:eastAsia="黑体" w:cs="Times New Roman"/>
          <w:b w:val="0"/>
          <w:i w:val="0"/>
          <w:iCs/>
          <w:color w:val="auto"/>
          <w:sz w:val="30"/>
          <w:szCs w:val="30"/>
          <w:highlight w:val="none"/>
          <w:lang w:val="en-US" w:eastAsia="zh-CN"/>
        </w:rPr>
      </w:pPr>
      <w:r>
        <w:rPr>
          <w:rFonts w:hint="eastAsia" w:ascii="Times New Roman" w:hAnsi="Times New Roman" w:eastAsia="黑体" w:cs="Times New Roman"/>
          <w:b w:val="0"/>
          <w:i w:val="0"/>
          <w:iCs/>
          <w:color w:val="auto"/>
          <w:sz w:val="30"/>
          <w:szCs w:val="30"/>
          <w:highlight w:val="none"/>
          <w:lang w:val="en-US" w:eastAsia="zh-CN"/>
        </w:rPr>
        <w:t>十</w:t>
      </w:r>
      <w:r>
        <w:rPr>
          <w:rFonts w:hint="default" w:ascii="Times New Roman" w:hAnsi="Times New Roman" w:eastAsia="黑体" w:cs="Times New Roman"/>
          <w:b w:val="0"/>
          <w:i w:val="0"/>
          <w:iCs/>
          <w:color w:val="auto"/>
          <w:sz w:val="30"/>
          <w:szCs w:val="30"/>
          <w:highlight w:val="none"/>
          <w:lang w:val="en-US" w:eastAsia="zh-CN"/>
        </w:rPr>
        <w:t>、其他</w:t>
      </w:r>
      <w:bookmarkEnd w:id="1719"/>
      <w:r>
        <w:rPr>
          <w:rFonts w:hint="default" w:ascii="Times New Roman" w:hAnsi="Times New Roman" w:eastAsia="黑体" w:cs="Times New Roman"/>
          <w:b w:val="0"/>
          <w:i w:val="0"/>
          <w:iCs/>
          <w:color w:val="auto"/>
          <w:sz w:val="30"/>
          <w:szCs w:val="30"/>
          <w:highlight w:val="none"/>
          <w:lang w:val="en-US" w:eastAsia="zh-CN"/>
        </w:rPr>
        <w:t>资料</w:t>
      </w:r>
      <w:bookmarkEnd w:id="1720"/>
      <w:bookmarkEnd w:id="1721"/>
    </w:p>
    <w:p w14:paraId="2B44E781">
      <w:pPr>
        <w:pageBreakBefore w:val="0"/>
        <w:kinsoku/>
        <w:wordWrap w:val="0"/>
        <w:bidi w:val="0"/>
        <w:spacing w:line="440" w:lineRule="exact"/>
        <w:rPr>
          <w:rFonts w:hint="default" w:ascii="Times New Roman" w:hAnsi="Times New Roman" w:eastAsia="黑体" w:cs="Times New Roman"/>
          <w:color w:val="auto"/>
          <w:sz w:val="20"/>
          <w:szCs w:val="20"/>
          <w:highlight w:val="yellow"/>
        </w:rPr>
      </w:pPr>
    </w:p>
    <w:p w14:paraId="04CB3BDB">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1A6CB367">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2E46AC12">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0D2849C1">
      <w:pPr>
        <w:pageBreakBefore w:val="0"/>
        <w:kinsoku/>
        <w:wordWrap w:val="0"/>
        <w:bidi w:val="0"/>
        <w:spacing w:line="440" w:lineRule="exact"/>
        <w:rPr>
          <w:rFonts w:hint="default"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br w:type="page"/>
      </w:r>
    </w:p>
    <w:p w14:paraId="2B12B872">
      <w:pPr>
        <w:pStyle w:val="16"/>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9"/>
        <w:rPr>
          <w:rFonts w:hint="eastAsia" w:ascii="Times New Roman" w:hAnsi="Times New Roman" w:eastAsia="黑体" w:cs="Times New Roman"/>
          <w:color w:val="auto"/>
          <w:sz w:val="31"/>
          <w:szCs w:val="31"/>
          <w:highlight w:val="none"/>
          <w:lang w:eastAsia="zh-CN"/>
        </w:rPr>
      </w:pPr>
      <w:r>
        <w:rPr>
          <w:rFonts w:hint="eastAsia" w:ascii="Times New Roman" w:eastAsia="黑体" w:cs="Times New Roman"/>
          <w:color w:val="auto"/>
          <w:sz w:val="31"/>
          <w:szCs w:val="31"/>
          <w:highlight w:val="none"/>
          <w:u w:val="single"/>
          <w:lang w:eastAsia="zh-CN"/>
        </w:rPr>
        <w:t>辽宁省</w:t>
      </w:r>
    </w:p>
    <w:p w14:paraId="47D53593">
      <w:pPr>
        <w:pageBreakBefore w:val="0"/>
        <w:kinsoku/>
        <w:wordWrap w:val="0"/>
        <w:bidi w:val="0"/>
        <w:spacing w:line="440" w:lineRule="exact"/>
        <w:rPr>
          <w:rFonts w:hint="default" w:ascii="Times New Roman" w:hAnsi="Times New Roman" w:eastAsia="黑体" w:cs="Times New Roman"/>
          <w:color w:val="auto"/>
          <w:sz w:val="24"/>
          <w:highlight w:val="none"/>
          <w:lang w:val="en-US" w:eastAsia="zh-CN"/>
        </w:rPr>
      </w:pPr>
      <w:r>
        <w:rPr>
          <w:rFonts w:hint="default" w:ascii="Times New Roman" w:hAnsi="Times New Roman" w:eastAsia="黑体" w:cs="Times New Roman"/>
          <w:b w:val="0"/>
          <w:bCs w:val="0"/>
          <w:color w:val="auto"/>
          <w:sz w:val="31"/>
          <w:szCs w:val="31"/>
          <w:highlight w:val="none"/>
          <w:u w:val="single"/>
        </w:rPr>
        <w:t xml:space="preserve">          </w:t>
      </w:r>
      <w:r>
        <w:rPr>
          <w:rFonts w:hint="default" w:ascii="Times New Roman" w:hAnsi="Times New Roman" w:eastAsia="黑体" w:cs="Times New Roman"/>
          <w:b w:val="0"/>
          <w:bCs w:val="0"/>
          <w:color w:val="auto"/>
          <w:sz w:val="31"/>
          <w:szCs w:val="31"/>
          <w:highlight w:val="none"/>
        </w:rPr>
        <w:t>（项目名称）</w:t>
      </w:r>
      <w:r>
        <w:rPr>
          <w:rFonts w:hint="default" w:ascii="Times New Roman" w:hAnsi="Times New Roman" w:eastAsia="黑体" w:cs="Times New Roman"/>
          <w:b w:val="0"/>
          <w:bCs w:val="0"/>
          <w:color w:val="auto"/>
          <w:sz w:val="31"/>
          <w:szCs w:val="31"/>
          <w:highlight w:val="none"/>
          <w:u w:val="single"/>
        </w:rPr>
        <w:t xml:space="preserve">          </w:t>
      </w:r>
      <w:r>
        <w:rPr>
          <w:rFonts w:hint="default" w:ascii="Times New Roman" w:hAnsi="Times New Roman" w:eastAsia="黑体" w:cs="Times New Roman"/>
          <w:b w:val="0"/>
          <w:bCs w:val="0"/>
          <w:color w:val="auto"/>
          <w:sz w:val="31"/>
          <w:szCs w:val="31"/>
          <w:highlight w:val="none"/>
        </w:rPr>
        <w:t>（</w:t>
      </w:r>
      <w:r>
        <w:rPr>
          <w:rFonts w:hint="default" w:ascii="Times New Roman" w:hAnsi="Times New Roman" w:eastAsia="黑体" w:cs="Times New Roman"/>
          <w:b w:val="0"/>
          <w:bCs w:val="0"/>
          <w:color w:val="auto"/>
          <w:sz w:val="31"/>
          <w:szCs w:val="31"/>
          <w:highlight w:val="none"/>
          <w:lang w:val="en-US" w:eastAsia="zh-CN"/>
        </w:rPr>
        <w:t>标段</w:t>
      </w:r>
      <w:r>
        <w:rPr>
          <w:rFonts w:hint="default" w:ascii="Times New Roman" w:hAnsi="Times New Roman" w:eastAsia="黑体" w:cs="Times New Roman"/>
          <w:b w:val="0"/>
          <w:bCs w:val="0"/>
          <w:color w:val="auto"/>
          <w:sz w:val="31"/>
          <w:szCs w:val="31"/>
          <w:highlight w:val="none"/>
        </w:rPr>
        <w:t>名称）</w:t>
      </w:r>
      <w:r>
        <w:rPr>
          <w:rFonts w:hint="default" w:ascii="Times New Roman" w:hAnsi="Times New Roman" w:eastAsia="黑体" w:cs="Times New Roman"/>
          <w:b w:val="0"/>
          <w:bCs w:val="0"/>
          <w:color w:val="auto"/>
          <w:sz w:val="31"/>
          <w:szCs w:val="31"/>
          <w:highlight w:val="none"/>
          <w:lang w:val="en-US" w:eastAsia="zh-CN"/>
        </w:rPr>
        <w:t>施工招标</w:t>
      </w:r>
    </w:p>
    <w:p w14:paraId="7D7857D5">
      <w:pPr>
        <w:pageBreakBefore w:val="0"/>
        <w:kinsoku/>
        <w:wordWrap w:val="0"/>
        <w:bidi w:val="0"/>
        <w:spacing w:line="440" w:lineRule="exact"/>
        <w:rPr>
          <w:rFonts w:hint="default"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 xml:space="preserve"> </w:t>
      </w:r>
    </w:p>
    <w:p w14:paraId="1B8423D4">
      <w:pPr>
        <w:pageBreakBefore w:val="0"/>
        <w:kinsoku/>
        <w:wordWrap w:val="0"/>
        <w:bidi w:val="0"/>
        <w:spacing w:line="440" w:lineRule="exact"/>
        <w:rPr>
          <w:rFonts w:hint="default" w:ascii="Times New Roman" w:hAnsi="Times New Roman" w:eastAsia="黑体" w:cs="Times New Roman"/>
          <w:color w:val="auto"/>
          <w:sz w:val="40"/>
          <w:szCs w:val="40"/>
          <w:highlight w:val="none"/>
        </w:rPr>
      </w:pPr>
    </w:p>
    <w:p w14:paraId="600ED52A">
      <w:pPr>
        <w:pageBreakBefore w:val="0"/>
        <w:kinsoku/>
        <w:wordWrap w:val="0"/>
        <w:bidi w:val="0"/>
        <w:spacing w:line="440" w:lineRule="exact"/>
        <w:jc w:val="center"/>
        <w:rPr>
          <w:rFonts w:hint="default" w:ascii="Times New Roman" w:hAnsi="Times New Roman" w:eastAsia="黑体" w:cs="Times New Roman"/>
          <w:color w:val="auto"/>
          <w:sz w:val="40"/>
          <w:szCs w:val="40"/>
          <w:highlight w:val="none"/>
        </w:rPr>
      </w:pPr>
    </w:p>
    <w:p w14:paraId="0D2ECE2C">
      <w:pPr>
        <w:pStyle w:val="17"/>
        <w:rPr>
          <w:rFonts w:hint="default" w:ascii="Times New Roman" w:hAnsi="Times New Roman" w:eastAsia="黑体" w:cs="Times New Roman"/>
          <w:color w:val="auto"/>
          <w:sz w:val="40"/>
          <w:szCs w:val="40"/>
          <w:highlight w:val="none"/>
        </w:rPr>
      </w:pPr>
    </w:p>
    <w:p w14:paraId="5BC75F62">
      <w:pPr>
        <w:pStyle w:val="17"/>
        <w:rPr>
          <w:rFonts w:hint="default" w:ascii="Times New Roman" w:hAnsi="Times New Roman" w:eastAsia="黑体" w:cs="Times New Roman"/>
          <w:color w:val="auto"/>
          <w:sz w:val="40"/>
          <w:szCs w:val="40"/>
          <w:highlight w:val="none"/>
        </w:rPr>
      </w:pPr>
    </w:p>
    <w:p w14:paraId="4F562A40">
      <w:pPr>
        <w:pStyle w:val="17"/>
        <w:rPr>
          <w:rFonts w:hint="default" w:ascii="Times New Roman" w:hAnsi="Times New Roman" w:eastAsia="黑体" w:cs="Times New Roman"/>
          <w:color w:val="auto"/>
          <w:sz w:val="40"/>
          <w:szCs w:val="40"/>
          <w:highlight w:val="none"/>
        </w:rPr>
      </w:pPr>
    </w:p>
    <w:p w14:paraId="31030679">
      <w:pPr>
        <w:pageBreakBefore w:val="0"/>
        <w:kinsoku/>
        <w:wordWrap w:val="0"/>
        <w:bidi w:val="0"/>
        <w:spacing w:line="440" w:lineRule="exact"/>
        <w:jc w:val="center"/>
        <w:rPr>
          <w:rFonts w:hint="default" w:ascii="Times New Roman" w:hAnsi="Times New Roman" w:eastAsia="黑体" w:cs="Times New Roman"/>
          <w:color w:val="auto"/>
          <w:sz w:val="40"/>
          <w:szCs w:val="40"/>
          <w:highlight w:val="none"/>
        </w:rPr>
      </w:pPr>
    </w:p>
    <w:p w14:paraId="0FDE6541">
      <w:pPr>
        <w:keepNext/>
        <w:keepLines/>
        <w:pageBreakBefore w:val="0"/>
        <w:widowControl w:val="0"/>
        <w:kinsoku/>
        <w:wordWrap w:val="0"/>
        <w:overflowPunct/>
        <w:topLinePunct w:val="0"/>
        <w:autoSpaceDE/>
        <w:autoSpaceDN/>
        <w:bidi w:val="0"/>
        <w:adjustRightInd/>
        <w:snapToGrid/>
        <w:spacing w:before="0" w:after="0" w:line="360" w:lineRule="auto"/>
        <w:jc w:val="center"/>
        <w:textAlignment w:val="auto"/>
        <w:outlineLvl w:val="9"/>
        <w:rPr>
          <w:rFonts w:hint="default" w:ascii="Times New Roman" w:hAnsi="Times New Roman" w:eastAsia="黑体" w:cs="Times New Roman"/>
          <w:b w:val="0"/>
          <w:color w:val="auto"/>
          <w:sz w:val="72"/>
          <w:szCs w:val="72"/>
          <w:highlight w:val="none"/>
        </w:rPr>
      </w:pPr>
      <w:bookmarkStart w:id="1722" w:name="_Toc11826"/>
      <w:bookmarkStart w:id="1723" w:name="_Toc9419"/>
      <w:bookmarkStart w:id="1724" w:name="_Toc25715"/>
      <w:r>
        <w:rPr>
          <w:rFonts w:hint="default" w:ascii="Times New Roman" w:hAnsi="Times New Roman" w:eastAsia="黑体" w:cs="Times New Roman"/>
          <w:b w:val="0"/>
          <w:color w:val="auto"/>
          <w:sz w:val="72"/>
          <w:szCs w:val="72"/>
          <w:highlight w:val="none"/>
        </w:rPr>
        <w:t>投  标  文  件</w:t>
      </w:r>
      <w:bookmarkEnd w:id="1722"/>
      <w:bookmarkEnd w:id="1723"/>
      <w:bookmarkEnd w:id="1724"/>
    </w:p>
    <w:p w14:paraId="6032928A">
      <w:pPr>
        <w:keepNext/>
        <w:keepLines/>
        <w:pageBreakBefore w:val="0"/>
        <w:widowControl w:val="0"/>
        <w:kinsoku/>
        <w:wordWrap w:val="0"/>
        <w:overflowPunct/>
        <w:topLinePunct w:val="0"/>
        <w:autoSpaceDE/>
        <w:autoSpaceDN/>
        <w:bidi w:val="0"/>
        <w:adjustRightInd/>
        <w:snapToGrid/>
        <w:spacing w:before="0" w:after="0" w:line="360" w:lineRule="auto"/>
        <w:jc w:val="center"/>
        <w:textAlignment w:val="auto"/>
        <w:outlineLvl w:val="2"/>
        <w:rPr>
          <w:rFonts w:hint="default" w:ascii="Times New Roman" w:hAnsi="Times New Roman" w:eastAsia="黑体" w:cs="Times New Roman"/>
          <w:b w:val="0"/>
          <w:color w:val="auto"/>
          <w:sz w:val="30"/>
          <w:szCs w:val="30"/>
          <w:highlight w:val="none"/>
        </w:rPr>
      </w:pPr>
      <w:bookmarkStart w:id="1725" w:name="_Toc7412"/>
      <w:bookmarkStart w:id="1726" w:name="_Toc17899"/>
      <w:bookmarkStart w:id="1727" w:name="_Toc16866"/>
      <w:bookmarkStart w:id="1728" w:name="_Toc5781"/>
      <w:r>
        <w:rPr>
          <w:rFonts w:hint="default" w:ascii="Times New Roman" w:hAnsi="Times New Roman" w:eastAsia="黑体" w:cs="Times New Roman"/>
          <w:b w:val="0"/>
          <w:color w:val="auto"/>
          <w:sz w:val="32"/>
          <w:szCs w:val="32"/>
          <w:highlight w:val="none"/>
        </w:rPr>
        <w:t>（</w:t>
      </w:r>
      <w:r>
        <w:rPr>
          <w:rFonts w:hint="default" w:ascii="Times New Roman" w:hAnsi="Times New Roman" w:eastAsia="黑体" w:cs="Times New Roman"/>
          <w:b w:val="0"/>
          <w:color w:val="auto"/>
          <w:sz w:val="32"/>
          <w:szCs w:val="32"/>
          <w:highlight w:val="none"/>
          <w:lang w:val="en-US" w:eastAsia="zh-CN"/>
        </w:rPr>
        <w:t>第二个信封</w:t>
      </w:r>
      <w:r>
        <w:rPr>
          <w:rFonts w:hint="default" w:ascii="Times New Roman" w:hAnsi="Times New Roman" w:cs="Times New Roman"/>
          <w:b w:val="0"/>
          <w:color w:val="auto"/>
          <w:sz w:val="32"/>
          <w:szCs w:val="32"/>
          <w:highlight w:val="none"/>
          <w:lang w:val="en-US" w:eastAsia="zh-CN"/>
        </w:rPr>
        <w:t xml:space="preserve"> </w:t>
      </w:r>
      <w:r>
        <w:rPr>
          <w:rFonts w:hint="default" w:ascii="Times New Roman" w:hAnsi="Times New Roman" w:eastAsia="黑体" w:cs="Times New Roman"/>
          <w:b w:val="0"/>
          <w:color w:val="auto"/>
          <w:sz w:val="32"/>
          <w:szCs w:val="32"/>
          <w:highlight w:val="none"/>
        </w:rPr>
        <w:t>报价文件）</w:t>
      </w:r>
      <w:bookmarkEnd w:id="1725"/>
      <w:bookmarkEnd w:id="1726"/>
      <w:bookmarkEnd w:id="1727"/>
      <w:bookmarkEnd w:id="1728"/>
    </w:p>
    <w:p w14:paraId="097DD9D8">
      <w:pPr>
        <w:pageBreakBefore w:val="0"/>
        <w:kinsoku/>
        <w:wordWrap w:val="0"/>
        <w:bidi w:val="0"/>
        <w:spacing w:line="440" w:lineRule="exact"/>
        <w:jc w:val="center"/>
        <w:rPr>
          <w:rFonts w:hint="default" w:ascii="Times New Roman" w:hAnsi="Times New Roman" w:eastAsia="黑体" w:cs="Times New Roman"/>
          <w:color w:val="auto"/>
          <w:sz w:val="40"/>
          <w:szCs w:val="40"/>
          <w:highlight w:val="none"/>
        </w:rPr>
      </w:pPr>
    </w:p>
    <w:p w14:paraId="2B817389">
      <w:pPr>
        <w:pageBreakBefore w:val="0"/>
        <w:kinsoku/>
        <w:wordWrap w:val="0"/>
        <w:bidi w:val="0"/>
        <w:spacing w:line="440" w:lineRule="exact"/>
        <w:jc w:val="center"/>
        <w:rPr>
          <w:rFonts w:hint="default" w:ascii="Times New Roman" w:hAnsi="Times New Roman" w:eastAsia="黑体" w:cs="Times New Roman"/>
          <w:color w:val="auto"/>
          <w:sz w:val="36"/>
          <w:szCs w:val="36"/>
          <w:highlight w:val="none"/>
        </w:rPr>
      </w:pPr>
    </w:p>
    <w:p w14:paraId="13954424">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42B3B85F">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160C942C">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238864E9">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1591059A">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32E920C4">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7AF72E17">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4151A7C4">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3CA0FD60">
      <w:pPr>
        <w:pageBreakBefore w:val="0"/>
        <w:kinsoku/>
        <w:wordWrap w:val="0"/>
        <w:bidi w:val="0"/>
        <w:spacing w:line="440" w:lineRule="exact"/>
        <w:jc w:val="center"/>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投标人：</w:t>
      </w:r>
      <w:r>
        <w:rPr>
          <w:rFonts w:hint="default" w:ascii="Times New Roman" w:hAnsi="Times New Roman" w:eastAsia="黑体" w:cs="Times New Roman"/>
          <w:color w:val="auto"/>
          <w:sz w:val="28"/>
          <w:szCs w:val="28"/>
          <w:highlight w:val="none"/>
          <w:u w:val="single"/>
        </w:rPr>
        <w:t xml:space="preserve">                                  </w:t>
      </w:r>
      <w:r>
        <w:rPr>
          <w:rFonts w:hint="default" w:ascii="Times New Roman" w:hAnsi="Times New Roman" w:eastAsia="黑体" w:cs="Times New Roman"/>
          <w:color w:val="auto"/>
          <w:sz w:val="28"/>
          <w:szCs w:val="28"/>
          <w:highlight w:val="none"/>
        </w:rPr>
        <w:t>（</w:t>
      </w:r>
      <w:r>
        <w:rPr>
          <w:rFonts w:hint="default" w:ascii="Times New Roman" w:hAnsi="Times New Roman" w:eastAsia="黑体" w:cs="Times New Roman"/>
          <w:color w:val="auto"/>
          <w:sz w:val="28"/>
          <w:szCs w:val="28"/>
          <w:highlight w:val="none"/>
          <w:lang w:eastAsia="zh-CN"/>
        </w:rPr>
        <w:t>盖单位电子印章</w:t>
      </w:r>
      <w:r>
        <w:rPr>
          <w:rFonts w:hint="default" w:ascii="Times New Roman" w:hAnsi="Times New Roman" w:eastAsia="黑体" w:cs="Times New Roman"/>
          <w:color w:val="auto"/>
          <w:sz w:val="28"/>
          <w:szCs w:val="28"/>
          <w:highlight w:val="none"/>
        </w:rPr>
        <w:t>）</w:t>
      </w:r>
    </w:p>
    <w:p w14:paraId="4EAD2FD9">
      <w:pPr>
        <w:pageBreakBefore w:val="0"/>
        <w:kinsoku/>
        <w:wordWrap w:val="0"/>
        <w:bidi w:val="0"/>
        <w:spacing w:line="440" w:lineRule="exact"/>
        <w:rPr>
          <w:rFonts w:hint="default" w:ascii="Times New Roman" w:hAnsi="Times New Roman" w:eastAsia="黑体" w:cs="Times New Roman"/>
          <w:color w:val="auto"/>
          <w:sz w:val="28"/>
          <w:szCs w:val="28"/>
          <w:highlight w:val="none"/>
        </w:rPr>
      </w:pPr>
    </w:p>
    <w:p w14:paraId="5A7015B7">
      <w:pPr>
        <w:pageBreakBefore w:val="0"/>
        <w:kinsoku/>
        <w:wordWrap w:val="0"/>
        <w:bidi w:val="0"/>
        <w:spacing w:line="440" w:lineRule="exact"/>
        <w:jc w:val="center"/>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u w:val="single"/>
        </w:rPr>
        <w:t xml:space="preserve">        </w:t>
      </w:r>
      <w:r>
        <w:rPr>
          <w:rFonts w:hint="default" w:ascii="Times New Roman" w:hAnsi="Times New Roman" w:eastAsia="黑体" w:cs="Times New Roman"/>
          <w:color w:val="auto"/>
          <w:sz w:val="28"/>
          <w:szCs w:val="28"/>
          <w:highlight w:val="none"/>
        </w:rPr>
        <w:t>年</w:t>
      </w:r>
      <w:r>
        <w:rPr>
          <w:rFonts w:hint="default" w:ascii="Times New Roman" w:hAnsi="Times New Roman" w:eastAsia="黑体" w:cs="Times New Roman"/>
          <w:color w:val="auto"/>
          <w:sz w:val="28"/>
          <w:szCs w:val="28"/>
          <w:highlight w:val="none"/>
          <w:u w:val="single"/>
        </w:rPr>
        <w:t xml:space="preserve">        </w:t>
      </w:r>
      <w:r>
        <w:rPr>
          <w:rFonts w:hint="default" w:ascii="Times New Roman" w:hAnsi="Times New Roman" w:eastAsia="黑体" w:cs="Times New Roman"/>
          <w:color w:val="auto"/>
          <w:sz w:val="28"/>
          <w:szCs w:val="28"/>
          <w:highlight w:val="none"/>
        </w:rPr>
        <w:t>月</w:t>
      </w:r>
      <w:r>
        <w:rPr>
          <w:rFonts w:hint="default" w:ascii="Times New Roman" w:hAnsi="Times New Roman" w:eastAsia="黑体" w:cs="Times New Roman"/>
          <w:color w:val="auto"/>
          <w:sz w:val="28"/>
          <w:szCs w:val="28"/>
          <w:highlight w:val="none"/>
          <w:u w:val="single"/>
        </w:rPr>
        <w:t xml:space="preserve">         </w:t>
      </w:r>
      <w:r>
        <w:rPr>
          <w:rFonts w:hint="default" w:ascii="Times New Roman" w:hAnsi="Times New Roman" w:eastAsia="黑体" w:cs="Times New Roman"/>
          <w:color w:val="auto"/>
          <w:sz w:val="28"/>
          <w:szCs w:val="28"/>
          <w:highlight w:val="none"/>
        </w:rPr>
        <w:t>日</w:t>
      </w:r>
    </w:p>
    <w:p w14:paraId="79EBB00F">
      <w:pPr>
        <w:pageBreakBefore w:val="0"/>
        <w:kinsoku/>
        <w:wordWrap w:val="0"/>
        <w:bidi w:val="0"/>
        <w:spacing w:line="440" w:lineRule="exact"/>
        <w:ind w:firstLine="140" w:firstLineChars="50"/>
        <w:jc w:val="center"/>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br w:type="page"/>
      </w:r>
    </w:p>
    <w:p w14:paraId="3C62150A">
      <w:pPr>
        <w:pageBreakBefore w:val="0"/>
        <w:kinsoku/>
        <w:wordWrap w:val="0"/>
        <w:bidi w:val="0"/>
        <w:spacing w:line="440" w:lineRule="exact"/>
        <w:ind w:firstLine="151" w:firstLineChars="50"/>
        <w:jc w:val="center"/>
        <w:rPr>
          <w:rFonts w:hint="default" w:ascii="Times New Roman" w:hAnsi="Times New Roman" w:eastAsia="黑体" w:cs="Times New Roman"/>
          <w:b/>
          <w:color w:val="auto"/>
          <w:sz w:val="30"/>
          <w:szCs w:val="30"/>
          <w:highlight w:val="none"/>
        </w:rPr>
      </w:pPr>
      <w:r>
        <w:rPr>
          <w:rFonts w:hint="default" w:ascii="Times New Roman" w:hAnsi="Times New Roman" w:eastAsia="黑体" w:cs="Times New Roman"/>
          <w:b/>
          <w:color w:val="auto"/>
          <w:sz w:val="30"/>
          <w:szCs w:val="30"/>
          <w:highlight w:val="none"/>
        </w:rPr>
        <w:t>目     录</w:t>
      </w:r>
    </w:p>
    <w:p w14:paraId="00A3BBBB">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5FE6B48E">
      <w:pPr>
        <w:pageBreakBefore w:val="0"/>
        <w:kinsoku/>
        <w:wordWrap w:val="0"/>
        <w:bidi w:val="0"/>
        <w:spacing w:line="440" w:lineRule="exact"/>
        <w:ind w:left="1619" w:leftChars="771" w:firstLine="1"/>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一、投标函</w:t>
      </w:r>
    </w:p>
    <w:p w14:paraId="1BD1203D">
      <w:pPr>
        <w:pageBreakBefore w:val="0"/>
        <w:kinsoku/>
        <w:wordWrap w:val="0"/>
        <w:bidi w:val="0"/>
        <w:spacing w:line="440" w:lineRule="exact"/>
        <w:ind w:left="1619" w:leftChars="771" w:firstLine="1"/>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二、已标价工程量清单</w:t>
      </w:r>
    </w:p>
    <w:p w14:paraId="0BB267B4">
      <w:pPr>
        <w:pageBreakBefore w:val="0"/>
        <w:kinsoku/>
        <w:wordWrap w:val="0"/>
        <w:bidi w:val="0"/>
        <w:spacing w:line="440" w:lineRule="exact"/>
        <w:ind w:left="1619" w:leftChars="771" w:firstLine="1"/>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三、合同用款估算表</w:t>
      </w:r>
    </w:p>
    <w:p w14:paraId="556EE978">
      <w:pPr>
        <w:pageBreakBefore w:val="0"/>
        <w:kinsoku/>
        <w:wordWrap w:val="0"/>
        <w:bidi w:val="0"/>
        <w:spacing w:line="440" w:lineRule="exact"/>
        <w:ind w:left="1619" w:leftChars="771" w:firstLine="1"/>
        <w:rPr>
          <w:rFonts w:hint="default" w:ascii="Times New Roman" w:hAnsi="Times New Roman" w:cs="Times New Roman"/>
          <w:color w:val="auto"/>
          <w:sz w:val="24"/>
          <w:highlight w:val="none"/>
        </w:rPr>
      </w:pPr>
    </w:p>
    <w:p w14:paraId="30EF80FE">
      <w:pPr>
        <w:pageBreakBefore w:val="0"/>
        <w:kinsoku/>
        <w:wordWrap w:val="0"/>
        <w:bidi w:val="0"/>
        <w:spacing w:before="360" w:beforeLines="150" w:after="240" w:afterLines="100" w:line="380" w:lineRule="atLeast"/>
        <w:jc w:val="center"/>
        <w:outlineLvl w:val="9"/>
        <w:rPr>
          <w:rFonts w:hint="default" w:ascii="Times New Roman" w:hAnsi="Times New Roman" w:eastAsia="黑体" w:cs="Times New Roman"/>
          <w:color w:val="auto"/>
          <w:sz w:val="20"/>
          <w:szCs w:val="20"/>
          <w:highlight w:val="none"/>
        </w:rPr>
      </w:pPr>
    </w:p>
    <w:p w14:paraId="74AD206E">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62BD1DBE">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47B0FD10">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1F60BABB">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26AA6AC7">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71211FAB">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0A25FFD2">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2446043F">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72988241">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63853A2A">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3EA42C51">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4B866321">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4AB9FDEB">
      <w:pPr>
        <w:pageBreakBefore w:val="0"/>
        <w:kinsoku/>
        <w:wordWrap w:val="0"/>
        <w:bidi w:val="0"/>
        <w:spacing w:line="440" w:lineRule="exact"/>
        <w:rPr>
          <w:rFonts w:hint="default"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br w:type="page"/>
      </w:r>
    </w:p>
    <w:p w14:paraId="119E5AA2">
      <w:pPr>
        <w:pStyle w:val="7"/>
        <w:pageBreakBefore w:val="0"/>
        <w:kinsoku/>
        <w:wordWrap w:val="0"/>
        <w:bidi w:val="0"/>
        <w:spacing w:before="0" w:after="0" w:line="400" w:lineRule="atLeast"/>
        <w:jc w:val="center"/>
        <w:outlineLvl w:val="3"/>
        <w:rPr>
          <w:rFonts w:hint="default" w:ascii="Times New Roman" w:hAnsi="Times New Roman" w:eastAsia="黑体" w:cs="Times New Roman"/>
          <w:b w:val="0"/>
          <w:i w:val="0"/>
          <w:iCs/>
          <w:color w:val="auto"/>
          <w:sz w:val="30"/>
          <w:szCs w:val="30"/>
          <w:highlight w:val="none"/>
          <w:lang w:val="en-US" w:eastAsia="zh-CN"/>
        </w:rPr>
      </w:pPr>
      <w:bookmarkStart w:id="1729" w:name="_Toc29275"/>
      <w:bookmarkStart w:id="1730" w:name="_Toc13802"/>
      <w:r>
        <w:rPr>
          <w:rFonts w:hint="default" w:ascii="Times New Roman" w:hAnsi="Times New Roman" w:eastAsia="黑体" w:cs="Times New Roman"/>
          <w:b w:val="0"/>
          <w:i w:val="0"/>
          <w:iCs/>
          <w:color w:val="auto"/>
          <w:sz w:val="30"/>
          <w:szCs w:val="30"/>
          <w:highlight w:val="none"/>
          <w:lang w:val="en-US" w:eastAsia="zh-CN"/>
        </w:rPr>
        <w:t>一、投标函</w:t>
      </w:r>
      <w:bookmarkEnd w:id="1729"/>
      <w:bookmarkEnd w:id="1730"/>
    </w:p>
    <w:p w14:paraId="771C97C9">
      <w:pPr>
        <w:pageBreakBefore w:val="0"/>
        <w:kinsoku/>
        <w:wordWrap w:val="0"/>
        <w:bidi w:val="0"/>
        <w:spacing w:before="360" w:beforeLines="150" w:after="240" w:afterLines="100" w:line="400" w:lineRule="atLeast"/>
        <w:jc w:val="center"/>
        <w:outlineLvl w:val="9"/>
        <w:rPr>
          <w:rFonts w:hint="default" w:ascii="Times New Roman" w:hAnsi="Times New Roman" w:eastAsia="黑体" w:cs="Times New Roman"/>
          <w:b w:val="0"/>
          <w:color w:val="auto"/>
          <w:sz w:val="28"/>
          <w:szCs w:val="28"/>
          <w:highlight w:val="none"/>
        </w:rPr>
      </w:pPr>
    </w:p>
    <w:p w14:paraId="61401791">
      <w:pPr>
        <w:pageBreakBefore w:val="0"/>
        <w:kinsoku/>
        <w:wordWrap w:val="0"/>
        <w:bidi w:val="0"/>
        <w:spacing w:before="240" w:beforeLines="100" w:after="120" w:afterLines="50"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（招标人名称）：</w:t>
      </w:r>
    </w:p>
    <w:p w14:paraId="128A8AF6">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1．我方已仔细研究</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（项目名称）</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标段名称</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施工招标文件的全部内容（含补遗书第___号至第___号），在考察工程现场后，愿意以人民币（大写）</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元（¥</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）的投标总报价（或根据招标文件规定修正核实后确定的另一金额，其中，增值税税率为</w:t>
      </w:r>
      <w:r>
        <w:rPr>
          <w:rFonts w:hint="default" w:ascii="Times New Roman" w:hAnsi="Times New Roman" w:eastAsia="黑体" w:cs="Times New Roman"/>
          <w:color w:val="auto"/>
          <w:sz w:val="24"/>
          <w:highlight w:val="none"/>
          <w:u w:val="single"/>
        </w:rPr>
        <w:t xml:space="preserve">         </w:t>
      </w:r>
      <w:r>
        <w:rPr>
          <w:rFonts w:hint="default" w:ascii="Times New Roman" w:hAnsi="Times New Roman" w:cs="Times New Roman"/>
          <w:color w:val="auto"/>
          <w:sz w:val="24"/>
          <w:highlight w:val="none"/>
        </w:rPr>
        <w:t>），按合同约定实施和完成承包工程，修补工程中的任何缺陷。</w:t>
      </w:r>
    </w:p>
    <w:p w14:paraId="33658B7E">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2．在合同协议书正式签署生效之前，本投标函连同你方的中标通知书将构成我们双方之间共同遵守的文件，对双方具有约束力。</w:t>
      </w:r>
    </w:p>
    <w:p w14:paraId="46762920">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（其他补充说明）。</w:t>
      </w:r>
    </w:p>
    <w:p w14:paraId="6C124E34">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p>
    <w:p w14:paraId="76641299">
      <w:pPr>
        <w:keepNext w:val="0"/>
        <w:keepLines w:val="0"/>
        <w:pageBreakBefore w:val="0"/>
        <w:widowControl w:val="0"/>
        <w:kinsoku/>
        <w:wordWrap w:val="0"/>
        <w:overflowPunct/>
        <w:topLinePunct w:val="0"/>
        <w:autoSpaceDE/>
        <w:autoSpaceDN/>
        <w:bidi w:val="0"/>
        <w:adjustRightInd/>
        <w:snapToGrid/>
        <w:spacing w:line="400" w:lineRule="atLeast"/>
        <w:ind w:firstLine="1440" w:firstLineChars="6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投 标 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（盖单位</w:t>
      </w:r>
      <w:r>
        <w:rPr>
          <w:rFonts w:hint="default" w:ascii="Times New Roman" w:hAnsi="Times New Roman" w:cs="Times New Roman"/>
          <w:color w:val="auto"/>
          <w:sz w:val="24"/>
          <w:highlight w:val="none"/>
          <w:lang w:val="en-US" w:eastAsia="zh-CN"/>
        </w:rPr>
        <w:t>电子印</w:t>
      </w:r>
      <w:r>
        <w:rPr>
          <w:rFonts w:hint="default" w:ascii="Times New Roman" w:hAnsi="Times New Roman" w:cs="Times New Roman"/>
          <w:color w:val="auto"/>
          <w:sz w:val="24"/>
          <w:highlight w:val="none"/>
        </w:rPr>
        <w:t>章）</w:t>
      </w:r>
    </w:p>
    <w:p w14:paraId="5E1EE1A8">
      <w:pPr>
        <w:keepNext w:val="0"/>
        <w:keepLines w:val="0"/>
        <w:pageBreakBefore w:val="0"/>
        <w:widowControl w:val="0"/>
        <w:kinsoku/>
        <w:wordWrap w:val="0"/>
        <w:overflowPunct/>
        <w:topLinePunct w:val="0"/>
        <w:autoSpaceDE/>
        <w:autoSpaceDN/>
        <w:bidi w:val="0"/>
        <w:adjustRightInd/>
        <w:snapToGrid/>
        <w:spacing w:line="400" w:lineRule="atLeast"/>
        <w:ind w:firstLine="1440" w:firstLineChars="600"/>
        <w:textAlignment w:val="auto"/>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法定代表人或其委托代理人：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（个人</w:t>
      </w:r>
      <w:r>
        <w:rPr>
          <w:rFonts w:hint="eastAsia" w:cs="Times New Roman"/>
          <w:color w:val="auto"/>
          <w:sz w:val="24"/>
          <w:highlight w:val="none"/>
          <w:lang w:eastAsia="zh-CN"/>
        </w:rPr>
        <w:t>电子签名</w:t>
      </w:r>
      <w:r>
        <w:rPr>
          <w:rFonts w:hint="default" w:ascii="Times New Roman" w:hAnsi="Times New Roman" w:cs="Times New Roman"/>
          <w:color w:val="auto"/>
          <w:sz w:val="24"/>
          <w:highlight w:val="none"/>
        </w:rPr>
        <w:t>或个人电子印章）</w:t>
      </w:r>
    </w:p>
    <w:p w14:paraId="5B50E215">
      <w:pPr>
        <w:keepNext w:val="0"/>
        <w:keepLines w:val="0"/>
        <w:pageBreakBefore w:val="0"/>
        <w:widowControl w:val="0"/>
        <w:kinsoku/>
        <w:wordWrap w:val="0"/>
        <w:overflowPunct/>
        <w:topLinePunct w:val="0"/>
        <w:autoSpaceDE/>
        <w:autoSpaceDN/>
        <w:bidi w:val="0"/>
        <w:adjustRightInd/>
        <w:snapToGrid/>
        <w:spacing w:line="400" w:lineRule="atLeast"/>
        <w:ind w:firstLine="1440" w:firstLineChars="6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地    址：</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 </w:t>
      </w:r>
    </w:p>
    <w:p w14:paraId="295F6DB8">
      <w:pPr>
        <w:keepNext w:val="0"/>
        <w:keepLines w:val="0"/>
        <w:pageBreakBefore w:val="0"/>
        <w:widowControl w:val="0"/>
        <w:kinsoku/>
        <w:wordWrap w:val="0"/>
        <w:overflowPunct/>
        <w:topLinePunct w:val="0"/>
        <w:autoSpaceDE/>
        <w:autoSpaceDN/>
        <w:bidi w:val="0"/>
        <w:adjustRightInd/>
        <w:snapToGrid/>
        <w:spacing w:line="400" w:lineRule="atLeast"/>
        <w:ind w:firstLine="1440" w:firstLineChars="6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网    址：</w:t>
      </w:r>
      <w:r>
        <w:rPr>
          <w:rFonts w:hint="default" w:ascii="Times New Roman" w:hAnsi="Times New Roman" w:cs="Times New Roman"/>
          <w:color w:val="auto"/>
          <w:sz w:val="24"/>
          <w:highlight w:val="none"/>
          <w:u w:val="single"/>
        </w:rPr>
        <w:t xml:space="preserve">                                     </w:t>
      </w:r>
    </w:p>
    <w:p w14:paraId="447D01E8">
      <w:pPr>
        <w:keepNext w:val="0"/>
        <w:keepLines w:val="0"/>
        <w:pageBreakBefore w:val="0"/>
        <w:widowControl w:val="0"/>
        <w:kinsoku/>
        <w:wordWrap w:val="0"/>
        <w:overflowPunct/>
        <w:topLinePunct w:val="0"/>
        <w:autoSpaceDE/>
        <w:autoSpaceDN/>
        <w:bidi w:val="0"/>
        <w:adjustRightInd/>
        <w:snapToGrid/>
        <w:spacing w:line="400" w:lineRule="atLeast"/>
        <w:ind w:firstLine="1440" w:firstLineChars="6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电    话：</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 </w:t>
      </w:r>
    </w:p>
    <w:p w14:paraId="5AC492D8">
      <w:pPr>
        <w:keepNext w:val="0"/>
        <w:keepLines w:val="0"/>
        <w:pageBreakBefore w:val="0"/>
        <w:widowControl w:val="0"/>
        <w:kinsoku/>
        <w:wordWrap w:val="0"/>
        <w:overflowPunct/>
        <w:topLinePunct w:val="0"/>
        <w:autoSpaceDE/>
        <w:autoSpaceDN/>
        <w:bidi w:val="0"/>
        <w:adjustRightInd/>
        <w:snapToGrid/>
        <w:spacing w:line="400" w:lineRule="atLeast"/>
        <w:ind w:firstLine="1440" w:firstLineChars="6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传    真：</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 </w:t>
      </w:r>
    </w:p>
    <w:p w14:paraId="23B91F30">
      <w:pPr>
        <w:keepNext w:val="0"/>
        <w:keepLines w:val="0"/>
        <w:pageBreakBefore w:val="0"/>
        <w:widowControl w:val="0"/>
        <w:kinsoku/>
        <w:wordWrap w:val="0"/>
        <w:overflowPunct/>
        <w:topLinePunct w:val="0"/>
        <w:autoSpaceDE/>
        <w:autoSpaceDN/>
        <w:bidi w:val="0"/>
        <w:adjustRightInd/>
        <w:snapToGrid/>
        <w:spacing w:line="400" w:lineRule="atLeast"/>
        <w:ind w:firstLine="1440" w:firstLineChars="6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邮政编码：</w:t>
      </w:r>
      <w:r>
        <w:rPr>
          <w:rFonts w:hint="default" w:ascii="Times New Roman" w:hAnsi="Times New Roman" w:cs="Times New Roman"/>
          <w:color w:val="auto"/>
          <w:sz w:val="24"/>
          <w:highlight w:val="none"/>
          <w:u w:val="single"/>
        </w:rPr>
        <w:t xml:space="preserve">                                  </w:t>
      </w:r>
    </w:p>
    <w:p w14:paraId="5FE93000">
      <w:pPr>
        <w:keepNext w:val="0"/>
        <w:keepLines w:val="0"/>
        <w:pageBreakBefore w:val="0"/>
        <w:widowControl w:val="0"/>
        <w:kinsoku/>
        <w:wordWrap w:val="0"/>
        <w:overflowPunct/>
        <w:topLinePunct w:val="0"/>
        <w:autoSpaceDE/>
        <w:autoSpaceDN/>
        <w:bidi w:val="0"/>
        <w:adjustRightInd/>
        <w:snapToGrid/>
        <w:spacing w:line="400" w:lineRule="atLeast"/>
        <w:ind w:firstLine="1440" w:firstLineChars="600"/>
        <w:textAlignment w:val="auto"/>
        <w:rPr>
          <w:rFonts w:hint="default" w:ascii="Times New Roman" w:hAnsi="Times New Roman" w:cs="Times New Roman"/>
          <w:color w:val="auto"/>
          <w:sz w:val="24"/>
          <w:highlight w:val="none"/>
        </w:rPr>
      </w:pPr>
    </w:p>
    <w:p w14:paraId="075FDBE0">
      <w:pPr>
        <w:pageBreakBefore w:val="0"/>
        <w:kinsoku/>
        <w:wordWrap w:val="0"/>
        <w:bidi w:val="0"/>
        <w:spacing w:line="400" w:lineRule="atLeast"/>
        <w:ind w:firstLine="4740" w:firstLineChars="1975"/>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月</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日</w:t>
      </w:r>
      <w:r>
        <w:rPr>
          <w:rFonts w:hint="default" w:ascii="Times New Roman" w:hAnsi="Times New Roman" w:cs="Times New Roman"/>
          <w:color w:val="auto"/>
          <w:sz w:val="24"/>
          <w:highlight w:val="none"/>
        </w:rPr>
        <w:br w:type="page"/>
      </w:r>
    </w:p>
    <w:p w14:paraId="742C64CD">
      <w:pPr>
        <w:pStyle w:val="7"/>
        <w:pageBreakBefore w:val="0"/>
        <w:kinsoku/>
        <w:wordWrap w:val="0"/>
        <w:bidi w:val="0"/>
        <w:spacing w:before="0" w:after="0" w:line="400" w:lineRule="atLeast"/>
        <w:jc w:val="center"/>
        <w:outlineLvl w:val="3"/>
        <w:rPr>
          <w:rFonts w:hint="default" w:ascii="Times New Roman" w:hAnsi="Times New Roman" w:eastAsia="黑体" w:cs="Times New Roman"/>
          <w:b w:val="0"/>
          <w:i w:val="0"/>
          <w:iCs/>
          <w:color w:val="auto"/>
          <w:sz w:val="30"/>
          <w:szCs w:val="30"/>
          <w:highlight w:val="none"/>
          <w:lang w:val="en-US" w:eastAsia="zh-CN"/>
        </w:rPr>
      </w:pPr>
      <w:bookmarkStart w:id="1731" w:name="_Toc234833263"/>
      <w:bookmarkStart w:id="1732" w:name="_Toc14806"/>
      <w:bookmarkStart w:id="1733" w:name="_Toc27163"/>
      <w:r>
        <w:rPr>
          <w:rFonts w:hint="default" w:ascii="Times New Roman" w:hAnsi="Times New Roman" w:eastAsia="黑体" w:cs="Times New Roman"/>
          <w:b w:val="0"/>
          <w:i w:val="0"/>
          <w:iCs/>
          <w:color w:val="auto"/>
          <w:sz w:val="30"/>
          <w:szCs w:val="30"/>
          <w:highlight w:val="none"/>
          <w:lang w:val="en-US" w:eastAsia="zh-CN"/>
        </w:rPr>
        <w:t>二、已标价工程量清单</w:t>
      </w:r>
      <w:bookmarkEnd w:id="1731"/>
      <w:bookmarkEnd w:id="1732"/>
      <w:bookmarkEnd w:id="1733"/>
    </w:p>
    <w:p w14:paraId="68DC620E">
      <w:pPr>
        <w:pageBreakBefore w:val="0"/>
        <w:kinsoku/>
        <w:wordWrap w:val="0"/>
        <w:bidi w:val="0"/>
        <w:spacing w:line="440" w:lineRule="exact"/>
        <w:rPr>
          <w:rFonts w:hint="default" w:ascii="Times New Roman" w:hAnsi="Times New Roman" w:eastAsia="黑体" w:cs="Times New Roman"/>
          <w:color w:val="auto"/>
          <w:sz w:val="24"/>
          <w:highlight w:val="none"/>
        </w:rPr>
      </w:pPr>
    </w:p>
    <w:p w14:paraId="17B6CB31">
      <w:pPr>
        <w:pageBreakBefore w:val="0"/>
        <w:kinsoku/>
        <w:wordWrap w:val="0"/>
        <w:bidi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投标人应按照第五章</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工程量清单</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的要求逐项填报工程量清单，包括工程量清单说明、投标报价说明、计日工说明、其他说明及工程量清单各项表格（工程量清单表5.1～表5.5）。</w:t>
      </w:r>
    </w:p>
    <w:p w14:paraId="65627B0A">
      <w:pPr>
        <w:pStyle w:val="7"/>
        <w:pageBreakBefore w:val="0"/>
        <w:kinsoku/>
        <w:wordWrap w:val="0"/>
        <w:bidi w:val="0"/>
        <w:spacing w:before="0" w:after="0" w:line="400" w:lineRule="atLeast"/>
        <w:jc w:val="center"/>
        <w:outlineLvl w:val="3"/>
        <w:rPr>
          <w:rFonts w:hint="default" w:ascii="Times New Roman" w:hAnsi="Times New Roman" w:eastAsia="黑体" w:cs="Times New Roman"/>
          <w:b w:val="0"/>
          <w:color w:val="auto"/>
          <w:sz w:val="28"/>
          <w:szCs w:val="28"/>
          <w:highlight w:val="none"/>
        </w:rPr>
      </w:pPr>
      <w:r>
        <w:rPr>
          <w:rFonts w:hint="default" w:ascii="Times New Roman" w:hAnsi="Times New Roman" w:eastAsia="黑体" w:cs="Times New Roman"/>
          <w:color w:val="auto"/>
          <w:sz w:val="24"/>
          <w:highlight w:val="none"/>
        </w:rPr>
        <w:br w:type="page"/>
      </w:r>
      <w:bookmarkStart w:id="1734" w:name="_Toc234833274"/>
      <w:bookmarkStart w:id="1735" w:name="_Toc933"/>
      <w:bookmarkStart w:id="1736" w:name="_Toc6563"/>
      <w:r>
        <w:rPr>
          <w:rFonts w:hint="default" w:ascii="Times New Roman" w:hAnsi="Times New Roman" w:eastAsia="黑体" w:cs="Times New Roman"/>
          <w:b w:val="0"/>
          <w:i w:val="0"/>
          <w:iCs/>
          <w:color w:val="auto"/>
          <w:sz w:val="30"/>
          <w:szCs w:val="30"/>
          <w:highlight w:val="none"/>
          <w:lang w:val="en-US" w:eastAsia="zh-CN"/>
        </w:rPr>
        <w:t>三、合同用款估算表</w:t>
      </w:r>
      <w:bookmarkEnd w:id="1734"/>
      <w:bookmarkEnd w:id="1735"/>
      <w:bookmarkEnd w:id="1736"/>
    </w:p>
    <w:tbl>
      <w:tblPr>
        <w:tblStyle w:val="40"/>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628"/>
        <w:gridCol w:w="2025"/>
        <w:gridCol w:w="1547"/>
        <w:gridCol w:w="1548"/>
        <w:gridCol w:w="1548"/>
        <w:gridCol w:w="1548"/>
      </w:tblGrid>
      <w:tr w14:paraId="681E2B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Pr>
        <w:tc>
          <w:tcPr>
            <w:tcW w:w="2653" w:type="dxa"/>
            <w:gridSpan w:val="2"/>
            <w:vMerge w:val="restart"/>
            <w:tcBorders>
              <w:bottom w:val="nil"/>
              <w:right w:val="single" w:color="auto" w:sz="6" w:space="0"/>
            </w:tcBorders>
            <w:noWrap w:val="0"/>
            <w:vAlign w:val="center"/>
          </w:tcPr>
          <w:p w14:paraId="6AE60140">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从开工月算起的时间</w:t>
            </w:r>
          </w:p>
          <w:p w14:paraId="3F9D4C6F">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（月）</w:t>
            </w:r>
          </w:p>
        </w:tc>
        <w:tc>
          <w:tcPr>
            <w:tcW w:w="6191" w:type="dxa"/>
            <w:gridSpan w:val="4"/>
            <w:tcBorders>
              <w:left w:val="single" w:color="auto" w:sz="6" w:space="0"/>
            </w:tcBorders>
            <w:noWrap w:val="0"/>
            <w:vAlign w:val="center"/>
          </w:tcPr>
          <w:p w14:paraId="3B18F624">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投标人的估算</w:t>
            </w:r>
          </w:p>
        </w:tc>
      </w:tr>
      <w:tr w14:paraId="2B9E51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Pr>
        <w:tc>
          <w:tcPr>
            <w:tcW w:w="2653" w:type="dxa"/>
            <w:gridSpan w:val="2"/>
            <w:vMerge w:val="continue"/>
            <w:tcBorders>
              <w:top w:val="nil"/>
              <w:bottom w:val="nil"/>
              <w:right w:val="single" w:color="auto" w:sz="6" w:space="0"/>
            </w:tcBorders>
            <w:noWrap w:val="0"/>
            <w:vAlign w:val="center"/>
          </w:tcPr>
          <w:p w14:paraId="285554EF">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3095" w:type="dxa"/>
            <w:gridSpan w:val="2"/>
            <w:tcBorders>
              <w:top w:val="single" w:color="auto" w:sz="4" w:space="0"/>
              <w:left w:val="single" w:color="auto" w:sz="6" w:space="0"/>
              <w:bottom w:val="single" w:color="auto" w:sz="6" w:space="0"/>
              <w:right w:val="single" w:color="auto" w:sz="6" w:space="0"/>
            </w:tcBorders>
            <w:noWrap w:val="0"/>
            <w:vAlign w:val="center"/>
          </w:tcPr>
          <w:p w14:paraId="7E5AA6A7">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分     期</w:t>
            </w:r>
          </w:p>
        </w:tc>
        <w:tc>
          <w:tcPr>
            <w:tcW w:w="3096" w:type="dxa"/>
            <w:gridSpan w:val="2"/>
            <w:tcBorders>
              <w:left w:val="single" w:color="auto" w:sz="6" w:space="0"/>
            </w:tcBorders>
            <w:noWrap w:val="0"/>
            <w:vAlign w:val="center"/>
          </w:tcPr>
          <w:p w14:paraId="1D6340DF">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累     计</w:t>
            </w:r>
          </w:p>
        </w:tc>
      </w:tr>
      <w:tr w14:paraId="5A211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Pr>
        <w:tc>
          <w:tcPr>
            <w:tcW w:w="2653" w:type="dxa"/>
            <w:gridSpan w:val="2"/>
            <w:vMerge w:val="continue"/>
            <w:tcBorders>
              <w:top w:val="nil"/>
              <w:right w:val="single" w:color="auto" w:sz="6" w:space="0"/>
            </w:tcBorders>
            <w:noWrap w:val="0"/>
            <w:vAlign w:val="center"/>
          </w:tcPr>
          <w:p w14:paraId="4A3CBC13">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7" w:type="dxa"/>
            <w:tcBorders>
              <w:top w:val="single" w:color="auto" w:sz="6" w:space="0"/>
              <w:left w:val="single" w:color="auto" w:sz="6" w:space="0"/>
            </w:tcBorders>
            <w:noWrap w:val="0"/>
            <w:vAlign w:val="center"/>
          </w:tcPr>
          <w:p w14:paraId="46A34D70">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金额（元）</w:t>
            </w:r>
          </w:p>
        </w:tc>
        <w:tc>
          <w:tcPr>
            <w:tcW w:w="1548" w:type="dxa"/>
            <w:tcBorders>
              <w:top w:val="single" w:color="auto" w:sz="6" w:space="0"/>
            </w:tcBorders>
            <w:noWrap w:val="0"/>
            <w:vAlign w:val="center"/>
          </w:tcPr>
          <w:p w14:paraId="127746FA">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1548" w:type="dxa"/>
            <w:noWrap w:val="0"/>
            <w:vAlign w:val="center"/>
          </w:tcPr>
          <w:p w14:paraId="236ACDC3">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金额（元）</w:t>
            </w:r>
          </w:p>
        </w:tc>
        <w:tc>
          <w:tcPr>
            <w:tcW w:w="1548" w:type="dxa"/>
            <w:noWrap w:val="0"/>
            <w:vAlign w:val="center"/>
          </w:tcPr>
          <w:p w14:paraId="35DB3DAC">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r>
      <w:tr w14:paraId="556001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Pr>
        <w:tc>
          <w:tcPr>
            <w:tcW w:w="2653" w:type="dxa"/>
            <w:gridSpan w:val="2"/>
            <w:noWrap w:val="0"/>
            <w:vAlign w:val="center"/>
          </w:tcPr>
          <w:p w14:paraId="11936980">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第一次开工预付款</w:t>
            </w:r>
          </w:p>
        </w:tc>
        <w:tc>
          <w:tcPr>
            <w:tcW w:w="1547" w:type="dxa"/>
            <w:noWrap w:val="0"/>
            <w:vAlign w:val="center"/>
          </w:tcPr>
          <w:p w14:paraId="46E76C04">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462AED25">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04925E72">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21ADB348">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r>
      <w:tr w14:paraId="16EED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Pr>
        <w:tc>
          <w:tcPr>
            <w:tcW w:w="2653" w:type="dxa"/>
            <w:gridSpan w:val="2"/>
            <w:noWrap w:val="0"/>
            <w:vAlign w:val="center"/>
          </w:tcPr>
          <w:p w14:paraId="13F69070">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 ~ 3</w:t>
            </w:r>
          </w:p>
        </w:tc>
        <w:tc>
          <w:tcPr>
            <w:tcW w:w="1547" w:type="dxa"/>
            <w:noWrap w:val="0"/>
            <w:vAlign w:val="center"/>
          </w:tcPr>
          <w:p w14:paraId="30739B48">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323583E9">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5A9B46A1">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7045E702">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r>
      <w:tr w14:paraId="6FCD24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Pr>
        <w:tc>
          <w:tcPr>
            <w:tcW w:w="2653" w:type="dxa"/>
            <w:gridSpan w:val="2"/>
            <w:noWrap w:val="0"/>
            <w:vAlign w:val="center"/>
          </w:tcPr>
          <w:p w14:paraId="56AE5D8D">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 ~ 6</w:t>
            </w:r>
          </w:p>
        </w:tc>
        <w:tc>
          <w:tcPr>
            <w:tcW w:w="1547" w:type="dxa"/>
            <w:noWrap w:val="0"/>
            <w:vAlign w:val="center"/>
          </w:tcPr>
          <w:p w14:paraId="6E9D7B54">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527273C9">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26A5012B">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10B22DF0">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r>
      <w:tr w14:paraId="3B9AC0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Pr>
        <w:tc>
          <w:tcPr>
            <w:tcW w:w="2653" w:type="dxa"/>
            <w:gridSpan w:val="2"/>
            <w:noWrap w:val="0"/>
            <w:vAlign w:val="center"/>
          </w:tcPr>
          <w:p w14:paraId="27F11246">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 ~ 9</w:t>
            </w:r>
          </w:p>
        </w:tc>
        <w:tc>
          <w:tcPr>
            <w:tcW w:w="1547" w:type="dxa"/>
            <w:noWrap w:val="0"/>
            <w:vAlign w:val="center"/>
          </w:tcPr>
          <w:p w14:paraId="6D6DAE8B">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042686F9">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0A37BB93">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5190E737">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r>
      <w:tr w14:paraId="4C1DEE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Pr>
        <w:tc>
          <w:tcPr>
            <w:tcW w:w="2653" w:type="dxa"/>
            <w:gridSpan w:val="2"/>
            <w:noWrap w:val="0"/>
            <w:vAlign w:val="center"/>
          </w:tcPr>
          <w:p w14:paraId="266A2CC4">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 ~ 12</w:t>
            </w:r>
          </w:p>
        </w:tc>
        <w:tc>
          <w:tcPr>
            <w:tcW w:w="1547" w:type="dxa"/>
            <w:noWrap w:val="0"/>
            <w:vAlign w:val="center"/>
          </w:tcPr>
          <w:p w14:paraId="2EFC47A0">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21BD25E6">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35FE05EA">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1633EC37">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r>
      <w:tr w14:paraId="3AFB8D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Pr>
        <w:tc>
          <w:tcPr>
            <w:tcW w:w="2653" w:type="dxa"/>
            <w:gridSpan w:val="2"/>
            <w:noWrap w:val="0"/>
            <w:vAlign w:val="center"/>
          </w:tcPr>
          <w:p w14:paraId="7709408F">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13 ~ 15</w:t>
            </w:r>
          </w:p>
        </w:tc>
        <w:tc>
          <w:tcPr>
            <w:tcW w:w="1547" w:type="dxa"/>
            <w:noWrap w:val="0"/>
            <w:vAlign w:val="center"/>
          </w:tcPr>
          <w:p w14:paraId="50E2F30F">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3A867FCB">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50484D6E">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4C121E1D">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r>
      <w:tr w14:paraId="2079EF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Pr>
        <w:tc>
          <w:tcPr>
            <w:tcW w:w="2653" w:type="dxa"/>
            <w:gridSpan w:val="2"/>
            <w:noWrap w:val="0"/>
            <w:vAlign w:val="center"/>
          </w:tcPr>
          <w:p w14:paraId="07B3839A">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1547" w:type="dxa"/>
            <w:noWrap w:val="0"/>
            <w:vAlign w:val="center"/>
          </w:tcPr>
          <w:p w14:paraId="043B159F">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361DD94C">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5DF41411">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319D5C88">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r>
      <w:tr w14:paraId="0D62D2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Pr>
        <w:tc>
          <w:tcPr>
            <w:tcW w:w="2653" w:type="dxa"/>
            <w:gridSpan w:val="2"/>
            <w:noWrap w:val="0"/>
            <w:vAlign w:val="center"/>
          </w:tcPr>
          <w:p w14:paraId="036FE7CC">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1547" w:type="dxa"/>
            <w:noWrap w:val="0"/>
            <w:vAlign w:val="center"/>
          </w:tcPr>
          <w:p w14:paraId="49D093BC">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4A3F7AA4">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0F494CF5">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590156C2">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r>
      <w:tr w14:paraId="34D536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Pr>
        <w:tc>
          <w:tcPr>
            <w:tcW w:w="2653" w:type="dxa"/>
            <w:gridSpan w:val="2"/>
            <w:noWrap w:val="0"/>
            <w:vAlign w:val="center"/>
          </w:tcPr>
          <w:p w14:paraId="7763E9D8">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7" w:type="dxa"/>
            <w:noWrap w:val="0"/>
            <w:vAlign w:val="center"/>
          </w:tcPr>
          <w:p w14:paraId="508F830E">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2B0E6AFA">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405BE901">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2078C82F">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r>
      <w:tr w14:paraId="12A53F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Pr>
        <w:tc>
          <w:tcPr>
            <w:tcW w:w="2653" w:type="dxa"/>
            <w:gridSpan w:val="2"/>
            <w:noWrap w:val="0"/>
            <w:vAlign w:val="center"/>
          </w:tcPr>
          <w:p w14:paraId="5A6046EE">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缺陷责任期</w:t>
            </w:r>
          </w:p>
        </w:tc>
        <w:tc>
          <w:tcPr>
            <w:tcW w:w="1547" w:type="dxa"/>
            <w:noWrap w:val="0"/>
            <w:vAlign w:val="center"/>
          </w:tcPr>
          <w:p w14:paraId="3A853F3F">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060CEE85">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4EC728C5">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315144A3">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r>
      <w:tr w14:paraId="1E0242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Pr>
        <w:tc>
          <w:tcPr>
            <w:tcW w:w="2653" w:type="dxa"/>
            <w:gridSpan w:val="2"/>
            <w:noWrap w:val="0"/>
            <w:vAlign w:val="center"/>
          </w:tcPr>
          <w:p w14:paraId="394F05B7">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小      计</w:t>
            </w:r>
          </w:p>
        </w:tc>
        <w:tc>
          <w:tcPr>
            <w:tcW w:w="1547" w:type="dxa"/>
            <w:noWrap w:val="0"/>
            <w:vAlign w:val="center"/>
          </w:tcPr>
          <w:p w14:paraId="5806435E">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4545B836">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100.00</w:t>
            </w:r>
          </w:p>
        </w:tc>
        <w:tc>
          <w:tcPr>
            <w:tcW w:w="1548" w:type="dxa"/>
            <w:noWrap w:val="0"/>
            <w:vAlign w:val="center"/>
          </w:tcPr>
          <w:p w14:paraId="1BAEDCD1">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761CC93F">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r>
      <w:tr w14:paraId="46D7E9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8844" w:type="dxa"/>
            <w:gridSpan w:val="6"/>
            <w:noWrap w:val="0"/>
            <w:vAlign w:val="center"/>
          </w:tcPr>
          <w:p w14:paraId="5A1EE5CF">
            <w:pPr>
              <w:pStyle w:val="27"/>
              <w:pageBreakBefore w:val="0"/>
              <w:tabs>
                <w:tab w:val="clear" w:pos="4153"/>
                <w:tab w:val="clear" w:pos="8306"/>
              </w:tabs>
              <w:kinsoku/>
              <w:wordWrap w:val="0"/>
              <w:bidi w:val="0"/>
              <w:spacing w:before="60" w:beforeLines="25" w:after="60" w:afterLines="25" w:line="400" w:lineRule="atLeas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投标价：</w:t>
            </w:r>
          </w:p>
        </w:tc>
      </w:tr>
      <w:tr w14:paraId="2351A5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162" w:hRule="atLeast"/>
        </w:trPr>
        <w:tc>
          <w:tcPr>
            <w:tcW w:w="628" w:type="dxa"/>
            <w:noWrap w:val="0"/>
            <w:vAlign w:val="center"/>
          </w:tcPr>
          <w:p w14:paraId="7206FEE7">
            <w:pPr>
              <w:pageBreakBefore w:val="0"/>
              <w:kinsoku/>
              <w:wordWrap w:val="0"/>
              <w:bidi w:val="0"/>
              <w:snapToGrid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说</w:t>
            </w:r>
          </w:p>
          <w:p w14:paraId="4B8C6A6B">
            <w:pPr>
              <w:pageBreakBefore w:val="0"/>
              <w:kinsoku/>
              <w:wordWrap w:val="0"/>
              <w:bidi w:val="0"/>
              <w:snapToGrid w:val="0"/>
              <w:spacing w:line="400" w:lineRule="atLeast"/>
              <w:jc w:val="center"/>
              <w:rPr>
                <w:rFonts w:hint="default" w:ascii="Times New Roman" w:hAnsi="Times New Roman" w:cs="Times New Roman"/>
                <w:color w:val="auto"/>
                <w:szCs w:val="21"/>
                <w:highlight w:val="none"/>
              </w:rPr>
            </w:pPr>
          </w:p>
          <w:p w14:paraId="5CC778FE">
            <w:pPr>
              <w:pageBreakBefore w:val="0"/>
              <w:kinsoku/>
              <w:wordWrap w:val="0"/>
              <w:bidi w:val="0"/>
              <w:snapToGrid w:val="0"/>
              <w:spacing w:line="400" w:lineRule="atLeast"/>
              <w:jc w:val="center"/>
              <w:rPr>
                <w:rFonts w:hint="default" w:ascii="Times New Roman" w:hAnsi="Times New Roman" w:cs="Times New Roman"/>
                <w:color w:val="auto"/>
                <w:szCs w:val="21"/>
                <w:highlight w:val="none"/>
              </w:rPr>
            </w:pPr>
          </w:p>
          <w:p w14:paraId="1D1CD059">
            <w:pPr>
              <w:pageBreakBefore w:val="0"/>
              <w:kinsoku/>
              <w:wordWrap w:val="0"/>
              <w:bidi w:val="0"/>
              <w:snapToGrid w:val="0"/>
              <w:spacing w:line="400" w:lineRule="atLeast"/>
              <w:jc w:val="center"/>
              <w:rPr>
                <w:rFonts w:hint="default" w:ascii="Times New Roman" w:hAnsi="Times New Roman" w:cs="Times New Roman"/>
                <w:color w:val="auto"/>
                <w:szCs w:val="21"/>
                <w:highlight w:val="none"/>
              </w:rPr>
            </w:pPr>
          </w:p>
          <w:p w14:paraId="1BFD0E30">
            <w:pPr>
              <w:pageBreakBefore w:val="0"/>
              <w:kinsoku/>
              <w:wordWrap w:val="0"/>
              <w:bidi w:val="0"/>
              <w:snapToGrid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明</w:t>
            </w:r>
          </w:p>
        </w:tc>
        <w:tc>
          <w:tcPr>
            <w:tcW w:w="8216" w:type="dxa"/>
            <w:gridSpan w:val="5"/>
            <w:noWrap w:val="0"/>
            <w:vAlign w:val="center"/>
          </w:tcPr>
          <w:p w14:paraId="11190B4C">
            <w:pPr>
              <w:pageBreakBefore w:val="0"/>
              <w:kinsoku/>
              <w:wordWrap w:val="0"/>
              <w:bidi w:val="0"/>
              <w:snapToGrid w:val="0"/>
              <w:spacing w:line="400" w:lineRule="atLeast"/>
              <w:jc w:val="center"/>
              <w:rPr>
                <w:rFonts w:hint="default" w:ascii="Times New Roman" w:hAnsi="Times New Roman" w:cs="Times New Roman"/>
                <w:color w:val="auto"/>
                <w:szCs w:val="21"/>
                <w:highlight w:val="none"/>
              </w:rPr>
            </w:pPr>
          </w:p>
          <w:p w14:paraId="409475BA">
            <w:pPr>
              <w:pageBreakBefore w:val="0"/>
              <w:kinsoku/>
              <w:wordWrap w:val="0"/>
              <w:bidi w:val="0"/>
              <w:snapToGrid w:val="0"/>
              <w:spacing w:line="400" w:lineRule="atLeast"/>
              <w:jc w:val="center"/>
              <w:rPr>
                <w:rFonts w:hint="default" w:ascii="Times New Roman" w:hAnsi="Times New Roman" w:cs="Times New Roman"/>
                <w:color w:val="auto"/>
                <w:szCs w:val="21"/>
                <w:highlight w:val="none"/>
              </w:rPr>
            </w:pPr>
          </w:p>
          <w:p w14:paraId="4A506443">
            <w:pPr>
              <w:pageBreakBefore w:val="0"/>
              <w:kinsoku/>
              <w:wordWrap w:val="0"/>
              <w:bidi w:val="0"/>
              <w:snapToGrid w:val="0"/>
              <w:spacing w:line="400" w:lineRule="atLeast"/>
              <w:jc w:val="center"/>
              <w:rPr>
                <w:rFonts w:hint="default" w:ascii="Times New Roman" w:hAnsi="Times New Roman" w:cs="Times New Roman"/>
                <w:color w:val="auto"/>
                <w:szCs w:val="21"/>
                <w:highlight w:val="none"/>
              </w:rPr>
            </w:pPr>
          </w:p>
        </w:tc>
      </w:tr>
    </w:tbl>
    <w:p w14:paraId="01BA134E">
      <w:pPr>
        <w:pStyle w:val="81"/>
        <w:pageBreakBefore w:val="0"/>
        <w:kinsoku/>
        <w:wordWrap w:val="0"/>
        <w:bidi w:val="0"/>
        <w:snapToGrid w:val="0"/>
        <w:spacing w:before="0" w:after="0" w:line="400" w:lineRule="atLeast"/>
        <w:jc w:val="center"/>
        <w:rPr>
          <w:rFonts w:hint="default" w:ascii="Times New Roman" w:hAnsi="Times New Roman" w:cs="Times New Roman"/>
          <w:b w:val="0"/>
          <w:color w:val="auto"/>
          <w:highlight w:val="none"/>
        </w:rPr>
      </w:pPr>
    </w:p>
    <w:p w14:paraId="62D94483">
      <w:pPr>
        <w:pageBreakBefore w:val="0"/>
        <w:kinsoku/>
        <w:wordWrap w:val="0"/>
        <w:bidi w:val="0"/>
        <w:snapToGrid w:val="0"/>
        <w:spacing w:line="340" w:lineRule="atLeast"/>
        <w:ind w:left="894" w:leftChars="100" w:hanging="684" w:hangingChars="326"/>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注：1.投标人可按工程进度估算并填写本表。</w:t>
      </w:r>
    </w:p>
    <w:p w14:paraId="69862944">
      <w:pPr>
        <w:pageBreakBefore w:val="0"/>
        <w:kinsoku/>
        <w:wordWrap w:val="0"/>
        <w:bidi w:val="0"/>
        <w:spacing w:line="340" w:lineRule="atLeast"/>
        <w:ind w:left="865" w:leftChars="286" w:right="-334" w:rightChars="-159" w:hanging="264" w:hangingChars="126"/>
        <w:rPr>
          <w:rFonts w:hint="default" w:ascii="Times New Roman" w:hAnsi="Times New Roman" w:eastAsia="黑体" w:cs="Times New Roman"/>
          <w:color w:val="auto"/>
          <w:szCs w:val="21"/>
          <w:highlight w:val="none"/>
        </w:rPr>
      </w:pPr>
      <w:r>
        <w:rPr>
          <w:rFonts w:hint="default" w:ascii="Times New Roman" w:hAnsi="Times New Roman" w:cs="Times New Roman"/>
          <w:color w:val="auto"/>
          <w:szCs w:val="21"/>
          <w:highlight w:val="none"/>
        </w:rPr>
        <w:t>2.用款额按所报单价和总额价估算，不包括价格调整和暂列金额、暂估价，但应考虑开工预付款的扣回以及签发付款证书后到实际支付的时间间隔。</w:t>
      </w:r>
    </w:p>
    <w:p w14:paraId="74ED0CFC">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p>
    <w:sectPr>
      <w:footnotePr>
        <w:numFmt w:val="decimalEnclosedCircleChinese"/>
        <w:numRestart w:val="eachPage"/>
      </w:footnotePr>
      <w:pgSz w:w="11907" w:h="16840"/>
      <w:pgMar w:top="1588" w:right="1588" w:bottom="1474" w:left="1644" w:header="851" w:footer="851"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44446BC-E2AF-44BF-9B10-593EC16036C5}"/>
  </w:font>
  <w:font w:name="黑体">
    <w:panose1 w:val="02010609060101010101"/>
    <w:charset w:val="86"/>
    <w:family w:val="auto"/>
    <w:pitch w:val="default"/>
    <w:sig w:usb0="800002BF" w:usb1="38CF7CFA" w:usb2="00000016" w:usb3="00000000" w:csb0="00040001" w:csb1="00000000"/>
    <w:embedRegular r:id="rId2" w:fontKey="{062A006F-FC6A-409F-9B09-7A7C2FB761F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embedRegular r:id="rId3" w:fontKey="{C4E7F14C-0931-4B03-B55E-6B5F0B4F26AC}"/>
  </w:font>
  <w:font w:name="Calibri">
    <w:panose1 w:val="020F0502020204030204"/>
    <w:charset w:val="00"/>
    <w:family w:val="swiss"/>
    <w:pitch w:val="default"/>
    <w:sig w:usb0="E4002EFF" w:usb1="C000247B" w:usb2="00000009" w:usb3="00000000" w:csb0="200001FF" w:csb1="00000000"/>
    <w:embedRegular r:id="rId4" w:fontKey="{6B201A4C-2150-45D6-989C-2A792DDAD204}"/>
  </w:font>
  <w:font w:name="仿宋_GB2312">
    <w:panose1 w:val="02010609030101010101"/>
    <w:charset w:val="86"/>
    <w:family w:val="modern"/>
    <w:pitch w:val="default"/>
    <w:sig w:usb0="00000001" w:usb1="080E0000" w:usb2="00000000" w:usb3="00000000" w:csb0="00040000" w:csb1="00000000"/>
    <w:embedRegular r:id="rId5" w:fontKey="{D0F1F033-B0E5-4DD3-83D5-7A8669C3A707}"/>
  </w:font>
  <w:font w:name="楷体">
    <w:panose1 w:val="02010609060101010101"/>
    <w:charset w:val="86"/>
    <w:family w:val="modern"/>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embedRegular r:id="rId6" w:fontKey="{6D884BBD-FEF8-46EB-B8E7-53746BBF68CE}"/>
  </w:font>
  <w:font w:name="MS Gothic">
    <w:panose1 w:val="020B0609070205080204"/>
    <w:charset w:val="80"/>
    <w:family w:val="modern"/>
    <w:pitch w:val="default"/>
    <w:sig w:usb0="E00002FF" w:usb1="6AC7FDFB" w:usb2="08000012" w:usb3="00000000" w:csb0="4002009F" w:csb1="DFD70000"/>
    <w:embedRegular r:id="rId7" w:fontKey="{59F7BC52-92FC-44DA-BF31-69E430625750}"/>
  </w:font>
  <w:font w:name="宋体-18030">
    <w:altName w:val="宋体"/>
    <w:panose1 w:val="00000000000000000000"/>
    <w:charset w:val="86"/>
    <w:family w:val="modern"/>
    <w:pitch w:val="default"/>
    <w:sig w:usb0="00000000" w:usb1="00000000" w:usb2="000A005E" w:usb3="00000000" w:csb0="00040001" w:csb1="00000000"/>
    <w:embedRegular r:id="rId8" w:fontKey="{E90185BA-9088-4738-BAFE-D70694BBBEC3}"/>
  </w:font>
  <w:font w:name="隶书">
    <w:panose1 w:val="02010509060101010101"/>
    <w:charset w:val="86"/>
    <w:family w:val="modern"/>
    <w:pitch w:val="default"/>
    <w:sig w:usb0="00000001" w:usb1="080E0000" w:usb2="00000000" w:usb3="00000000" w:csb0="00040000" w:csb1="00000000"/>
    <w:embedRegular r:id="rId9" w:fontKey="{9F35C744-CDBA-498F-9425-456B92B4123C}"/>
  </w:font>
  <w:font w:name="华文隶书">
    <w:panose1 w:val="02010800040101010101"/>
    <w:charset w:val="86"/>
    <w:family w:val="auto"/>
    <w:pitch w:val="default"/>
    <w:sig w:usb0="00000001" w:usb1="080F0000" w:usb2="00000000" w:usb3="00000000" w:csb0="00040000" w:csb1="00000000"/>
    <w:embedRegular r:id="rId10" w:fontKey="{A3030534-76FF-4CB7-873C-7CE546F836F0}"/>
  </w:font>
  <w:font w:name="宋体 ，Arial">
    <w:altName w:val="宋体"/>
    <w:panose1 w:val="00000000000000000000"/>
    <w:charset w:val="86"/>
    <w:family w:val="roman"/>
    <w:pitch w:val="default"/>
    <w:sig w:usb0="00000000" w:usb1="00000000" w:usb2="00000010" w:usb3="00000000" w:csb0="00040000" w:csb1="00000000"/>
    <w:embedRegular r:id="rId11" w:fontKey="{B541A5CC-DD00-43BD-AE6D-CDFCD4183801}"/>
  </w:font>
  <w:font w:name="Roman">
    <w:altName w:val="Times New Roman"/>
    <w:panose1 w:val="00000000000000000000"/>
    <w:charset w:val="00"/>
    <w:family w:val="roman"/>
    <w:pitch w:val="default"/>
    <w:sig w:usb0="00000000" w:usb1="00000000" w:usb2="00000000" w:usb3="00000000" w:csb0="00000000" w:csb1="00000000"/>
  </w:font>
  <w:font w:name="Wingdings 2">
    <w:panose1 w:val="05020102010507070707"/>
    <w:charset w:val="00"/>
    <w:family w:val="auto"/>
    <w:pitch w:val="default"/>
    <w:sig w:usb0="00000000" w:usb1="00000000" w:usb2="00000000" w:usb3="00000000" w:csb0="80000000" w:csb1="00000000"/>
    <w:embedRegular r:id="rId12" w:fontKey="{C443F96A-F063-4A37-9812-7F9232628673}"/>
  </w:font>
  <w:font w:name="WPSEMBED1">
    <w:panose1 w:val="02010509060101010101"/>
    <w:charset w:val="86"/>
    <w:family w:val="auto"/>
    <w:pitch w:val="default"/>
    <w:sig w:usb0="00000001" w:usb1="080E0000" w:usb2="00000000" w:usb3="00000000" w:csb0="00040000" w:csb1="00000000"/>
  </w:font>
  <w:font w:name="WPSEMBED2">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0FBF9">
    <w:pPr>
      <w:pStyle w:val="27"/>
      <w:spacing w:line="240" w:lineRule="exact"/>
      <w:ind w:right="360" w:firstLine="360"/>
      <w:rPr>
        <w:rFonts w:hint="eastAsia" w:eastAsia="黑体"/>
        <w:sz w:val="17"/>
        <w:szCs w:val="17"/>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09338">
    <w:pPr>
      <w:pStyle w:val="27"/>
      <w:spacing w:line="240" w:lineRule="exact"/>
      <w:ind w:right="360" w:firstLine="360"/>
      <w:jc w:val="center"/>
      <w:rPr>
        <w:rFonts w:hint="eastAsia" w:eastAsia="黑体"/>
        <w:sz w:val="17"/>
        <w:szCs w:val="17"/>
      </w:rPr>
    </w:pPr>
    <w:r>
      <w:rPr>
        <w:sz w:val="17"/>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C15ED6">
                          <w:pPr>
                            <w:pStyle w:val="27"/>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FC15ED6">
                    <w:pPr>
                      <w:pStyle w:val="27"/>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7CBA98">
    <w:pPr>
      <w:pStyle w:val="27"/>
      <w:ind w:right="360" w:firstLine="360"/>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4E9468">
                          <w:pPr>
                            <w:pStyle w:val="27"/>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2E4E9468">
                    <w:pPr>
                      <w:pStyle w:val="27"/>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F3118D">
    <w:pPr>
      <w:pStyle w:val="27"/>
      <w:spacing w:line="240" w:lineRule="exact"/>
      <w:ind w:right="360" w:firstLine="360"/>
      <w:jc w:val="center"/>
      <w:rPr>
        <w:rFonts w:hint="eastAsia" w:eastAsia="黑体"/>
        <w:sz w:val="17"/>
        <w:szCs w:val="17"/>
      </w:rPr>
    </w:pPr>
    <w:r>
      <w:rPr>
        <w:sz w:val="17"/>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64BD28">
                          <w:pPr>
                            <w:pStyle w:val="27"/>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5164BD28">
                    <w:pPr>
                      <w:pStyle w:val="27"/>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407AD">
    <w:pPr>
      <w:pStyle w:val="27"/>
      <w:ind w:right="360" w:firstLine="360"/>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AB4DAB">
                          <w:pPr>
                            <w:pStyle w:val="27"/>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4EAB4DAB">
                    <w:pPr>
                      <w:pStyle w:val="27"/>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76318">
    <w:pPr>
      <w:pStyle w:val="27"/>
      <w:spacing w:line="240" w:lineRule="exact"/>
      <w:ind w:right="360" w:firstLine="360"/>
      <w:jc w:val="center"/>
      <w:rPr>
        <w:rFonts w:hint="eastAsia" w:eastAsia="黑体"/>
        <w:sz w:val="17"/>
        <w:szCs w:val="17"/>
      </w:rPr>
    </w:pPr>
    <w:r>
      <w:rPr>
        <w:sz w:val="17"/>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FF07D2">
                          <w:pPr>
                            <w:pStyle w:val="27"/>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40FF07D2">
                    <w:pPr>
                      <w:pStyle w:val="27"/>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B8F6A">
    <w:pPr>
      <w:pStyle w:val="27"/>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BD8067">
                          <w:pPr>
                            <w:pStyle w:val="27"/>
                          </w:pPr>
                          <w:r>
                            <w:fldChar w:fldCharType="begin"/>
                          </w:r>
                          <w:r>
                            <w:instrText xml:space="preserve"> PAGE  \* MERGEFORMAT </w:instrText>
                          </w:r>
                          <w:r>
                            <w:fldChar w:fldCharType="separate"/>
                          </w:r>
                          <w:r>
                            <w:t>155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0MQeM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NJYZpVPz04/vp&#10;58Pp1zeCMwjUuDBD3L1DZGzf2RZtM5wHHCbebeV1+oIRgR/yHi/yijYSni5NJ9NpDheHb9gAP3u8&#10;7nyI74XVJBkF9ahfJys7bELsQ4eQlM3YtVSqq6EypAGJ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0MQeMzAgAAYwQAAA4AAAAAAAAAAQAgAAAAHwEAAGRycy9lMm9Eb2MueG1sUEsF&#10;BgAAAAAGAAYAWQEAAMQFAAAAAA==&#10;">
              <v:fill on="f" focussize="0,0"/>
              <v:stroke on="f" weight="0.5pt"/>
              <v:imagedata o:title=""/>
              <o:lock v:ext="edit" aspectratio="f"/>
              <v:textbox inset="0mm,0mm,0mm,0mm" style="mso-fit-shape-to-text:t;">
                <w:txbxContent>
                  <w:p w14:paraId="19BD8067">
                    <w:pPr>
                      <w:pStyle w:val="27"/>
                    </w:pPr>
                    <w:r>
                      <w:fldChar w:fldCharType="begin"/>
                    </w:r>
                    <w:r>
                      <w:instrText xml:space="preserve"> PAGE  \* MERGEFORMAT </w:instrText>
                    </w:r>
                    <w:r>
                      <w:fldChar w:fldCharType="separate"/>
                    </w:r>
                    <w:r>
                      <w:t>155</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4E9672">
    <w:pPr>
      <w:pStyle w:val="27"/>
      <w:spacing w:line="240" w:lineRule="exact"/>
      <w:ind w:right="360" w:firstLine="360"/>
      <w:jc w:val="center"/>
      <w:rPr>
        <w:rFonts w:hint="eastAsia" w:eastAsia="黑体"/>
        <w:sz w:val="17"/>
        <w:szCs w:val="17"/>
      </w:rPr>
    </w:pPr>
    <w:r>
      <w:rPr>
        <w:sz w:val="17"/>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9D8D01">
                          <w:pPr>
                            <w:pStyle w:val="27"/>
                          </w:pPr>
                          <w:r>
                            <w:fldChar w:fldCharType="begin"/>
                          </w:r>
                          <w:r>
                            <w:instrText xml:space="preserve"> PAGE  \* MERGEFORMAT </w:instrText>
                          </w:r>
                          <w:r>
                            <w:fldChar w:fldCharType="separate"/>
                          </w:r>
                          <w:r>
                            <w:t>97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D9D8D01">
                    <w:pPr>
                      <w:pStyle w:val="27"/>
                    </w:pPr>
                    <w:r>
                      <w:fldChar w:fldCharType="begin"/>
                    </w:r>
                    <w:r>
                      <w:instrText xml:space="preserve"> PAGE  \* MERGEFORMAT </w:instrText>
                    </w:r>
                    <w:r>
                      <w:fldChar w:fldCharType="separate"/>
                    </w:r>
                    <w:r>
                      <w:t>97</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E9212">
    <w:pPr>
      <w:pStyle w:val="27"/>
      <w:spacing w:line="240" w:lineRule="exact"/>
      <w:ind w:right="360" w:firstLine="360"/>
      <w:jc w:val="center"/>
      <w:rPr>
        <w:rFonts w:hint="eastAsia" w:eastAsia="黑体"/>
        <w:sz w:val="17"/>
        <w:szCs w:val="17"/>
      </w:rPr>
    </w:pPr>
    <w:r>
      <w:rPr>
        <w:sz w:val="17"/>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E36A48">
                          <w:pPr>
                            <w:pStyle w:val="27"/>
                          </w:pPr>
                          <w:r>
                            <w:fldChar w:fldCharType="begin"/>
                          </w:r>
                          <w:r>
                            <w:instrText xml:space="preserve"> PAGE  \* MERGEFORMAT </w:instrText>
                          </w:r>
                          <w:r>
                            <w:fldChar w:fldCharType="separate"/>
                          </w:r>
                          <w:r>
                            <w:t>196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63E36A48">
                    <w:pPr>
                      <w:pStyle w:val="27"/>
                    </w:pPr>
                    <w:r>
                      <w:fldChar w:fldCharType="begin"/>
                    </w:r>
                    <w:r>
                      <w:instrText xml:space="preserve"> PAGE  \* MERGEFORMAT </w:instrText>
                    </w:r>
                    <w:r>
                      <w:fldChar w:fldCharType="separate"/>
                    </w:r>
                    <w:r>
                      <w:t>196</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D1B78D">
    <w:pPr>
      <w:pStyle w:val="27"/>
      <w:spacing w:line="240" w:lineRule="exact"/>
      <w:ind w:right="360" w:firstLine="360"/>
      <w:jc w:val="center"/>
      <w:rPr>
        <w:rFonts w:hint="eastAsia" w:eastAsia="黑体"/>
        <w:sz w:val="17"/>
        <w:szCs w:val="17"/>
      </w:rPr>
    </w:pPr>
    <w:r>
      <w:rPr>
        <w:sz w:val="17"/>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5AC9C8">
                          <w:pPr>
                            <w:pStyle w:val="27"/>
                          </w:pPr>
                          <w:r>
                            <w:fldChar w:fldCharType="begin"/>
                          </w:r>
                          <w:r>
                            <w:instrText xml:space="preserve"> PAGE  \* MERGEFORMAT </w:instrText>
                          </w:r>
                          <w:r>
                            <w:fldChar w:fldCharType="separate"/>
                          </w:r>
                          <w:r>
                            <w:t>229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745AC9C8">
                    <w:pPr>
                      <w:pStyle w:val="27"/>
                    </w:pPr>
                    <w:r>
                      <w:fldChar w:fldCharType="begin"/>
                    </w:r>
                    <w:r>
                      <w:instrText xml:space="preserve"> PAGE  \* MERGEFORMAT </w:instrText>
                    </w:r>
                    <w:r>
                      <w:fldChar w:fldCharType="separate"/>
                    </w:r>
                    <w:r>
                      <w:t>229</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161572">
    <w:pPr>
      <w:pStyle w:val="27"/>
      <w:ind w:right="360" w:firstLine="360"/>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3267A2">
                          <w:pPr>
                            <w:pStyle w:val="27"/>
                          </w:pPr>
                          <w:r>
                            <w:fldChar w:fldCharType="begin"/>
                          </w:r>
                          <w:r>
                            <w:instrText xml:space="preserve"> PAGE  \* MERGEFORMAT </w:instrText>
                          </w:r>
                          <w:r>
                            <w:fldChar w:fldCharType="separate"/>
                          </w:r>
                          <w:r>
                            <w:t>232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14:paraId="213267A2">
                    <w:pPr>
                      <w:pStyle w:val="27"/>
                    </w:pPr>
                    <w:r>
                      <w:fldChar w:fldCharType="begin"/>
                    </w:r>
                    <w:r>
                      <w:instrText xml:space="preserve"> PAGE  \* MERGEFORMAT </w:instrText>
                    </w:r>
                    <w:r>
                      <w:fldChar w:fldCharType="separate"/>
                    </w:r>
                    <w:r>
                      <w:t>232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C90BB">
    <w:pPr>
      <w:pStyle w:val="27"/>
      <w:tabs>
        <w:tab w:val="left" w:pos="1778"/>
      </w:tabs>
      <w:ind w:right="360" w:firstLine="360"/>
      <w:jc w:val="left"/>
      <w:rPr>
        <w:rFonts w:hint="eastAsia" w:eastAsia="宋体"/>
        <w:lang w:eastAsia="zh-CN"/>
      </w:rPr>
    </w:pPr>
    <w:r>
      <w:rPr>
        <w:rFonts w:hint="eastAsia"/>
        <w:lang w:eastAsia="zh-CN"/>
      </w:rPr>
      <w:tab/>
    </w:r>
    <w:r>
      <w:rPr>
        <w:rFonts w:hint="eastAsia"/>
        <w:lang w:eastAsia="zh-CN"/>
      </w:rPr>
      <w:tab/>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675E2">
    <w:pPr>
      <w:pStyle w:val="27"/>
      <w:spacing w:line="240" w:lineRule="exact"/>
      <w:ind w:right="360" w:firstLine="360"/>
      <w:jc w:val="center"/>
      <w:rPr>
        <w:rFonts w:hint="eastAsia" w:eastAsia="黑体"/>
        <w:sz w:val="17"/>
        <w:szCs w:val="17"/>
      </w:rPr>
    </w:pPr>
    <w:r>
      <w:rPr>
        <w:sz w:val="17"/>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572D60">
                          <w:pPr>
                            <w:pStyle w:val="27"/>
                          </w:pPr>
                          <w:r>
                            <w:fldChar w:fldCharType="begin"/>
                          </w:r>
                          <w:r>
                            <w:instrText xml:space="preserve"> PAGE  \* MERGEFORMAT </w:instrText>
                          </w:r>
                          <w:r>
                            <w:fldChar w:fldCharType="separate"/>
                          </w:r>
                          <w:r>
                            <w:t>252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60572D60">
                    <w:pPr>
                      <w:pStyle w:val="27"/>
                    </w:pPr>
                    <w:r>
                      <w:fldChar w:fldCharType="begin"/>
                    </w:r>
                    <w:r>
                      <w:instrText xml:space="preserve"> PAGE  \* MERGEFORMAT </w:instrText>
                    </w:r>
                    <w:r>
                      <w:fldChar w:fldCharType="separate"/>
                    </w:r>
                    <w:r>
                      <w:t>252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7B96A">
    <w:pPr>
      <w:pStyle w:val="27"/>
      <w:spacing w:line="240" w:lineRule="exact"/>
      <w:ind w:right="360" w:firstLine="360"/>
      <w:rPr>
        <w:rFonts w:hint="eastAsia" w:eastAsia="黑体"/>
        <w:sz w:val="17"/>
        <w:szCs w:val="17"/>
      </w:rPr>
    </w:pPr>
    <w:r>
      <w:rPr>
        <w:sz w:val="17"/>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078E79">
                          <w:pPr>
                            <w:pStyle w:val="2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0D078E79">
                    <w:pPr>
                      <w:pStyle w:val="2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3FB24">
    <w:pPr>
      <w:pStyle w:val="27"/>
      <w:spacing w:line="240" w:lineRule="exact"/>
      <w:ind w:right="360" w:firstLine="360"/>
      <w:jc w:val="center"/>
      <w:rPr>
        <w:rFonts w:hint="eastAsia" w:eastAsia="黑体"/>
        <w:sz w:val="17"/>
        <w:szCs w:val="17"/>
      </w:rPr>
    </w:pPr>
    <w:r>
      <w:rPr>
        <w:sz w:val="17"/>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3C9E0E">
                          <w:pPr>
                            <w:pStyle w:val="2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F3C9E0E">
                    <w:pPr>
                      <w:pStyle w:val="2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8AA99">
    <w:pPr>
      <w:pStyle w:val="27"/>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851484">
                          <w:pPr>
                            <w:pStyle w:val="27"/>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3B851484">
                    <w:pPr>
                      <w:pStyle w:val="27"/>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E1736">
    <w:pPr>
      <w:pStyle w:val="27"/>
      <w:spacing w:line="240" w:lineRule="exact"/>
      <w:ind w:right="360" w:firstLine="360"/>
      <w:jc w:val="center"/>
      <w:rPr>
        <w:rFonts w:hint="eastAsia" w:eastAsia="黑体"/>
        <w:sz w:val="17"/>
        <w:szCs w:val="17"/>
      </w:rPr>
    </w:pPr>
    <w:r>
      <w:rPr>
        <w:sz w:val="17"/>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4F459C">
                          <w:pPr>
                            <w:pStyle w:val="2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34F459C">
                    <w:pPr>
                      <w:pStyle w:val="2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D3716B">
    <w:pPr>
      <w:pStyle w:val="27"/>
      <w:ind w:right="360"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D04D18">
                          <w:pPr>
                            <w:pStyle w:val="2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17D04D18">
                    <w:pPr>
                      <w:pStyle w:val="2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39C96B">
    <w:pPr>
      <w:pStyle w:val="27"/>
      <w:rPr>
        <w:rStyle w:val="44"/>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B1E243">
                          <w:pPr>
                            <w:pStyle w:val="27"/>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2B1E243">
                    <w:pPr>
                      <w:pStyle w:val="27"/>
                    </w:pPr>
                    <w:r>
                      <w:fldChar w:fldCharType="begin"/>
                    </w:r>
                    <w:r>
                      <w:instrText xml:space="preserve"> PAGE  \* MERGEFORMAT </w:instrText>
                    </w:r>
                    <w:r>
                      <w:fldChar w:fldCharType="separate"/>
                    </w:r>
                    <w:r>
                      <w:t>8</w:t>
                    </w:r>
                    <w:r>
                      <w:fldChar w:fldCharType="end"/>
                    </w:r>
                  </w:p>
                </w:txbxContent>
              </v:textbox>
            </v:shape>
          </w:pict>
        </mc:Fallback>
      </mc:AlternateContent>
    </w:r>
  </w:p>
  <w:p w14:paraId="0C974E7F">
    <w:pPr>
      <w:pStyle w:val="27"/>
      <w:spacing w:line="240" w:lineRule="exact"/>
      <w:ind w:right="360" w:firstLine="360"/>
      <w:jc w:val="center"/>
      <w:rPr>
        <w:rFonts w:hint="eastAsia" w:eastAsia="黑体"/>
        <w:sz w:val="17"/>
        <w:szCs w:val="17"/>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EA72B">
    <w:pPr>
      <w:pStyle w:val="27"/>
      <w:ind w:right="360" w:firstLine="36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D9538E">
                          <w:pPr>
                            <w:pStyle w:val="27"/>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2BD9538E">
                    <w:pPr>
                      <w:pStyle w:val="27"/>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14">
    <w:p>
      <w:r>
        <w:separator/>
      </w:r>
    </w:p>
  </w:footnote>
  <w:footnote w:type="continuationSeparator" w:id="115">
    <w:p>
      <w:r>
        <w:continuationSeparator/>
      </w:r>
    </w:p>
  </w:footnote>
  <w:footnote w:id="0">
    <w:p w14:paraId="4E7EA012">
      <w:pPr>
        <w:pStyle w:val="31"/>
        <w:spacing w:line="280" w:lineRule="atLeast"/>
        <w:ind w:left="180" w:hanging="180" w:hangingChars="100"/>
        <w:rPr>
          <w:rFonts w:hint="eastAsia"/>
          <w:szCs w:val="18"/>
        </w:rPr>
      </w:pPr>
      <w:r>
        <w:rPr>
          <w:rStyle w:val="48"/>
          <w:szCs w:val="18"/>
        </w:rPr>
        <w:footnoteRef/>
      </w:r>
      <w:r>
        <w:rPr>
          <w:rFonts w:hint="eastAsia"/>
          <w:szCs w:val="18"/>
        </w:rPr>
        <w:t>a.“投标人须知前附表”用于进一步明确正文中的未尽事宜，由招标人根据招标项目具体特点和实际需要编制和填写，且</w:t>
      </w:r>
      <w:r>
        <w:rPr>
          <w:szCs w:val="18"/>
        </w:rPr>
        <w:t>应</w:t>
      </w:r>
      <w:r>
        <w:rPr>
          <w:rFonts w:hint="eastAsia"/>
          <w:szCs w:val="18"/>
        </w:rPr>
        <w:t>与招标文件中其他章节相衔接，并不得与本章正文内容相抵触。</w:t>
      </w:r>
      <w:r>
        <w:rPr>
          <w:rFonts w:hint="eastAsia"/>
          <w:b/>
          <w:bCs/>
          <w:szCs w:val="18"/>
        </w:rPr>
        <w:t>如前附表与正文不一致时，以前附表的规定为准</w:t>
      </w:r>
      <w:r>
        <w:rPr>
          <w:rFonts w:hint="eastAsia"/>
          <w:szCs w:val="18"/>
        </w:rPr>
        <w:t>。</w:t>
      </w:r>
    </w:p>
    <w:p w14:paraId="49BB5295">
      <w:pPr>
        <w:pStyle w:val="31"/>
        <w:spacing w:line="280" w:lineRule="atLeast"/>
        <w:ind w:left="0" w:leftChars="0" w:firstLine="180" w:firstLineChars="100"/>
        <w:rPr>
          <w:rFonts w:hint="eastAsia"/>
          <w:szCs w:val="18"/>
        </w:rPr>
      </w:pPr>
      <w:r>
        <w:rPr>
          <w:rFonts w:hint="eastAsia"/>
          <w:szCs w:val="18"/>
        </w:rPr>
        <w:t>b.</w:t>
      </w:r>
      <w:r>
        <w:rPr>
          <w:rFonts w:hint="eastAsia" w:ascii="宋体" w:hAnsi="宋体" w:cs="宋体-18030"/>
          <w:szCs w:val="18"/>
        </w:rPr>
        <w:t>“投标人须知前附表”中的附录表格同属“投标人须知前附表”内容，具有同等效力。</w:t>
      </w:r>
    </w:p>
  </w:footnote>
  <w:footnote w:id="1">
    <w:p w14:paraId="19C8DCE5">
      <w:pPr>
        <w:pStyle w:val="31"/>
        <w:spacing w:line="280" w:lineRule="atLeast"/>
        <w:ind w:left="180" w:hanging="180" w:hangingChars="100"/>
        <w:rPr>
          <w:szCs w:val="18"/>
        </w:rPr>
      </w:pPr>
      <w:r>
        <w:rPr>
          <w:rStyle w:val="48"/>
          <w:szCs w:val="18"/>
        </w:rPr>
        <w:footnoteRef/>
      </w:r>
      <w:r>
        <w:rPr>
          <w:rFonts w:hint="eastAsia"/>
          <w:szCs w:val="18"/>
        </w:rPr>
        <w:t>招标人应根据招标项目具体特点和实际需要，对工程</w:t>
      </w:r>
      <w:r>
        <w:rPr>
          <w:rFonts w:hint="eastAsia"/>
          <w:szCs w:val="18"/>
          <w:lang w:eastAsia="zh-CN"/>
        </w:rPr>
        <w:t>施工</w:t>
      </w:r>
      <w:r>
        <w:rPr>
          <w:rFonts w:hint="eastAsia"/>
          <w:szCs w:val="18"/>
        </w:rPr>
        <w:t>过程中的</w:t>
      </w:r>
      <w:r>
        <w:rPr>
          <w:szCs w:val="18"/>
        </w:rPr>
        <w:t>人员</w:t>
      </w:r>
      <w:r>
        <w:rPr>
          <w:rFonts w:hint="eastAsia"/>
          <w:szCs w:val="18"/>
          <w:lang w:eastAsia="zh-CN"/>
        </w:rPr>
        <w:t>、</w:t>
      </w:r>
      <w:r>
        <w:rPr>
          <w:rFonts w:hint="eastAsia"/>
          <w:szCs w:val="18"/>
          <w:lang w:val="en-US" w:eastAsia="zh-CN"/>
        </w:rPr>
        <w:t>工程等</w:t>
      </w:r>
      <w:r>
        <w:rPr>
          <w:rFonts w:hint="eastAsia"/>
          <w:szCs w:val="18"/>
        </w:rPr>
        <w:t>安全提出目标要求。</w:t>
      </w:r>
    </w:p>
  </w:footnote>
  <w:footnote w:id="2">
    <w:p w14:paraId="528E6346">
      <w:pPr>
        <w:pStyle w:val="31"/>
        <w:spacing w:line="280" w:lineRule="atLeast"/>
        <w:ind w:left="180" w:hanging="180" w:hangingChars="100"/>
        <w:rPr>
          <w:rFonts w:hint="eastAsia"/>
          <w:szCs w:val="18"/>
        </w:rPr>
      </w:pPr>
      <w:r>
        <w:rPr>
          <w:rStyle w:val="48"/>
          <w:szCs w:val="18"/>
        </w:rPr>
        <w:footnoteRef/>
      </w:r>
      <w:r>
        <w:rPr>
          <w:rFonts w:hint="eastAsia"/>
          <w:szCs w:val="18"/>
        </w:rPr>
        <w:t>对于特别复杂的特大桥梁和特长隧道项目主体工程以及其他有特殊要求的工程，招标人还</w:t>
      </w:r>
      <w:r>
        <w:rPr>
          <w:rFonts w:hint="eastAsia"/>
          <w:szCs w:val="18"/>
          <w:lang w:eastAsia="zh-CN"/>
        </w:rPr>
        <w:t>可</w:t>
      </w:r>
      <w:r>
        <w:rPr>
          <w:rFonts w:hint="eastAsia"/>
          <w:szCs w:val="18"/>
        </w:rPr>
        <w:t>增加附录6、附录7对投标人的其他管理和技术人员</w:t>
      </w:r>
      <w:r>
        <w:rPr>
          <w:rFonts w:hint="eastAsia"/>
          <w:lang w:eastAsia="zh-CN"/>
        </w:rPr>
        <w:t>（例如</w:t>
      </w:r>
      <w:r>
        <w:rPr>
          <w:lang w:eastAsia="zh-CN"/>
        </w:rPr>
        <w:t>项目副经理、专业工程师等</w:t>
      </w:r>
      <w:r>
        <w:rPr>
          <w:rFonts w:hint="eastAsia"/>
          <w:lang w:eastAsia="zh-CN"/>
        </w:rPr>
        <w:t>）</w:t>
      </w:r>
      <w:r>
        <w:rPr>
          <w:rFonts w:hint="eastAsia"/>
          <w:szCs w:val="18"/>
        </w:rPr>
        <w:t>以及主要机械设备和试验检测设备提出要求。</w:t>
      </w:r>
    </w:p>
  </w:footnote>
  <w:footnote w:id="3">
    <w:p w14:paraId="2E0AB82E">
      <w:pPr>
        <w:pStyle w:val="31"/>
        <w:spacing w:line="320" w:lineRule="atLeast"/>
        <w:ind w:left="180" w:hanging="210" w:hangingChars="100"/>
        <w:rPr>
          <w:rFonts w:hint="eastAsia"/>
          <w:szCs w:val="18"/>
        </w:rPr>
      </w:pPr>
      <w:r>
        <w:rPr>
          <w:rStyle w:val="48"/>
          <w:kern w:val="2"/>
          <w:sz w:val="21"/>
          <w:szCs w:val="18"/>
        </w:rPr>
        <w:footnoteRef/>
      </w:r>
      <w:r>
        <w:rPr>
          <w:rFonts w:hint="eastAsia"/>
          <w:szCs w:val="18"/>
        </w:rPr>
        <w:t>存在多个同一类型专业工程和同等资格条件要求标段的，应当采用随机分配投标标段方式。</w:t>
      </w:r>
    </w:p>
  </w:footnote>
  <w:footnote w:id="4">
    <w:p w14:paraId="38012840">
      <w:pPr>
        <w:pStyle w:val="31"/>
        <w:spacing w:line="320" w:lineRule="atLeast"/>
        <w:ind w:left="180" w:hanging="180" w:hangingChars="100"/>
        <w:rPr>
          <w:rFonts w:hint="eastAsia"/>
          <w:szCs w:val="18"/>
        </w:rPr>
      </w:pPr>
      <w:r>
        <w:rPr>
          <w:rStyle w:val="48"/>
          <w:szCs w:val="18"/>
        </w:rPr>
        <w:footnoteRef/>
      </w:r>
      <w:r>
        <w:rPr>
          <w:rFonts w:hint="eastAsia"/>
          <w:szCs w:val="18"/>
        </w:rPr>
        <w:t>评标委员会应由招标人代表和有关方面的专家组成，人数为</w:t>
      </w:r>
      <w:r>
        <w:rPr>
          <w:rFonts w:hint="eastAsia"/>
          <w:szCs w:val="18"/>
          <w:lang w:eastAsia="zh-CN"/>
        </w:rPr>
        <w:t>5</w:t>
      </w:r>
      <w:r>
        <w:rPr>
          <w:rFonts w:hint="eastAsia"/>
          <w:szCs w:val="18"/>
        </w:rPr>
        <w:t>人以上单数，其中技术、经济专家人数应不少于成员总数的三分之二。</w:t>
      </w:r>
    </w:p>
  </w:footnote>
  <w:footnote w:id="5">
    <w:p w14:paraId="03848B5D">
      <w:pPr>
        <w:pStyle w:val="31"/>
        <w:snapToGrid/>
        <w:spacing w:line="320" w:lineRule="atLeast"/>
        <w:ind w:left="180" w:hanging="180" w:hangingChars="100"/>
        <w:rPr>
          <w:rFonts w:hint="eastAsia" w:eastAsia="宋体"/>
          <w:szCs w:val="18"/>
          <w:lang w:val="en-US" w:eastAsia="zh-CN"/>
        </w:rPr>
      </w:pPr>
      <w:r>
        <w:rPr>
          <w:rStyle w:val="48"/>
          <w:rFonts w:hint="eastAsia"/>
          <w:szCs w:val="18"/>
        </w:rPr>
        <w:footnoteRef/>
      </w:r>
      <w:r>
        <w:rPr>
          <w:rFonts w:hint="eastAsia"/>
          <w:szCs w:val="18"/>
          <w:lang w:val="en-US" w:eastAsia="zh-CN"/>
        </w:rPr>
        <w:t>根据《国务院办公厅关于创新完善体制机制推动招标投标市场规范健康发展的意见》（国办发〔2024〕21号）规定，招标人应结合项目特点和需求，明确定标规则。</w:t>
      </w:r>
    </w:p>
  </w:footnote>
  <w:footnote w:id="6">
    <w:p w14:paraId="712DCEAE">
      <w:pPr>
        <w:pStyle w:val="31"/>
        <w:spacing w:line="320" w:lineRule="atLeast"/>
        <w:ind w:left="180" w:right="-229" w:rightChars="-109" w:hanging="180" w:hangingChars="100"/>
        <w:rPr>
          <w:szCs w:val="18"/>
        </w:rPr>
      </w:pPr>
      <w:r>
        <w:rPr>
          <w:rStyle w:val="48"/>
          <w:szCs w:val="18"/>
        </w:rPr>
        <w:footnoteRef/>
      </w:r>
      <w:r>
        <w:rPr>
          <w:rFonts w:hint="eastAsia"/>
        </w:rPr>
        <w:t xml:space="preserve"> 招标人不得强制限定履约保证金必须采用现金或支票方式缴纳，</w:t>
      </w:r>
      <w:r>
        <w:t>不得拒绝银行保函形式的</w:t>
      </w:r>
      <w:r>
        <w:rPr>
          <w:rFonts w:hint="eastAsia"/>
        </w:rPr>
        <w:t>履约保证金。</w:t>
      </w:r>
    </w:p>
  </w:footnote>
  <w:footnote w:id="7">
    <w:p w14:paraId="374AFED8">
      <w:pPr>
        <w:pStyle w:val="31"/>
        <w:spacing w:line="320" w:lineRule="atLeast"/>
        <w:ind w:left="180" w:right="-229" w:rightChars="-109" w:hanging="210" w:hangingChars="100"/>
        <w:rPr>
          <w:szCs w:val="18"/>
        </w:rPr>
      </w:pPr>
      <w:r>
        <w:rPr>
          <w:rStyle w:val="48"/>
          <w:kern w:val="2"/>
          <w:sz w:val="21"/>
          <w:szCs w:val="18"/>
        </w:rPr>
        <w:footnoteRef/>
      </w:r>
      <w:r>
        <w:rPr>
          <w:rFonts w:hint="eastAsia"/>
        </w:rPr>
        <w:t xml:space="preserve"> 招标人应当按照国家有关规定，在招标文件中明确履约保证金收取比例，对于</w:t>
      </w:r>
      <w:r>
        <w:rPr>
          <w:rFonts w:hint="eastAsia"/>
          <w:lang w:eastAsia="zh-CN"/>
        </w:rPr>
        <w:t>最近年度</w:t>
      </w:r>
      <w:r>
        <w:rPr>
          <w:rFonts w:hint="eastAsia"/>
        </w:rPr>
        <w:t>信用等级为AA的中标人，可给予减少履约保证金。</w:t>
      </w:r>
    </w:p>
  </w:footnote>
  <w:footnote w:id="8">
    <w:p w14:paraId="31F71302">
      <w:pPr>
        <w:pStyle w:val="31"/>
        <w:snapToGrid w:val="0"/>
        <w:rPr>
          <w:rFonts w:hint="eastAsia" w:eastAsia="宋体"/>
          <w:lang w:eastAsia="zh-CN"/>
        </w:rPr>
      </w:pPr>
      <w:r>
        <w:rPr>
          <w:rStyle w:val="48"/>
        </w:rPr>
        <w:footnoteRef/>
      </w:r>
      <w:r>
        <w:rPr>
          <w:rFonts w:hint="eastAsia"/>
          <w:lang w:val="en-US" w:eastAsia="zh-CN"/>
        </w:rPr>
        <w:t>仅适用于采用</w:t>
      </w:r>
      <w:r>
        <w:rPr>
          <w:rFonts w:hint="eastAsia"/>
        </w:rPr>
        <w:t>技术评分最低标价法、技术评分合理低价法和综合评分法</w:t>
      </w:r>
      <w:r>
        <w:rPr>
          <w:rFonts w:hint="eastAsia"/>
          <w:lang w:val="en-US" w:eastAsia="zh-CN"/>
        </w:rPr>
        <w:t>的项目</w:t>
      </w:r>
      <w:r>
        <w:rPr>
          <w:rFonts w:hint="eastAsia"/>
          <w:lang w:eastAsia="zh-CN"/>
        </w:rPr>
        <w:t>。</w:t>
      </w:r>
    </w:p>
  </w:footnote>
  <w:footnote w:id="9">
    <w:p w14:paraId="4E2204A8">
      <w:pPr>
        <w:pStyle w:val="2"/>
        <w:keepNext w:val="0"/>
        <w:keepLines w:val="0"/>
        <w:widowControl/>
        <w:pBdr>
          <w:top w:val="none" w:color="auto" w:sz="0" w:space="0"/>
          <w:left w:val="none" w:color="auto" w:sz="0" w:space="0"/>
          <w:bottom w:val="none" w:color="auto" w:sz="0" w:space="0"/>
          <w:right w:val="none" w:color="auto" w:sz="0" w:space="0"/>
        </w:pBdr>
        <w:shd w:val="clear" w:fill="FFFFFF"/>
        <w:adjustRightInd w:val="0"/>
        <w:snapToGrid w:val="0"/>
        <w:spacing w:before="141" w:after="141" w:line="7" w:lineRule="atLeast"/>
        <w:ind w:left="0" w:hanging="168" w:hangingChars="80"/>
        <w:jc w:val="left"/>
        <w:textAlignment w:val="baseline"/>
        <w:rPr>
          <w:rFonts w:hint="eastAsia" w:ascii="Times New Roman" w:hAnsi="Times New Roman" w:eastAsia="宋体" w:cs="Times New Roman"/>
          <w:kern w:val="0"/>
          <w:sz w:val="18"/>
          <w:szCs w:val="20"/>
          <w:lang w:val="en-US" w:eastAsia="zh-CN" w:bidi="ar-SA"/>
        </w:rPr>
      </w:pPr>
      <w:r>
        <w:rPr>
          <w:rFonts w:ascii="Times New Roman" w:hAnsi="Times New Roman" w:eastAsia="宋体" w:cs="Times New Roman"/>
          <w:kern w:val="2"/>
          <w:sz w:val="21"/>
          <w:szCs w:val="24"/>
          <w:vertAlign w:val="superscript"/>
          <w:lang w:val="en-US" w:eastAsia="zh-CN" w:bidi="ar-SA"/>
        </w:rPr>
        <w:footnoteRef/>
      </w:r>
      <w:r>
        <w:rPr>
          <w:rFonts w:hint="eastAsia" w:ascii="Times New Roman" w:hAnsi="Times New Roman" w:eastAsia="宋体" w:cs="Times New Roman"/>
          <w:bCs w:val="0"/>
          <w:kern w:val="0"/>
          <w:sz w:val="18"/>
          <w:szCs w:val="20"/>
          <w:lang w:val="en-US" w:eastAsia="zh-CN" w:bidi="ar-SA"/>
        </w:rPr>
        <w:t>以工</w:t>
      </w:r>
      <w:r>
        <w:rPr>
          <w:rFonts w:hint="eastAsia" w:ascii="Times New Roman" w:hAnsi="Times New Roman" w:eastAsia="宋体" w:cs="Times New Roman"/>
          <w:kern w:val="0"/>
          <w:sz w:val="18"/>
          <w:szCs w:val="20"/>
          <w:lang w:val="en-US" w:eastAsia="zh-CN" w:bidi="ar-SA"/>
        </w:rPr>
        <w:t>代赈相关要求应符合《</w:t>
      </w:r>
      <w:r>
        <w:rPr>
          <w:rFonts w:hint="eastAsia" w:ascii="Times New Roman" w:hAnsi="Times New Roman" w:eastAsia="宋体" w:cs="Times New Roman"/>
          <w:b w:val="0"/>
          <w:bCs w:val="0"/>
          <w:i w:val="0"/>
          <w:iCs w:val="0"/>
          <w:caps w:val="0"/>
          <w:color w:val="2D66A5"/>
          <w:spacing w:val="0"/>
          <w:kern w:val="0"/>
          <w:sz w:val="18"/>
          <w:szCs w:val="20"/>
          <w:shd w:val="clear" w:fill="FFFFFF"/>
        </w:rPr>
        <w:t>交通运输部办公厅关于做好交通运输基础设施建设和管护领域推广以工代赈工作的通知</w:t>
      </w:r>
      <w:r>
        <w:rPr>
          <w:rFonts w:hint="eastAsia" w:ascii="Times New Roman" w:hAnsi="Times New Roman" w:eastAsia="宋体" w:cs="Times New Roman"/>
          <w:kern w:val="0"/>
          <w:sz w:val="18"/>
          <w:szCs w:val="20"/>
          <w:lang w:val="en-US" w:eastAsia="zh-CN" w:bidi="ar-SA"/>
        </w:rPr>
        <w:t>》</w:t>
      </w:r>
      <w:r>
        <w:rPr>
          <w:rFonts w:hint="eastAsia" w:eastAsia="宋体" w:cs="Times New Roman"/>
          <w:bCs w:val="0"/>
          <w:kern w:val="0"/>
          <w:sz w:val="18"/>
          <w:szCs w:val="20"/>
          <w:lang w:val="en-US" w:eastAsia="zh-CN" w:bidi="ar-SA"/>
        </w:rPr>
        <w:t>（交办公路〔2022〕35号）规定</w:t>
      </w:r>
      <w:r>
        <w:rPr>
          <w:rFonts w:hint="eastAsia" w:ascii="Times New Roman" w:hAnsi="Times New Roman" w:eastAsia="宋体" w:cs="Times New Roman"/>
          <w:kern w:val="0"/>
          <w:sz w:val="18"/>
          <w:szCs w:val="20"/>
          <w:lang w:val="en-US" w:eastAsia="zh-CN" w:bidi="ar-SA"/>
        </w:rPr>
        <w:t>。</w:t>
      </w:r>
    </w:p>
  </w:footnote>
  <w:footnote w:id="10">
    <w:p w14:paraId="470B11AB">
      <w:pPr>
        <w:pStyle w:val="31"/>
        <w:ind w:left="210" w:hanging="210"/>
        <w:rPr>
          <w:rFonts w:hint="eastAsia"/>
          <w:szCs w:val="18"/>
        </w:rPr>
      </w:pPr>
      <w:r>
        <w:rPr>
          <w:rStyle w:val="48"/>
          <w:szCs w:val="18"/>
        </w:rPr>
        <w:footnoteRef/>
      </w:r>
      <w:r>
        <w:rPr>
          <w:rFonts w:hint="eastAsia"/>
          <w:szCs w:val="18"/>
        </w:rPr>
        <w:t>具体资质要求由招标人在满足国家相关法律法规前提下，根据招标项目具体特点和实际情况确定。</w:t>
      </w:r>
    </w:p>
  </w:footnote>
  <w:footnote w:id="11">
    <w:p w14:paraId="16DFA409">
      <w:pPr>
        <w:pStyle w:val="31"/>
        <w:snapToGrid w:val="0"/>
        <w:ind w:firstLine="0"/>
      </w:pPr>
      <w:r>
        <w:rPr>
          <w:rStyle w:val="48"/>
          <w:kern w:val="2"/>
          <w:sz w:val="21"/>
          <w:szCs w:val="24"/>
        </w:rPr>
        <w:footnoteRef/>
      </w:r>
      <w:r>
        <w:rPr>
          <w:rFonts w:hint="eastAsia"/>
          <w:lang w:val="en-US" w:eastAsia="zh-CN"/>
        </w:rPr>
        <w:t>企业资质等级</w:t>
      </w:r>
      <w:r>
        <w:rPr>
          <w:rFonts w:hint="eastAsia"/>
        </w:rPr>
        <w:t>应当严格按照从业资质管理相关规定，提出与招标项目相适应的资质最低条件，不得提高资质等级要求。</w:t>
      </w:r>
    </w:p>
  </w:footnote>
  <w:footnote w:id="12">
    <w:p w14:paraId="22A50FA7">
      <w:pPr>
        <w:pStyle w:val="31"/>
        <w:spacing w:line="240" w:lineRule="auto"/>
        <w:ind w:left="180" w:hanging="180" w:hangingChars="100"/>
        <w:rPr>
          <w:rFonts w:hint="eastAsia"/>
          <w:szCs w:val="18"/>
        </w:rPr>
      </w:pPr>
      <w:r>
        <w:rPr>
          <w:rStyle w:val="48"/>
          <w:szCs w:val="18"/>
        </w:rPr>
        <w:footnoteRef/>
      </w:r>
      <w:r>
        <w:rPr>
          <w:rFonts w:hint="eastAsia"/>
          <w:szCs w:val="18"/>
        </w:rPr>
        <w:t>具体财务要求由招标人在满足国家相关法律法规前提下，根据招标项目具体特点和实际情况确定。</w:t>
      </w:r>
    </w:p>
  </w:footnote>
  <w:footnote w:id="13">
    <w:p w14:paraId="44B7512A">
      <w:pPr>
        <w:pStyle w:val="31"/>
        <w:spacing w:line="300" w:lineRule="atLeast"/>
        <w:ind w:left="180" w:hanging="180" w:hangingChars="100"/>
        <w:rPr>
          <w:rFonts w:hint="eastAsia"/>
          <w:szCs w:val="18"/>
        </w:rPr>
      </w:pPr>
      <w:r>
        <w:rPr>
          <w:rStyle w:val="48"/>
          <w:szCs w:val="18"/>
        </w:rPr>
        <w:footnoteRef/>
      </w:r>
      <w:r>
        <w:rPr>
          <w:rFonts w:hint="eastAsia"/>
          <w:szCs w:val="18"/>
        </w:rPr>
        <w:t>具体业绩要求由招标人在满足国家相关法律法规前提下，根据招标项目具体特点和实际情况确定，但不得设置过高的业绩资格条件。</w:t>
      </w:r>
    </w:p>
  </w:footnote>
  <w:footnote w:id="14">
    <w:p w14:paraId="65FA4A97">
      <w:pPr>
        <w:pStyle w:val="31"/>
        <w:snapToGrid w:val="0"/>
        <w:ind w:firstLine="0"/>
        <w:rPr>
          <w:rFonts w:hint="default"/>
          <w:highlight w:val="yellow"/>
          <w:lang w:val="en-US" w:eastAsia="zh-CN"/>
        </w:rPr>
      </w:pPr>
      <w:r>
        <w:rPr>
          <w:rStyle w:val="48"/>
          <w:kern w:val="2"/>
          <w:sz w:val="21"/>
          <w:szCs w:val="24"/>
        </w:rPr>
        <w:footnoteRef/>
      </w:r>
      <w:r>
        <w:rPr>
          <w:rFonts w:hint="eastAsia"/>
          <w:lang w:val="en-US" w:eastAsia="zh-CN"/>
        </w:rPr>
        <w:t>业绩量化指标不得超过项目标的规模。</w:t>
      </w:r>
    </w:p>
  </w:footnote>
  <w:footnote w:id="15">
    <w:p w14:paraId="5D7E8F18">
      <w:pPr>
        <w:pStyle w:val="31"/>
        <w:ind w:left="210" w:hanging="210"/>
        <w:rPr>
          <w:rFonts w:hint="eastAsia"/>
          <w:szCs w:val="18"/>
        </w:rPr>
      </w:pPr>
      <w:r>
        <w:rPr>
          <w:rStyle w:val="48"/>
          <w:szCs w:val="18"/>
        </w:rPr>
        <w:footnoteRef/>
      </w:r>
      <w:r>
        <w:rPr>
          <w:rFonts w:hint="eastAsia"/>
        </w:rPr>
        <w:t>具体信誉要求由招标人在满足国家相关法律法规前提下，根据招标项目具体特点和实际情况确定</w:t>
      </w:r>
      <w:r>
        <w:rPr>
          <w:lang w:eastAsia="zh-CN"/>
        </w:rPr>
        <w:t>。</w:t>
      </w:r>
    </w:p>
  </w:footnote>
  <w:footnote w:id="16">
    <w:p w14:paraId="123FEA7C">
      <w:pPr>
        <w:pStyle w:val="31"/>
        <w:spacing w:line="360" w:lineRule="atLeast"/>
        <w:ind w:left="180" w:hanging="180" w:hangingChars="100"/>
        <w:rPr>
          <w:rFonts w:hint="eastAsia"/>
          <w:szCs w:val="18"/>
        </w:rPr>
      </w:pPr>
      <w:r>
        <w:rPr>
          <w:rStyle w:val="48"/>
          <w:szCs w:val="18"/>
        </w:rPr>
        <w:footnoteRef/>
      </w:r>
      <w:r>
        <w:rPr>
          <w:rFonts w:hint="eastAsia"/>
          <w:szCs w:val="18"/>
        </w:rPr>
        <w:t>对项目经理和项目总工的具体资格要求由招标人在满足国家相关法律法规前提下，根据招标项目具体特点和实际情况确定，但不得设置过高的资格条件。</w:t>
      </w:r>
    </w:p>
  </w:footnote>
  <w:footnote w:id="17">
    <w:p w14:paraId="504F231F">
      <w:pPr>
        <w:pStyle w:val="31"/>
        <w:snapToGrid w:val="0"/>
        <w:ind w:firstLine="0"/>
      </w:pPr>
      <w:r>
        <w:rPr>
          <w:rStyle w:val="48"/>
        </w:rPr>
        <w:footnoteRef/>
      </w:r>
      <w:r>
        <w:rPr>
          <w:rFonts w:hint="eastAsia"/>
        </w:rPr>
        <w:t>项目经理应当具有注册建造师证书，其专业和等级按照相关规定根据项目实际设置，招标人不得再另行设置相应等级技术职称要求</w:t>
      </w:r>
      <w:r>
        <w:rPr>
          <w:rFonts w:hint="eastAsia"/>
          <w:lang w:eastAsia="zh-CN"/>
        </w:rPr>
        <w:t>；</w:t>
      </w:r>
      <w:r>
        <w:rPr>
          <w:rFonts w:hint="eastAsia"/>
        </w:rPr>
        <w:t>项目经理应当具有相应安全生产考核合格证书。项目总工程师一般应当设置技术职称要求。主要人员业绩量化指标不得超过项目标的规模。</w:t>
      </w:r>
    </w:p>
  </w:footnote>
  <w:footnote w:id="18">
    <w:p w14:paraId="2DE2915F">
      <w:pPr>
        <w:pStyle w:val="31"/>
        <w:spacing w:line="300" w:lineRule="atLeast"/>
        <w:ind w:left="180" w:hanging="180" w:hangingChars="100"/>
        <w:jc w:val="both"/>
        <w:rPr>
          <w:rFonts w:hint="eastAsia" w:ascii="宋体" w:hAnsi="宋体"/>
          <w:szCs w:val="18"/>
        </w:rPr>
      </w:pPr>
      <w:r>
        <w:rPr>
          <w:rStyle w:val="48"/>
          <w:rFonts w:ascii="宋体" w:hAnsi="宋体"/>
          <w:szCs w:val="18"/>
        </w:rPr>
        <w:footnoteRef/>
      </w:r>
      <w:r>
        <w:rPr>
          <w:rFonts w:hint="eastAsia" w:ascii="宋体" w:hAnsi="宋体"/>
          <w:szCs w:val="18"/>
        </w:rPr>
        <w:t>本表</w:t>
      </w:r>
      <w:r>
        <w:rPr>
          <w:rFonts w:hint="eastAsia"/>
          <w:szCs w:val="18"/>
        </w:rPr>
        <w:t>仅适用于技术特别复杂的特大桥梁和特长隧道等项目主体工程以及其他有特殊要求的工程。对其他管理和技术人员</w:t>
      </w:r>
      <w:r>
        <w:rPr>
          <w:rFonts w:hint="eastAsia"/>
          <w:lang w:eastAsia="zh-CN"/>
        </w:rPr>
        <w:t>（例如</w:t>
      </w:r>
      <w:r>
        <w:rPr>
          <w:lang w:eastAsia="zh-CN"/>
        </w:rPr>
        <w:t>项目副经理、专业工程师等</w:t>
      </w:r>
      <w:r>
        <w:rPr>
          <w:rFonts w:hint="eastAsia"/>
          <w:lang w:eastAsia="zh-CN"/>
        </w:rPr>
        <w:t>）</w:t>
      </w:r>
      <w:r>
        <w:rPr>
          <w:rFonts w:hint="eastAsia"/>
          <w:szCs w:val="18"/>
        </w:rPr>
        <w:t>的最低要求</w:t>
      </w:r>
      <w:r>
        <w:rPr>
          <w:rFonts w:hint="eastAsia"/>
          <w:szCs w:val="18"/>
          <w:lang w:eastAsia="zh-CN"/>
        </w:rPr>
        <w:t>，</w:t>
      </w:r>
      <w:r>
        <w:rPr>
          <w:rFonts w:hint="eastAsia"/>
          <w:szCs w:val="18"/>
        </w:rPr>
        <w:t>由招标人在满足国家相关法律法规前提下，根据招标项目具体特点和实际情况确定，但不得设置过高的资格条件。</w:t>
      </w:r>
    </w:p>
  </w:footnote>
  <w:footnote w:id="19">
    <w:p w14:paraId="06907887">
      <w:pPr>
        <w:pStyle w:val="31"/>
        <w:spacing w:line="300" w:lineRule="atLeast"/>
        <w:ind w:left="180" w:hanging="180" w:hangingChars="100"/>
        <w:jc w:val="both"/>
        <w:rPr>
          <w:rFonts w:hint="eastAsia" w:ascii="宋体" w:hAnsi="宋体"/>
          <w:szCs w:val="18"/>
        </w:rPr>
      </w:pPr>
      <w:r>
        <w:rPr>
          <w:rStyle w:val="48"/>
          <w:rFonts w:ascii="宋体" w:hAnsi="宋体"/>
          <w:szCs w:val="18"/>
        </w:rPr>
        <w:footnoteRef/>
      </w:r>
      <w:r>
        <w:rPr>
          <w:rFonts w:hint="eastAsia" w:ascii="宋体" w:hAnsi="宋体"/>
          <w:szCs w:val="18"/>
        </w:rPr>
        <w:t>本表</w:t>
      </w:r>
      <w:r>
        <w:rPr>
          <w:rFonts w:hint="eastAsia"/>
          <w:szCs w:val="18"/>
        </w:rPr>
        <w:t>仅适用于技术特别复杂的特大桥梁和特长隧道等项目主体工程以及其他有特殊要求的工程。对主要机械设备和试验检测设备的最低要求</w:t>
      </w:r>
      <w:r>
        <w:rPr>
          <w:rFonts w:hint="eastAsia"/>
          <w:szCs w:val="18"/>
          <w:lang w:eastAsia="zh-CN"/>
        </w:rPr>
        <w:t>，</w:t>
      </w:r>
      <w:r>
        <w:rPr>
          <w:rFonts w:hint="eastAsia"/>
          <w:szCs w:val="18"/>
        </w:rPr>
        <w:t>由招标人在满足国家相关法律法规前提下，根据招标项目具体特点和实际情况确定。</w:t>
      </w:r>
    </w:p>
  </w:footnote>
  <w:footnote w:id="20">
    <w:p w14:paraId="3BC179B9">
      <w:pPr>
        <w:spacing w:line="320" w:lineRule="atLeast"/>
        <w:ind w:left="180" w:hanging="180" w:hangingChars="100"/>
        <w:rPr>
          <w:rFonts w:ascii="Times New Roman" w:hAnsi="Times New Roman" w:eastAsia="宋体" w:cs="Times New Roman"/>
          <w:szCs w:val="18"/>
        </w:rPr>
      </w:pPr>
      <w:r>
        <w:rPr>
          <w:rStyle w:val="48"/>
          <w:rFonts w:ascii="Times New Roman" w:hAnsi="Times New Roman" w:eastAsia="宋体" w:cs="Times New Roman"/>
          <w:bCs/>
          <w:kern w:val="0"/>
          <w:sz w:val="18"/>
          <w:szCs w:val="20"/>
        </w:rPr>
        <w:footnoteRef/>
      </w:r>
      <w:r>
        <w:rPr>
          <w:rFonts w:hint="eastAsia" w:ascii="Times New Roman" w:hAnsi="Times New Roman" w:eastAsia="宋体" w:cs="Times New Roman"/>
          <w:kern w:val="0"/>
          <w:sz w:val="18"/>
          <w:szCs w:val="18"/>
        </w:rPr>
        <w:t>本</w:t>
      </w:r>
      <w:r>
        <w:rPr>
          <w:rFonts w:hint="eastAsia" w:cs="Times New Roman"/>
          <w:kern w:val="0"/>
          <w:sz w:val="18"/>
          <w:szCs w:val="18"/>
          <w:lang w:val="en-US" w:eastAsia="zh-CN"/>
        </w:rPr>
        <w:t>项</w:t>
      </w:r>
      <w:r>
        <w:rPr>
          <w:rFonts w:hint="eastAsia" w:ascii="Times New Roman" w:hAnsi="Times New Roman" w:eastAsia="宋体" w:cs="Times New Roman"/>
          <w:kern w:val="0"/>
          <w:sz w:val="18"/>
          <w:szCs w:val="18"/>
        </w:rPr>
        <w:t>规定仅适用于根据《关于发布公路工程从业企业资质名录的通知》（厅公路字〔</w:t>
      </w:r>
      <w:r>
        <w:rPr>
          <w:rFonts w:ascii="Times New Roman" w:hAnsi="Times New Roman" w:eastAsia="宋体" w:cs="Times New Roman"/>
          <w:kern w:val="0"/>
          <w:sz w:val="18"/>
          <w:szCs w:val="18"/>
        </w:rPr>
        <w:t>2011</w:t>
      </w:r>
      <w:r>
        <w:rPr>
          <w:rFonts w:hint="eastAsia" w:ascii="Times New Roman" w:hAnsi="Times New Roman" w:eastAsia="宋体" w:cs="Times New Roman"/>
          <w:kern w:val="0"/>
          <w:sz w:val="18"/>
          <w:szCs w:val="18"/>
        </w:rPr>
        <w:t>〕</w:t>
      </w:r>
      <w:r>
        <w:rPr>
          <w:rFonts w:ascii="Times New Roman" w:hAnsi="Times New Roman" w:eastAsia="宋体" w:cs="Times New Roman"/>
          <w:kern w:val="0"/>
          <w:sz w:val="18"/>
          <w:szCs w:val="18"/>
        </w:rPr>
        <w:t>114</w:t>
      </w:r>
      <w:r>
        <w:rPr>
          <w:rFonts w:hint="eastAsia" w:ascii="Times New Roman" w:hAnsi="Times New Roman" w:eastAsia="宋体" w:cs="Times New Roman"/>
          <w:kern w:val="0"/>
          <w:sz w:val="18"/>
          <w:szCs w:val="18"/>
        </w:rPr>
        <w:t>号）要求，招标人应通过名录对投标人资质条件进行审核的公路施工企业；如前款文件中规定的资质已由省级相关部门负责审核、审批，则不做要求。</w:t>
      </w:r>
    </w:p>
  </w:footnote>
  <w:footnote w:id="21">
    <w:p w14:paraId="3B8EAA4D">
      <w:pPr>
        <w:spacing w:line="320" w:lineRule="atLeast"/>
        <w:ind w:left="180" w:hanging="180" w:hangingChars="100"/>
        <w:rPr>
          <w:rFonts w:ascii="Times New Roman" w:hAnsi="Times New Roman" w:eastAsia="宋体" w:cs="Times New Roman"/>
          <w:szCs w:val="18"/>
        </w:rPr>
      </w:pPr>
      <w:r>
        <w:rPr>
          <w:rStyle w:val="48"/>
          <w:rFonts w:ascii="Times New Roman" w:hAnsi="Times New Roman" w:eastAsia="宋体" w:cs="Times New Roman"/>
          <w:bCs/>
          <w:kern w:val="0"/>
          <w:sz w:val="18"/>
          <w:szCs w:val="20"/>
        </w:rPr>
        <w:footnoteRef/>
      </w:r>
      <w:r>
        <w:rPr>
          <w:rFonts w:hint="eastAsia" w:ascii="Times New Roman" w:hAnsi="Times New Roman" w:eastAsia="宋体" w:cs="Times New Roman"/>
          <w:kern w:val="0"/>
          <w:sz w:val="18"/>
          <w:szCs w:val="18"/>
        </w:rPr>
        <w:t>本</w:t>
      </w:r>
      <w:r>
        <w:rPr>
          <w:rFonts w:hint="eastAsia" w:cs="Times New Roman"/>
          <w:kern w:val="0"/>
          <w:sz w:val="18"/>
          <w:szCs w:val="18"/>
          <w:lang w:val="en-US" w:eastAsia="zh-CN"/>
        </w:rPr>
        <w:t>项</w:t>
      </w:r>
      <w:r>
        <w:rPr>
          <w:rFonts w:hint="eastAsia" w:ascii="Times New Roman" w:hAnsi="Times New Roman" w:eastAsia="宋体" w:cs="Times New Roman"/>
          <w:kern w:val="0"/>
          <w:sz w:val="18"/>
          <w:szCs w:val="18"/>
        </w:rPr>
        <w:t>规定仅适用于根据《关于发布公路工程从业企业资质名录的通知》（厅公路字〔</w:t>
      </w:r>
      <w:r>
        <w:rPr>
          <w:rFonts w:ascii="Times New Roman" w:hAnsi="Times New Roman" w:eastAsia="宋体" w:cs="Times New Roman"/>
          <w:kern w:val="0"/>
          <w:sz w:val="18"/>
          <w:szCs w:val="18"/>
        </w:rPr>
        <w:t>2011</w:t>
      </w:r>
      <w:r>
        <w:rPr>
          <w:rFonts w:hint="eastAsia" w:ascii="Times New Roman" w:hAnsi="Times New Roman" w:eastAsia="宋体" w:cs="Times New Roman"/>
          <w:kern w:val="0"/>
          <w:sz w:val="18"/>
          <w:szCs w:val="18"/>
        </w:rPr>
        <w:t>〕</w:t>
      </w:r>
      <w:r>
        <w:rPr>
          <w:rFonts w:ascii="Times New Roman" w:hAnsi="Times New Roman" w:eastAsia="宋体" w:cs="Times New Roman"/>
          <w:kern w:val="0"/>
          <w:sz w:val="18"/>
          <w:szCs w:val="18"/>
        </w:rPr>
        <w:t>114</w:t>
      </w:r>
      <w:r>
        <w:rPr>
          <w:rFonts w:hint="eastAsia" w:ascii="Times New Roman" w:hAnsi="Times New Roman" w:eastAsia="宋体" w:cs="Times New Roman"/>
          <w:kern w:val="0"/>
          <w:sz w:val="18"/>
          <w:szCs w:val="18"/>
        </w:rPr>
        <w:t>号）要求，招标人应通过名录对投标人资质条件进行审核</w:t>
      </w:r>
      <w:r>
        <w:rPr>
          <w:rFonts w:hint="eastAsia" w:ascii="Times New Roman" w:hAnsi="Times New Roman" w:eastAsia="宋体" w:cs="Times New Roman"/>
          <w:kern w:val="0"/>
          <w:sz w:val="18"/>
          <w:szCs w:val="18"/>
          <w:highlight w:val="none"/>
        </w:rPr>
        <w:t>的公路施工企</w:t>
      </w:r>
      <w:r>
        <w:rPr>
          <w:rFonts w:hint="eastAsia" w:ascii="Times New Roman" w:hAnsi="Times New Roman" w:eastAsia="宋体" w:cs="Times New Roman"/>
          <w:kern w:val="0"/>
          <w:sz w:val="18"/>
          <w:szCs w:val="18"/>
        </w:rPr>
        <w:t>业</w:t>
      </w:r>
      <w:r>
        <w:rPr>
          <w:rFonts w:hint="eastAsia" w:cs="Times New Roman"/>
          <w:kern w:val="0"/>
          <w:sz w:val="18"/>
          <w:szCs w:val="18"/>
          <w:lang w:eastAsia="zh-CN"/>
        </w:rPr>
        <w:t>；</w:t>
      </w:r>
      <w:r>
        <w:rPr>
          <w:rFonts w:hint="eastAsia" w:cs="Times New Roman"/>
          <w:kern w:val="0"/>
          <w:sz w:val="18"/>
          <w:szCs w:val="18"/>
          <w:lang w:val="en-US" w:eastAsia="zh-CN"/>
        </w:rPr>
        <w:t>如前款文件中规定的资质已由省级相关部门负责审核、审批，则投标人无需提供相应资质的网页截图</w:t>
      </w:r>
      <w:r>
        <w:rPr>
          <w:rFonts w:hint="eastAsia" w:ascii="Times New Roman" w:hAnsi="Times New Roman" w:eastAsia="宋体" w:cs="Times New Roman"/>
          <w:kern w:val="0"/>
          <w:sz w:val="18"/>
          <w:szCs w:val="18"/>
        </w:rPr>
        <w:t>。</w:t>
      </w:r>
    </w:p>
  </w:footnote>
  <w:footnote w:id="22">
    <w:p w14:paraId="697AAEE1">
      <w:pPr>
        <w:pStyle w:val="31"/>
        <w:snapToGrid w:val="0"/>
        <w:rPr>
          <w:rFonts w:hint="default" w:eastAsia="宋体"/>
          <w:lang w:val="en-US" w:eastAsia="zh-CN"/>
        </w:rPr>
      </w:pPr>
      <w:r>
        <w:rPr>
          <w:rStyle w:val="48"/>
        </w:rPr>
        <w:footnoteRef/>
      </w:r>
      <w:r>
        <w:rPr>
          <w:rFonts w:hint="eastAsia"/>
          <w:lang w:val="en-US" w:eastAsia="zh-CN"/>
        </w:rPr>
        <w:t>G值详见评标办法。</w:t>
      </w:r>
    </w:p>
  </w:footnote>
  <w:footnote w:id="23">
    <w:p w14:paraId="306CDECF">
      <w:pPr>
        <w:pStyle w:val="31"/>
        <w:tabs>
          <w:tab w:val="left" w:pos="3780"/>
        </w:tabs>
        <w:spacing w:line="320" w:lineRule="atLeast"/>
        <w:ind w:left="180" w:hanging="180" w:hangingChars="100"/>
        <w:rPr>
          <w:rFonts w:hint="eastAsia"/>
          <w:szCs w:val="18"/>
        </w:rPr>
      </w:pPr>
      <w:r>
        <w:rPr>
          <w:rStyle w:val="48"/>
          <w:szCs w:val="18"/>
        </w:rPr>
        <w:footnoteRef/>
      </w:r>
      <w:r>
        <w:rPr>
          <w:rFonts w:hint="eastAsia"/>
          <w:szCs w:val="18"/>
        </w:rPr>
        <w:t>招标人可根据</w:t>
      </w:r>
      <w:r>
        <w:rPr>
          <w:rFonts w:hint="eastAsia"/>
          <w:szCs w:val="18"/>
          <w:lang w:eastAsia="zh-CN"/>
        </w:rPr>
        <w:t>实际</w:t>
      </w:r>
      <w:r>
        <w:rPr>
          <w:rFonts w:hint="eastAsia"/>
          <w:szCs w:val="18"/>
        </w:rPr>
        <w:t>需要进行修改。</w:t>
      </w:r>
    </w:p>
  </w:footnote>
  <w:footnote w:id="24">
    <w:p w14:paraId="5F2380CC">
      <w:pPr>
        <w:pStyle w:val="31"/>
        <w:spacing w:line="300" w:lineRule="atLeast"/>
        <w:ind w:left="180" w:hanging="180" w:hangingChars="100"/>
        <w:jc w:val="both"/>
        <w:rPr>
          <w:rFonts w:hint="eastAsia" w:hAnsi="宋体"/>
          <w:szCs w:val="18"/>
        </w:rPr>
      </w:pPr>
      <w:r>
        <w:rPr>
          <w:rStyle w:val="48"/>
          <w:rFonts w:ascii="宋体" w:hAnsi="宋体"/>
          <w:szCs w:val="18"/>
        </w:rPr>
        <w:footnoteRef/>
      </w:r>
      <w:r>
        <w:rPr>
          <w:rFonts w:hint="eastAsia" w:hAnsi="宋体"/>
          <w:szCs w:val="18"/>
          <w:lang w:eastAsia="zh-CN"/>
        </w:rPr>
        <w:t xml:space="preserve"> 投标人仅须在投标文件的澄清或说明上加盖CA数字证书中的单位章，或由法定代表人或其委托代理人的个人电子印章或电子签名</w:t>
      </w:r>
      <w:r>
        <w:rPr>
          <w:rFonts w:hint="eastAsia" w:hAnsi="宋体"/>
          <w:szCs w:val="18"/>
        </w:rPr>
        <w:t>。</w:t>
      </w:r>
    </w:p>
  </w:footnote>
  <w:footnote w:id="25">
    <w:p w14:paraId="15DCF42D">
      <w:pPr>
        <w:pStyle w:val="31"/>
        <w:spacing w:line="320" w:lineRule="atLeast"/>
        <w:ind w:left="180" w:hanging="180" w:hangingChars="100"/>
        <w:jc w:val="both"/>
        <w:rPr>
          <w:rFonts w:hint="eastAsia"/>
          <w:szCs w:val="18"/>
        </w:rPr>
      </w:pPr>
      <w:r>
        <w:rPr>
          <w:rStyle w:val="48"/>
          <w:szCs w:val="18"/>
        </w:rPr>
        <w:footnoteRef/>
      </w:r>
      <w:r>
        <w:rPr>
          <w:rFonts w:hint="eastAsia"/>
          <w:szCs w:val="18"/>
        </w:rPr>
        <w:t>“合理低价法”是综合评估法的评分因素中评标价得分为100分、其他评分因素分值为0分的特例。“合理低价法”中，第一个信封（商务及技术文件）的评审应采用合格制。</w:t>
      </w:r>
    </w:p>
  </w:footnote>
  <w:footnote w:id="26">
    <w:p w14:paraId="6891B6E4">
      <w:pPr>
        <w:pStyle w:val="31"/>
        <w:spacing w:line="320" w:lineRule="atLeast"/>
        <w:ind w:left="180" w:hanging="180" w:hangingChars="100"/>
        <w:jc w:val="both"/>
        <w:rPr>
          <w:rFonts w:hint="eastAsia"/>
          <w:szCs w:val="18"/>
        </w:rPr>
      </w:pPr>
      <w:r>
        <w:rPr>
          <w:rStyle w:val="48"/>
          <w:szCs w:val="18"/>
        </w:rPr>
        <w:footnoteRef/>
      </w:r>
      <w:r>
        <w:rPr>
          <w:rFonts w:hint="eastAsia"/>
          <w:szCs w:val="18"/>
        </w:rPr>
        <w:t>“评标办法前附表”用于明确评标的方法、因素、标准和程序</w:t>
      </w:r>
      <w:r>
        <w:rPr>
          <w:rFonts w:hint="eastAsia"/>
          <w:szCs w:val="18"/>
          <w:lang w:eastAsia="zh-CN"/>
        </w:rPr>
        <w:t>，</w:t>
      </w:r>
      <w:r>
        <w:rPr>
          <w:rFonts w:hint="eastAsia"/>
          <w:szCs w:val="18"/>
        </w:rPr>
        <w:t>是对评标办法正文的补充和细化，应对照评标办法正文中同一编号的条款一起阅读和理解。</w:t>
      </w:r>
      <w:r>
        <w:rPr>
          <w:rFonts w:hint="eastAsia" w:ascii="黑体" w:hAnsi="黑体" w:eastAsia="黑体"/>
          <w:szCs w:val="18"/>
        </w:rPr>
        <w:t>如前附表与正文不一致时，以前附表的规定为准</w:t>
      </w:r>
      <w:r>
        <w:rPr>
          <w:rFonts w:hint="eastAsia"/>
          <w:szCs w:val="18"/>
        </w:rPr>
        <w:t>。招标人应根据招标项目具体特点和实际需要，详细列明全部评审因素、标准，没有列明的因素和标准不得作为评标的依据。</w:t>
      </w:r>
    </w:p>
  </w:footnote>
  <w:footnote w:id="27">
    <w:p w14:paraId="2978CE7D">
      <w:pPr>
        <w:pStyle w:val="31"/>
        <w:spacing w:line="320" w:lineRule="atLeast"/>
        <w:ind w:left="180" w:hanging="180" w:hangingChars="100"/>
        <w:rPr>
          <w:rFonts w:hint="eastAsia"/>
          <w:szCs w:val="18"/>
        </w:rPr>
      </w:pPr>
      <w:r>
        <w:rPr>
          <w:rStyle w:val="48"/>
          <w:szCs w:val="18"/>
        </w:rPr>
        <w:footnoteRef/>
      </w:r>
      <w:r>
        <w:rPr>
          <w:rFonts w:hint="eastAsia" w:ascii="宋体" w:hAnsi="宋体"/>
          <w:szCs w:val="18"/>
        </w:rPr>
        <w:t>对</w:t>
      </w:r>
      <w:r>
        <w:rPr>
          <w:rFonts w:hint="eastAsia"/>
          <w:szCs w:val="18"/>
        </w:rPr>
        <w:t>于特别复杂的特大桥梁和特长隧道项目主体工程以及其他有特殊要求的工程，还</w:t>
      </w:r>
      <w:r>
        <w:rPr>
          <w:rFonts w:hint="eastAsia"/>
          <w:szCs w:val="18"/>
          <w:lang w:eastAsia="zh-CN"/>
        </w:rPr>
        <w:t>可</w:t>
      </w:r>
      <w:r>
        <w:rPr>
          <w:rFonts w:hint="eastAsia"/>
          <w:szCs w:val="18"/>
        </w:rPr>
        <w:t>对其他管理和技术人员</w:t>
      </w:r>
      <w:r>
        <w:rPr>
          <w:rFonts w:hint="eastAsia"/>
          <w:lang w:eastAsia="zh-CN"/>
        </w:rPr>
        <w:t>（例如</w:t>
      </w:r>
      <w:r>
        <w:rPr>
          <w:lang w:eastAsia="zh-CN"/>
        </w:rPr>
        <w:t>项目副经理、专业工程师等</w:t>
      </w:r>
      <w:r>
        <w:rPr>
          <w:rFonts w:hint="eastAsia"/>
          <w:lang w:eastAsia="zh-CN"/>
        </w:rPr>
        <w:t>）</w:t>
      </w:r>
      <w:r>
        <w:rPr>
          <w:rFonts w:hint="eastAsia"/>
          <w:szCs w:val="18"/>
        </w:rPr>
        <w:t>以及主要机械设备和试验检测设备进行资格评审。</w:t>
      </w:r>
    </w:p>
  </w:footnote>
  <w:footnote w:id="28">
    <w:p w14:paraId="467E3D0F">
      <w:pPr>
        <w:pStyle w:val="31"/>
        <w:spacing w:line="320" w:lineRule="atLeast"/>
        <w:ind w:left="180" w:hanging="180" w:hangingChars="100"/>
        <w:rPr>
          <w:rFonts w:hint="eastAsia"/>
        </w:rPr>
      </w:pPr>
      <w:r>
        <w:rPr>
          <w:rStyle w:val="48"/>
        </w:rPr>
        <w:footnoteRef/>
      </w:r>
      <w:r>
        <w:rPr>
          <w:rFonts w:hint="eastAsia"/>
          <w:szCs w:val="18"/>
        </w:rPr>
        <w:t>本</w:t>
      </w:r>
      <w:r>
        <w:rPr>
          <w:rFonts w:hint="eastAsia"/>
          <w:szCs w:val="18"/>
          <w:lang w:eastAsia="zh-CN"/>
        </w:rPr>
        <w:t>款</w:t>
      </w:r>
      <w:r>
        <w:rPr>
          <w:rFonts w:hint="eastAsia"/>
          <w:szCs w:val="18"/>
        </w:rPr>
        <w:t>规定仅适用于根据《关于发布公路工程从业企业资质名录的通知》（厅公路字〔</w:t>
      </w:r>
      <w:r>
        <w:rPr>
          <w:szCs w:val="18"/>
        </w:rPr>
        <w:t>2011</w:t>
      </w:r>
      <w:r>
        <w:rPr>
          <w:rFonts w:hint="eastAsia"/>
          <w:szCs w:val="18"/>
        </w:rPr>
        <w:t>〕</w:t>
      </w:r>
      <w:r>
        <w:rPr>
          <w:szCs w:val="18"/>
        </w:rPr>
        <w:t>114</w:t>
      </w:r>
      <w:r>
        <w:rPr>
          <w:rFonts w:hint="eastAsia"/>
          <w:szCs w:val="18"/>
        </w:rPr>
        <w:t>号）要求，招标人应通过名录对投标人资质条件进行审核的公路施工企业。</w:t>
      </w:r>
    </w:p>
  </w:footnote>
  <w:footnote w:id="29">
    <w:p w14:paraId="2464E6E6">
      <w:pPr>
        <w:pStyle w:val="31"/>
        <w:spacing w:line="320" w:lineRule="atLeast"/>
        <w:ind w:left="180" w:hanging="180" w:hangingChars="100"/>
        <w:rPr>
          <w:rStyle w:val="48"/>
          <w:szCs w:val="18"/>
        </w:rPr>
      </w:pPr>
      <w:r>
        <w:rPr>
          <w:rStyle w:val="48"/>
          <w:szCs w:val="18"/>
        </w:rPr>
        <w:footnoteRef/>
      </w:r>
      <w:r>
        <w:rPr>
          <w:rFonts w:hint="eastAsia"/>
          <w:szCs w:val="18"/>
        </w:rPr>
        <w:t>如</w:t>
      </w:r>
      <w:r>
        <w:rPr>
          <w:rStyle w:val="48"/>
          <w:szCs w:val="18"/>
          <w:vertAlign w:val="baseline"/>
        </w:rPr>
        <w:t>本项目招标</w:t>
      </w:r>
      <w:r>
        <w:rPr>
          <w:rStyle w:val="48"/>
          <w:rFonts w:hint="eastAsia"/>
          <w:szCs w:val="18"/>
          <w:vertAlign w:val="baseline"/>
          <w:lang w:eastAsia="zh-CN"/>
        </w:rPr>
        <w:t>由</w:t>
      </w:r>
      <w:r>
        <w:rPr>
          <w:rFonts w:hint="eastAsia"/>
          <w:szCs w:val="18"/>
        </w:rPr>
        <w:t>投标人按照招标人提供的</w:t>
      </w:r>
      <w:r>
        <w:rPr>
          <w:szCs w:val="18"/>
        </w:rPr>
        <w:t>工程量清单</w:t>
      </w:r>
      <w:r>
        <w:rPr>
          <w:rFonts w:hint="eastAsia"/>
          <w:szCs w:val="18"/>
        </w:rPr>
        <w:t>电子文件填写工程量清单，无须按照本章第3.3.2项和第3.3.3项的规定对投标报价进行修正，第3.3.2项</w:t>
      </w:r>
      <w:r>
        <w:rPr>
          <w:rFonts w:hint="eastAsia"/>
          <w:szCs w:val="18"/>
          <w:lang w:eastAsia="zh-CN"/>
        </w:rPr>
        <w:t>至</w:t>
      </w:r>
      <w:r>
        <w:rPr>
          <w:rFonts w:hint="eastAsia"/>
          <w:szCs w:val="18"/>
        </w:rPr>
        <w:t>第3.3.5项内容不适用。</w:t>
      </w:r>
    </w:p>
  </w:footnote>
  <w:footnote w:id="30">
    <w:p w14:paraId="18DFE744">
      <w:pPr>
        <w:pStyle w:val="31"/>
        <w:snapToGrid w:val="0"/>
      </w:pPr>
      <w:r>
        <w:rPr>
          <w:rStyle w:val="48"/>
        </w:rPr>
        <w:footnoteRef/>
      </w:r>
      <w:r>
        <w:rPr>
          <w:rFonts w:hint="eastAsia"/>
          <w:lang w:val="en-US" w:eastAsia="zh-CN"/>
        </w:rPr>
        <w:t>本合同仅</w:t>
      </w:r>
      <w:r>
        <w:rPr>
          <w:rFonts w:hint="eastAsia"/>
        </w:rPr>
        <w:t>适用</w:t>
      </w:r>
      <w:r>
        <w:rPr>
          <w:rFonts w:hint="eastAsia"/>
          <w:lang w:val="en-US" w:eastAsia="zh-CN"/>
        </w:rPr>
        <w:t>于</w:t>
      </w:r>
      <w:r>
        <w:rPr>
          <w:rFonts w:hint="eastAsia"/>
        </w:rPr>
        <w:t>建设项目，养护工程项目</w:t>
      </w:r>
      <w:r>
        <w:rPr>
          <w:rFonts w:hint="eastAsia"/>
          <w:lang w:eastAsia="zh-CN"/>
        </w:rPr>
        <w:t>的</w:t>
      </w:r>
      <w:r>
        <w:rPr>
          <w:rFonts w:hint="eastAsia"/>
          <w:lang w:val="en-US" w:eastAsia="zh-CN"/>
        </w:rPr>
        <w:t>合同可</w:t>
      </w:r>
      <w:r>
        <w:rPr>
          <w:rFonts w:hint="eastAsia"/>
        </w:rPr>
        <w:t>参照</w:t>
      </w:r>
      <w:r>
        <w:rPr>
          <w:rFonts w:hint="eastAsia"/>
          <w:lang w:val="en-US" w:eastAsia="zh-CN"/>
        </w:rPr>
        <w:t>执行。</w:t>
      </w:r>
    </w:p>
  </w:footnote>
  <w:footnote w:id="31">
    <w:p w14:paraId="0A9B8031">
      <w:pPr>
        <w:pStyle w:val="31"/>
        <w:rPr>
          <w:rFonts w:hint="eastAsia"/>
          <w:lang w:eastAsia="zh-CN"/>
        </w:rPr>
      </w:pPr>
      <w:r>
        <w:rPr>
          <w:rStyle w:val="48"/>
        </w:rPr>
        <w:footnoteRef/>
      </w:r>
      <w:r>
        <w:rPr>
          <w:rFonts w:hint="eastAsia"/>
          <w:lang w:eastAsia="zh-CN"/>
        </w:rPr>
        <w:t>本部分不加修改地引用了国家九部委《标准施工招标文件》（2007年版）相关内容。</w:t>
      </w:r>
    </w:p>
  </w:footnote>
  <w:footnote w:id="32">
    <w:p w14:paraId="47560969">
      <w:pPr>
        <w:pStyle w:val="31"/>
        <w:spacing w:line="320" w:lineRule="atLeast"/>
        <w:ind w:left="180" w:hanging="180" w:hangingChars="100"/>
        <w:rPr>
          <w:rFonts w:hint="eastAsia"/>
          <w:lang w:eastAsia="zh-CN"/>
        </w:rPr>
      </w:pPr>
      <w:r>
        <w:rPr>
          <w:rStyle w:val="48"/>
        </w:rPr>
        <w:footnoteRef/>
      </w:r>
      <w:r>
        <w:t>如果在招标</w:t>
      </w:r>
      <w:r>
        <w:rPr>
          <w:rFonts w:hint="eastAsia"/>
          <w:lang w:eastAsia="zh-CN"/>
        </w:rPr>
        <w:t>阶段</w:t>
      </w:r>
      <w:r>
        <w:rPr>
          <w:rFonts w:hint="eastAsia"/>
        </w:rPr>
        <w:t>，招标人</w:t>
      </w:r>
      <w:r>
        <w:t>在图纸中直接指定了取土场和弃土场位置</w:t>
      </w:r>
      <w:r>
        <w:rPr>
          <w:rFonts w:hint="eastAsia"/>
        </w:rPr>
        <w:t>，</w:t>
      </w:r>
      <w:r>
        <w:t>且作为投标人投标</w:t>
      </w:r>
      <w:r>
        <w:rPr>
          <w:rFonts w:hint="eastAsia"/>
          <w:lang w:eastAsia="zh-CN"/>
        </w:rPr>
        <w:t>报价</w:t>
      </w:r>
      <w:r>
        <w:t>的依据</w:t>
      </w:r>
      <w:r>
        <w:rPr>
          <w:rFonts w:hint="eastAsia"/>
        </w:rPr>
        <w:t>，则</w:t>
      </w:r>
      <w:r>
        <w:rPr>
          <w:rFonts w:hint="eastAsia"/>
          <w:lang w:eastAsia="zh-CN"/>
        </w:rPr>
        <w:t>招标</w:t>
      </w:r>
      <w:r>
        <w:rPr>
          <w:rFonts w:hint="eastAsia"/>
        </w:rPr>
        <w:t>人应在项目专用合同条款中对本项规定进行调整。</w:t>
      </w:r>
    </w:p>
  </w:footnote>
  <w:footnote w:id="33">
    <w:p w14:paraId="59B30A6B">
      <w:pPr>
        <w:pStyle w:val="31"/>
        <w:spacing w:line="300" w:lineRule="atLeast"/>
        <w:ind w:left="210" w:hanging="210"/>
        <w:rPr>
          <w:rFonts w:hint="eastAsia"/>
          <w:szCs w:val="18"/>
        </w:rPr>
      </w:pPr>
      <w:r>
        <w:rPr>
          <w:rStyle w:val="48"/>
          <w:szCs w:val="18"/>
        </w:rPr>
        <w:footnoteRef/>
      </w:r>
      <w:r>
        <w:rPr>
          <w:rFonts w:hint="eastAsia" w:hAnsi="Roman"/>
          <w:szCs w:val="18"/>
        </w:rPr>
        <w:t>缺陷责任期一般为自实际交工日期起计算</w:t>
      </w:r>
      <w:r>
        <w:rPr>
          <w:rFonts w:hint="eastAsia" w:hAnsi="Roman"/>
          <w:szCs w:val="18"/>
          <w:lang w:eastAsia="zh-CN"/>
        </w:rPr>
        <w:t>1</w:t>
      </w:r>
      <w:r>
        <w:rPr>
          <w:rFonts w:hint="eastAsia" w:hAnsi="Roman"/>
          <w:szCs w:val="18"/>
        </w:rPr>
        <w:t>年</w:t>
      </w:r>
      <w:r>
        <w:rPr>
          <w:rFonts w:hint="eastAsia" w:hAnsi="Roman"/>
          <w:szCs w:val="18"/>
          <w:lang w:eastAsia="zh-CN"/>
        </w:rPr>
        <w:t>，</w:t>
      </w:r>
      <w:r>
        <w:rPr>
          <w:rFonts w:hint="eastAsia" w:hAnsi="Roman"/>
          <w:szCs w:val="18"/>
        </w:rPr>
        <w:t>最长不超过</w:t>
      </w:r>
      <w:r>
        <w:rPr>
          <w:rFonts w:hint="eastAsia" w:hAnsi="Roman"/>
          <w:szCs w:val="18"/>
          <w:lang w:eastAsia="zh-CN"/>
        </w:rPr>
        <w:t>2年</w:t>
      </w:r>
      <w:r>
        <w:rPr>
          <w:rFonts w:hint="eastAsia" w:hAnsi="Roman"/>
          <w:szCs w:val="18"/>
        </w:rPr>
        <w:t>。</w:t>
      </w:r>
    </w:p>
  </w:footnote>
  <w:footnote w:id="34">
    <w:p w14:paraId="3D01E3A6">
      <w:pPr>
        <w:pStyle w:val="31"/>
        <w:spacing w:line="300" w:lineRule="atLeast"/>
        <w:ind w:left="210" w:hanging="210"/>
        <w:rPr>
          <w:rFonts w:hint="eastAsia"/>
          <w:szCs w:val="18"/>
        </w:rPr>
      </w:pPr>
      <w:r>
        <w:rPr>
          <w:rStyle w:val="48"/>
          <w:szCs w:val="18"/>
        </w:rPr>
        <w:footnoteRef/>
      </w:r>
      <w:r>
        <w:rPr>
          <w:rFonts w:hAnsi="Roman"/>
          <w:szCs w:val="18"/>
        </w:rPr>
        <w:t>逾期交工违约金限额</w:t>
      </w:r>
      <w:r>
        <w:rPr>
          <w:rFonts w:hint="eastAsia" w:hAnsi="Roman"/>
          <w:szCs w:val="18"/>
        </w:rPr>
        <w:t>一般应为10</w:t>
      </w:r>
      <w:r>
        <w:rPr>
          <w:rFonts w:hAnsi="Roman"/>
          <w:szCs w:val="18"/>
        </w:rPr>
        <w:t>%签约合同价</w:t>
      </w:r>
      <w:r>
        <w:rPr>
          <w:rFonts w:hint="eastAsia" w:hAnsi="Roman"/>
          <w:szCs w:val="18"/>
        </w:rPr>
        <w:t>。</w:t>
      </w:r>
    </w:p>
  </w:footnote>
  <w:footnote w:id="35">
    <w:p w14:paraId="5BAFE167">
      <w:pPr>
        <w:pStyle w:val="31"/>
        <w:spacing w:line="280" w:lineRule="atLeast"/>
        <w:ind w:left="210" w:hanging="210"/>
        <w:rPr>
          <w:rFonts w:hint="eastAsia"/>
          <w:szCs w:val="18"/>
        </w:rPr>
      </w:pPr>
      <w:r>
        <w:rPr>
          <w:rStyle w:val="48"/>
          <w:szCs w:val="18"/>
        </w:rPr>
        <w:footnoteRef/>
      </w:r>
      <w:r>
        <w:rPr>
          <w:rFonts w:hint="eastAsia" w:hAnsi="Roman"/>
          <w:szCs w:val="18"/>
        </w:rPr>
        <w:t>对于工程规模不大、工期较短的工程（例如工期不超过12个月的），可以不进行调价。</w:t>
      </w:r>
    </w:p>
  </w:footnote>
  <w:footnote w:id="36">
    <w:p w14:paraId="31455935">
      <w:pPr>
        <w:pStyle w:val="31"/>
        <w:spacing w:line="280" w:lineRule="atLeast"/>
        <w:ind w:left="210" w:hanging="210"/>
        <w:rPr>
          <w:rFonts w:hint="eastAsia"/>
          <w:szCs w:val="18"/>
        </w:rPr>
      </w:pPr>
      <w:r>
        <w:rPr>
          <w:rStyle w:val="48"/>
          <w:szCs w:val="18"/>
        </w:rPr>
        <w:footnoteRef/>
      </w:r>
      <w:r>
        <w:rPr>
          <w:rFonts w:hint="eastAsia" w:hAnsi="Roman"/>
          <w:szCs w:val="18"/>
        </w:rPr>
        <w:t>开工预付款金额一般应为10％签约合同价。</w:t>
      </w:r>
    </w:p>
  </w:footnote>
  <w:footnote w:id="37">
    <w:p w14:paraId="47E88392">
      <w:pPr>
        <w:pStyle w:val="31"/>
        <w:spacing w:line="280" w:lineRule="atLeast"/>
        <w:ind w:left="210" w:hanging="210"/>
        <w:rPr>
          <w:rFonts w:hint="eastAsia"/>
          <w:szCs w:val="18"/>
        </w:rPr>
      </w:pPr>
      <w:r>
        <w:rPr>
          <w:rStyle w:val="48"/>
          <w:szCs w:val="18"/>
        </w:rPr>
        <w:footnoteRef/>
      </w:r>
      <w:r>
        <w:rPr>
          <w:rFonts w:hint="eastAsia" w:hAnsi="Roman"/>
          <w:szCs w:val="18"/>
        </w:rPr>
        <w:t>指主要材料，一般应为70%～75%，最低不少于60%。</w:t>
      </w:r>
    </w:p>
  </w:footnote>
  <w:footnote w:id="38">
    <w:p w14:paraId="22E1FC5A">
      <w:pPr>
        <w:pStyle w:val="31"/>
        <w:spacing w:line="280" w:lineRule="atLeast"/>
        <w:ind w:left="210" w:hanging="210"/>
        <w:rPr>
          <w:rFonts w:hint="eastAsia"/>
          <w:szCs w:val="18"/>
        </w:rPr>
      </w:pPr>
      <w:r>
        <w:rPr>
          <w:rStyle w:val="48"/>
          <w:szCs w:val="18"/>
        </w:rPr>
        <w:footnoteRef/>
      </w:r>
      <w:r>
        <w:rPr>
          <w:rFonts w:hint="eastAsia" w:hAnsi="Roman"/>
          <w:szCs w:val="18"/>
        </w:rPr>
        <w:t xml:space="preserve">  国际上一般按月平均支付额的0.3</w:t>
      </w:r>
      <w:r>
        <w:rPr>
          <w:rFonts w:hint="eastAsia" w:hAnsi="Roman"/>
          <w:szCs w:val="18"/>
        </w:rPr>
        <w:sym w:font="Symbol" w:char="F07E"/>
      </w:r>
      <w:r>
        <w:rPr>
          <w:rFonts w:hint="eastAsia" w:hAnsi="Roman"/>
          <w:szCs w:val="18"/>
        </w:rPr>
        <w:t>0.5倍计算，我国可按0.2</w:t>
      </w:r>
      <w:r>
        <w:rPr>
          <w:rFonts w:hint="eastAsia" w:hAnsi="Roman"/>
          <w:szCs w:val="18"/>
        </w:rPr>
        <w:sym w:font="Symbol" w:char="F07E"/>
      </w:r>
      <w:r>
        <w:rPr>
          <w:rFonts w:hAnsi="Roman"/>
          <w:szCs w:val="18"/>
        </w:rPr>
        <w:t>0.3倍</w:t>
      </w:r>
      <w:r>
        <w:rPr>
          <w:rFonts w:hint="eastAsia" w:hAnsi="Roman"/>
          <w:szCs w:val="18"/>
        </w:rPr>
        <w:t>计</w:t>
      </w:r>
      <w:r>
        <w:rPr>
          <w:rFonts w:hint="eastAsia" w:hAnsi="Roman"/>
          <w:szCs w:val="18"/>
          <w:lang w:eastAsia="zh-CN"/>
        </w:rPr>
        <w:t>，</w:t>
      </w:r>
      <w:r>
        <w:rPr>
          <w:rFonts w:hint="eastAsia" w:hAnsi="Roman"/>
          <w:szCs w:val="18"/>
        </w:rPr>
        <w:t>以利承包人资金周转。</w:t>
      </w:r>
    </w:p>
  </w:footnote>
  <w:footnote w:id="39">
    <w:p w14:paraId="57B9479C">
      <w:pPr>
        <w:pStyle w:val="31"/>
        <w:spacing w:line="280" w:lineRule="atLeast"/>
        <w:ind w:left="210" w:hanging="210"/>
        <w:rPr>
          <w:rFonts w:hint="eastAsia"/>
          <w:szCs w:val="18"/>
        </w:rPr>
      </w:pPr>
      <w:r>
        <w:rPr>
          <w:rStyle w:val="48"/>
          <w:szCs w:val="18"/>
        </w:rPr>
        <w:footnoteRef/>
      </w:r>
      <w:r>
        <w:rPr>
          <w:rFonts w:hint="eastAsia" w:hAnsi="Roman"/>
          <w:szCs w:val="18"/>
        </w:rPr>
        <w:t xml:space="preserve">  相当于中国人民银行短期贷款利率加手续费。招标人不能自行取消本项内容或降低利率。</w:t>
      </w:r>
    </w:p>
  </w:footnote>
  <w:footnote w:id="40">
    <w:p w14:paraId="49BAD4BA">
      <w:pPr>
        <w:pStyle w:val="31"/>
        <w:snapToGrid w:val="0"/>
        <w:ind w:firstLine="0"/>
      </w:pPr>
      <w:r>
        <w:rPr>
          <w:rStyle w:val="48"/>
        </w:rPr>
        <w:footnoteRef/>
      </w:r>
      <w:r>
        <w:rPr>
          <w:rFonts w:hint="eastAsia"/>
        </w:rPr>
        <w:t>招标人可结合</w:t>
      </w:r>
      <w:r>
        <w:rPr>
          <w:rFonts w:hint="eastAsia"/>
          <w:lang w:val="en-US" w:eastAsia="zh-CN"/>
        </w:rPr>
        <w:t>辽宁</w:t>
      </w:r>
      <w:r>
        <w:rPr>
          <w:rFonts w:hint="eastAsia"/>
        </w:rPr>
        <w:t>省公路建设领域管理政策文件</w:t>
      </w:r>
      <w:r>
        <w:rPr>
          <w:rFonts w:hint="eastAsia"/>
          <w:lang w:eastAsia="zh-CN"/>
        </w:rPr>
        <w:t>、招标项目具体特点和实际需要</w:t>
      </w:r>
      <w:r>
        <w:rPr>
          <w:rFonts w:hint="eastAsia"/>
        </w:rPr>
        <w:t>对项目专用合同条款进行补充、细化</w:t>
      </w:r>
      <w:r>
        <w:rPr>
          <w:rFonts w:hint="eastAsia"/>
          <w:lang w:eastAsia="zh-CN"/>
        </w:rPr>
        <w:t>，</w:t>
      </w:r>
      <w:r>
        <w:rPr>
          <w:rFonts w:hint="eastAsia"/>
        </w:rPr>
        <w:t>不得设置各类</w:t>
      </w:r>
      <w:r>
        <w:rPr>
          <w:rFonts w:hint="eastAsia"/>
          <w:lang w:eastAsia="zh-CN"/>
        </w:rPr>
        <w:t>有失公允或违法违规合同条款</w:t>
      </w:r>
      <w:r>
        <w:rPr>
          <w:rFonts w:hint="eastAsia"/>
        </w:rPr>
        <w:t>。</w:t>
      </w:r>
    </w:p>
  </w:footnote>
  <w:footnote w:id="41">
    <w:p w14:paraId="7AA3231E">
      <w:pPr>
        <w:pStyle w:val="31"/>
        <w:spacing w:line="300" w:lineRule="atLeast"/>
        <w:ind w:left="360" w:hanging="360" w:hangingChars="200"/>
        <w:jc w:val="both"/>
        <w:rPr>
          <w:szCs w:val="18"/>
        </w:rPr>
      </w:pPr>
      <w:r>
        <w:rPr>
          <w:rStyle w:val="48"/>
          <w:rFonts w:ascii="宋体" w:hAnsi="宋体"/>
          <w:szCs w:val="18"/>
        </w:rPr>
        <w:footnoteRef/>
      </w:r>
      <w:r>
        <w:rPr>
          <w:szCs w:val="18"/>
        </w:rPr>
        <w:t>a.</w:t>
      </w:r>
      <w:r>
        <w:rPr>
          <w:rFonts w:hAnsi="宋体"/>
          <w:szCs w:val="18"/>
        </w:rPr>
        <w:t>招标人应在招标文件中规定若投标人在所投标段中标需派驻的其他管理和技术人员</w:t>
      </w:r>
      <w:r>
        <w:rPr>
          <w:rFonts w:hint="eastAsia"/>
          <w:lang w:eastAsia="zh-CN"/>
        </w:rPr>
        <w:t>（例如</w:t>
      </w:r>
      <w:r>
        <w:rPr>
          <w:lang w:eastAsia="zh-CN"/>
        </w:rPr>
        <w:t>项目副经理、专业工程师等</w:t>
      </w:r>
      <w:r>
        <w:rPr>
          <w:rFonts w:hint="eastAsia"/>
          <w:lang w:eastAsia="zh-CN"/>
        </w:rPr>
        <w:t>）</w:t>
      </w:r>
      <w:r>
        <w:rPr>
          <w:rFonts w:hAnsi="宋体"/>
          <w:szCs w:val="18"/>
        </w:rPr>
        <w:t>。</w:t>
      </w:r>
      <w:r>
        <w:rPr>
          <w:rFonts w:hint="eastAsia" w:hAnsi="宋体"/>
          <w:szCs w:val="18"/>
        </w:rPr>
        <w:t>上述人员</w:t>
      </w:r>
      <w:r>
        <w:rPr>
          <w:rFonts w:hAnsi="宋体"/>
          <w:szCs w:val="18"/>
        </w:rPr>
        <w:t>的具体人选由招标人和中标人在合同谈判阶段确定</w:t>
      </w:r>
      <w:r>
        <w:rPr>
          <w:rFonts w:hint="eastAsia" w:hAnsi="宋体"/>
          <w:szCs w:val="18"/>
        </w:rPr>
        <w:t>，且经</w:t>
      </w:r>
      <w:r>
        <w:rPr>
          <w:rFonts w:hAnsi="宋体"/>
          <w:szCs w:val="18"/>
        </w:rPr>
        <w:t>招标人审批后作为派驻本标段的项目管理机构主要人员</w:t>
      </w:r>
      <w:r>
        <w:rPr>
          <w:rFonts w:hint="eastAsia" w:hAnsi="宋体"/>
          <w:szCs w:val="18"/>
        </w:rPr>
        <w:t>，</w:t>
      </w:r>
      <w:r>
        <w:rPr>
          <w:rFonts w:hAnsi="宋体"/>
          <w:szCs w:val="18"/>
        </w:rPr>
        <w:t>不允许更换。</w:t>
      </w:r>
      <w:r>
        <w:rPr>
          <w:rFonts w:hint="eastAsia" w:hAnsi="宋体"/>
          <w:szCs w:val="18"/>
        </w:rPr>
        <w:t>如中标人拟派驻的人员数量和资格条件不满足本表要求，招标人应取消其中标资格。</w:t>
      </w:r>
    </w:p>
    <w:p w14:paraId="68D58D99">
      <w:pPr>
        <w:pStyle w:val="31"/>
        <w:spacing w:line="300" w:lineRule="atLeast"/>
        <w:ind w:left="361" w:leftChars="86" w:hanging="180" w:hangingChars="100"/>
        <w:jc w:val="both"/>
        <w:rPr>
          <w:rFonts w:hint="eastAsia"/>
          <w:szCs w:val="18"/>
        </w:rPr>
      </w:pPr>
      <w:r>
        <w:rPr>
          <w:szCs w:val="18"/>
        </w:rPr>
        <w:t>b.</w:t>
      </w:r>
      <w:r>
        <w:rPr>
          <w:rFonts w:hAnsi="宋体"/>
          <w:szCs w:val="18"/>
        </w:rPr>
        <w:t>本表不适用于已按招标文件要求提供了其他管理和技术人员的特别复杂的特大桥梁和特长隧道项目主体工程以及其他有特殊要求的工程</w:t>
      </w:r>
      <w:r>
        <w:rPr>
          <w:rFonts w:hint="eastAsia" w:ascii="宋体" w:hAnsi="宋体"/>
          <w:szCs w:val="18"/>
        </w:rPr>
        <w:t>。</w:t>
      </w:r>
    </w:p>
  </w:footnote>
  <w:footnote w:id="42">
    <w:p w14:paraId="7F449AE8">
      <w:pPr>
        <w:pStyle w:val="31"/>
        <w:spacing w:line="300" w:lineRule="atLeast"/>
        <w:ind w:left="360" w:hanging="360" w:hangingChars="200"/>
        <w:rPr>
          <w:szCs w:val="18"/>
        </w:rPr>
      </w:pPr>
      <w:r>
        <w:rPr>
          <w:rStyle w:val="48"/>
          <w:szCs w:val="18"/>
        </w:rPr>
        <w:footnoteRef/>
      </w:r>
      <w:r>
        <w:rPr>
          <w:szCs w:val="18"/>
        </w:rPr>
        <w:t>a.</w:t>
      </w:r>
      <w:r>
        <w:rPr>
          <w:rFonts w:hAnsi="宋体"/>
          <w:szCs w:val="18"/>
        </w:rPr>
        <w:t>招标人应在招标文件中规定若投标人在所投标段中标需提供的主要机械设备和试验检测设备。招标人将在</w:t>
      </w:r>
      <w:r>
        <w:rPr>
          <w:rFonts w:hint="eastAsia" w:hAnsi="宋体"/>
          <w:szCs w:val="18"/>
        </w:rPr>
        <w:t>合同谈判阶段</w:t>
      </w:r>
      <w:r>
        <w:rPr>
          <w:rFonts w:hAnsi="宋体"/>
          <w:szCs w:val="18"/>
        </w:rPr>
        <w:t>要求中标人按照本表的最低要求填报为本标段配备的主要设备，在经招标人审批后作为投入本标段的主要设备且不允许更换。</w:t>
      </w:r>
      <w:r>
        <w:rPr>
          <w:rFonts w:hint="eastAsia" w:hAnsi="宋体"/>
          <w:szCs w:val="18"/>
        </w:rPr>
        <w:t>如招标人拟提供的设备数量和规格指标等不满足本表要求，招标人应取消其中标资格。</w:t>
      </w:r>
    </w:p>
    <w:p w14:paraId="093AA926">
      <w:pPr>
        <w:pStyle w:val="31"/>
        <w:spacing w:line="300" w:lineRule="atLeast"/>
        <w:ind w:left="451" w:leftChars="129" w:hanging="180" w:hangingChars="100"/>
        <w:jc w:val="both"/>
        <w:rPr>
          <w:rFonts w:hint="eastAsia"/>
          <w:szCs w:val="18"/>
        </w:rPr>
      </w:pPr>
      <w:r>
        <w:rPr>
          <w:szCs w:val="18"/>
        </w:rPr>
        <w:t>b.</w:t>
      </w:r>
      <w:r>
        <w:rPr>
          <w:rFonts w:hAnsi="宋体"/>
          <w:szCs w:val="18"/>
        </w:rPr>
        <w:t>本表不适用</w:t>
      </w:r>
      <w:r>
        <w:rPr>
          <w:rFonts w:hint="eastAsia" w:ascii="宋体" w:hAnsi="宋体"/>
          <w:szCs w:val="18"/>
        </w:rPr>
        <w:t>于已按招标文件要求提供了主要机械设备和试验检测设备的特别复杂的特大桥梁和特长隧道项目主体工程以及其他有特殊要求的工程。</w:t>
      </w:r>
    </w:p>
    <w:p w14:paraId="621D0745">
      <w:pPr>
        <w:pStyle w:val="31"/>
        <w:ind w:left="210" w:hanging="210"/>
        <w:rPr>
          <w:rFonts w:hint="eastAsia"/>
          <w:sz w:val="21"/>
          <w:szCs w:val="21"/>
        </w:rPr>
      </w:pPr>
    </w:p>
  </w:footnote>
  <w:footnote w:id="43">
    <w:p w14:paraId="7F3CA187">
      <w:pPr>
        <w:pStyle w:val="31"/>
        <w:tabs>
          <w:tab w:val="left" w:pos="3780"/>
        </w:tabs>
        <w:spacing w:line="340" w:lineRule="atLeast"/>
        <w:ind w:left="210" w:hanging="210"/>
        <w:rPr>
          <w:rFonts w:hint="eastAsia"/>
        </w:rPr>
      </w:pPr>
      <w:r>
        <w:rPr>
          <w:rStyle w:val="48"/>
        </w:rPr>
        <w:footnoteRef/>
      </w:r>
      <w:r>
        <w:rPr>
          <w:rFonts w:hint="eastAsia"/>
        </w:rPr>
        <w:t>本条内容可修改为：“</w:t>
      </w:r>
      <w:r>
        <w:t>本</w:t>
      </w:r>
      <w:r>
        <w:rPr>
          <w:rFonts w:hint="eastAsia"/>
          <w:lang w:eastAsia="zh-CN"/>
        </w:rPr>
        <w:t>担保</w:t>
      </w:r>
      <w:r>
        <w:t>自</w:t>
      </w:r>
      <w:r>
        <w:rPr>
          <w:rFonts w:hint="eastAsia"/>
          <w:u w:val="single"/>
        </w:rPr>
        <w:t xml:space="preserve">         </w:t>
      </w:r>
      <w:r>
        <w:t>（生效日期）之日起生效，至</w:t>
      </w:r>
      <w:r>
        <w:rPr>
          <w:rFonts w:hint="eastAsia"/>
          <w:u w:val="single"/>
        </w:rPr>
        <w:t xml:space="preserve">         </w:t>
      </w:r>
      <w:r>
        <w:t>（失效日期）之日失效</w:t>
      </w:r>
      <w:r>
        <w:rPr>
          <w:rFonts w:hint="eastAsia"/>
        </w:rPr>
        <w:t>。”</w:t>
      </w:r>
      <w:r>
        <w:rPr>
          <w:rFonts w:hint="eastAsia"/>
          <w:sz w:val="21"/>
          <w:szCs w:val="21"/>
        </w:rPr>
        <w:t xml:space="preserve"> </w:t>
      </w:r>
      <w:r>
        <w:rPr>
          <w:rFonts w:hint="eastAsia"/>
        </w:rPr>
        <w:t>如发包人接受</w:t>
      </w:r>
      <w:r>
        <w:rPr>
          <w:rFonts w:hint="eastAsia"/>
          <w:lang w:eastAsia="zh-CN"/>
        </w:rPr>
        <w:t>履约</w:t>
      </w:r>
      <w:r>
        <w:t>保函</w:t>
      </w:r>
      <w:r>
        <w:rPr>
          <w:rFonts w:hint="eastAsia"/>
        </w:rPr>
        <w:t>采用固定有效</w:t>
      </w:r>
      <w:r>
        <w:t>期，</w:t>
      </w:r>
      <w:r>
        <w:rPr>
          <w:rFonts w:hint="eastAsia"/>
        </w:rPr>
        <w:t>在项目</w:t>
      </w:r>
      <w:r>
        <w:t>专用合同条款中</w:t>
      </w:r>
      <w:r>
        <w:rPr>
          <w:rFonts w:hint="eastAsia"/>
        </w:rPr>
        <w:t>应</w:t>
      </w:r>
      <w:r>
        <w:t>增加</w:t>
      </w:r>
      <w:r>
        <w:rPr>
          <w:rFonts w:hint="eastAsia"/>
          <w:lang w:eastAsia="zh-CN"/>
        </w:rPr>
        <w:t>保证</w:t>
      </w:r>
      <w:r>
        <w:rPr>
          <w:rFonts w:hint="eastAsia"/>
        </w:rPr>
        <w:t>承包人在</w:t>
      </w:r>
      <w:r>
        <w:rPr>
          <w:rFonts w:hint="eastAsia"/>
          <w:lang w:eastAsia="zh-CN"/>
        </w:rPr>
        <w:t>履约</w:t>
      </w:r>
      <w:r>
        <w:t>保函失效</w:t>
      </w:r>
      <w:r>
        <w:rPr>
          <w:rFonts w:hint="eastAsia"/>
          <w:lang w:eastAsia="zh-CN"/>
        </w:rPr>
        <w:t>日</w:t>
      </w:r>
      <w:r>
        <w:t>前向发包人出具后续阶段履约保函</w:t>
      </w:r>
      <w:r>
        <w:rPr>
          <w:rFonts w:hint="eastAsia"/>
          <w:lang w:eastAsia="zh-CN"/>
        </w:rPr>
        <w:t>的</w:t>
      </w:r>
      <w:r>
        <w:rPr>
          <w:rFonts w:hint="eastAsia"/>
        </w:rPr>
        <w:t>约束</w:t>
      </w:r>
      <w:r>
        <w:rPr>
          <w:rFonts w:hint="eastAsia"/>
          <w:lang w:eastAsia="zh-CN"/>
        </w:rPr>
        <w:t>性</w:t>
      </w:r>
      <w:r>
        <w:rPr>
          <w:lang w:eastAsia="zh-CN"/>
        </w:rPr>
        <w:t>条款</w:t>
      </w:r>
      <w:r>
        <w:t>，直至发包人签发交工验收证书</w:t>
      </w:r>
      <w:r>
        <w:rPr>
          <w:rFonts w:hint="eastAsia"/>
        </w:rPr>
        <w:t>且承包人按照合同约定缴纳质量保证金</w:t>
      </w:r>
      <w:r>
        <w:t>之日</w:t>
      </w:r>
      <w:r>
        <w:rPr>
          <w:rFonts w:hint="eastAsia"/>
          <w:lang w:eastAsia="zh-CN"/>
        </w:rPr>
        <w:t>为止</w:t>
      </w:r>
      <w:r>
        <w:t>。</w:t>
      </w:r>
    </w:p>
  </w:footnote>
  <w:footnote w:id="44">
    <w:p w14:paraId="4A7CFD37">
      <w:pPr>
        <w:pStyle w:val="31"/>
        <w:snapToGrid w:val="0"/>
      </w:pPr>
      <w:r>
        <w:rPr>
          <w:rStyle w:val="48"/>
          <w:kern w:val="2"/>
          <w:sz w:val="21"/>
          <w:szCs w:val="24"/>
        </w:rPr>
        <w:footnoteRef/>
      </w:r>
      <w:r>
        <w:rPr>
          <w:rFonts w:hint="eastAsia"/>
          <w:lang w:val="en-US" w:eastAsia="zh-CN"/>
        </w:rPr>
        <w:t>本工程量清单仅</w:t>
      </w:r>
      <w:r>
        <w:rPr>
          <w:rFonts w:hint="eastAsia"/>
        </w:rPr>
        <w:t>适用</w:t>
      </w:r>
      <w:r>
        <w:rPr>
          <w:rFonts w:hint="eastAsia"/>
          <w:lang w:val="en-US" w:eastAsia="zh-CN"/>
        </w:rPr>
        <w:t>于</w:t>
      </w:r>
      <w:r>
        <w:rPr>
          <w:rFonts w:hint="eastAsia"/>
        </w:rPr>
        <w:t>建设项目，养护工程项目</w:t>
      </w:r>
      <w:r>
        <w:rPr>
          <w:rFonts w:hint="eastAsia"/>
          <w:lang w:eastAsia="zh-CN"/>
        </w:rPr>
        <w:t>的</w:t>
      </w:r>
      <w:r>
        <w:rPr>
          <w:rFonts w:hint="eastAsia"/>
          <w:lang w:val="en-US" w:eastAsia="zh-CN"/>
        </w:rPr>
        <w:t>工程量清单应</w:t>
      </w:r>
      <w:r>
        <w:rPr>
          <w:rFonts w:hint="eastAsia"/>
        </w:rPr>
        <w:t>参照</w:t>
      </w:r>
      <w:r>
        <w:rPr>
          <w:rFonts w:hint="eastAsia"/>
          <w:lang w:val="en-US" w:eastAsia="zh-CN"/>
        </w:rPr>
        <w:t>执行</w:t>
      </w:r>
    </w:p>
  </w:footnote>
  <w:footnote w:id="45">
    <w:p w14:paraId="6633A2D5">
      <w:pPr>
        <w:widowControl w:val="0"/>
        <w:adjustRightInd w:val="0"/>
        <w:snapToGrid w:val="0"/>
        <w:spacing w:line="240" w:lineRule="auto"/>
        <w:ind w:left="126" w:hanging="147" w:hangingChars="70"/>
        <w:jc w:val="both"/>
        <w:textAlignment w:val="baseline"/>
        <w:rPr>
          <w:rFonts w:ascii="Times New Roman" w:hAnsi="Times New Roman" w:eastAsia="宋体" w:cs="Times New Roman"/>
          <w:kern w:val="0"/>
          <w:sz w:val="18"/>
          <w:szCs w:val="20"/>
          <w:lang w:val="en-US" w:eastAsia="zh-CN" w:bidi="ar-SA"/>
        </w:rPr>
      </w:pPr>
      <w:r>
        <w:rPr>
          <w:rFonts w:ascii="Times New Roman" w:hAnsi="Times New Roman" w:eastAsia="宋体" w:cs="Times New Roman"/>
          <w:kern w:val="2"/>
          <w:sz w:val="21"/>
          <w:szCs w:val="24"/>
          <w:vertAlign w:val="superscript"/>
          <w:lang w:val="en-US" w:eastAsia="zh-CN" w:bidi="ar-SA"/>
        </w:rPr>
        <w:footnoteRef/>
      </w:r>
      <w:r>
        <w:rPr>
          <w:rFonts w:hint="eastAsia" w:ascii="Times New Roman" w:hAnsi="Times New Roman" w:eastAsia="宋体" w:cs="Times New Roman"/>
          <w:kern w:val="0"/>
          <w:sz w:val="18"/>
          <w:szCs w:val="20"/>
          <w:lang w:val="en-US" w:eastAsia="zh-CN" w:bidi="ar-SA"/>
        </w:rPr>
        <w:t>详见《公路工程标准施工招标文件》（2018年版第</w:t>
      </w:r>
      <w:r>
        <w:rPr>
          <w:rFonts w:hint="eastAsia" w:cs="Times New Roman"/>
          <w:kern w:val="0"/>
          <w:sz w:val="18"/>
          <w:szCs w:val="20"/>
          <w:lang w:val="en-US" w:eastAsia="zh-CN" w:bidi="ar-SA"/>
        </w:rPr>
        <w:t>二</w:t>
      </w:r>
      <w:r>
        <w:rPr>
          <w:rFonts w:hint="eastAsia" w:ascii="Times New Roman" w:hAnsi="Times New Roman" w:eastAsia="宋体" w:cs="Times New Roman"/>
          <w:kern w:val="0"/>
          <w:sz w:val="18"/>
          <w:szCs w:val="20"/>
          <w:lang w:val="en-US" w:eastAsia="zh-CN" w:bidi="ar-SA"/>
        </w:rPr>
        <w:t>册），</w:t>
      </w:r>
      <w:r>
        <w:rPr>
          <w:rFonts w:ascii="Times New Roman" w:hAnsi="Times New Roman" w:eastAsia="宋体" w:cs="Times New Roman"/>
          <w:kern w:val="0"/>
          <w:sz w:val="18"/>
          <w:szCs w:val="20"/>
          <w:lang w:val="en-US" w:eastAsia="zh-CN" w:bidi="ar-SA"/>
        </w:rPr>
        <w:t>招标人或</w:t>
      </w:r>
      <w:r>
        <w:rPr>
          <w:rFonts w:hint="eastAsia" w:ascii="Times New Roman" w:hAnsi="Times New Roman" w:eastAsia="宋体" w:cs="Times New Roman"/>
          <w:kern w:val="0"/>
          <w:sz w:val="18"/>
          <w:szCs w:val="20"/>
          <w:lang w:val="en-US" w:eastAsia="zh-CN" w:bidi="ar-SA"/>
        </w:rPr>
        <w:t>招标人</w:t>
      </w:r>
      <w:r>
        <w:rPr>
          <w:rFonts w:ascii="Times New Roman" w:hAnsi="Times New Roman" w:eastAsia="宋体" w:cs="Times New Roman"/>
          <w:kern w:val="0"/>
          <w:sz w:val="18"/>
          <w:szCs w:val="20"/>
          <w:lang w:val="en-US" w:eastAsia="zh-CN" w:bidi="ar-SA"/>
        </w:rPr>
        <w:t>委托的</w:t>
      </w:r>
      <w:r>
        <w:rPr>
          <w:rFonts w:hint="eastAsia" w:ascii="Times New Roman" w:hAnsi="Times New Roman" w:eastAsia="宋体" w:cs="Times New Roman"/>
          <w:kern w:val="0"/>
          <w:sz w:val="18"/>
          <w:szCs w:val="20"/>
          <w:lang w:val="en-US" w:eastAsia="zh-CN" w:bidi="ar-SA"/>
        </w:rPr>
        <w:t>咨询</w:t>
      </w:r>
      <w:r>
        <w:rPr>
          <w:rFonts w:ascii="Times New Roman" w:hAnsi="Times New Roman" w:eastAsia="宋体" w:cs="Times New Roman"/>
          <w:kern w:val="0"/>
          <w:sz w:val="18"/>
          <w:szCs w:val="20"/>
          <w:lang w:val="en-US" w:eastAsia="zh-CN" w:bidi="ar-SA"/>
        </w:rPr>
        <w:t>单位</w:t>
      </w:r>
      <w:r>
        <w:rPr>
          <w:rFonts w:hint="eastAsia" w:ascii="Times New Roman" w:hAnsi="Times New Roman" w:eastAsia="宋体" w:cs="Times New Roman"/>
          <w:kern w:val="0"/>
          <w:sz w:val="18"/>
          <w:szCs w:val="20"/>
          <w:lang w:val="en-US" w:eastAsia="zh-CN" w:bidi="ar-SA"/>
        </w:rPr>
        <w:t>可</w:t>
      </w:r>
      <w:r>
        <w:rPr>
          <w:rFonts w:ascii="Times New Roman" w:hAnsi="Times New Roman" w:eastAsia="宋体" w:cs="Times New Roman"/>
          <w:kern w:val="0"/>
          <w:sz w:val="18"/>
          <w:szCs w:val="20"/>
          <w:lang w:val="en-US" w:eastAsia="zh-CN" w:bidi="ar-SA"/>
        </w:rPr>
        <w:t>依据招标图纸文件，按照交通运输部《公路工程标准施工招标文件》“第七章技术规范”、“第八章工程量清单计量规则”中相关规定，根据项目特点和实际情况进行编制，向投标人免费提供下载。</w:t>
      </w:r>
    </w:p>
  </w:footnote>
  <w:footnote w:id="46">
    <w:p w14:paraId="10BF0FCB">
      <w:pPr>
        <w:widowControl w:val="0"/>
        <w:adjustRightInd w:val="0"/>
        <w:snapToGrid w:val="0"/>
        <w:spacing w:line="240" w:lineRule="auto"/>
        <w:ind w:left="126" w:hanging="147" w:hangingChars="70"/>
        <w:jc w:val="both"/>
        <w:textAlignment w:val="baseline"/>
        <w:rPr>
          <w:rFonts w:ascii="Times New Roman" w:hAnsi="Times New Roman" w:eastAsia="宋体" w:cs="Times New Roman"/>
          <w:kern w:val="0"/>
          <w:sz w:val="18"/>
          <w:szCs w:val="20"/>
          <w:lang w:val="en-US" w:eastAsia="zh-CN" w:bidi="ar-SA"/>
        </w:rPr>
      </w:pPr>
      <w:r>
        <w:rPr>
          <w:rFonts w:ascii="Times New Roman" w:hAnsi="Times New Roman" w:eastAsia="宋体" w:cs="Times New Roman"/>
          <w:kern w:val="2"/>
          <w:sz w:val="21"/>
          <w:szCs w:val="24"/>
          <w:vertAlign w:val="superscript"/>
          <w:lang w:val="en-US" w:eastAsia="zh-CN" w:bidi="ar-SA"/>
        </w:rPr>
        <w:footnoteRef/>
      </w:r>
      <w:r>
        <w:rPr>
          <w:rFonts w:hint="eastAsia" w:ascii="Times New Roman" w:hAnsi="Times New Roman" w:eastAsia="宋体" w:cs="Times New Roman"/>
          <w:kern w:val="0"/>
          <w:sz w:val="18"/>
          <w:szCs w:val="20"/>
          <w:lang w:val="en-US" w:eastAsia="zh-CN" w:bidi="ar-SA"/>
        </w:rPr>
        <w:t>详见《公路工程标准施工招标文件》（2018年版第三册），</w:t>
      </w:r>
      <w:r>
        <w:rPr>
          <w:rFonts w:ascii="Times New Roman" w:hAnsi="Times New Roman" w:eastAsia="宋体" w:cs="Times New Roman"/>
          <w:kern w:val="0"/>
          <w:sz w:val="18"/>
          <w:szCs w:val="20"/>
          <w:lang w:val="en-US" w:eastAsia="zh-CN" w:bidi="ar-SA"/>
        </w:rPr>
        <w:t>招标人或</w:t>
      </w:r>
      <w:r>
        <w:rPr>
          <w:rFonts w:hint="eastAsia" w:ascii="Times New Roman" w:hAnsi="Times New Roman" w:eastAsia="宋体" w:cs="Times New Roman"/>
          <w:kern w:val="0"/>
          <w:sz w:val="18"/>
          <w:szCs w:val="20"/>
          <w:lang w:val="en-US" w:eastAsia="zh-CN" w:bidi="ar-SA"/>
        </w:rPr>
        <w:t>招标人</w:t>
      </w:r>
      <w:r>
        <w:rPr>
          <w:rFonts w:ascii="Times New Roman" w:hAnsi="Times New Roman" w:eastAsia="宋体" w:cs="Times New Roman"/>
          <w:kern w:val="0"/>
          <w:sz w:val="18"/>
          <w:szCs w:val="20"/>
          <w:lang w:val="en-US" w:eastAsia="zh-CN" w:bidi="ar-SA"/>
        </w:rPr>
        <w:t>委托的</w:t>
      </w:r>
      <w:r>
        <w:rPr>
          <w:rFonts w:hint="eastAsia" w:ascii="Times New Roman" w:hAnsi="Times New Roman" w:eastAsia="宋体" w:cs="Times New Roman"/>
          <w:kern w:val="0"/>
          <w:sz w:val="18"/>
          <w:szCs w:val="20"/>
          <w:lang w:val="en-US" w:eastAsia="zh-CN" w:bidi="ar-SA"/>
        </w:rPr>
        <w:t>咨询</w:t>
      </w:r>
      <w:r>
        <w:rPr>
          <w:rFonts w:ascii="Times New Roman" w:hAnsi="Times New Roman" w:eastAsia="宋体" w:cs="Times New Roman"/>
          <w:kern w:val="0"/>
          <w:sz w:val="18"/>
          <w:szCs w:val="20"/>
          <w:lang w:val="en-US" w:eastAsia="zh-CN" w:bidi="ar-SA"/>
        </w:rPr>
        <w:t>单位</w:t>
      </w:r>
      <w:r>
        <w:rPr>
          <w:rFonts w:hint="eastAsia" w:ascii="Times New Roman" w:hAnsi="Times New Roman" w:eastAsia="宋体" w:cs="Times New Roman"/>
          <w:kern w:val="0"/>
          <w:sz w:val="18"/>
          <w:szCs w:val="20"/>
          <w:lang w:val="en-US" w:eastAsia="zh-CN" w:bidi="ar-SA"/>
        </w:rPr>
        <w:t>可</w:t>
      </w:r>
      <w:r>
        <w:rPr>
          <w:rFonts w:ascii="Times New Roman" w:hAnsi="Times New Roman" w:eastAsia="宋体" w:cs="Times New Roman"/>
          <w:kern w:val="0"/>
          <w:sz w:val="18"/>
          <w:szCs w:val="20"/>
          <w:lang w:val="en-US" w:eastAsia="zh-CN" w:bidi="ar-SA"/>
        </w:rPr>
        <w:t>依据招标图纸文件，按照交通运输部《公路工程标准施工招标文件》“第七章技术规范”、“第八章工程量清单计量规则”中相关规定，根据项目特点和实际情况进行编制，向投标人免费提供下载。</w:t>
      </w:r>
    </w:p>
  </w:footnote>
  <w:footnote w:id="47">
    <w:p w14:paraId="5D52AF59">
      <w:pPr>
        <w:pStyle w:val="31"/>
        <w:ind w:left="210" w:hanging="210"/>
        <w:rPr>
          <w:rFonts w:hint="eastAsia"/>
          <w:szCs w:val="18"/>
        </w:rPr>
      </w:pPr>
      <w:r>
        <w:rPr>
          <w:rStyle w:val="48"/>
          <w:szCs w:val="18"/>
        </w:rPr>
        <w:footnoteRef/>
      </w:r>
      <w:r>
        <w:rPr>
          <w:rFonts w:hint="eastAsia"/>
          <w:szCs w:val="18"/>
        </w:rPr>
        <w:t>招标人可结合招标项目具体特点和实际需要，对本章内容进行补充、细化。</w:t>
      </w:r>
    </w:p>
  </w:footnote>
  <w:footnote w:id="48">
    <w:p w14:paraId="10A26383">
      <w:pPr>
        <w:pStyle w:val="31"/>
        <w:spacing w:line="300" w:lineRule="atLeast"/>
        <w:ind w:left="180" w:hanging="180" w:hangingChars="100"/>
        <w:jc w:val="both"/>
        <w:rPr>
          <w:rFonts w:hint="eastAsia" w:hAnsi="宋体"/>
          <w:szCs w:val="18"/>
        </w:rPr>
      </w:pPr>
      <w:r>
        <w:rPr>
          <w:rStyle w:val="48"/>
          <w:rFonts w:ascii="宋体" w:hAnsi="宋体"/>
          <w:szCs w:val="18"/>
        </w:rPr>
        <w:footnoteRef/>
      </w:r>
      <w:r>
        <w:rPr>
          <w:rFonts w:hint="eastAsia" w:hAnsi="宋体"/>
          <w:szCs w:val="18"/>
          <w:lang w:eastAsia="zh-CN"/>
        </w:rPr>
        <w:t xml:space="preserve"> </w:t>
      </w:r>
      <w:r>
        <w:rPr>
          <w:rFonts w:hAnsi="宋体"/>
          <w:szCs w:val="18"/>
        </w:rPr>
        <w:t>本</w:t>
      </w:r>
      <w:r>
        <w:rPr>
          <w:rFonts w:hint="eastAsia" w:hAnsi="宋体"/>
          <w:szCs w:val="18"/>
          <w:lang w:eastAsia="zh-CN"/>
        </w:rPr>
        <w:t>条款</w:t>
      </w:r>
      <w:r>
        <w:rPr>
          <w:rFonts w:hAnsi="宋体"/>
          <w:szCs w:val="18"/>
        </w:rPr>
        <w:t>不适用于已按资格招标文件要求提供了其他管理和技术人员</w:t>
      </w:r>
      <w:r>
        <w:rPr>
          <w:rFonts w:hint="eastAsia" w:hAnsi="宋体"/>
          <w:szCs w:val="18"/>
        </w:rPr>
        <w:t>、</w:t>
      </w:r>
      <w:r>
        <w:rPr>
          <w:rFonts w:hAnsi="宋体"/>
          <w:szCs w:val="18"/>
        </w:rPr>
        <w:t>主要机械设备和试验检测设备的</w:t>
      </w:r>
      <w:r>
        <w:rPr>
          <w:rFonts w:hint="eastAsia" w:hAnsi="宋体"/>
          <w:szCs w:val="18"/>
        </w:rPr>
        <w:t>项目。</w:t>
      </w:r>
    </w:p>
  </w:footnote>
  <w:footnote w:id="49">
    <w:p w14:paraId="5DF9C02F">
      <w:pPr>
        <w:pStyle w:val="31"/>
        <w:spacing w:line="300" w:lineRule="atLeast"/>
        <w:ind w:left="180" w:hanging="210" w:hangingChars="100"/>
        <w:rPr>
          <w:szCs w:val="18"/>
        </w:rPr>
      </w:pPr>
      <w:r>
        <w:rPr>
          <w:rStyle w:val="48"/>
          <w:kern w:val="2"/>
          <w:sz w:val="21"/>
          <w:szCs w:val="18"/>
        </w:rPr>
        <w:footnoteRef/>
      </w:r>
      <w:r>
        <w:rPr>
          <w:rFonts w:hint="eastAsia"/>
          <w:szCs w:val="18"/>
          <w:lang w:val="en-US" w:eastAsia="zh-CN"/>
        </w:rPr>
        <w:t>若联合体协议书采用线下签署方式，投标人应</w:t>
      </w:r>
      <w:r>
        <w:rPr>
          <w:rFonts w:hint="eastAsia"/>
          <w:szCs w:val="18"/>
        </w:rPr>
        <w:t>附</w:t>
      </w:r>
      <w:r>
        <w:rPr>
          <w:rFonts w:hint="eastAsia"/>
          <w:szCs w:val="18"/>
          <w:lang w:val="en-US" w:eastAsia="zh-CN"/>
        </w:rPr>
        <w:t>所有成员签字盖章后的</w:t>
      </w:r>
      <w:r>
        <w:rPr>
          <w:rFonts w:hint="eastAsia"/>
          <w:szCs w:val="18"/>
        </w:rPr>
        <w:t>联合体协议书</w:t>
      </w:r>
      <w:r>
        <w:rPr>
          <w:rFonts w:hint="eastAsia"/>
          <w:szCs w:val="18"/>
          <w:lang w:val="en-US" w:eastAsia="zh-CN"/>
        </w:rPr>
        <w:t>原件扫描件</w:t>
      </w:r>
      <w:r>
        <w:rPr>
          <w:rFonts w:hint="eastAsia"/>
          <w:szCs w:val="18"/>
          <w:highlight w:val="none"/>
          <w:lang w:val="en-US" w:eastAsia="zh-CN"/>
        </w:rPr>
        <w:t>。</w:t>
      </w:r>
    </w:p>
  </w:footnote>
  <w:footnote w:id="50">
    <w:p w14:paraId="26A90EE9">
      <w:pPr>
        <w:pStyle w:val="31"/>
        <w:snapToGrid w:val="0"/>
        <w:ind w:firstLine="0"/>
        <w:rPr>
          <w:rFonts w:hint="default" w:eastAsia="宋体"/>
          <w:lang w:val="en-US" w:eastAsia="zh-CN"/>
        </w:rPr>
      </w:pPr>
      <w:r>
        <w:rPr>
          <w:rStyle w:val="48"/>
        </w:rPr>
        <w:footnoteRef/>
      </w:r>
      <w:r>
        <w:t xml:space="preserve"> </w:t>
      </w:r>
      <w:r>
        <w:rPr>
          <w:rFonts w:hint="eastAsia"/>
          <w:lang w:val="en-US" w:eastAsia="zh-CN"/>
        </w:rPr>
        <w:t>牵头人承担施工的份额不得低于联合体其他成员。</w:t>
      </w:r>
    </w:p>
  </w:footnote>
  <w:footnote w:id="51">
    <w:p w14:paraId="75988817">
      <w:pPr>
        <w:pStyle w:val="31"/>
        <w:spacing w:line="300" w:lineRule="atLeast"/>
        <w:ind w:left="180" w:hanging="180" w:hangingChars="100"/>
        <w:rPr>
          <w:rFonts w:hint="eastAsia" w:ascii="宋体-18030" w:hAnsi="宋体-18030" w:eastAsia="宋体-18030" w:cs="宋体-18030"/>
          <w:szCs w:val="18"/>
        </w:rPr>
      </w:pPr>
      <w:r>
        <w:rPr>
          <w:rStyle w:val="48"/>
          <w:rFonts w:ascii="宋体-18030" w:hAnsi="宋体-18030" w:eastAsia="宋体-18030" w:cs="宋体-18030"/>
          <w:szCs w:val="18"/>
        </w:rPr>
        <w:footnoteRef/>
      </w:r>
      <w:r>
        <w:rPr>
          <w:rFonts w:hint="eastAsia"/>
          <w:szCs w:val="18"/>
        </w:rPr>
        <w:t>招标人要求投标人提供银行信贷证明是为了避免投标人中标后因流动资金不足而影响工程施工，招标人可根据招标项目具体特点和实际情况选择是否要求投标人提供银行信贷证明。如采用银行信贷证明，</w:t>
      </w:r>
      <w:r>
        <w:rPr>
          <w:rFonts w:hint="eastAsia" w:ascii="宋体" w:hAnsi="宋体" w:cs="宋体-18030"/>
          <w:szCs w:val="18"/>
        </w:rPr>
        <w:t>招标人应在此规定开具信贷证明的银行级别。</w:t>
      </w:r>
    </w:p>
  </w:footnote>
  <w:footnote w:id="52">
    <w:p w14:paraId="7B05DDBF">
      <w:pPr>
        <w:pStyle w:val="31"/>
        <w:ind w:firstLine="0"/>
        <w:jc w:val="both"/>
        <w:rPr>
          <w:rFonts w:hint="eastAsia" w:ascii="宋体" w:hAnsi="宋体"/>
          <w:szCs w:val="18"/>
        </w:rPr>
      </w:pPr>
      <w:r>
        <w:rPr>
          <w:rStyle w:val="48"/>
          <w:rFonts w:ascii="宋体" w:hAnsi="宋体"/>
          <w:szCs w:val="18"/>
        </w:rPr>
        <w:footnoteRef/>
      </w:r>
      <w:r>
        <w:rPr>
          <w:rFonts w:hint="eastAsia" w:ascii="宋体" w:hAnsi="宋体"/>
          <w:szCs w:val="18"/>
        </w:rPr>
        <w:t>本表</w:t>
      </w:r>
      <w:r>
        <w:rPr>
          <w:rFonts w:hint="eastAsia"/>
          <w:szCs w:val="18"/>
        </w:rPr>
        <w:t>仅适用于特别复杂的特大桥梁和特长隧道项目主体工程以及其他有特殊要求的工程。</w:t>
      </w:r>
    </w:p>
  </w:footnote>
  <w:footnote w:id="53">
    <w:p w14:paraId="0EB27F2C">
      <w:pPr>
        <w:pStyle w:val="31"/>
        <w:ind w:firstLine="0"/>
        <w:jc w:val="both"/>
        <w:rPr>
          <w:rFonts w:hint="eastAsia" w:ascii="宋体" w:hAnsi="宋体"/>
          <w:szCs w:val="18"/>
        </w:rPr>
      </w:pPr>
      <w:r>
        <w:rPr>
          <w:rStyle w:val="48"/>
          <w:rFonts w:ascii="宋体" w:hAnsi="宋体"/>
          <w:szCs w:val="18"/>
        </w:rPr>
        <w:footnoteRef/>
      </w:r>
      <w:r>
        <w:rPr>
          <w:rFonts w:hint="eastAsia" w:ascii="宋体" w:hAnsi="宋体"/>
          <w:szCs w:val="18"/>
        </w:rPr>
        <w:t>本表</w:t>
      </w:r>
      <w:r>
        <w:rPr>
          <w:rFonts w:hint="eastAsia"/>
          <w:szCs w:val="18"/>
        </w:rPr>
        <w:t>仅适用于特别复杂的特大桥梁和特长隧道项目主体工程以及其他有特殊要求的工程。</w:t>
      </w:r>
    </w:p>
  </w:footnote>
  <w:footnote w:id="54">
    <w:p w14:paraId="584722E4">
      <w:pPr>
        <w:pStyle w:val="31"/>
        <w:ind w:firstLine="0"/>
        <w:jc w:val="both"/>
        <w:rPr>
          <w:rFonts w:hint="eastAsia" w:ascii="宋体" w:hAnsi="宋体"/>
          <w:sz w:val="21"/>
          <w:szCs w:val="21"/>
        </w:rPr>
      </w:pPr>
      <w:r>
        <w:rPr>
          <w:rStyle w:val="48"/>
          <w:rFonts w:ascii="宋体" w:hAnsi="宋体"/>
        </w:rPr>
        <w:footnoteRef/>
      </w:r>
      <w:r>
        <w:rPr>
          <w:rFonts w:hint="eastAsia" w:ascii="宋体" w:hAnsi="宋体"/>
          <w:szCs w:val="18"/>
        </w:rPr>
        <w:t>本表仅适用于特别复杂的特大桥梁和特长隧道项目主体工程以及其他有特殊要求的工程。</w:t>
      </w:r>
    </w:p>
  </w:footnote>
  <w:footnote w:id="55">
    <w:p w14:paraId="1D02DD29">
      <w:pPr>
        <w:pStyle w:val="31"/>
        <w:ind w:firstLine="0"/>
        <w:jc w:val="both"/>
        <w:rPr>
          <w:rFonts w:hint="eastAsia" w:ascii="宋体" w:hAnsi="宋体"/>
          <w:szCs w:val="18"/>
        </w:rPr>
      </w:pPr>
      <w:r>
        <w:rPr>
          <w:rStyle w:val="48"/>
          <w:rFonts w:ascii="宋体" w:hAnsi="宋体"/>
          <w:szCs w:val="18"/>
        </w:rPr>
        <w:footnoteRef/>
      </w:r>
      <w:r>
        <w:rPr>
          <w:rFonts w:hint="eastAsia" w:ascii="宋体" w:hAnsi="宋体"/>
          <w:szCs w:val="18"/>
        </w:rPr>
        <w:t>本表</w:t>
      </w:r>
      <w:r>
        <w:rPr>
          <w:rFonts w:hint="eastAsia"/>
          <w:szCs w:val="18"/>
        </w:rPr>
        <w:t>仅适用于特别复杂的特大桥梁和特长隧道项目主体工程以及其他有特殊要求的工程。</w:t>
      </w:r>
    </w:p>
  </w:footnote>
  <w:footnote w:id="56">
    <w:p w14:paraId="164982FA">
      <w:pPr>
        <w:widowControl w:val="0"/>
        <w:adjustRightInd w:val="0"/>
        <w:snapToGrid w:val="0"/>
        <w:spacing w:line="420" w:lineRule="atLeast"/>
        <w:ind w:firstLine="454"/>
        <w:jc w:val="left"/>
        <w:textAlignment w:val="baseline"/>
        <w:rPr>
          <w:rFonts w:hint="default" w:ascii="Times New Roman" w:hAnsi="Times New Roman" w:eastAsia="宋体" w:cs="Times New Roman"/>
          <w:kern w:val="0"/>
          <w:sz w:val="18"/>
          <w:szCs w:val="20"/>
          <w:lang w:val="en-US" w:eastAsia="zh-CN" w:bidi="ar-SA"/>
        </w:rPr>
      </w:pPr>
      <w:r>
        <w:rPr>
          <w:rFonts w:ascii="Times New Roman" w:hAnsi="Times New Roman" w:eastAsia="宋体" w:cs="Times New Roman"/>
          <w:kern w:val="2"/>
          <w:sz w:val="21"/>
          <w:szCs w:val="24"/>
          <w:vertAlign w:val="superscript"/>
          <w:lang w:val="en-US" w:eastAsia="zh-CN" w:bidi="ar-SA"/>
        </w:rPr>
        <w:footnoteRef/>
      </w:r>
      <w:r>
        <w:rPr>
          <w:rFonts w:hint="eastAsia" w:ascii="Times New Roman" w:hAnsi="Times New Roman" w:eastAsia="宋体" w:cs="Times New Roman"/>
          <w:kern w:val="0"/>
          <w:sz w:val="18"/>
          <w:szCs w:val="20"/>
          <w:lang w:val="en-US" w:eastAsia="zh-CN" w:bidi="ar-SA"/>
        </w:rPr>
        <w:t>若本次招标接受联合体投标，以联合体形式参与投标的投标人，联合体各成员应分别填写信息。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03D8A">
    <w:pPr>
      <w:pStyle w:val="28"/>
      <w:pBdr>
        <w:bottom w:val="none" w:color="auto" w:sz="0" w:space="0"/>
      </w:pBdr>
      <w:tabs>
        <w:tab w:val="left" w:pos="464"/>
        <w:tab w:val="center" w:pos="4397"/>
        <w:tab w:val="right" w:pos="8675"/>
        <w:tab w:val="clear" w:pos="8306"/>
      </w:tabs>
      <w:jc w:val="left"/>
      <w:rPr>
        <w:u w:val="single"/>
      </w:rPr>
    </w:pPr>
    <w:r>
      <w:rPr>
        <w:rFonts w:hint="eastAsia" w:eastAsia="黑体" w:cs="Times New Roman"/>
        <w:sz w:val="20"/>
        <w:szCs w:val="21"/>
        <w:u w:val="single"/>
        <w:lang w:eastAsia="zh-CN"/>
      </w:rPr>
      <w:t>辽宁省公路工程标准施工电子招标文件（2025年版）</w:t>
    </w:r>
    <w:r>
      <w:rPr>
        <w:rFonts w:hint="eastAsia" w:eastAsia="黑体" w:cs="Times New Roman"/>
        <w:sz w:val="20"/>
        <w:szCs w:val="21"/>
        <w:u w:val="single"/>
        <w:lang w:eastAsia="zh-CN"/>
      </w:rPr>
      <w:tab/>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872F1">
    <w:pPr>
      <w:pStyle w:val="28"/>
      <w:rPr>
        <w:rFonts w:hint="eastAsia" w:eastAsia="宋体"/>
        <w:lang w:eastAsia="zh-CN"/>
      </w:rPr>
    </w:pPr>
    <w:r>
      <w:rPr>
        <w:rFonts w:hint="eastAsia" w:eastAsia="黑体" w:cs="Times New Roman"/>
        <w:sz w:val="20"/>
        <w:szCs w:val="21"/>
        <w:lang w:eastAsia="zh-CN"/>
      </w:rPr>
      <w:t>辽宁省公路工程标准施工电子招标文件（2025年版）</w:t>
    </w:r>
  </w:p>
  <w:p w14:paraId="28B51BF8">
    <w:pPr>
      <w:pStyle w:val="28"/>
    </w:pPr>
  </w:p>
  <w:p w14:paraId="4C11D0E5">
    <w:pPr>
      <w:pStyle w:val="28"/>
      <w:rPr>
        <w:szCs w:val="17"/>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1EA5F0">
    <w:pPr>
      <w:pStyle w:val="28"/>
      <w:pBdr>
        <w:bottom w:val="single" w:color="auto" w:sz="4" w:space="0"/>
      </w:pBdr>
      <w:topLinePunct/>
      <w:spacing w:line="240" w:lineRule="atLeast"/>
      <w:ind w:right="0"/>
      <w:jc w:val="left"/>
      <w:rPr>
        <w:sz w:val="17"/>
        <w:szCs w:val="17"/>
      </w:rPr>
    </w:pPr>
    <w:r>
      <w:rPr>
        <w:rFonts w:hint="eastAsia" w:eastAsia="黑体" w:cs="Times New Roman"/>
        <w:sz w:val="20"/>
        <w:szCs w:val="21"/>
        <w:lang w:eastAsia="zh-CN"/>
      </w:rPr>
      <w:t>辽宁省公路工程标准施工电子招标文件（2025年版）</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5A163">
    <w:pPr>
      <w:spacing w:line="222" w:lineRule="auto"/>
      <w:ind w:right="115"/>
      <w:jc w:val="right"/>
      <w:rPr>
        <w:rFonts w:ascii="黑体" w:hAnsi="黑体" w:eastAsia="黑体" w:cs="黑体"/>
        <w:sz w:val="22"/>
        <w:szCs w:val="22"/>
      </w:rPr>
    </w:pPr>
    <w:r>
      <mc:AlternateContent>
        <mc:Choice Requires="wps">
          <w:drawing>
            <wp:anchor distT="0" distB="0" distL="114300" distR="114300" simplePos="0" relativeHeight="251676672" behindDoc="0" locked="0" layoutInCell="0" allowOverlap="1">
              <wp:simplePos x="0" y="0"/>
              <wp:positionH relativeFrom="page">
                <wp:posOffset>899795</wp:posOffset>
              </wp:positionH>
              <wp:positionV relativeFrom="page">
                <wp:posOffset>734060</wp:posOffset>
              </wp:positionV>
              <wp:extent cx="5761355" cy="6350"/>
              <wp:effectExtent l="0" t="0" r="0" b="0"/>
              <wp:wrapNone/>
              <wp:docPr id="28" name="任意多边形 28"/>
              <wp:cNvGraphicFramePr/>
              <a:graphic xmlns:a="http://schemas.openxmlformats.org/drawingml/2006/main">
                <a:graphicData uri="http://schemas.microsoft.com/office/word/2010/wordprocessingShape">
                  <wps:wsp>
                    <wps:cNvSpPr/>
                    <wps:spPr>
                      <a:xfrm>
                        <a:off x="0" y="0"/>
                        <a:ext cx="5761355" cy="6350"/>
                      </a:xfrm>
                      <a:custGeom>
                        <a:avLst/>
                        <a:gdLst/>
                        <a:ahLst/>
                        <a:cxnLst/>
                        <a:pathLst>
                          <a:path w="9072" h="10">
                            <a:moveTo>
                              <a:pt x="0" y="0"/>
                            </a:moveTo>
                            <a:lnTo>
                              <a:pt x="9072" y="0"/>
                            </a:lnTo>
                            <a:lnTo>
                              <a:pt x="9072"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0.85pt;margin-top:57.8pt;height:0.5pt;width:453.65pt;mso-position-horizontal-relative:page;mso-position-vertical-relative:page;z-index:251676672;mso-width-relative:page;mso-height-relative:page;" fillcolor="#000000" filled="t" stroked="f" coordsize="9072,10" o:allowincell="f" o:gfxdata="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BlWPF3ZAAAADAEAAA8AAAAAAAAA&#10;AQAgAAAAIgAAAGRycy9kb3ducmV2LnhtbFBLAQIUABQAAAAIAIdO4kD0fVxlEAIAAHsEAAAOAAAA&#10;AAAAAAEAIAAAACgBAABkcnMvZTJvRG9jLnhtbFBLBQYAAAAABgAGAFkBAACqBQAAAAA=&#10;" path="m0,0l9072,0,9072,9,0,9,0,0xe">
              <v:fill on="t" focussize="0,0"/>
              <v:stroke on="f"/>
              <v:imagedata o:title=""/>
              <o:lock v:ext="edit" aspectratio="f"/>
            </v:shape>
          </w:pict>
        </mc:Fallback>
      </mc:AlternateContent>
    </w:r>
    <w:r>
      <w:rPr>
        <w:rFonts w:ascii="黑体" w:hAnsi="黑体" w:eastAsia="黑体" w:cs="黑体"/>
        <w:spacing w:val="-1"/>
        <w:sz w:val="22"/>
        <w:szCs w:val="22"/>
      </w:rPr>
      <w:t>第四章合同</w:t>
    </w:r>
    <w:r>
      <w:rPr>
        <w:rFonts w:ascii="黑体" w:hAnsi="黑体" w:eastAsia="黑体" w:cs="黑体"/>
        <w:sz w:val="22"/>
        <w:szCs w:val="22"/>
      </w:rPr>
      <w:t>条款及格式</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26F34">
    <w:pPr>
      <w:pStyle w:val="28"/>
      <w:pBdr>
        <w:bottom w:val="single" w:color="auto" w:sz="4" w:space="0"/>
      </w:pBdr>
      <w:topLinePunct/>
      <w:spacing w:line="240" w:lineRule="atLeast"/>
      <w:ind w:right="0"/>
      <w:jc w:val="left"/>
      <w:rPr>
        <w:sz w:val="17"/>
        <w:szCs w:val="17"/>
      </w:rPr>
    </w:pPr>
    <w:r>
      <w:rPr>
        <w:rFonts w:hint="eastAsia" w:eastAsia="黑体" w:cs="Times New Roman"/>
        <w:sz w:val="20"/>
        <w:szCs w:val="21"/>
        <w:lang w:eastAsia="zh-CN"/>
      </w:rPr>
      <w:t>辽宁省公路工程标准施工电子招标文件（2025年版）</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76ADA">
    <w:pPr>
      <w:pStyle w:val="28"/>
      <w:pBdr>
        <w:bottom w:val="single" w:color="auto" w:sz="4" w:space="0"/>
      </w:pBdr>
      <w:jc w:val="left"/>
      <w:rPr>
        <w:szCs w:val="17"/>
      </w:rPr>
    </w:pPr>
    <w:r>
      <w:rPr>
        <w:rFonts w:hint="eastAsia" w:eastAsia="黑体" w:cs="Times New Roman"/>
        <w:sz w:val="20"/>
        <w:szCs w:val="21"/>
        <w:lang w:eastAsia="zh-CN"/>
      </w:rPr>
      <w:t>辽宁省公路工程标准施工电子招标文件（2025年版）</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8E30F5">
    <w:pPr>
      <w:pStyle w:val="28"/>
      <w:pBdr>
        <w:bottom w:val="single" w:color="auto" w:sz="4" w:space="0"/>
      </w:pBdr>
      <w:jc w:val="left"/>
      <w:rPr>
        <w:szCs w:val="17"/>
      </w:rPr>
    </w:pPr>
    <w:r>
      <w:rPr>
        <w:rFonts w:hint="eastAsia" w:eastAsia="黑体" w:cs="Times New Roman"/>
        <w:sz w:val="20"/>
        <w:szCs w:val="21"/>
        <w:lang w:eastAsia="zh-CN"/>
      </w:rPr>
      <w:t>辽宁省公路工程标准施工电子招标文件（2025年版）</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E5153">
    <w:pPr>
      <w:pStyle w:val="28"/>
      <w:rPr>
        <w:rFonts w:hint="eastAsia" w:eastAsia="宋体"/>
        <w:lang w:eastAsia="zh-CN"/>
      </w:rPr>
    </w:pPr>
    <w:r>
      <w:rPr>
        <w:rFonts w:hint="eastAsia" w:eastAsia="黑体" w:cs="Times New Roman"/>
        <w:sz w:val="20"/>
        <w:szCs w:val="21"/>
        <w:lang w:eastAsia="zh-CN"/>
      </w:rPr>
      <w:t>辽宁省公路工程标准施工电子招标文件（2025年版）</w:t>
    </w:r>
  </w:p>
  <w:p w14:paraId="7BDF4D8F">
    <w:pPr>
      <w:pStyle w:val="28"/>
      <w:rPr>
        <w:szCs w:val="17"/>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918BA2">
    <w:pPr>
      <w:pStyle w:val="28"/>
      <w:wordWrap w:val="0"/>
      <w:jc w:val="right"/>
      <w:rPr>
        <w:sz w:val="17"/>
        <w:szCs w:val="17"/>
      </w:rPr>
    </w:pPr>
    <w:r>
      <w:rPr>
        <w:sz w:val="19"/>
        <w:szCs w:val="19"/>
      </w:rPr>
      <mc:AlternateContent>
        <mc:Choice Requires="wps">
          <w:drawing>
            <wp:anchor distT="0" distB="0" distL="114300" distR="114300" simplePos="0" relativeHeight="251672576" behindDoc="0" locked="0" layoutInCell="1" allowOverlap="1">
              <wp:simplePos x="0" y="0"/>
              <wp:positionH relativeFrom="column">
                <wp:posOffset>-45720</wp:posOffset>
              </wp:positionH>
              <wp:positionV relativeFrom="paragraph">
                <wp:posOffset>175895</wp:posOffset>
              </wp:positionV>
              <wp:extent cx="5343525" cy="0"/>
              <wp:effectExtent l="0" t="22225" r="3175" b="28575"/>
              <wp:wrapNone/>
              <wp:docPr id="58" name="直接连接符 58"/>
              <wp:cNvGraphicFramePr/>
              <a:graphic xmlns:a="http://schemas.openxmlformats.org/drawingml/2006/main">
                <a:graphicData uri="http://schemas.microsoft.com/office/word/2010/wordprocessingShape">
                  <wps:wsp>
                    <wps:cNvCnPr/>
                    <wps:spPr>
                      <a:xfrm>
                        <a:off x="0" y="0"/>
                        <a:ext cx="5343525" cy="0"/>
                      </a:xfrm>
                      <a:prstGeom prst="line">
                        <a:avLst/>
                      </a:prstGeom>
                      <a:ln w="44450" cap="flat" cmpd="thickThin">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6pt;margin-top:13.85pt;height:0pt;width:420.75pt;z-index:251672576;mso-width-relative:page;mso-height-relative:page;" filled="f" stroked="t" coordsize="21600,21600" o:gfxdata="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CKVl97WAAAACAEAAA8AAAAAAAAAAQAgAAAAIgAAAGRycy9kb3ducmV2LnhtbFBL&#10;AQIUABQAAAAIAIdO4kCyjue5+AEAAO8DAAAOAAAAAAAAAAEAIAAAACUBAABkcnMvZTJvRG9jLnht&#10;bFBLBQYAAAAABgAGAFkBAACPBQAAAAA=&#10;">
              <v:fill on="f" focussize="0,0"/>
              <v:stroke weight="3.5pt" color="#000000" linestyle="thickThin" joinstyle="round"/>
              <v:imagedata o:title=""/>
              <o:lock v:ext="edit" aspectratio="f"/>
            </v:line>
          </w:pict>
        </mc:Fallback>
      </mc:AlternateContent>
    </w:r>
    <w:r>
      <w:rPr>
        <w:rFonts w:hint="eastAsia"/>
        <w:sz w:val="17"/>
        <w:szCs w:val="17"/>
      </w:rPr>
      <w:t xml:space="preserve">     </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9A680">
    <w:pPr>
      <w:pStyle w:val="28"/>
      <w:pBdr>
        <w:bottom w:val="single" w:color="auto" w:sz="4" w:space="0"/>
      </w:pBdr>
      <w:wordWrap/>
      <w:topLinePunct/>
      <w:spacing w:line="240" w:lineRule="atLeast"/>
      <w:ind w:right="0"/>
      <w:jc w:val="left"/>
      <w:rPr>
        <w:sz w:val="17"/>
        <w:szCs w:val="17"/>
      </w:rPr>
    </w:pPr>
    <w:r>
      <w:rPr>
        <w:rFonts w:hint="eastAsia" w:eastAsia="黑体" w:cs="Times New Roman"/>
        <w:sz w:val="20"/>
        <w:szCs w:val="21"/>
        <w:lang w:eastAsia="zh-CN"/>
      </w:rPr>
      <w:t>辽宁省公路工程标准施工电子招标文件（2025年版）</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1FC647">
    <w:pPr>
      <w:pStyle w:val="28"/>
      <w:rPr>
        <w:rFonts w:hint="eastAsia" w:eastAsia="宋体"/>
        <w:lang w:eastAsia="zh-CN"/>
      </w:rPr>
    </w:pPr>
    <w:r>
      <w:rPr>
        <w:rFonts w:hint="eastAsia" w:eastAsia="黑体" w:cs="Times New Roman"/>
        <w:sz w:val="20"/>
        <w:szCs w:val="21"/>
        <w:lang w:eastAsia="zh-CN"/>
      </w:rPr>
      <w:t>辽宁省公路工程标准施工电子招标文件（2025年版）</w:t>
    </w:r>
  </w:p>
  <w:p w14:paraId="48ABCB19">
    <w:pPr>
      <w:pStyle w:val="2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754EF9">
    <w:pPr>
      <w:pStyle w:val="28"/>
      <w:wordWrap w:val="0"/>
      <w:ind w:right="315"/>
      <w:jc w:val="right"/>
      <w:rPr>
        <w:sz w:val="17"/>
        <w:szCs w:val="17"/>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2BFE2">
    <w:pPr>
      <w:pStyle w:val="28"/>
      <w:pBdr>
        <w:bottom w:val="single" w:color="auto" w:sz="4" w:space="0"/>
      </w:pBdr>
      <w:jc w:val="left"/>
      <w:rPr>
        <w:rFonts w:hint="eastAsia" w:ascii="Times New Roman" w:hAnsi="Times New Roman" w:eastAsia="黑体" w:cs="Times New Roman"/>
        <w:sz w:val="20"/>
        <w:szCs w:val="21"/>
        <w:lang w:eastAsia="zh-CN"/>
      </w:rPr>
    </w:pPr>
    <w:r>
      <w:rPr>
        <w:rFonts w:hint="eastAsia" w:eastAsia="黑体" w:cs="Times New Roman"/>
        <w:sz w:val="20"/>
        <w:szCs w:val="21"/>
        <w:lang w:eastAsia="zh-CN"/>
      </w:rPr>
      <w:t>辽宁省公路工程标准施工电子招标文件（2025年版）</w:t>
    </w:r>
  </w:p>
  <w:p w14:paraId="5B99211C">
    <w:pPr>
      <w:pStyle w:val="28"/>
    </w:pPr>
  </w:p>
  <w:p w14:paraId="0BE5D19F">
    <w:pPr>
      <w:pStyle w:val="28"/>
      <w:wordWrap w:val="0"/>
      <w:ind w:right="315"/>
      <w:jc w:val="right"/>
      <w:rPr>
        <w:sz w:val="17"/>
        <w:szCs w:val="17"/>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C5EC2">
    <w:pPr>
      <w:pBdr>
        <w:bottom w:val="single" w:color="auto" w:sz="4" w:space="1"/>
      </w:pBdr>
      <w:topLinePunct/>
      <w:spacing w:line="240" w:lineRule="atLeast"/>
      <w:ind w:right="190"/>
      <w:jc w:val="left"/>
      <w:rPr>
        <w:rFonts w:hint="eastAsia" w:eastAsia="黑体"/>
        <w:sz w:val="17"/>
        <w:szCs w:val="17"/>
        <w:lang w:val="en-US" w:eastAsia="zh-CN"/>
      </w:rPr>
    </w:pPr>
    <w:r>
      <w:rPr>
        <w:rStyle w:val="53"/>
        <w:rFonts w:hint="eastAsia" w:eastAsia="黑体"/>
        <w:b w:val="0"/>
        <w:bCs w:val="0"/>
        <w:kern w:val="10"/>
        <w:sz w:val="22"/>
        <w:szCs w:val="22"/>
        <w:lang w:eastAsia="zh-CN"/>
      </w:rPr>
      <w:t>辽宁省公路工程标准施工电子招标文件（2025年版）</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8F4EA9">
    <w:pPr>
      <w:pStyle w:val="28"/>
      <w:rPr>
        <w:rFonts w:hint="eastAsia" w:eastAsia="宋体"/>
        <w:lang w:eastAsia="zh-CN"/>
      </w:rPr>
    </w:pPr>
    <w:r>
      <w:rPr>
        <w:rFonts w:hint="eastAsia" w:eastAsia="黑体" w:cs="Times New Roman"/>
        <w:sz w:val="20"/>
        <w:szCs w:val="21"/>
        <w:lang w:eastAsia="zh-CN"/>
      </w:rPr>
      <w:t>辽宁省公路工程标准施工电子招标文件（2025年版）</w:t>
    </w:r>
  </w:p>
  <w:p w14:paraId="6D45BB87">
    <w:pPr>
      <w:pStyle w:val="28"/>
    </w:pPr>
  </w:p>
  <w:p w14:paraId="4F940A40">
    <w:pPr>
      <w:pStyle w:val="28"/>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C13E4">
    <w:pPr>
      <w:pStyle w:val="28"/>
      <w:pBdr>
        <w:bottom w:val="single" w:color="auto" w:sz="4" w:space="0"/>
      </w:pBdr>
      <w:topLinePunct/>
      <w:spacing w:line="240" w:lineRule="atLeast"/>
      <w:ind w:right="0"/>
      <w:jc w:val="left"/>
      <w:rPr>
        <w:sz w:val="17"/>
        <w:szCs w:val="17"/>
      </w:rPr>
    </w:pPr>
    <w:r>
      <w:rPr>
        <w:rFonts w:hint="eastAsia" w:eastAsia="黑体" w:cs="Times New Roman"/>
        <w:sz w:val="20"/>
        <w:szCs w:val="21"/>
        <w:lang w:eastAsia="zh-CN"/>
      </w:rPr>
      <w:t>辽宁省公路工程标准施工电子招标文件（2025年版）</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6FBA3">
    <w:pPr>
      <w:pStyle w:val="28"/>
      <w:rPr>
        <w:rFonts w:hint="eastAsia" w:eastAsia="宋体"/>
        <w:lang w:eastAsia="zh-CN"/>
      </w:rPr>
    </w:pPr>
    <w:r>
      <w:rPr>
        <w:rFonts w:hint="eastAsia" w:eastAsia="黑体" w:cs="Times New Roman"/>
        <w:sz w:val="20"/>
        <w:szCs w:val="21"/>
        <w:lang w:eastAsia="zh-CN"/>
      </w:rPr>
      <w:t>辽宁省公路工程标准施工电子招标文件（2025年版）</w:t>
    </w:r>
  </w:p>
  <w:p w14:paraId="3C958F20">
    <w:pPr>
      <w:pStyle w:val="28"/>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E12C2">
    <w:pPr>
      <w:pStyle w:val="28"/>
      <w:jc w:val="left"/>
      <w:rPr>
        <w:rFonts w:hint="eastAsia" w:eastAsia="宋体"/>
        <w:u w:val="single"/>
        <w:lang w:eastAsia="zh-CN"/>
      </w:rPr>
    </w:pPr>
    <w:r>
      <w:rPr>
        <w:rFonts w:hint="eastAsia" w:eastAsia="黑体" w:cs="Times New Roman"/>
        <w:sz w:val="20"/>
        <w:szCs w:val="21"/>
        <w:u w:val="single"/>
        <w:lang w:eastAsia="zh-CN"/>
      </w:rPr>
      <w:t>辽宁省公路工程标准施工电子招标文件（2025年版）</w:t>
    </w:r>
  </w:p>
  <w:p w14:paraId="63835BE4">
    <w:pPr>
      <w:pStyle w:val="28"/>
      <w:rPr>
        <w:szCs w:val="17"/>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numFmt w:val="decimalEnclosedCircleChinese"/>
    <w:numRestart w:val="eachPage"/>
    <w:footnote w:id="114"/>
    <w:footnote w:id="115"/>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JmZTQ4Y2Y2NGEzY2MxZDQyNGU0OThlOWNkMmVjZTMifQ=="/>
  </w:docVars>
  <w:rsids>
    <w:rsidRoot w:val="00183A6E"/>
    <w:rsid w:val="0000001F"/>
    <w:rsid w:val="0000015E"/>
    <w:rsid w:val="00000524"/>
    <w:rsid w:val="0000071E"/>
    <w:rsid w:val="00000EEC"/>
    <w:rsid w:val="000027F1"/>
    <w:rsid w:val="0000303A"/>
    <w:rsid w:val="00003C39"/>
    <w:rsid w:val="00003C73"/>
    <w:rsid w:val="00003F34"/>
    <w:rsid w:val="00004004"/>
    <w:rsid w:val="0000436D"/>
    <w:rsid w:val="00005158"/>
    <w:rsid w:val="00005781"/>
    <w:rsid w:val="00005AF8"/>
    <w:rsid w:val="0000601A"/>
    <w:rsid w:val="000060FE"/>
    <w:rsid w:val="000062A9"/>
    <w:rsid w:val="00006980"/>
    <w:rsid w:val="00006E02"/>
    <w:rsid w:val="0000700D"/>
    <w:rsid w:val="00007455"/>
    <w:rsid w:val="00007E1B"/>
    <w:rsid w:val="00010F5B"/>
    <w:rsid w:val="0001202A"/>
    <w:rsid w:val="0001267B"/>
    <w:rsid w:val="00012A9E"/>
    <w:rsid w:val="00012D09"/>
    <w:rsid w:val="000135D2"/>
    <w:rsid w:val="0001364D"/>
    <w:rsid w:val="00014EA1"/>
    <w:rsid w:val="000152F7"/>
    <w:rsid w:val="00015501"/>
    <w:rsid w:val="0001594C"/>
    <w:rsid w:val="00015B67"/>
    <w:rsid w:val="00015FF0"/>
    <w:rsid w:val="00016921"/>
    <w:rsid w:val="0001738A"/>
    <w:rsid w:val="000173A0"/>
    <w:rsid w:val="0001746B"/>
    <w:rsid w:val="000175A9"/>
    <w:rsid w:val="00017876"/>
    <w:rsid w:val="00017E9C"/>
    <w:rsid w:val="00020375"/>
    <w:rsid w:val="000207C2"/>
    <w:rsid w:val="00021472"/>
    <w:rsid w:val="0002185D"/>
    <w:rsid w:val="0002204B"/>
    <w:rsid w:val="00022E41"/>
    <w:rsid w:val="00023047"/>
    <w:rsid w:val="000234C8"/>
    <w:rsid w:val="00023529"/>
    <w:rsid w:val="00023703"/>
    <w:rsid w:val="000237C3"/>
    <w:rsid w:val="0002394B"/>
    <w:rsid w:val="00023E8C"/>
    <w:rsid w:val="00024283"/>
    <w:rsid w:val="00024371"/>
    <w:rsid w:val="00024D41"/>
    <w:rsid w:val="00025A82"/>
    <w:rsid w:val="00026423"/>
    <w:rsid w:val="000265D3"/>
    <w:rsid w:val="00026D2B"/>
    <w:rsid w:val="000272D1"/>
    <w:rsid w:val="0003009E"/>
    <w:rsid w:val="0003015B"/>
    <w:rsid w:val="000302DB"/>
    <w:rsid w:val="00030850"/>
    <w:rsid w:val="00030F00"/>
    <w:rsid w:val="00031249"/>
    <w:rsid w:val="000316B1"/>
    <w:rsid w:val="000318AC"/>
    <w:rsid w:val="00031A9B"/>
    <w:rsid w:val="0003252B"/>
    <w:rsid w:val="0003369F"/>
    <w:rsid w:val="000336A8"/>
    <w:rsid w:val="000339C0"/>
    <w:rsid w:val="00033BA1"/>
    <w:rsid w:val="00033CB7"/>
    <w:rsid w:val="00034A2F"/>
    <w:rsid w:val="0003557E"/>
    <w:rsid w:val="000357A5"/>
    <w:rsid w:val="00035836"/>
    <w:rsid w:val="00035C00"/>
    <w:rsid w:val="0003643A"/>
    <w:rsid w:val="0003653D"/>
    <w:rsid w:val="00036575"/>
    <w:rsid w:val="00036605"/>
    <w:rsid w:val="00036E8E"/>
    <w:rsid w:val="00037A32"/>
    <w:rsid w:val="000406C1"/>
    <w:rsid w:val="0004141C"/>
    <w:rsid w:val="00041598"/>
    <w:rsid w:val="0004179D"/>
    <w:rsid w:val="0004186E"/>
    <w:rsid w:val="0004197A"/>
    <w:rsid w:val="00041DCF"/>
    <w:rsid w:val="000426F6"/>
    <w:rsid w:val="0004298A"/>
    <w:rsid w:val="00042A06"/>
    <w:rsid w:val="00042F0B"/>
    <w:rsid w:val="00043269"/>
    <w:rsid w:val="00043437"/>
    <w:rsid w:val="00043481"/>
    <w:rsid w:val="00043722"/>
    <w:rsid w:val="00043BA4"/>
    <w:rsid w:val="00043BB1"/>
    <w:rsid w:val="00043D44"/>
    <w:rsid w:val="00044548"/>
    <w:rsid w:val="00045307"/>
    <w:rsid w:val="00045318"/>
    <w:rsid w:val="00045474"/>
    <w:rsid w:val="00045BF8"/>
    <w:rsid w:val="00046385"/>
    <w:rsid w:val="0004688A"/>
    <w:rsid w:val="000468D7"/>
    <w:rsid w:val="00046C0C"/>
    <w:rsid w:val="00046C6C"/>
    <w:rsid w:val="000470FD"/>
    <w:rsid w:val="00047E18"/>
    <w:rsid w:val="00047F50"/>
    <w:rsid w:val="0005001E"/>
    <w:rsid w:val="0005085F"/>
    <w:rsid w:val="00050A3B"/>
    <w:rsid w:val="00050A57"/>
    <w:rsid w:val="00050ACF"/>
    <w:rsid w:val="00050C5E"/>
    <w:rsid w:val="000519C9"/>
    <w:rsid w:val="00051D76"/>
    <w:rsid w:val="000528C6"/>
    <w:rsid w:val="00052AEB"/>
    <w:rsid w:val="0005336F"/>
    <w:rsid w:val="0005350A"/>
    <w:rsid w:val="0005365E"/>
    <w:rsid w:val="00054111"/>
    <w:rsid w:val="000555D9"/>
    <w:rsid w:val="00055AB6"/>
    <w:rsid w:val="00056868"/>
    <w:rsid w:val="000572A7"/>
    <w:rsid w:val="000603C4"/>
    <w:rsid w:val="000608B3"/>
    <w:rsid w:val="000615E4"/>
    <w:rsid w:val="000616D0"/>
    <w:rsid w:val="00061BC0"/>
    <w:rsid w:val="00061E21"/>
    <w:rsid w:val="00061FA0"/>
    <w:rsid w:val="00063161"/>
    <w:rsid w:val="00063B44"/>
    <w:rsid w:val="00063B57"/>
    <w:rsid w:val="00063E83"/>
    <w:rsid w:val="00063EAB"/>
    <w:rsid w:val="000643F2"/>
    <w:rsid w:val="0006462C"/>
    <w:rsid w:val="00064857"/>
    <w:rsid w:val="0006494A"/>
    <w:rsid w:val="00065384"/>
    <w:rsid w:val="0006548E"/>
    <w:rsid w:val="00065B0A"/>
    <w:rsid w:val="00065F8D"/>
    <w:rsid w:val="0006638C"/>
    <w:rsid w:val="000667E8"/>
    <w:rsid w:val="0007022C"/>
    <w:rsid w:val="0007037D"/>
    <w:rsid w:val="00070522"/>
    <w:rsid w:val="00070656"/>
    <w:rsid w:val="000706F5"/>
    <w:rsid w:val="00070FE7"/>
    <w:rsid w:val="000715D7"/>
    <w:rsid w:val="000716AB"/>
    <w:rsid w:val="00071B4F"/>
    <w:rsid w:val="00071B8A"/>
    <w:rsid w:val="00072643"/>
    <w:rsid w:val="0007269F"/>
    <w:rsid w:val="00072E36"/>
    <w:rsid w:val="00073431"/>
    <w:rsid w:val="00073C97"/>
    <w:rsid w:val="00074090"/>
    <w:rsid w:val="000740B0"/>
    <w:rsid w:val="0007425D"/>
    <w:rsid w:val="00074972"/>
    <w:rsid w:val="00074C68"/>
    <w:rsid w:val="00074D82"/>
    <w:rsid w:val="00074FF8"/>
    <w:rsid w:val="00075B9F"/>
    <w:rsid w:val="00076473"/>
    <w:rsid w:val="00076D26"/>
    <w:rsid w:val="00076F72"/>
    <w:rsid w:val="00076FD6"/>
    <w:rsid w:val="00077029"/>
    <w:rsid w:val="00077120"/>
    <w:rsid w:val="00077713"/>
    <w:rsid w:val="00077756"/>
    <w:rsid w:val="0007778E"/>
    <w:rsid w:val="00077EAC"/>
    <w:rsid w:val="000805BB"/>
    <w:rsid w:val="000808D7"/>
    <w:rsid w:val="00080DF4"/>
    <w:rsid w:val="00080E55"/>
    <w:rsid w:val="00080E94"/>
    <w:rsid w:val="0008123A"/>
    <w:rsid w:val="000814B2"/>
    <w:rsid w:val="00081A55"/>
    <w:rsid w:val="00083415"/>
    <w:rsid w:val="00083489"/>
    <w:rsid w:val="000845C3"/>
    <w:rsid w:val="00084744"/>
    <w:rsid w:val="0008478E"/>
    <w:rsid w:val="000849ED"/>
    <w:rsid w:val="00084C06"/>
    <w:rsid w:val="00085174"/>
    <w:rsid w:val="000858F1"/>
    <w:rsid w:val="00085B7E"/>
    <w:rsid w:val="00085E0C"/>
    <w:rsid w:val="00085E67"/>
    <w:rsid w:val="00085F8E"/>
    <w:rsid w:val="00086300"/>
    <w:rsid w:val="00086CB8"/>
    <w:rsid w:val="0008716E"/>
    <w:rsid w:val="00087B78"/>
    <w:rsid w:val="00087C4A"/>
    <w:rsid w:val="00090056"/>
    <w:rsid w:val="00090245"/>
    <w:rsid w:val="00090903"/>
    <w:rsid w:val="0009131C"/>
    <w:rsid w:val="000915D5"/>
    <w:rsid w:val="00091922"/>
    <w:rsid w:val="00091EF6"/>
    <w:rsid w:val="0009214B"/>
    <w:rsid w:val="000931C5"/>
    <w:rsid w:val="0009379A"/>
    <w:rsid w:val="00093BEA"/>
    <w:rsid w:val="000947D7"/>
    <w:rsid w:val="00094875"/>
    <w:rsid w:val="00094C83"/>
    <w:rsid w:val="00094FED"/>
    <w:rsid w:val="0009547B"/>
    <w:rsid w:val="00095BA8"/>
    <w:rsid w:val="00095BD6"/>
    <w:rsid w:val="00095F22"/>
    <w:rsid w:val="000972BB"/>
    <w:rsid w:val="00097DDB"/>
    <w:rsid w:val="000A01B9"/>
    <w:rsid w:val="000A0AFA"/>
    <w:rsid w:val="000A18E2"/>
    <w:rsid w:val="000A1D8C"/>
    <w:rsid w:val="000A2246"/>
    <w:rsid w:val="000A26A9"/>
    <w:rsid w:val="000A29C7"/>
    <w:rsid w:val="000A2A4A"/>
    <w:rsid w:val="000A2ACB"/>
    <w:rsid w:val="000A2AEF"/>
    <w:rsid w:val="000A2D88"/>
    <w:rsid w:val="000A31F5"/>
    <w:rsid w:val="000A3C9C"/>
    <w:rsid w:val="000A48DA"/>
    <w:rsid w:val="000A4951"/>
    <w:rsid w:val="000A4A47"/>
    <w:rsid w:val="000A5528"/>
    <w:rsid w:val="000A567A"/>
    <w:rsid w:val="000A5935"/>
    <w:rsid w:val="000A5CF1"/>
    <w:rsid w:val="000A5EFF"/>
    <w:rsid w:val="000A610F"/>
    <w:rsid w:val="000A627F"/>
    <w:rsid w:val="000A659F"/>
    <w:rsid w:val="000A6613"/>
    <w:rsid w:val="000A6891"/>
    <w:rsid w:val="000A6913"/>
    <w:rsid w:val="000A6A4C"/>
    <w:rsid w:val="000A6C53"/>
    <w:rsid w:val="000A7442"/>
    <w:rsid w:val="000A7B25"/>
    <w:rsid w:val="000A7E78"/>
    <w:rsid w:val="000B006E"/>
    <w:rsid w:val="000B070D"/>
    <w:rsid w:val="000B09DA"/>
    <w:rsid w:val="000B0F3E"/>
    <w:rsid w:val="000B24A3"/>
    <w:rsid w:val="000B24F4"/>
    <w:rsid w:val="000B286D"/>
    <w:rsid w:val="000B34E6"/>
    <w:rsid w:val="000B35A6"/>
    <w:rsid w:val="000B388D"/>
    <w:rsid w:val="000B389E"/>
    <w:rsid w:val="000B3922"/>
    <w:rsid w:val="000B3D2C"/>
    <w:rsid w:val="000B48BB"/>
    <w:rsid w:val="000B4953"/>
    <w:rsid w:val="000B4E6F"/>
    <w:rsid w:val="000B501B"/>
    <w:rsid w:val="000B513E"/>
    <w:rsid w:val="000B55F0"/>
    <w:rsid w:val="000B5FAF"/>
    <w:rsid w:val="000B6A50"/>
    <w:rsid w:val="000B6B21"/>
    <w:rsid w:val="000B6E09"/>
    <w:rsid w:val="000B75C5"/>
    <w:rsid w:val="000C0031"/>
    <w:rsid w:val="000C04FC"/>
    <w:rsid w:val="000C18B8"/>
    <w:rsid w:val="000C2010"/>
    <w:rsid w:val="000C2160"/>
    <w:rsid w:val="000C22FD"/>
    <w:rsid w:val="000C29B6"/>
    <w:rsid w:val="000C2BAB"/>
    <w:rsid w:val="000C32FE"/>
    <w:rsid w:val="000C3341"/>
    <w:rsid w:val="000C3414"/>
    <w:rsid w:val="000C36DC"/>
    <w:rsid w:val="000C3ADC"/>
    <w:rsid w:val="000C3DF6"/>
    <w:rsid w:val="000C3EEC"/>
    <w:rsid w:val="000C40AF"/>
    <w:rsid w:val="000C4363"/>
    <w:rsid w:val="000C473F"/>
    <w:rsid w:val="000C4C93"/>
    <w:rsid w:val="000C4E3A"/>
    <w:rsid w:val="000C532C"/>
    <w:rsid w:val="000C566F"/>
    <w:rsid w:val="000C5DFE"/>
    <w:rsid w:val="000C678C"/>
    <w:rsid w:val="000C697F"/>
    <w:rsid w:val="000C6B91"/>
    <w:rsid w:val="000C6DED"/>
    <w:rsid w:val="000C74BA"/>
    <w:rsid w:val="000C7B6F"/>
    <w:rsid w:val="000D0394"/>
    <w:rsid w:val="000D0506"/>
    <w:rsid w:val="000D0946"/>
    <w:rsid w:val="000D0ABC"/>
    <w:rsid w:val="000D0F21"/>
    <w:rsid w:val="000D12D1"/>
    <w:rsid w:val="000D19D3"/>
    <w:rsid w:val="000D1A37"/>
    <w:rsid w:val="000D1B0E"/>
    <w:rsid w:val="000D1BBD"/>
    <w:rsid w:val="000D2418"/>
    <w:rsid w:val="000D25F4"/>
    <w:rsid w:val="000D2739"/>
    <w:rsid w:val="000D2880"/>
    <w:rsid w:val="000D28FA"/>
    <w:rsid w:val="000D35F3"/>
    <w:rsid w:val="000D3D94"/>
    <w:rsid w:val="000D40D1"/>
    <w:rsid w:val="000D4177"/>
    <w:rsid w:val="000D4BFB"/>
    <w:rsid w:val="000D4CCF"/>
    <w:rsid w:val="000D4D62"/>
    <w:rsid w:val="000D4E80"/>
    <w:rsid w:val="000D5115"/>
    <w:rsid w:val="000D5765"/>
    <w:rsid w:val="000D57FA"/>
    <w:rsid w:val="000D5CCF"/>
    <w:rsid w:val="000D60F8"/>
    <w:rsid w:val="000D6ABE"/>
    <w:rsid w:val="000D6B3E"/>
    <w:rsid w:val="000D6CF7"/>
    <w:rsid w:val="000D7C93"/>
    <w:rsid w:val="000E05E0"/>
    <w:rsid w:val="000E0742"/>
    <w:rsid w:val="000E087A"/>
    <w:rsid w:val="000E0F59"/>
    <w:rsid w:val="000E0F8F"/>
    <w:rsid w:val="000E14FD"/>
    <w:rsid w:val="000E15CC"/>
    <w:rsid w:val="000E1BAC"/>
    <w:rsid w:val="000E1C9D"/>
    <w:rsid w:val="000E1D39"/>
    <w:rsid w:val="000E1E2A"/>
    <w:rsid w:val="000E1F2B"/>
    <w:rsid w:val="000E2216"/>
    <w:rsid w:val="000E2955"/>
    <w:rsid w:val="000E2BBA"/>
    <w:rsid w:val="000E3659"/>
    <w:rsid w:val="000E3A5C"/>
    <w:rsid w:val="000E4159"/>
    <w:rsid w:val="000E4316"/>
    <w:rsid w:val="000E4358"/>
    <w:rsid w:val="000E58C7"/>
    <w:rsid w:val="000E5ABE"/>
    <w:rsid w:val="000E5B50"/>
    <w:rsid w:val="000E66F7"/>
    <w:rsid w:val="000E6F28"/>
    <w:rsid w:val="000E7263"/>
    <w:rsid w:val="000E7387"/>
    <w:rsid w:val="000E751B"/>
    <w:rsid w:val="000E7614"/>
    <w:rsid w:val="000E7A3F"/>
    <w:rsid w:val="000E7BC6"/>
    <w:rsid w:val="000F0614"/>
    <w:rsid w:val="000F08A1"/>
    <w:rsid w:val="000F125B"/>
    <w:rsid w:val="000F18AD"/>
    <w:rsid w:val="000F219D"/>
    <w:rsid w:val="000F23BC"/>
    <w:rsid w:val="000F2EB8"/>
    <w:rsid w:val="000F2F8A"/>
    <w:rsid w:val="000F2FBE"/>
    <w:rsid w:val="000F34B1"/>
    <w:rsid w:val="000F3BC4"/>
    <w:rsid w:val="000F3E55"/>
    <w:rsid w:val="000F3EFB"/>
    <w:rsid w:val="000F48C0"/>
    <w:rsid w:val="000F5CC3"/>
    <w:rsid w:val="000F5ED0"/>
    <w:rsid w:val="000F6B5A"/>
    <w:rsid w:val="000F6DFE"/>
    <w:rsid w:val="000F7128"/>
    <w:rsid w:val="000F79B4"/>
    <w:rsid w:val="000F7FB7"/>
    <w:rsid w:val="0010009E"/>
    <w:rsid w:val="001000F9"/>
    <w:rsid w:val="001004F4"/>
    <w:rsid w:val="00101096"/>
    <w:rsid w:val="001012B9"/>
    <w:rsid w:val="00101462"/>
    <w:rsid w:val="0010183A"/>
    <w:rsid w:val="00101CB6"/>
    <w:rsid w:val="0010238C"/>
    <w:rsid w:val="00102510"/>
    <w:rsid w:val="00102585"/>
    <w:rsid w:val="0010271E"/>
    <w:rsid w:val="0010293D"/>
    <w:rsid w:val="001029A6"/>
    <w:rsid w:val="00102DC7"/>
    <w:rsid w:val="00103696"/>
    <w:rsid w:val="0010444F"/>
    <w:rsid w:val="001045E4"/>
    <w:rsid w:val="001046F1"/>
    <w:rsid w:val="001049F2"/>
    <w:rsid w:val="001053C2"/>
    <w:rsid w:val="00105799"/>
    <w:rsid w:val="00105F4B"/>
    <w:rsid w:val="001062B7"/>
    <w:rsid w:val="001064B4"/>
    <w:rsid w:val="0010678A"/>
    <w:rsid w:val="00106927"/>
    <w:rsid w:val="00106AB6"/>
    <w:rsid w:val="00106F6C"/>
    <w:rsid w:val="00111409"/>
    <w:rsid w:val="00111797"/>
    <w:rsid w:val="001117F2"/>
    <w:rsid w:val="00111946"/>
    <w:rsid w:val="00111966"/>
    <w:rsid w:val="00111CBB"/>
    <w:rsid w:val="0011236D"/>
    <w:rsid w:val="001123D8"/>
    <w:rsid w:val="00112B4A"/>
    <w:rsid w:val="00112E6E"/>
    <w:rsid w:val="00113540"/>
    <w:rsid w:val="00113D3F"/>
    <w:rsid w:val="001140AD"/>
    <w:rsid w:val="0011496D"/>
    <w:rsid w:val="00115546"/>
    <w:rsid w:val="001157AB"/>
    <w:rsid w:val="00115D86"/>
    <w:rsid w:val="00115EFE"/>
    <w:rsid w:val="0011640B"/>
    <w:rsid w:val="0011674E"/>
    <w:rsid w:val="00116C28"/>
    <w:rsid w:val="00116E0E"/>
    <w:rsid w:val="00116F83"/>
    <w:rsid w:val="001171B1"/>
    <w:rsid w:val="00117803"/>
    <w:rsid w:val="00117A3A"/>
    <w:rsid w:val="00120BCB"/>
    <w:rsid w:val="00121D54"/>
    <w:rsid w:val="00122B32"/>
    <w:rsid w:val="00122DD3"/>
    <w:rsid w:val="00122FC9"/>
    <w:rsid w:val="00123468"/>
    <w:rsid w:val="00123772"/>
    <w:rsid w:val="00123FBF"/>
    <w:rsid w:val="00124485"/>
    <w:rsid w:val="001247DB"/>
    <w:rsid w:val="0012509C"/>
    <w:rsid w:val="001251FF"/>
    <w:rsid w:val="00125420"/>
    <w:rsid w:val="0012551E"/>
    <w:rsid w:val="00127200"/>
    <w:rsid w:val="00127689"/>
    <w:rsid w:val="00127B5C"/>
    <w:rsid w:val="00130705"/>
    <w:rsid w:val="001309EA"/>
    <w:rsid w:val="00131930"/>
    <w:rsid w:val="00131AEF"/>
    <w:rsid w:val="001320D1"/>
    <w:rsid w:val="001321CB"/>
    <w:rsid w:val="0013292B"/>
    <w:rsid w:val="00132B16"/>
    <w:rsid w:val="00132D96"/>
    <w:rsid w:val="00133B3C"/>
    <w:rsid w:val="00133B60"/>
    <w:rsid w:val="001344FC"/>
    <w:rsid w:val="001348D0"/>
    <w:rsid w:val="00134B32"/>
    <w:rsid w:val="00134C18"/>
    <w:rsid w:val="00134C27"/>
    <w:rsid w:val="0013505A"/>
    <w:rsid w:val="001365B8"/>
    <w:rsid w:val="0014008F"/>
    <w:rsid w:val="0014069F"/>
    <w:rsid w:val="001406FD"/>
    <w:rsid w:val="00140804"/>
    <w:rsid w:val="00140A61"/>
    <w:rsid w:val="00140F0E"/>
    <w:rsid w:val="0014123A"/>
    <w:rsid w:val="00141966"/>
    <w:rsid w:val="00141D5D"/>
    <w:rsid w:val="00141E3A"/>
    <w:rsid w:val="001421E7"/>
    <w:rsid w:val="00142219"/>
    <w:rsid w:val="00142B3F"/>
    <w:rsid w:val="00142E68"/>
    <w:rsid w:val="0014306A"/>
    <w:rsid w:val="001434AA"/>
    <w:rsid w:val="00143C47"/>
    <w:rsid w:val="00143C48"/>
    <w:rsid w:val="00143C68"/>
    <w:rsid w:val="00143CF7"/>
    <w:rsid w:val="00143EA5"/>
    <w:rsid w:val="00144441"/>
    <w:rsid w:val="00144B21"/>
    <w:rsid w:val="001459F8"/>
    <w:rsid w:val="00145E6D"/>
    <w:rsid w:val="0014600B"/>
    <w:rsid w:val="0014658C"/>
    <w:rsid w:val="00146710"/>
    <w:rsid w:val="0014690F"/>
    <w:rsid w:val="00146989"/>
    <w:rsid w:val="00147A6D"/>
    <w:rsid w:val="00150F4D"/>
    <w:rsid w:val="00151038"/>
    <w:rsid w:val="00151A7F"/>
    <w:rsid w:val="00151F2E"/>
    <w:rsid w:val="00151FC8"/>
    <w:rsid w:val="001527C1"/>
    <w:rsid w:val="00152861"/>
    <w:rsid w:val="001535C8"/>
    <w:rsid w:val="00153DAB"/>
    <w:rsid w:val="00153DBD"/>
    <w:rsid w:val="0015423F"/>
    <w:rsid w:val="00155293"/>
    <w:rsid w:val="00155667"/>
    <w:rsid w:val="00155FC6"/>
    <w:rsid w:val="00156AD4"/>
    <w:rsid w:val="00157151"/>
    <w:rsid w:val="00157E52"/>
    <w:rsid w:val="001600C8"/>
    <w:rsid w:val="00160277"/>
    <w:rsid w:val="00160D73"/>
    <w:rsid w:val="0016205A"/>
    <w:rsid w:val="00162319"/>
    <w:rsid w:val="001623CE"/>
    <w:rsid w:val="00162541"/>
    <w:rsid w:val="001631FF"/>
    <w:rsid w:val="001639C4"/>
    <w:rsid w:val="0016425B"/>
    <w:rsid w:val="00164863"/>
    <w:rsid w:val="00164893"/>
    <w:rsid w:val="00164EDC"/>
    <w:rsid w:val="0016516B"/>
    <w:rsid w:val="001655A3"/>
    <w:rsid w:val="00165E5B"/>
    <w:rsid w:val="00166BD3"/>
    <w:rsid w:val="001675B1"/>
    <w:rsid w:val="00167A32"/>
    <w:rsid w:val="00167F63"/>
    <w:rsid w:val="00167F89"/>
    <w:rsid w:val="00170071"/>
    <w:rsid w:val="001701AF"/>
    <w:rsid w:val="001701DF"/>
    <w:rsid w:val="0017098D"/>
    <w:rsid w:val="00170CF8"/>
    <w:rsid w:val="00170DD7"/>
    <w:rsid w:val="00171326"/>
    <w:rsid w:val="00171A81"/>
    <w:rsid w:val="00171EEA"/>
    <w:rsid w:val="001722A2"/>
    <w:rsid w:val="00172ECE"/>
    <w:rsid w:val="00173F8F"/>
    <w:rsid w:val="00174C65"/>
    <w:rsid w:val="0017537A"/>
    <w:rsid w:val="001755A3"/>
    <w:rsid w:val="00175C51"/>
    <w:rsid w:val="00175F34"/>
    <w:rsid w:val="00175F61"/>
    <w:rsid w:val="0017601A"/>
    <w:rsid w:val="0017609D"/>
    <w:rsid w:val="0017610F"/>
    <w:rsid w:val="00176668"/>
    <w:rsid w:val="00176EED"/>
    <w:rsid w:val="00177050"/>
    <w:rsid w:val="00177857"/>
    <w:rsid w:val="00177F61"/>
    <w:rsid w:val="001801E3"/>
    <w:rsid w:val="00180461"/>
    <w:rsid w:val="00180BD9"/>
    <w:rsid w:val="001819F4"/>
    <w:rsid w:val="00181DE7"/>
    <w:rsid w:val="0018299C"/>
    <w:rsid w:val="00182E08"/>
    <w:rsid w:val="00182EE9"/>
    <w:rsid w:val="0018342A"/>
    <w:rsid w:val="00183553"/>
    <w:rsid w:val="001836B7"/>
    <w:rsid w:val="00183A6E"/>
    <w:rsid w:val="00183AA1"/>
    <w:rsid w:val="00183B15"/>
    <w:rsid w:val="001844D0"/>
    <w:rsid w:val="00184660"/>
    <w:rsid w:val="00184741"/>
    <w:rsid w:val="00185557"/>
    <w:rsid w:val="00185C87"/>
    <w:rsid w:val="00185CA1"/>
    <w:rsid w:val="00185F3E"/>
    <w:rsid w:val="001861A7"/>
    <w:rsid w:val="001861EF"/>
    <w:rsid w:val="001867B8"/>
    <w:rsid w:val="001868CE"/>
    <w:rsid w:val="00186DA8"/>
    <w:rsid w:val="0018784D"/>
    <w:rsid w:val="00187F1D"/>
    <w:rsid w:val="00190010"/>
    <w:rsid w:val="0019028F"/>
    <w:rsid w:val="001907E8"/>
    <w:rsid w:val="00191065"/>
    <w:rsid w:val="001914A6"/>
    <w:rsid w:val="00191DE6"/>
    <w:rsid w:val="00192400"/>
    <w:rsid w:val="0019254B"/>
    <w:rsid w:val="0019378D"/>
    <w:rsid w:val="00194424"/>
    <w:rsid w:val="00195B3D"/>
    <w:rsid w:val="00195EE2"/>
    <w:rsid w:val="00196648"/>
    <w:rsid w:val="0019679B"/>
    <w:rsid w:val="0019708F"/>
    <w:rsid w:val="001970B8"/>
    <w:rsid w:val="00197173"/>
    <w:rsid w:val="00197451"/>
    <w:rsid w:val="001974F4"/>
    <w:rsid w:val="001976DF"/>
    <w:rsid w:val="001979F5"/>
    <w:rsid w:val="00197C2B"/>
    <w:rsid w:val="001A01CC"/>
    <w:rsid w:val="001A022D"/>
    <w:rsid w:val="001A040D"/>
    <w:rsid w:val="001A07DC"/>
    <w:rsid w:val="001A0AD5"/>
    <w:rsid w:val="001A1653"/>
    <w:rsid w:val="001A1705"/>
    <w:rsid w:val="001A1B7D"/>
    <w:rsid w:val="001A2072"/>
    <w:rsid w:val="001A23E6"/>
    <w:rsid w:val="001A25A2"/>
    <w:rsid w:val="001A2E89"/>
    <w:rsid w:val="001A2F26"/>
    <w:rsid w:val="001A394A"/>
    <w:rsid w:val="001A4A1E"/>
    <w:rsid w:val="001A504B"/>
    <w:rsid w:val="001A5437"/>
    <w:rsid w:val="001A60BC"/>
    <w:rsid w:val="001A657E"/>
    <w:rsid w:val="001A7133"/>
    <w:rsid w:val="001A7519"/>
    <w:rsid w:val="001B0287"/>
    <w:rsid w:val="001B0400"/>
    <w:rsid w:val="001B08C8"/>
    <w:rsid w:val="001B095D"/>
    <w:rsid w:val="001B12B3"/>
    <w:rsid w:val="001B1532"/>
    <w:rsid w:val="001B156A"/>
    <w:rsid w:val="001B1621"/>
    <w:rsid w:val="001B1665"/>
    <w:rsid w:val="001B1C37"/>
    <w:rsid w:val="001B2591"/>
    <w:rsid w:val="001B2724"/>
    <w:rsid w:val="001B296B"/>
    <w:rsid w:val="001B3077"/>
    <w:rsid w:val="001B32C4"/>
    <w:rsid w:val="001B3A92"/>
    <w:rsid w:val="001B42CF"/>
    <w:rsid w:val="001B4551"/>
    <w:rsid w:val="001B4C52"/>
    <w:rsid w:val="001B5962"/>
    <w:rsid w:val="001B5C46"/>
    <w:rsid w:val="001B709E"/>
    <w:rsid w:val="001B7600"/>
    <w:rsid w:val="001B7645"/>
    <w:rsid w:val="001B7ADE"/>
    <w:rsid w:val="001B7F6B"/>
    <w:rsid w:val="001B7FAA"/>
    <w:rsid w:val="001C03EC"/>
    <w:rsid w:val="001C0798"/>
    <w:rsid w:val="001C0E0C"/>
    <w:rsid w:val="001C118A"/>
    <w:rsid w:val="001C1F0F"/>
    <w:rsid w:val="001C2569"/>
    <w:rsid w:val="001C2706"/>
    <w:rsid w:val="001C2806"/>
    <w:rsid w:val="001C2F08"/>
    <w:rsid w:val="001C371D"/>
    <w:rsid w:val="001C392F"/>
    <w:rsid w:val="001C3B66"/>
    <w:rsid w:val="001C3FC6"/>
    <w:rsid w:val="001C4D94"/>
    <w:rsid w:val="001C515C"/>
    <w:rsid w:val="001C63CB"/>
    <w:rsid w:val="001C65FC"/>
    <w:rsid w:val="001C6637"/>
    <w:rsid w:val="001D02B6"/>
    <w:rsid w:val="001D052F"/>
    <w:rsid w:val="001D0A38"/>
    <w:rsid w:val="001D0C48"/>
    <w:rsid w:val="001D10E6"/>
    <w:rsid w:val="001D1199"/>
    <w:rsid w:val="001D11C3"/>
    <w:rsid w:val="001D12E4"/>
    <w:rsid w:val="001D152C"/>
    <w:rsid w:val="001D15E8"/>
    <w:rsid w:val="001D167A"/>
    <w:rsid w:val="001D18FC"/>
    <w:rsid w:val="001D1E44"/>
    <w:rsid w:val="001D20FC"/>
    <w:rsid w:val="001D3C52"/>
    <w:rsid w:val="001D4235"/>
    <w:rsid w:val="001D4307"/>
    <w:rsid w:val="001D4407"/>
    <w:rsid w:val="001D4565"/>
    <w:rsid w:val="001D4A24"/>
    <w:rsid w:val="001D53FE"/>
    <w:rsid w:val="001D54A2"/>
    <w:rsid w:val="001D5866"/>
    <w:rsid w:val="001D6EE0"/>
    <w:rsid w:val="001D6FAE"/>
    <w:rsid w:val="001D70E5"/>
    <w:rsid w:val="001D741C"/>
    <w:rsid w:val="001D7D69"/>
    <w:rsid w:val="001D7EDD"/>
    <w:rsid w:val="001E0669"/>
    <w:rsid w:val="001E0B04"/>
    <w:rsid w:val="001E115B"/>
    <w:rsid w:val="001E12A8"/>
    <w:rsid w:val="001E1714"/>
    <w:rsid w:val="001E1824"/>
    <w:rsid w:val="001E1832"/>
    <w:rsid w:val="001E19EB"/>
    <w:rsid w:val="001E1B30"/>
    <w:rsid w:val="001E2042"/>
    <w:rsid w:val="001E373B"/>
    <w:rsid w:val="001E3A60"/>
    <w:rsid w:val="001E4157"/>
    <w:rsid w:val="001E495F"/>
    <w:rsid w:val="001E49AB"/>
    <w:rsid w:val="001E4B2C"/>
    <w:rsid w:val="001E58DE"/>
    <w:rsid w:val="001E5AF5"/>
    <w:rsid w:val="001E5CBA"/>
    <w:rsid w:val="001E5D85"/>
    <w:rsid w:val="001E6663"/>
    <w:rsid w:val="001E6754"/>
    <w:rsid w:val="001E679A"/>
    <w:rsid w:val="001E6FFE"/>
    <w:rsid w:val="001E7AC9"/>
    <w:rsid w:val="001F0C8E"/>
    <w:rsid w:val="001F10F7"/>
    <w:rsid w:val="001F239A"/>
    <w:rsid w:val="001F24D2"/>
    <w:rsid w:val="001F2CFE"/>
    <w:rsid w:val="001F3230"/>
    <w:rsid w:val="001F3253"/>
    <w:rsid w:val="001F358E"/>
    <w:rsid w:val="001F36DC"/>
    <w:rsid w:val="001F3F62"/>
    <w:rsid w:val="001F42BD"/>
    <w:rsid w:val="001F43A5"/>
    <w:rsid w:val="001F5509"/>
    <w:rsid w:val="001F583B"/>
    <w:rsid w:val="001F5A6D"/>
    <w:rsid w:val="001F5A72"/>
    <w:rsid w:val="001F617F"/>
    <w:rsid w:val="001F61A4"/>
    <w:rsid w:val="001F6978"/>
    <w:rsid w:val="001F6AF8"/>
    <w:rsid w:val="001F6C09"/>
    <w:rsid w:val="001F6CCF"/>
    <w:rsid w:val="001F7CBA"/>
    <w:rsid w:val="00200308"/>
    <w:rsid w:val="00200443"/>
    <w:rsid w:val="00200867"/>
    <w:rsid w:val="00200ECF"/>
    <w:rsid w:val="00201064"/>
    <w:rsid w:val="0020150A"/>
    <w:rsid w:val="0020179E"/>
    <w:rsid w:val="00201AC4"/>
    <w:rsid w:val="00201AE1"/>
    <w:rsid w:val="002021E7"/>
    <w:rsid w:val="00202688"/>
    <w:rsid w:val="002028BE"/>
    <w:rsid w:val="00202C8B"/>
    <w:rsid w:val="00202E5F"/>
    <w:rsid w:val="0020303F"/>
    <w:rsid w:val="00203537"/>
    <w:rsid w:val="002039EA"/>
    <w:rsid w:val="00203B2C"/>
    <w:rsid w:val="00204216"/>
    <w:rsid w:val="00204671"/>
    <w:rsid w:val="002046F4"/>
    <w:rsid w:val="00204811"/>
    <w:rsid w:val="002054A7"/>
    <w:rsid w:val="002057AD"/>
    <w:rsid w:val="00205D23"/>
    <w:rsid w:val="00205FD8"/>
    <w:rsid w:val="00206515"/>
    <w:rsid w:val="002065A4"/>
    <w:rsid w:val="002065E5"/>
    <w:rsid w:val="00206837"/>
    <w:rsid w:val="00206911"/>
    <w:rsid w:val="00207070"/>
    <w:rsid w:val="00210137"/>
    <w:rsid w:val="00210261"/>
    <w:rsid w:val="002108B3"/>
    <w:rsid w:val="00210A9D"/>
    <w:rsid w:val="00211F2E"/>
    <w:rsid w:val="00212112"/>
    <w:rsid w:val="0021229E"/>
    <w:rsid w:val="00212EEE"/>
    <w:rsid w:val="002130F9"/>
    <w:rsid w:val="002142C1"/>
    <w:rsid w:val="002144BD"/>
    <w:rsid w:val="00214840"/>
    <w:rsid w:val="00215256"/>
    <w:rsid w:val="002154B6"/>
    <w:rsid w:val="002154BD"/>
    <w:rsid w:val="00215715"/>
    <w:rsid w:val="00215AF8"/>
    <w:rsid w:val="002160BA"/>
    <w:rsid w:val="002165D8"/>
    <w:rsid w:val="0021666A"/>
    <w:rsid w:val="00216E27"/>
    <w:rsid w:val="00216E7F"/>
    <w:rsid w:val="00217257"/>
    <w:rsid w:val="00217A95"/>
    <w:rsid w:val="0022109F"/>
    <w:rsid w:val="00221594"/>
    <w:rsid w:val="0022195C"/>
    <w:rsid w:val="002219FC"/>
    <w:rsid w:val="0022318A"/>
    <w:rsid w:val="002232FA"/>
    <w:rsid w:val="002234BF"/>
    <w:rsid w:val="00223842"/>
    <w:rsid w:val="0022391D"/>
    <w:rsid w:val="00223B1E"/>
    <w:rsid w:val="00223B68"/>
    <w:rsid w:val="00223C5E"/>
    <w:rsid w:val="0022409B"/>
    <w:rsid w:val="002244A4"/>
    <w:rsid w:val="0022468C"/>
    <w:rsid w:val="0022479F"/>
    <w:rsid w:val="00224EA5"/>
    <w:rsid w:val="00225054"/>
    <w:rsid w:val="002250A2"/>
    <w:rsid w:val="00225152"/>
    <w:rsid w:val="002252C2"/>
    <w:rsid w:val="002264C5"/>
    <w:rsid w:val="00226CFF"/>
    <w:rsid w:val="00227584"/>
    <w:rsid w:val="002275FD"/>
    <w:rsid w:val="00227A17"/>
    <w:rsid w:val="00227FD0"/>
    <w:rsid w:val="0023000B"/>
    <w:rsid w:val="00230711"/>
    <w:rsid w:val="00230CC1"/>
    <w:rsid w:val="00230E1A"/>
    <w:rsid w:val="00231924"/>
    <w:rsid w:val="00231BEF"/>
    <w:rsid w:val="00232E38"/>
    <w:rsid w:val="00233041"/>
    <w:rsid w:val="002331CB"/>
    <w:rsid w:val="00233430"/>
    <w:rsid w:val="0023365A"/>
    <w:rsid w:val="00233816"/>
    <w:rsid w:val="00233BA2"/>
    <w:rsid w:val="00233F0A"/>
    <w:rsid w:val="00234046"/>
    <w:rsid w:val="0023437D"/>
    <w:rsid w:val="00234492"/>
    <w:rsid w:val="002359BB"/>
    <w:rsid w:val="00235B31"/>
    <w:rsid w:val="0023617C"/>
    <w:rsid w:val="00236466"/>
    <w:rsid w:val="00237420"/>
    <w:rsid w:val="0023753D"/>
    <w:rsid w:val="0023753F"/>
    <w:rsid w:val="002375FD"/>
    <w:rsid w:val="00237600"/>
    <w:rsid w:val="002378C0"/>
    <w:rsid w:val="002378E0"/>
    <w:rsid w:val="0023798D"/>
    <w:rsid w:val="00237AC6"/>
    <w:rsid w:val="00240277"/>
    <w:rsid w:val="00240294"/>
    <w:rsid w:val="002402B6"/>
    <w:rsid w:val="0024089F"/>
    <w:rsid w:val="00240FFC"/>
    <w:rsid w:val="00241377"/>
    <w:rsid w:val="0024141E"/>
    <w:rsid w:val="00241641"/>
    <w:rsid w:val="002418BA"/>
    <w:rsid w:val="00241A25"/>
    <w:rsid w:val="00241CF9"/>
    <w:rsid w:val="00241F5A"/>
    <w:rsid w:val="00242399"/>
    <w:rsid w:val="002425C2"/>
    <w:rsid w:val="00242C8C"/>
    <w:rsid w:val="00242E9C"/>
    <w:rsid w:val="00242F46"/>
    <w:rsid w:val="00243153"/>
    <w:rsid w:val="0024330C"/>
    <w:rsid w:val="00243CE1"/>
    <w:rsid w:val="0024401D"/>
    <w:rsid w:val="0024448F"/>
    <w:rsid w:val="00245539"/>
    <w:rsid w:val="0024573D"/>
    <w:rsid w:val="00245B13"/>
    <w:rsid w:val="00245B4A"/>
    <w:rsid w:val="00246087"/>
    <w:rsid w:val="002462F5"/>
    <w:rsid w:val="00246467"/>
    <w:rsid w:val="00246A6B"/>
    <w:rsid w:val="00246F4C"/>
    <w:rsid w:val="0024754E"/>
    <w:rsid w:val="00247C28"/>
    <w:rsid w:val="00247E30"/>
    <w:rsid w:val="002504A3"/>
    <w:rsid w:val="002508CE"/>
    <w:rsid w:val="00250B12"/>
    <w:rsid w:val="00251054"/>
    <w:rsid w:val="0025110B"/>
    <w:rsid w:val="0025166D"/>
    <w:rsid w:val="00251817"/>
    <w:rsid w:val="00251CAE"/>
    <w:rsid w:val="00251F0B"/>
    <w:rsid w:val="00252CCC"/>
    <w:rsid w:val="00253008"/>
    <w:rsid w:val="00253015"/>
    <w:rsid w:val="0025381B"/>
    <w:rsid w:val="002538A3"/>
    <w:rsid w:val="00253C13"/>
    <w:rsid w:val="00254698"/>
    <w:rsid w:val="00254F66"/>
    <w:rsid w:val="002551C1"/>
    <w:rsid w:val="00255397"/>
    <w:rsid w:val="002557AD"/>
    <w:rsid w:val="00255950"/>
    <w:rsid w:val="00255EA5"/>
    <w:rsid w:val="00255F7D"/>
    <w:rsid w:val="002560D1"/>
    <w:rsid w:val="00256B38"/>
    <w:rsid w:val="00256E0A"/>
    <w:rsid w:val="002576FA"/>
    <w:rsid w:val="00260B83"/>
    <w:rsid w:val="00260C2E"/>
    <w:rsid w:val="00260CED"/>
    <w:rsid w:val="00260E20"/>
    <w:rsid w:val="00261214"/>
    <w:rsid w:val="00261345"/>
    <w:rsid w:val="00262680"/>
    <w:rsid w:val="00262BD1"/>
    <w:rsid w:val="00262BEA"/>
    <w:rsid w:val="00262FF8"/>
    <w:rsid w:val="00263183"/>
    <w:rsid w:val="00263A33"/>
    <w:rsid w:val="002645C4"/>
    <w:rsid w:val="00264A64"/>
    <w:rsid w:val="00264BDF"/>
    <w:rsid w:val="00264E78"/>
    <w:rsid w:val="002659F2"/>
    <w:rsid w:val="00265EA7"/>
    <w:rsid w:val="00266923"/>
    <w:rsid w:val="00266DC2"/>
    <w:rsid w:val="00267C08"/>
    <w:rsid w:val="00270595"/>
    <w:rsid w:val="00270AEF"/>
    <w:rsid w:val="00270D76"/>
    <w:rsid w:val="00270F3F"/>
    <w:rsid w:val="0027103D"/>
    <w:rsid w:val="002711B5"/>
    <w:rsid w:val="00271294"/>
    <w:rsid w:val="002716E5"/>
    <w:rsid w:val="0027179D"/>
    <w:rsid w:val="002717DC"/>
    <w:rsid w:val="00273222"/>
    <w:rsid w:val="00274630"/>
    <w:rsid w:val="00274C9D"/>
    <w:rsid w:val="0027590F"/>
    <w:rsid w:val="00275CB1"/>
    <w:rsid w:val="00276F9A"/>
    <w:rsid w:val="002776CE"/>
    <w:rsid w:val="0028018D"/>
    <w:rsid w:val="00280D65"/>
    <w:rsid w:val="0028154B"/>
    <w:rsid w:val="002818E7"/>
    <w:rsid w:val="00281C4D"/>
    <w:rsid w:val="0028205E"/>
    <w:rsid w:val="00282120"/>
    <w:rsid w:val="002827B0"/>
    <w:rsid w:val="00282B9A"/>
    <w:rsid w:val="00282CC6"/>
    <w:rsid w:val="00282CE9"/>
    <w:rsid w:val="00283A57"/>
    <w:rsid w:val="00283AD7"/>
    <w:rsid w:val="00283E11"/>
    <w:rsid w:val="0028427F"/>
    <w:rsid w:val="00284410"/>
    <w:rsid w:val="00284557"/>
    <w:rsid w:val="00284B3B"/>
    <w:rsid w:val="00285158"/>
    <w:rsid w:val="00285553"/>
    <w:rsid w:val="002857E8"/>
    <w:rsid w:val="002860C8"/>
    <w:rsid w:val="00286646"/>
    <w:rsid w:val="002867AF"/>
    <w:rsid w:val="00286EE8"/>
    <w:rsid w:val="00286F27"/>
    <w:rsid w:val="002870FA"/>
    <w:rsid w:val="00287DBC"/>
    <w:rsid w:val="00287FA5"/>
    <w:rsid w:val="002904C2"/>
    <w:rsid w:val="00290590"/>
    <w:rsid w:val="002907FE"/>
    <w:rsid w:val="0029091B"/>
    <w:rsid w:val="00290C6D"/>
    <w:rsid w:val="00291290"/>
    <w:rsid w:val="002912BB"/>
    <w:rsid w:val="00291E84"/>
    <w:rsid w:val="0029264B"/>
    <w:rsid w:val="00292868"/>
    <w:rsid w:val="00292C9F"/>
    <w:rsid w:val="00292CBA"/>
    <w:rsid w:val="00292CF2"/>
    <w:rsid w:val="0029313E"/>
    <w:rsid w:val="00294316"/>
    <w:rsid w:val="00294C70"/>
    <w:rsid w:val="00295361"/>
    <w:rsid w:val="0029631E"/>
    <w:rsid w:val="00296D16"/>
    <w:rsid w:val="00296DFF"/>
    <w:rsid w:val="002973CE"/>
    <w:rsid w:val="002975F0"/>
    <w:rsid w:val="002A0882"/>
    <w:rsid w:val="002A092D"/>
    <w:rsid w:val="002A12FA"/>
    <w:rsid w:val="002A1845"/>
    <w:rsid w:val="002A19AC"/>
    <w:rsid w:val="002A1E56"/>
    <w:rsid w:val="002A2BAF"/>
    <w:rsid w:val="002A31B3"/>
    <w:rsid w:val="002A33CE"/>
    <w:rsid w:val="002A36E1"/>
    <w:rsid w:val="002A3A20"/>
    <w:rsid w:val="002A43B7"/>
    <w:rsid w:val="002A4544"/>
    <w:rsid w:val="002A481F"/>
    <w:rsid w:val="002A4928"/>
    <w:rsid w:val="002A4B4C"/>
    <w:rsid w:val="002A572F"/>
    <w:rsid w:val="002A6594"/>
    <w:rsid w:val="002A65EE"/>
    <w:rsid w:val="002A694F"/>
    <w:rsid w:val="002A698F"/>
    <w:rsid w:val="002A6E6F"/>
    <w:rsid w:val="002A6F1D"/>
    <w:rsid w:val="002A71DB"/>
    <w:rsid w:val="002A799E"/>
    <w:rsid w:val="002A7B59"/>
    <w:rsid w:val="002A7D63"/>
    <w:rsid w:val="002B00AF"/>
    <w:rsid w:val="002B077D"/>
    <w:rsid w:val="002B0F88"/>
    <w:rsid w:val="002B12D2"/>
    <w:rsid w:val="002B1C38"/>
    <w:rsid w:val="002B26A2"/>
    <w:rsid w:val="002B35BE"/>
    <w:rsid w:val="002B35CA"/>
    <w:rsid w:val="002B362B"/>
    <w:rsid w:val="002B3A08"/>
    <w:rsid w:val="002B3D00"/>
    <w:rsid w:val="002B46BC"/>
    <w:rsid w:val="002B51B7"/>
    <w:rsid w:val="002B52FB"/>
    <w:rsid w:val="002B5F2B"/>
    <w:rsid w:val="002B5F92"/>
    <w:rsid w:val="002B6389"/>
    <w:rsid w:val="002B6EB0"/>
    <w:rsid w:val="002B7884"/>
    <w:rsid w:val="002C04C4"/>
    <w:rsid w:val="002C074C"/>
    <w:rsid w:val="002C0774"/>
    <w:rsid w:val="002C07D6"/>
    <w:rsid w:val="002C0E9E"/>
    <w:rsid w:val="002C1978"/>
    <w:rsid w:val="002C1B69"/>
    <w:rsid w:val="002C255D"/>
    <w:rsid w:val="002C2F03"/>
    <w:rsid w:val="002C382F"/>
    <w:rsid w:val="002C5279"/>
    <w:rsid w:val="002C57DB"/>
    <w:rsid w:val="002C5ECE"/>
    <w:rsid w:val="002C66A4"/>
    <w:rsid w:val="002C695C"/>
    <w:rsid w:val="002C6C43"/>
    <w:rsid w:val="002C6D70"/>
    <w:rsid w:val="002C6EF3"/>
    <w:rsid w:val="002C6FD8"/>
    <w:rsid w:val="002C745C"/>
    <w:rsid w:val="002C7DC5"/>
    <w:rsid w:val="002D06A7"/>
    <w:rsid w:val="002D0B49"/>
    <w:rsid w:val="002D136C"/>
    <w:rsid w:val="002D1882"/>
    <w:rsid w:val="002D1BBD"/>
    <w:rsid w:val="002D1CEF"/>
    <w:rsid w:val="002D2D6A"/>
    <w:rsid w:val="002D2FCF"/>
    <w:rsid w:val="002D3271"/>
    <w:rsid w:val="002D3343"/>
    <w:rsid w:val="002D3953"/>
    <w:rsid w:val="002D39DD"/>
    <w:rsid w:val="002D3E80"/>
    <w:rsid w:val="002D419F"/>
    <w:rsid w:val="002D45D8"/>
    <w:rsid w:val="002D461D"/>
    <w:rsid w:val="002D479D"/>
    <w:rsid w:val="002D48A5"/>
    <w:rsid w:val="002D502C"/>
    <w:rsid w:val="002D5771"/>
    <w:rsid w:val="002D5838"/>
    <w:rsid w:val="002D5B4D"/>
    <w:rsid w:val="002D680E"/>
    <w:rsid w:val="002D703D"/>
    <w:rsid w:val="002D7532"/>
    <w:rsid w:val="002D7F4A"/>
    <w:rsid w:val="002E0209"/>
    <w:rsid w:val="002E074A"/>
    <w:rsid w:val="002E0889"/>
    <w:rsid w:val="002E09B3"/>
    <w:rsid w:val="002E0ADE"/>
    <w:rsid w:val="002E0C80"/>
    <w:rsid w:val="002E0E6A"/>
    <w:rsid w:val="002E0FAE"/>
    <w:rsid w:val="002E1611"/>
    <w:rsid w:val="002E18BB"/>
    <w:rsid w:val="002E1922"/>
    <w:rsid w:val="002E1A96"/>
    <w:rsid w:val="002E20D6"/>
    <w:rsid w:val="002E3058"/>
    <w:rsid w:val="002E34CA"/>
    <w:rsid w:val="002E47F0"/>
    <w:rsid w:val="002E4888"/>
    <w:rsid w:val="002E4900"/>
    <w:rsid w:val="002E49D5"/>
    <w:rsid w:val="002E4BB3"/>
    <w:rsid w:val="002E4DDE"/>
    <w:rsid w:val="002E517A"/>
    <w:rsid w:val="002E57A7"/>
    <w:rsid w:val="002E58B9"/>
    <w:rsid w:val="002E58D0"/>
    <w:rsid w:val="002E5C0F"/>
    <w:rsid w:val="002E5CE5"/>
    <w:rsid w:val="002E634D"/>
    <w:rsid w:val="002E7071"/>
    <w:rsid w:val="002E7166"/>
    <w:rsid w:val="002F07D4"/>
    <w:rsid w:val="002F0D32"/>
    <w:rsid w:val="002F1006"/>
    <w:rsid w:val="002F14E5"/>
    <w:rsid w:val="002F14E7"/>
    <w:rsid w:val="002F15CE"/>
    <w:rsid w:val="002F172C"/>
    <w:rsid w:val="002F1F70"/>
    <w:rsid w:val="002F36FE"/>
    <w:rsid w:val="002F3979"/>
    <w:rsid w:val="002F3CB3"/>
    <w:rsid w:val="002F3CE3"/>
    <w:rsid w:val="002F3D41"/>
    <w:rsid w:val="002F45BC"/>
    <w:rsid w:val="002F4B12"/>
    <w:rsid w:val="002F53BA"/>
    <w:rsid w:val="002F58B0"/>
    <w:rsid w:val="002F5EB5"/>
    <w:rsid w:val="002F6395"/>
    <w:rsid w:val="002F6598"/>
    <w:rsid w:val="002F681C"/>
    <w:rsid w:val="002F6F71"/>
    <w:rsid w:val="002F7756"/>
    <w:rsid w:val="002F785A"/>
    <w:rsid w:val="002F788C"/>
    <w:rsid w:val="002F79F8"/>
    <w:rsid w:val="00300146"/>
    <w:rsid w:val="00300B2E"/>
    <w:rsid w:val="00300B50"/>
    <w:rsid w:val="00300BE1"/>
    <w:rsid w:val="00300D79"/>
    <w:rsid w:val="00300EE0"/>
    <w:rsid w:val="0030157A"/>
    <w:rsid w:val="003017C5"/>
    <w:rsid w:val="00301D28"/>
    <w:rsid w:val="00301F70"/>
    <w:rsid w:val="003028CB"/>
    <w:rsid w:val="00302A44"/>
    <w:rsid w:val="00302CED"/>
    <w:rsid w:val="00303B96"/>
    <w:rsid w:val="0030464A"/>
    <w:rsid w:val="00304FBF"/>
    <w:rsid w:val="003054A7"/>
    <w:rsid w:val="00305986"/>
    <w:rsid w:val="003067C8"/>
    <w:rsid w:val="00306EF6"/>
    <w:rsid w:val="00307F11"/>
    <w:rsid w:val="003103D6"/>
    <w:rsid w:val="00310B0A"/>
    <w:rsid w:val="0031105E"/>
    <w:rsid w:val="003111CE"/>
    <w:rsid w:val="0031154C"/>
    <w:rsid w:val="00311722"/>
    <w:rsid w:val="003119EE"/>
    <w:rsid w:val="00311B2A"/>
    <w:rsid w:val="00311C97"/>
    <w:rsid w:val="003120AC"/>
    <w:rsid w:val="00312230"/>
    <w:rsid w:val="0031284C"/>
    <w:rsid w:val="00312914"/>
    <w:rsid w:val="00312EEA"/>
    <w:rsid w:val="003134CD"/>
    <w:rsid w:val="00313BA2"/>
    <w:rsid w:val="00313FFC"/>
    <w:rsid w:val="0031441C"/>
    <w:rsid w:val="003145E2"/>
    <w:rsid w:val="00314F2A"/>
    <w:rsid w:val="003152FA"/>
    <w:rsid w:val="00316AB5"/>
    <w:rsid w:val="00316D72"/>
    <w:rsid w:val="00317875"/>
    <w:rsid w:val="0032034D"/>
    <w:rsid w:val="00320940"/>
    <w:rsid w:val="003209BE"/>
    <w:rsid w:val="00320A94"/>
    <w:rsid w:val="00320BD3"/>
    <w:rsid w:val="00321196"/>
    <w:rsid w:val="003211A3"/>
    <w:rsid w:val="00321684"/>
    <w:rsid w:val="00321988"/>
    <w:rsid w:val="00321A10"/>
    <w:rsid w:val="00322872"/>
    <w:rsid w:val="003228F1"/>
    <w:rsid w:val="00322A99"/>
    <w:rsid w:val="00322E8C"/>
    <w:rsid w:val="0032306E"/>
    <w:rsid w:val="00323A0A"/>
    <w:rsid w:val="00323B36"/>
    <w:rsid w:val="003242D3"/>
    <w:rsid w:val="00324910"/>
    <w:rsid w:val="0032505F"/>
    <w:rsid w:val="003261F6"/>
    <w:rsid w:val="00326B81"/>
    <w:rsid w:val="00327062"/>
    <w:rsid w:val="003271C1"/>
    <w:rsid w:val="00327756"/>
    <w:rsid w:val="00330C1D"/>
    <w:rsid w:val="00331598"/>
    <w:rsid w:val="003318DE"/>
    <w:rsid w:val="00331C54"/>
    <w:rsid w:val="00331CF7"/>
    <w:rsid w:val="0033218E"/>
    <w:rsid w:val="0033235F"/>
    <w:rsid w:val="0033237D"/>
    <w:rsid w:val="003324D5"/>
    <w:rsid w:val="003325C4"/>
    <w:rsid w:val="0033260F"/>
    <w:rsid w:val="00332AC5"/>
    <w:rsid w:val="00332EA0"/>
    <w:rsid w:val="00332F54"/>
    <w:rsid w:val="0033354C"/>
    <w:rsid w:val="00333865"/>
    <w:rsid w:val="003349C8"/>
    <w:rsid w:val="003354E9"/>
    <w:rsid w:val="00335C08"/>
    <w:rsid w:val="00335D91"/>
    <w:rsid w:val="00335DB8"/>
    <w:rsid w:val="00335E1C"/>
    <w:rsid w:val="00335E38"/>
    <w:rsid w:val="00336371"/>
    <w:rsid w:val="00336526"/>
    <w:rsid w:val="003366F0"/>
    <w:rsid w:val="00336E0B"/>
    <w:rsid w:val="00337ABE"/>
    <w:rsid w:val="00337AE0"/>
    <w:rsid w:val="00337E74"/>
    <w:rsid w:val="003411DE"/>
    <w:rsid w:val="0034176D"/>
    <w:rsid w:val="00341D3B"/>
    <w:rsid w:val="003420D2"/>
    <w:rsid w:val="003422A7"/>
    <w:rsid w:val="003426CA"/>
    <w:rsid w:val="00342E44"/>
    <w:rsid w:val="00343320"/>
    <w:rsid w:val="003437DA"/>
    <w:rsid w:val="00343DD3"/>
    <w:rsid w:val="003442B0"/>
    <w:rsid w:val="00344435"/>
    <w:rsid w:val="003446AE"/>
    <w:rsid w:val="003449AB"/>
    <w:rsid w:val="00344CA8"/>
    <w:rsid w:val="00344F5F"/>
    <w:rsid w:val="003450A7"/>
    <w:rsid w:val="00345192"/>
    <w:rsid w:val="00345382"/>
    <w:rsid w:val="00345CAD"/>
    <w:rsid w:val="00346124"/>
    <w:rsid w:val="0034615D"/>
    <w:rsid w:val="00346770"/>
    <w:rsid w:val="003469BC"/>
    <w:rsid w:val="00346DE8"/>
    <w:rsid w:val="003474E5"/>
    <w:rsid w:val="00347C54"/>
    <w:rsid w:val="003501DE"/>
    <w:rsid w:val="003503C9"/>
    <w:rsid w:val="003505CC"/>
    <w:rsid w:val="00350B9A"/>
    <w:rsid w:val="00352B43"/>
    <w:rsid w:val="00353498"/>
    <w:rsid w:val="0035354D"/>
    <w:rsid w:val="00353ED8"/>
    <w:rsid w:val="00354126"/>
    <w:rsid w:val="00354D5A"/>
    <w:rsid w:val="00354D89"/>
    <w:rsid w:val="00354EB9"/>
    <w:rsid w:val="003553E6"/>
    <w:rsid w:val="0035543F"/>
    <w:rsid w:val="00355BC2"/>
    <w:rsid w:val="00355CB4"/>
    <w:rsid w:val="00357162"/>
    <w:rsid w:val="0035763B"/>
    <w:rsid w:val="003601DD"/>
    <w:rsid w:val="00360F69"/>
    <w:rsid w:val="00361452"/>
    <w:rsid w:val="00361FEE"/>
    <w:rsid w:val="00362CAE"/>
    <w:rsid w:val="00362CC1"/>
    <w:rsid w:val="00362DE3"/>
    <w:rsid w:val="00363015"/>
    <w:rsid w:val="00364210"/>
    <w:rsid w:val="0036437B"/>
    <w:rsid w:val="00364502"/>
    <w:rsid w:val="00364B09"/>
    <w:rsid w:val="00364B32"/>
    <w:rsid w:val="00365029"/>
    <w:rsid w:val="00365C66"/>
    <w:rsid w:val="00365CD8"/>
    <w:rsid w:val="00365D9F"/>
    <w:rsid w:val="00366397"/>
    <w:rsid w:val="00366A85"/>
    <w:rsid w:val="003675AB"/>
    <w:rsid w:val="003676FA"/>
    <w:rsid w:val="00367C29"/>
    <w:rsid w:val="00367EE6"/>
    <w:rsid w:val="00370083"/>
    <w:rsid w:val="003701AF"/>
    <w:rsid w:val="003702A1"/>
    <w:rsid w:val="00371088"/>
    <w:rsid w:val="003714E8"/>
    <w:rsid w:val="00371C3C"/>
    <w:rsid w:val="00371E9B"/>
    <w:rsid w:val="00372165"/>
    <w:rsid w:val="003728BF"/>
    <w:rsid w:val="00372B64"/>
    <w:rsid w:val="00372B66"/>
    <w:rsid w:val="00372D45"/>
    <w:rsid w:val="00372DF3"/>
    <w:rsid w:val="00372DF4"/>
    <w:rsid w:val="0037306A"/>
    <w:rsid w:val="00373A02"/>
    <w:rsid w:val="003741EB"/>
    <w:rsid w:val="003742E2"/>
    <w:rsid w:val="00374AB2"/>
    <w:rsid w:val="00374E9B"/>
    <w:rsid w:val="00375522"/>
    <w:rsid w:val="003756E1"/>
    <w:rsid w:val="003759A2"/>
    <w:rsid w:val="00375A72"/>
    <w:rsid w:val="00375B25"/>
    <w:rsid w:val="003762A4"/>
    <w:rsid w:val="003766E6"/>
    <w:rsid w:val="00376A2E"/>
    <w:rsid w:val="00376BC6"/>
    <w:rsid w:val="00376CA3"/>
    <w:rsid w:val="003772C0"/>
    <w:rsid w:val="00377E55"/>
    <w:rsid w:val="003802FF"/>
    <w:rsid w:val="00380674"/>
    <w:rsid w:val="00380B17"/>
    <w:rsid w:val="00380BC4"/>
    <w:rsid w:val="00381B78"/>
    <w:rsid w:val="003822FB"/>
    <w:rsid w:val="003825EF"/>
    <w:rsid w:val="00382686"/>
    <w:rsid w:val="00383352"/>
    <w:rsid w:val="00383B6F"/>
    <w:rsid w:val="00383D62"/>
    <w:rsid w:val="00383F32"/>
    <w:rsid w:val="00384164"/>
    <w:rsid w:val="003842D6"/>
    <w:rsid w:val="003843D8"/>
    <w:rsid w:val="003848D5"/>
    <w:rsid w:val="00384E7E"/>
    <w:rsid w:val="00385CA1"/>
    <w:rsid w:val="00385E29"/>
    <w:rsid w:val="00385F95"/>
    <w:rsid w:val="003861C1"/>
    <w:rsid w:val="00386377"/>
    <w:rsid w:val="00386418"/>
    <w:rsid w:val="00390092"/>
    <w:rsid w:val="003911CA"/>
    <w:rsid w:val="003916E0"/>
    <w:rsid w:val="0039180F"/>
    <w:rsid w:val="00391DD7"/>
    <w:rsid w:val="00391E4C"/>
    <w:rsid w:val="00391EA1"/>
    <w:rsid w:val="003920A8"/>
    <w:rsid w:val="00392853"/>
    <w:rsid w:val="003931CC"/>
    <w:rsid w:val="003936B9"/>
    <w:rsid w:val="00393EAA"/>
    <w:rsid w:val="003945D9"/>
    <w:rsid w:val="00394826"/>
    <w:rsid w:val="0039512F"/>
    <w:rsid w:val="00395452"/>
    <w:rsid w:val="003955F3"/>
    <w:rsid w:val="00395BB7"/>
    <w:rsid w:val="003961E1"/>
    <w:rsid w:val="0039708B"/>
    <w:rsid w:val="003970AF"/>
    <w:rsid w:val="00397240"/>
    <w:rsid w:val="00397FC6"/>
    <w:rsid w:val="003A0B84"/>
    <w:rsid w:val="003A0CE7"/>
    <w:rsid w:val="003A0D2E"/>
    <w:rsid w:val="003A1020"/>
    <w:rsid w:val="003A1689"/>
    <w:rsid w:val="003A1CB4"/>
    <w:rsid w:val="003A1E22"/>
    <w:rsid w:val="003A2CBF"/>
    <w:rsid w:val="003A2E95"/>
    <w:rsid w:val="003A2F3E"/>
    <w:rsid w:val="003A31D9"/>
    <w:rsid w:val="003A368E"/>
    <w:rsid w:val="003A3B5A"/>
    <w:rsid w:val="003A3E83"/>
    <w:rsid w:val="003A3EC5"/>
    <w:rsid w:val="003A47C2"/>
    <w:rsid w:val="003A4AF9"/>
    <w:rsid w:val="003A4EDC"/>
    <w:rsid w:val="003A5761"/>
    <w:rsid w:val="003A5EF8"/>
    <w:rsid w:val="003A610B"/>
    <w:rsid w:val="003A6751"/>
    <w:rsid w:val="003A6D0E"/>
    <w:rsid w:val="003A6EC9"/>
    <w:rsid w:val="003A7119"/>
    <w:rsid w:val="003A7582"/>
    <w:rsid w:val="003A7642"/>
    <w:rsid w:val="003B0065"/>
    <w:rsid w:val="003B12D1"/>
    <w:rsid w:val="003B1DEA"/>
    <w:rsid w:val="003B249C"/>
    <w:rsid w:val="003B24A5"/>
    <w:rsid w:val="003B3126"/>
    <w:rsid w:val="003B38E9"/>
    <w:rsid w:val="003B3CDF"/>
    <w:rsid w:val="003B3FE6"/>
    <w:rsid w:val="003B440A"/>
    <w:rsid w:val="003B44D7"/>
    <w:rsid w:val="003B46AA"/>
    <w:rsid w:val="003B4820"/>
    <w:rsid w:val="003B4CAF"/>
    <w:rsid w:val="003B5262"/>
    <w:rsid w:val="003B5308"/>
    <w:rsid w:val="003B5503"/>
    <w:rsid w:val="003B5581"/>
    <w:rsid w:val="003B6514"/>
    <w:rsid w:val="003B665E"/>
    <w:rsid w:val="003B6FA8"/>
    <w:rsid w:val="003B741A"/>
    <w:rsid w:val="003B763E"/>
    <w:rsid w:val="003B7D81"/>
    <w:rsid w:val="003B7E96"/>
    <w:rsid w:val="003B7EE7"/>
    <w:rsid w:val="003C0284"/>
    <w:rsid w:val="003C0515"/>
    <w:rsid w:val="003C11A6"/>
    <w:rsid w:val="003C148E"/>
    <w:rsid w:val="003C199A"/>
    <w:rsid w:val="003C2730"/>
    <w:rsid w:val="003C30F9"/>
    <w:rsid w:val="003C365A"/>
    <w:rsid w:val="003C369E"/>
    <w:rsid w:val="003C41DE"/>
    <w:rsid w:val="003C4C15"/>
    <w:rsid w:val="003C4DA7"/>
    <w:rsid w:val="003C544B"/>
    <w:rsid w:val="003C5992"/>
    <w:rsid w:val="003C5B5D"/>
    <w:rsid w:val="003C6031"/>
    <w:rsid w:val="003C6202"/>
    <w:rsid w:val="003C6A36"/>
    <w:rsid w:val="003C6D13"/>
    <w:rsid w:val="003C70BF"/>
    <w:rsid w:val="003D0570"/>
    <w:rsid w:val="003D0A1C"/>
    <w:rsid w:val="003D0C03"/>
    <w:rsid w:val="003D0D30"/>
    <w:rsid w:val="003D103E"/>
    <w:rsid w:val="003D213A"/>
    <w:rsid w:val="003D2635"/>
    <w:rsid w:val="003D2985"/>
    <w:rsid w:val="003D2C1F"/>
    <w:rsid w:val="003D3331"/>
    <w:rsid w:val="003D33EA"/>
    <w:rsid w:val="003D35E1"/>
    <w:rsid w:val="003D3DEB"/>
    <w:rsid w:val="003D3EC0"/>
    <w:rsid w:val="003D4341"/>
    <w:rsid w:val="003D4474"/>
    <w:rsid w:val="003D46DF"/>
    <w:rsid w:val="003D489F"/>
    <w:rsid w:val="003D4E0E"/>
    <w:rsid w:val="003D5A84"/>
    <w:rsid w:val="003D6D8A"/>
    <w:rsid w:val="003D760C"/>
    <w:rsid w:val="003D76EE"/>
    <w:rsid w:val="003E0605"/>
    <w:rsid w:val="003E08CC"/>
    <w:rsid w:val="003E0907"/>
    <w:rsid w:val="003E0BA6"/>
    <w:rsid w:val="003E0E31"/>
    <w:rsid w:val="003E10C3"/>
    <w:rsid w:val="003E1145"/>
    <w:rsid w:val="003E118B"/>
    <w:rsid w:val="003E25AC"/>
    <w:rsid w:val="003E26C1"/>
    <w:rsid w:val="003E2DB1"/>
    <w:rsid w:val="003E3BA5"/>
    <w:rsid w:val="003E3C39"/>
    <w:rsid w:val="003E4BED"/>
    <w:rsid w:val="003E5177"/>
    <w:rsid w:val="003E64C5"/>
    <w:rsid w:val="003E73D3"/>
    <w:rsid w:val="003E776A"/>
    <w:rsid w:val="003E7FDB"/>
    <w:rsid w:val="003F014D"/>
    <w:rsid w:val="003F0488"/>
    <w:rsid w:val="003F0751"/>
    <w:rsid w:val="003F07EA"/>
    <w:rsid w:val="003F09A0"/>
    <w:rsid w:val="003F1366"/>
    <w:rsid w:val="003F15D3"/>
    <w:rsid w:val="003F2702"/>
    <w:rsid w:val="003F2CDC"/>
    <w:rsid w:val="003F32E3"/>
    <w:rsid w:val="003F3365"/>
    <w:rsid w:val="003F35F8"/>
    <w:rsid w:val="003F45BE"/>
    <w:rsid w:val="003F4987"/>
    <w:rsid w:val="003F4BA3"/>
    <w:rsid w:val="003F514A"/>
    <w:rsid w:val="003F5530"/>
    <w:rsid w:val="003F58B9"/>
    <w:rsid w:val="003F59C0"/>
    <w:rsid w:val="003F5E5C"/>
    <w:rsid w:val="003F63FF"/>
    <w:rsid w:val="003F64C7"/>
    <w:rsid w:val="003F6522"/>
    <w:rsid w:val="003F6917"/>
    <w:rsid w:val="003F71DC"/>
    <w:rsid w:val="003F798F"/>
    <w:rsid w:val="003F7AD3"/>
    <w:rsid w:val="003F7EF5"/>
    <w:rsid w:val="00400384"/>
    <w:rsid w:val="0040044D"/>
    <w:rsid w:val="00400769"/>
    <w:rsid w:val="00400874"/>
    <w:rsid w:val="00400AA1"/>
    <w:rsid w:val="00400F42"/>
    <w:rsid w:val="004014D5"/>
    <w:rsid w:val="004015E3"/>
    <w:rsid w:val="00401841"/>
    <w:rsid w:val="00402FBA"/>
    <w:rsid w:val="004035E3"/>
    <w:rsid w:val="00403C6A"/>
    <w:rsid w:val="0040412B"/>
    <w:rsid w:val="0040423B"/>
    <w:rsid w:val="0040437F"/>
    <w:rsid w:val="00404B61"/>
    <w:rsid w:val="00404BFD"/>
    <w:rsid w:val="00404D26"/>
    <w:rsid w:val="00404EF8"/>
    <w:rsid w:val="00404F0B"/>
    <w:rsid w:val="00405982"/>
    <w:rsid w:val="00405C49"/>
    <w:rsid w:val="004060DE"/>
    <w:rsid w:val="0040649F"/>
    <w:rsid w:val="00406AD5"/>
    <w:rsid w:val="00406C43"/>
    <w:rsid w:val="00406CE9"/>
    <w:rsid w:val="00406D0B"/>
    <w:rsid w:val="00406D99"/>
    <w:rsid w:val="00406EB1"/>
    <w:rsid w:val="00406FD8"/>
    <w:rsid w:val="004105E4"/>
    <w:rsid w:val="00410643"/>
    <w:rsid w:val="00411189"/>
    <w:rsid w:val="004128A9"/>
    <w:rsid w:val="004138F7"/>
    <w:rsid w:val="00413CBF"/>
    <w:rsid w:val="0041412C"/>
    <w:rsid w:val="004151DA"/>
    <w:rsid w:val="004151FA"/>
    <w:rsid w:val="00415BDB"/>
    <w:rsid w:val="004163D1"/>
    <w:rsid w:val="00416C6E"/>
    <w:rsid w:val="00416E0E"/>
    <w:rsid w:val="004174E8"/>
    <w:rsid w:val="00417703"/>
    <w:rsid w:val="00420398"/>
    <w:rsid w:val="00420828"/>
    <w:rsid w:val="00420B88"/>
    <w:rsid w:val="00420D50"/>
    <w:rsid w:val="004217F9"/>
    <w:rsid w:val="00421A17"/>
    <w:rsid w:val="00421C18"/>
    <w:rsid w:val="00421D40"/>
    <w:rsid w:val="00421E45"/>
    <w:rsid w:val="00421E5F"/>
    <w:rsid w:val="004222DC"/>
    <w:rsid w:val="004227E5"/>
    <w:rsid w:val="00425F8F"/>
    <w:rsid w:val="00426080"/>
    <w:rsid w:val="00426335"/>
    <w:rsid w:val="0042678E"/>
    <w:rsid w:val="004269CF"/>
    <w:rsid w:val="00426AA6"/>
    <w:rsid w:val="00426CEC"/>
    <w:rsid w:val="00426DAE"/>
    <w:rsid w:val="00426F13"/>
    <w:rsid w:val="0042701C"/>
    <w:rsid w:val="00427223"/>
    <w:rsid w:val="00427530"/>
    <w:rsid w:val="00430AA0"/>
    <w:rsid w:val="0043202D"/>
    <w:rsid w:val="00432C07"/>
    <w:rsid w:val="00432D33"/>
    <w:rsid w:val="00433008"/>
    <w:rsid w:val="004339C8"/>
    <w:rsid w:val="00433D3E"/>
    <w:rsid w:val="00434726"/>
    <w:rsid w:val="0043492D"/>
    <w:rsid w:val="00435000"/>
    <w:rsid w:val="004352E7"/>
    <w:rsid w:val="004357B9"/>
    <w:rsid w:val="00435A81"/>
    <w:rsid w:val="00436BFC"/>
    <w:rsid w:val="00437B32"/>
    <w:rsid w:val="00437FDD"/>
    <w:rsid w:val="004410AA"/>
    <w:rsid w:val="00441931"/>
    <w:rsid w:val="00441C30"/>
    <w:rsid w:val="00441F02"/>
    <w:rsid w:val="00441F3B"/>
    <w:rsid w:val="00442374"/>
    <w:rsid w:val="00442497"/>
    <w:rsid w:val="00442C76"/>
    <w:rsid w:val="00442FD7"/>
    <w:rsid w:val="00442FF3"/>
    <w:rsid w:val="004436DB"/>
    <w:rsid w:val="0044461A"/>
    <w:rsid w:val="00444D6A"/>
    <w:rsid w:val="00445116"/>
    <w:rsid w:val="00445131"/>
    <w:rsid w:val="0044522F"/>
    <w:rsid w:val="00445384"/>
    <w:rsid w:val="004456E5"/>
    <w:rsid w:val="00445B35"/>
    <w:rsid w:val="004462F4"/>
    <w:rsid w:val="00446676"/>
    <w:rsid w:val="00446D47"/>
    <w:rsid w:val="00446E17"/>
    <w:rsid w:val="00446E9F"/>
    <w:rsid w:val="004470AC"/>
    <w:rsid w:val="004477EE"/>
    <w:rsid w:val="0045032D"/>
    <w:rsid w:val="004503D5"/>
    <w:rsid w:val="00450BE5"/>
    <w:rsid w:val="00450CC3"/>
    <w:rsid w:val="00450D34"/>
    <w:rsid w:val="00450FA9"/>
    <w:rsid w:val="0045116B"/>
    <w:rsid w:val="00451A2D"/>
    <w:rsid w:val="00452AB5"/>
    <w:rsid w:val="00452BC4"/>
    <w:rsid w:val="00452E6A"/>
    <w:rsid w:val="004531C9"/>
    <w:rsid w:val="004534FA"/>
    <w:rsid w:val="00453996"/>
    <w:rsid w:val="004544AA"/>
    <w:rsid w:val="0045458E"/>
    <w:rsid w:val="004545AD"/>
    <w:rsid w:val="00454618"/>
    <w:rsid w:val="00454634"/>
    <w:rsid w:val="00454804"/>
    <w:rsid w:val="0045486F"/>
    <w:rsid w:val="00454EFE"/>
    <w:rsid w:val="00454FCD"/>
    <w:rsid w:val="0045554D"/>
    <w:rsid w:val="004557EC"/>
    <w:rsid w:val="00456422"/>
    <w:rsid w:val="004566E6"/>
    <w:rsid w:val="00456E02"/>
    <w:rsid w:val="004570E7"/>
    <w:rsid w:val="00457E09"/>
    <w:rsid w:val="00460163"/>
    <w:rsid w:val="00460300"/>
    <w:rsid w:val="00460332"/>
    <w:rsid w:val="0046067C"/>
    <w:rsid w:val="004606E6"/>
    <w:rsid w:val="004609C4"/>
    <w:rsid w:val="00460F3F"/>
    <w:rsid w:val="00461B4B"/>
    <w:rsid w:val="00461D43"/>
    <w:rsid w:val="00461E14"/>
    <w:rsid w:val="00463979"/>
    <w:rsid w:val="00464302"/>
    <w:rsid w:val="00465029"/>
    <w:rsid w:val="0046548A"/>
    <w:rsid w:val="004656B8"/>
    <w:rsid w:val="00465C92"/>
    <w:rsid w:val="00465EF9"/>
    <w:rsid w:val="00465F5A"/>
    <w:rsid w:val="004663A9"/>
    <w:rsid w:val="00466685"/>
    <w:rsid w:val="00466F9D"/>
    <w:rsid w:val="00467427"/>
    <w:rsid w:val="00467A8D"/>
    <w:rsid w:val="004700B4"/>
    <w:rsid w:val="00470A7A"/>
    <w:rsid w:val="00470DD6"/>
    <w:rsid w:val="00471F8B"/>
    <w:rsid w:val="00472204"/>
    <w:rsid w:val="00472B57"/>
    <w:rsid w:val="00473207"/>
    <w:rsid w:val="00473301"/>
    <w:rsid w:val="0047333E"/>
    <w:rsid w:val="00473442"/>
    <w:rsid w:val="00473D74"/>
    <w:rsid w:val="004742D3"/>
    <w:rsid w:val="00474921"/>
    <w:rsid w:val="00474AC9"/>
    <w:rsid w:val="0047520D"/>
    <w:rsid w:val="004752A8"/>
    <w:rsid w:val="00475756"/>
    <w:rsid w:val="0047576E"/>
    <w:rsid w:val="00476228"/>
    <w:rsid w:val="00476343"/>
    <w:rsid w:val="004768FA"/>
    <w:rsid w:val="00477291"/>
    <w:rsid w:val="00480424"/>
    <w:rsid w:val="00480C2C"/>
    <w:rsid w:val="00480C99"/>
    <w:rsid w:val="0048190D"/>
    <w:rsid w:val="00481D5F"/>
    <w:rsid w:val="004823D6"/>
    <w:rsid w:val="00482801"/>
    <w:rsid w:val="00482DA1"/>
    <w:rsid w:val="00482F8A"/>
    <w:rsid w:val="00483258"/>
    <w:rsid w:val="004833EE"/>
    <w:rsid w:val="00483464"/>
    <w:rsid w:val="0048365D"/>
    <w:rsid w:val="004836E5"/>
    <w:rsid w:val="00483C13"/>
    <w:rsid w:val="00483EC8"/>
    <w:rsid w:val="00484149"/>
    <w:rsid w:val="0048468D"/>
    <w:rsid w:val="0048497F"/>
    <w:rsid w:val="00484EB3"/>
    <w:rsid w:val="0048505C"/>
    <w:rsid w:val="00485300"/>
    <w:rsid w:val="004855D4"/>
    <w:rsid w:val="00485B35"/>
    <w:rsid w:val="00485DB1"/>
    <w:rsid w:val="00485F6B"/>
    <w:rsid w:val="00486019"/>
    <w:rsid w:val="00486D08"/>
    <w:rsid w:val="00487578"/>
    <w:rsid w:val="004877B3"/>
    <w:rsid w:val="00490DDF"/>
    <w:rsid w:val="00491E4A"/>
    <w:rsid w:val="00492156"/>
    <w:rsid w:val="004922EB"/>
    <w:rsid w:val="0049273C"/>
    <w:rsid w:val="00492BDA"/>
    <w:rsid w:val="00492D16"/>
    <w:rsid w:val="00492DED"/>
    <w:rsid w:val="004933DC"/>
    <w:rsid w:val="00493C24"/>
    <w:rsid w:val="00493CA6"/>
    <w:rsid w:val="00493D49"/>
    <w:rsid w:val="00493E57"/>
    <w:rsid w:val="00494DD5"/>
    <w:rsid w:val="004951DC"/>
    <w:rsid w:val="00495734"/>
    <w:rsid w:val="00495786"/>
    <w:rsid w:val="00495AC1"/>
    <w:rsid w:val="00495C83"/>
    <w:rsid w:val="00495F8D"/>
    <w:rsid w:val="004962AD"/>
    <w:rsid w:val="004966FB"/>
    <w:rsid w:val="00496B87"/>
    <w:rsid w:val="00496D71"/>
    <w:rsid w:val="00497165"/>
    <w:rsid w:val="00497F76"/>
    <w:rsid w:val="004A01F9"/>
    <w:rsid w:val="004A03AB"/>
    <w:rsid w:val="004A0AF5"/>
    <w:rsid w:val="004A0E13"/>
    <w:rsid w:val="004A147F"/>
    <w:rsid w:val="004A1661"/>
    <w:rsid w:val="004A1ED8"/>
    <w:rsid w:val="004A227D"/>
    <w:rsid w:val="004A30AF"/>
    <w:rsid w:val="004A31CC"/>
    <w:rsid w:val="004A3577"/>
    <w:rsid w:val="004A3FD6"/>
    <w:rsid w:val="004A4222"/>
    <w:rsid w:val="004A42C6"/>
    <w:rsid w:val="004A482A"/>
    <w:rsid w:val="004A485C"/>
    <w:rsid w:val="004A4D09"/>
    <w:rsid w:val="004A4E33"/>
    <w:rsid w:val="004A5065"/>
    <w:rsid w:val="004A5FB1"/>
    <w:rsid w:val="004A609E"/>
    <w:rsid w:val="004A631A"/>
    <w:rsid w:val="004A6972"/>
    <w:rsid w:val="004A6CE6"/>
    <w:rsid w:val="004A7371"/>
    <w:rsid w:val="004A74E2"/>
    <w:rsid w:val="004B01DD"/>
    <w:rsid w:val="004B0A53"/>
    <w:rsid w:val="004B0CEC"/>
    <w:rsid w:val="004B1927"/>
    <w:rsid w:val="004B1B5C"/>
    <w:rsid w:val="004B1CE6"/>
    <w:rsid w:val="004B1E02"/>
    <w:rsid w:val="004B2285"/>
    <w:rsid w:val="004B2EFD"/>
    <w:rsid w:val="004B36ED"/>
    <w:rsid w:val="004B3BE4"/>
    <w:rsid w:val="004B3CB0"/>
    <w:rsid w:val="004B455A"/>
    <w:rsid w:val="004B4A5F"/>
    <w:rsid w:val="004B4DCC"/>
    <w:rsid w:val="004B4F53"/>
    <w:rsid w:val="004B4FEF"/>
    <w:rsid w:val="004B5550"/>
    <w:rsid w:val="004B567C"/>
    <w:rsid w:val="004B57F7"/>
    <w:rsid w:val="004B583B"/>
    <w:rsid w:val="004B5CA1"/>
    <w:rsid w:val="004B649F"/>
    <w:rsid w:val="004B66D4"/>
    <w:rsid w:val="004B69DF"/>
    <w:rsid w:val="004B6A69"/>
    <w:rsid w:val="004B7196"/>
    <w:rsid w:val="004B73A9"/>
    <w:rsid w:val="004B78DA"/>
    <w:rsid w:val="004B78EB"/>
    <w:rsid w:val="004B7BEC"/>
    <w:rsid w:val="004C049B"/>
    <w:rsid w:val="004C0626"/>
    <w:rsid w:val="004C0EDF"/>
    <w:rsid w:val="004C1919"/>
    <w:rsid w:val="004C19F7"/>
    <w:rsid w:val="004C1D8B"/>
    <w:rsid w:val="004C1DA8"/>
    <w:rsid w:val="004C210B"/>
    <w:rsid w:val="004C21B8"/>
    <w:rsid w:val="004C238E"/>
    <w:rsid w:val="004C2551"/>
    <w:rsid w:val="004C2EEA"/>
    <w:rsid w:val="004C326B"/>
    <w:rsid w:val="004C3E6F"/>
    <w:rsid w:val="004C4195"/>
    <w:rsid w:val="004C438E"/>
    <w:rsid w:val="004C5E9F"/>
    <w:rsid w:val="004C6EEE"/>
    <w:rsid w:val="004C76A2"/>
    <w:rsid w:val="004C7B09"/>
    <w:rsid w:val="004C7C90"/>
    <w:rsid w:val="004C7CD8"/>
    <w:rsid w:val="004D039B"/>
    <w:rsid w:val="004D0DA1"/>
    <w:rsid w:val="004D0F80"/>
    <w:rsid w:val="004D1560"/>
    <w:rsid w:val="004D195B"/>
    <w:rsid w:val="004D1A4B"/>
    <w:rsid w:val="004D1B94"/>
    <w:rsid w:val="004D1E2C"/>
    <w:rsid w:val="004D221E"/>
    <w:rsid w:val="004D256D"/>
    <w:rsid w:val="004D2793"/>
    <w:rsid w:val="004D2CBC"/>
    <w:rsid w:val="004D2F12"/>
    <w:rsid w:val="004D4135"/>
    <w:rsid w:val="004D565F"/>
    <w:rsid w:val="004D5793"/>
    <w:rsid w:val="004D5B19"/>
    <w:rsid w:val="004D5BC1"/>
    <w:rsid w:val="004D5F90"/>
    <w:rsid w:val="004D688C"/>
    <w:rsid w:val="004D6CF4"/>
    <w:rsid w:val="004D6D0C"/>
    <w:rsid w:val="004D7A55"/>
    <w:rsid w:val="004E0095"/>
    <w:rsid w:val="004E095F"/>
    <w:rsid w:val="004E0B7F"/>
    <w:rsid w:val="004E0DD0"/>
    <w:rsid w:val="004E0F30"/>
    <w:rsid w:val="004E110B"/>
    <w:rsid w:val="004E15C5"/>
    <w:rsid w:val="004E1991"/>
    <w:rsid w:val="004E245C"/>
    <w:rsid w:val="004E252A"/>
    <w:rsid w:val="004E2786"/>
    <w:rsid w:val="004E28E1"/>
    <w:rsid w:val="004E2D6E"/>
    <w:rsid w:val="004E3423"/>
    <w:rsid w:val="004E3823"/>
    <w:rsid w:val="004E387F"/>
    <w:rsid w:val="004E3C80"/>
    <w:rsid w:val="004E4122"/>
    <w:rsid w:val="004E4440"/>
    <w:rsid w:val="004E4825"/>
    <w:rsid w:val="004E516B"/>
    <w:rsid w:val="004E5504"/>
    <w:rsid w:val="004E5A75"/>
    <w:rsid w:val="004E5E8E"/>
    <w:rsid w:val="004E6347"/>
    <w:rsid w:val="004E6357"/>
    <w:rsid w:val="004E6943"/>
    <w:rsid w:val="004E72B9"/>
    <w:rsid w:val="004E759C"/>
    <w:rsid w:val="004E7ADA"/>
    <w:rsid w:val="004E7D13"/>
    <w:rsid w:val="004E7FAF"/>
    <w:rsid w:val="004F004B"/>
    <w:rsid w:val="004F0171"/>
    <w:rsid w:val="004F03E0"/>
    <w:rsid w:val="004F08D9"/>
    <w:rsid w:val="004F0909"/>
    <w:rsid w:val="004F0DE3"/>
    <w:rsid w:val="004F0FCC"/>
    <w:rsid w:val="004F1C39"/>
    <w:rsid w:val="004F1D9F"/>
    <w:rsid w:val="004F2390"/>
    <w:rsid w:val="004F24B0"/>
    <w:rsid w:val="004F27D5"/>
    <w:rsid w:val="004F2ADF"/>
    <w:rsid w:val="004F36AE"/>
    <w:rsid w:val="004F39C0"/>
    <w:rsid w:val="004F3C95"/>
    <w:rsid w:val="004F4492"/>
    <w:rsid w:val="004F45B3"/>
    <w:rsid w:val="004F50D0"/>
    <w:rsid w:val="004F5188"/>
    <w:rsid w:val="004F5827"/>
    <w:rsid w:val="004F5A80"/>
    <w:rsid w:val="004F5B61"/>
    <w:rsid w:val="004F606D"/>
    <w:rsid w:val="004F66D1"/>
    <w:rsid w:val="004F6A6D"/>
    <w:rsid w:val="004F6C18"/>
    <w:rsid w:val="004F6C2D"/>
    <w:rsid w:val="004F6E2D"/>
    <w:rsid w:val="004F6E32"/>
    <w:rsid w:val="004F7461"/>
    <w:rsid w:val="0050020B"/>
    <w:rsid w:val="005002F3"/>
    <w:rsid w:val="00500548"/>
    <w:rsid w:val="005008EC"/>
    <w:rsid w:val="00500D4E"/>
    <w:rsid w:val="00500E47"/>
    <w:rsid w:val="00501493"/>
    <w:rsid w:val="0050191C"/>
    <w:rsid w:val="00502A4B"/>
    <w:rsid w:val="00502AE8"/>
    <w:rsid w:val="00502F64"/>
    <w:rsid w:val="005036D3"/>
    <w:rsid w:val="005039F1"/>
    <w:rsid w:val="00504773"/>
    <w:rsid w:val="00504C63"/>
    <w:rsid w:val="00505052"/>
    <w:rsid w:val="00505C75"/>
    <w:rsid w:val="00506745"/>
    <w:rsid w:val="0050693F"/>
    <w:rsid w:val="00506A55"/>
    <w:rsid w:val="00506A72"/>
    <w:rsid w:val="00506EAB"/>
    <w:rsid w:val="00506F43"/>
    <w:rsid w:val="00507446"/>
    <w:rsid w:val="00507849"/>
    <w:rsid w:val="00507E80"/>
    <w:rsid w:val="00510236"/>
    <w:rsid w:val="00510AF5"/>
    <w:rsid w:val="00510F70"/>
    <w:rsid w:val="00511047"/>
    <w:rsid w:val="005113F3"/>
    <w:rsid w:val="00511C56"/>
    <w:rsid w:val="00511FA9"/>
    <w:rsid w:val="005124C9"/>
    <w:rsid w:val="0051323D"/>
    <w:rsid w:val="00513BBF"/>
    <w:rsid w:val="00513CC1"/>
    <w:rsid w:val="005144DB"/>
    <w:rsid w:val="00514E87"/>
    <w:rsid w:val="00514F08"/>
    <w:rsid w:val="00515F7A"/>
    <w:rsid w:val="005168BE"/>
    <w:rsid w:val="00516AE1"/>
    <w:rsid w:val="00516C80"/>
    <w:rsid w:val="00516DA4"/>
    <w:rsid w:val="005172FD"/>
    <w:rsid w:val="00517540"/>
    <w:rsid w:val="00520DBC"/>
    <w:rsid w:val="00520F15"/>
    <w:rsid w:val="00520F24"/>
    <w:rsid w:val="00521296"/>
    <w:rsid w:val="00521583"/>
    <w:rsid w:val="00521B2F"/>
    <w:rsid w:val="00521C45"/>
    <w:rsid w:val="00522077"/>
    <w:rsid w:val="00522AC0"/>
    <w:rsid w:val="00522CD0"/>
    <w:rsid w:val="00523195"/>
    <w:rsid w:val="0052344E"/>
    <w:rsid w:val="0052376A"/>
    <w:rsid w:val="005237F3"/>
    <w:rsid w:val="00523CEB"/>
    <w:rsid w:val="00523EEF"/>
    <w:rsid w:val="00525843"/>
    <w:rsid w:val="00525864"/>
    <w:rsid w:val="00525B8C"/>
    <w:rsid w:val="00525F80"/>
    <w:rsid w:val="005260D2"/>
    <w:rsid w:val="00526108"/>
    <w:rsid w:val="00527971"/>
    <w:rsid w:val="00527B6F"/>
    <w:rsid w:val="00530440"/>
    <w:rsid w:val="00530800"/>
    <w:rsid w:val="00531B2B"/>
    <w:rsid w:val="00532CE3"/>
    <w:rsid w:val="005336FE"/>
    <w:rsid w:val="005338BD"/>
    <w:rsid w:val="005343BC"/>
    <w:rsid w:val="00534B00"/>
    <w:rsid w:val="005358FA"/>
    <w:rsid w:val="00535F07"/>
    <w:rsid w:val="00536625"/>
    <w:rsid w:val="00536A9E"/>
    <w:rsid w:val="00536B59"/>
    <w:rsid w:val="00536F35"/>
    <w:rsid w:val="0053732D"/>
    <w:rsid w:val="0053751E"/>
    <w:rsid w:val="005375D5"/>
    <w:rsid w:val="00537DC1"/>
    <w:rsid w:val="0054023C"/>
    <w:rsid w:val="005404B7"/>
    <w:rsid w:val="0054113D"/>
    <w:rsid w:val="00541756"/>
    <w:rsid w:val="005418F9"/>
    <w:rsid w:val="00542B4C"/>
    <w:rsid w:val="00542CA3"/>
    <w:rsid w:val="00542F2C"/>
    <w:rsid w:val="005432B2"/>
    <w:rsid w:val="00543709"/>
    <w:rsid w:val="005437B3"/>
    <w:rsid w:val="005439FE"/>
    <w:rsid w:val="005444D6"/>
    <w:rsid w:val="00544BE5"/>
    <w:rsid w:val="00545060"/>
    <w:rsid w:val="005453C9"/>
    <w:rsid w:val="00545400"/>
    <w:rsid w:val="0054571D"/>
    <w:rsid w:val="005459F7"/>
    <w:rsid w:val="00545BE6"/>
    <w:rsid w:val="00545E1F"/>
    <w:rsid w:val="0054637E"/>
    <w:rsid w:val="00546973"/>
    <w:rsid w:val="00546D10"/>
    <w:rsid w:val="00547043"/>
    <w:rsid w:val="00547348"/>
    <w:rsid w:val="005477C4"/>
    <w:rsid w:val="0054791E"/>
    <w:rsid w:val="00547D91"/>
    <w:rsid w:val="00547EA0"/>
    <w:rsid w:val="00550001"/>
    <w:rsid w:val="0055082D"/>
    <w:rsid w:val="00550893"/>
    <w:rsid w:val="00550986"/>
    <w:rsid w:val="00550DE1"/>
    <w:rsid w:val="00551129"/>
    <w:rsid w:val="00551135"/>
    <w:rsid w:val="00551296"/>
    <w:rsid w:val="005514FB"/>
    <w:rsid w:val="005515A8"/>
    <w:rsid w:val="00551983"/>
    <w:rsid w:val="0055208D"/>
    <w:rsid w:val="005526BE"/>
    <w:rsid w:val="00552D06"/>
    <w:rsid w:val="00553022"/>
    <w:rsid w:val="0055305D"/>
    <w:rsid w:val="00553082"/>
    <w:rsid w:val="00553350"/>
    <w:rsid w:val="005539F1"/>
    <w:rsid w:val="00553EF6"/>
    <w:rsid w:val="00554B2B"/>
    <w:rsid w:val="00554E70"/>
    <w:rsid w:val="0055598A"/>
    <w:rsid w:val="00555B2A"/>
    <w:rsid w:val="00555CEE"/>
    <w:rsid w:val="00555D4F"/>
    <w:rsid w:val="0055630A"/>
    <w:rsid w:val="00556535"/>
    <w:rsid w:val="00556842"/>
    <w:rsid w:val="00556D65"/>
    <w:rsid w:val="00557518"/>
    <w:rsid w:val="00557979"/>
    <w:rsid w:val="00557B37"/>
    <w:rsid w:val="00557CAA"/>
    <w:rsid w:val="00557D78"/>
    <w:rsid w:val="0056002D"/>
    <w:rsid w:val="005603BC"/>
    <w:rsid w:val="005604D9"/>
    <w:rsid w:val="00560FAC"/>
    <w:rsid w:val="0056107B"/>
    <w:rsid w:val="00561AFF"/>
    <w:rsid w:val="00562797"/>
    <w:rsid w:val="00563D9B"/>
    <w:rsid w:val="005641F8"/>
    <w:rsid w:val="00565C3B"/>
    <w:rsid w:val="00566C7E"/>
    <w:rsid w:val="0056719E"/>
    <w:rsid w:val="00567497"/>
    <w:rsid w:val="00567E44"/>
    <w:rsid w:val="005708CC"/>
    <w:rsid w:val="00570958"/>
    <w:rsid w:val="00570C56"/>
    <w:rsid w:val="00570ED5"/>
    <w:rsid w:val="00571056"/>
    <w:rsid w:val="00572F6F"/>
    <w:rsid w:val="005730DB"/>
    <w:rsid w:val="00573368"/>
    <w:rsid w:val="00574AD4"/>
    <w:rsid w:val="00574C42"/>
    <w:rsid w:val="0057565B"/>
    <w:rsid w:val="005756FC"/>
    <w:rsid w:val="00576244"/>
    <w:rsid w:val="005763B0"/>
    <w:rsid w:val="00576593"/>
    <w:rsid w:val="00576B3A"/>
    <w:rsid w:val="00576B63"/>
    <w:rsid w:val="005770C6"/>
    <w:rsid w:val="00580182"/>
    <w:rsid w:val="00580698"/>
    <w:rsid w:val="005812E7"/>
    <w:rsid w:val="0058140B"/>
    <w:rsid w:val="00582471"/>
    <w:rsid w:val="0058290B"/>
    <w:rsid w:val="005832B5"/>
    <w:rsid w:val="0058337B"/>
    <w:rsid w:val="005839BA"/>
    <w:rsid w:val="005846CF"/>
    <w:rsid w:val="00584BFC"/>
    <w:rsid w:val="005853FB"/>
    <w:rsid w:val="00585661"/>
    <w:rsid w:val="005857E4"/>
    <w:rsid w:val="005859CA"/>
    <w:rsid w:val="00585F75"/>
    <w:rsid w:val="00586878"/>
    <w:rsid w:val="00586E76"/>
    <w:rsid w:val="00587085"/>
    <w:rsid w:val="0058721F"/>
    <w:rsid w:val="00587453"/>
    <w:rsid w:val="0058759D"/>
    <w:rsid w:val="00587671"/>
    <w:rsid w:val="00587A4E"/>
    <w:rsid w:val="00587EBE"/>
    <w:rsid w:val="00590297"/>
    <w:rsid w:val="005902AE"/>
    <w:rsid w:val="005917E6"/>
    <w:rsid w:val="00591848"/>
    <w:rsid w:val="005922CA"/>
    <w:rsid w:val="005934A4"/>
    <w:rsid w:val="00593503"/>
    <w:rsid w:val="00593653"/>
    <w:rsid w:val="00593655"/>
    <w:rsid w:val="00593CF2"/>
    <w:rsid w:val="00593DE5"/>
    <w:rsid w:val="0059446D"/>
    <w:rsid w:val="00594A62"/>
    <w:rsid w:val="00594ABB"/>
    <w:rsid w:val="00594FF5"/>
    <w:rsid w:val="00595786"/>
    <w:rsid w:val="00595956"/>
    <w:rsid w:val="00595C88"/>
    <w:rsid w:val="00595D93"/>
    <w:rsid w:val="00595ECD"/>
    <w:rsid w:val="00596745"/>
    <w:rsid w:val="005968A9"/>
    <w:rsid w:val="0059694F"/>
    <w:rsid w:val="00596FB9"/>
    <w:rsid w:val="00597359"/>
    <w:rsid w:val="005A0671"/>
    <w:rsid w:val="005A0F9E"/>
    <w:rsid w:val="005A129A"/>
    <w:rsid w:val="005A177A"/>
    <w:rsid w:val="005A27D9"/>
    <w:rsid w:val="005A3336"/>
    <w:rsid w:val="005A33E0"/>
    <w:rsid w:val="005A383A"/>
    <w:rsid w:val="005A3B75"/>
    <w:rsid w:val="005A46FC"/>
    <w:rsid w:val="005A4A30"/>
    <w:rsid w:val="005A4B2C"/>
    <w:rsid w:val="005A4E64"/>
    <w:rsid w:val="005A51F2"/>
    <w:rsid w:val="005A553D"/>
    <w:rsid w:val="005A5970"/>
    <w:rsid w:val="005A5BE0"/>
    <w:rsid w:val="005A6290"/>
    <w:rsid w:val="005A6334"/>
    <w:rsid w:val="005A779F"/>
    <w:rsid w:val="005A78F8"/>
    <w:rsid w:val="005B077F"/>
    <w:rsid w:val="005B0860"/>
    <w:rsid w:val="005B0865"/>
    <w:rsid w:val="005B0A0C"/>
    <w:rsid w:val="005B0C27"/>
    <w:rsid w:val="005B1945"/>
    <w:rsid w:val="005B1AA5"/>
    <w:rsid w:val="005B1B44"/>
    <w:rsid w:val="005B1C7D"/>
    <w:rsid w:val="005B1E98"/>
    <w:rsid w:val="005B325A"/>
    <w:rsid w:val="005B329A"/>
    <w:rsid w:val="005B3F6E"/>
    <w:rsid w:val="005B4054"/>
    <w:rsid w:val="005B44F6"/>
    <w:rsid w:val="005B4EA2"/>
    <w:rsid w:val="005B4F90"/>
    <w:rsid w:val="005B5860"/>
    <w:rsid w:val="005B5B67"/>
    <w:rsid w:val="005B5C46"/>
    <w:rsid w:val="005B609C"/>
    <w:rsid w:val="005B6287"/>
    <w:rsid w:val="005B6386"/>
    <w:rsid w:val="005B65A5"/>
    <w:rsid w:val="005B6870"/>
    <w:rsid w:val="005B689C"/>
    <w:rsid w:val="005B6B70"/>
    <w:rsid w:val="005B6E09"/>
    <w:rsid w:val="005B74F3"/>
    <w:rsid w:val="005B79E5"/>
    <w:rsid w:val="005C045C"/>
    <w:rsid w:val="005C0F7C"/>
    <w:rsid w:val="005C10D8"/>
    <w:rsid w:val="005C1461"/>
    <w:rsid w:val="005C22CE"/>
    <w:rsid w:val="005C2684"/>
    <w:rsid w:val="005C2688"/>
    <w:rsid w:val="005C289E"/>
    <w:rsid w:val="005C2C1D"/>
    <w:rsid w:val="005C2D58"/>
    <w:rsid w:val="005C3542"/>
    <w:rsid w:val="005C422A"/>
    <w:rsid w:val="005C4492"/>
    <w:rsid w:val="005C4716"/>
    <w:rsid w:val="005C4912"/>
    <w:rsid w:val="005C4BE6"/>
    <w:rsid w:val="005C4E5F"/>
    <w:rsid w:val="005C577B"/>
    <w:rsid w:val="005C5C94"/>
    <w:rsid w:val="005C658B"/>
    <w:rsid w:val="005D0034"/>
    <w:rsid w:val="005D0464"/>
    <w:rsid w:val="005D0DF1"/>
    <w:rsid w:val="005D0FBC"/>
    <w:rsid w:val="005D1B8F"/>
    <w:rsid w:val="005D29DA"/>
    <w:rsid w:val="005D2CE7"/>
    <w:rsid w:val="005D2E2D"/>
    <w:rsid w:val="005D2F7D"/>
    <w:rsid w:val="005D3007"/>
    <w:rsid w:val="005D3A42"/>
    <w:rsid w:val="005D3B65"/>
    <w:rsid w:val="005D3EEA"/>
    <w:rsid w:val="005D4057"/>
    <w:rsid w:val="005D469F"/>
    <w:rsid w:val="005D4946"/>
    <w:rsid w:val="005D49C8"/>
    <w:rsid w:val="005D4A03"/>
    <w:rsid w:val="005D4E4E"/>
    <w:rsid w:val="005D5165"/>
    <w:rsid w:val="005D5CE6"/>
    <w:rsid w:val="005D657F"/>
    <w:rsid w:val="005D694E"/>
    <w:rsid w:val="005D69AB"/>
    <w:rsid w:val="005D6B06"/>
    <w:rsid w:val="005D6C1B"/>
    <w:rsid w:val="005D7144"/>
    <w:rsid w:val="005D7462"/>
    <w:rsid w:val="005D751E"/>
    <w:rsid w:val="005D7D89"/>
    <w:rsid w:val="005D7FC5"/>
    <w:rsid w:val="005E038C"/>
    <w:rsid w:val="005E0B7C"/>
    <w:rsid w:val="005E0E3D"/>
    <w:rsid w:val="005E16DE"/>
    <w:rsid w:val="005E1C85"/>
    <w:rsid w:val="005E1FDF"/>
    <w:rsid w:val="005E2271"/>
    <w:rsid w:val="005E2DFB"/>
    <w:rsid w:val="005E3265"/>
    <w:rsid w:val="005E3300"/>
    <w:rsid w:val="005E3667"/>
    <w:rsid w:val="005E38B6"/>
    <w:rsid w:val="005E3D05"/>
    <w:rsid w:val="005E432B"/>
    <w:rsid w:val="005E447C"/>
    <w:rsid w:val="005E475B"/>
    <w:rsid w:val="005E50E3"/>
    <w:rsid w:val="005E5795"/>
    <w:rsid w:val="005E57D3"/>
    <w:rsid w:val="005E5AE5"/>
    <w:rsid w:val="005E608F"/>
    <w:rsid w:val="005E62B0"/>
    <w:rsid w:val="005E6D8D"/>
    <w:rsid w:val="005E70E4"/>
    <w:rsid w:val="005E76E9"/>
    <w:rsid w:val="005E76EA"/>
    <w:rsid w:val="005E777D"/>
    <w:rsid w:val="005E7F7F"/>
    <w:rsid w:val="005F0438"/>
    <w:rsid w:val="005F07C4"/>
    <w:rsid w:val="005F085A"/>
    <w:rsid w:val="005F086D"/>
    <w:rsid w:val="005F0A3E"/>
    <w:rsid w:val="005F0A3F"/>
    <w:rsid w:val="005F0C81"/>
    <w:rsid w:val="005F0DC1"/>
    <w:rsid w:val="005F10DB"/>
    <w:rsid w:val="005F116D"/>
    <w:rsid w:val="005F1530"/>
    <w:rsid w:val="005F1A20"/>
    <w:rsid w:val="005F1B03"/>
    <w:rsid w:val="005F391F"/>
    <w:rsid w:val="005F4561"/>
    <w:rsid w:val="005F4B62"/>
    <w:rsid w:val="005F4BAE"/>
    <w:rsid w:val="005F4D7E"/>
    <w:rsid w:val="005F51A2"/>
    <w:rsid w:val="005F5402"/>
    <w:rsid w:val="005F5604"/>
    <w:rsid w:val="005F58D6"/>
    <w:rsid w:val="005F5A1B"/>
    <w:rsid w:val="005F5C4D"/>
    <w:rsid w:val="005F5DC4"/>
    <w:rsid w:val="005F6523"/>
    <w:rsid w:val="005F6EDE"/>
    <w:rsid w:val="005F734B"/>
    <w:rsid w:val="005F77A3"/>
    <w:rsid w:val="005F7FC5"/>
    <w:rsid w:val="00600B55"/>
    <w:rsid w:val="00600EA6"/>
    <w:rsid w:val="0060173A"/>
    <w:rsid w:val="00601807"/>
    <w:rsid w:val="006020E7"/>
    <w:rsid w:val="006028FC"/>
    <w:rsid w:val="006028FD"/>
    <w:rsid w:val="00602996"/>
    <w:rsid w:val="00602E81"/>
    <w:rsid w:val="00603706"/>
    <w:rsid w:val="006037A8"/>
    <w:rsid w:val="00603AAA"/>
    <w:rsid w:val="00603C92"/>
    <w:rsid w:val="00603D69"/>
    <w:rsid w:val="00603DA0"/>
    <w:rsid w:val="006042FA"/>
    <w:rsid w:val="0060450B"/>
    <w:rsid w:val="0060491C"/>
    <w:rsid w:val="0060493B"/>
    <w:rsid w:val="006051FA"/>
    <w:rsid w:val="0060533A"/>
    <w:rsid w:val="006067AB"/>
    <w:rsid w:val="00606C2A"/>
    <w:rsid w:val="00606D70"/>
    <w:rsid w:val="00607350"/>
    <w:rsid w:val="00607FFE"/>
    <w:rsid w:val="0061030D"/>
    <w:rsid w:val="00610417"/>
    <w:rsid w:val="0061094A"/>
    <w:rsid w:val="00610A54"/>
    <w:rsid w:val="00610F45"/>
    <w:rsid w:val="00610F8F"/>
    <w:rsid w:val="006111D2"/>
    <w:rsid w:val="00611984"/>
    <w:rsid w:val="00611F71"/>
    <w:rsid w:val="00612AFE"/>
    <w:rsid w:val="0061330D"/>
    <w:rsid w:val="00613BDC"/>
    <w:rsid w:val="006142AD"/>
    <w:rsid w:val="006144F9"/>
    <w:rsid w:val="00614550"/>
    <w:rsid w:val="006145FE"/>
    <w:rsid w:val="00614C14"/>
    <w:rsid w:val="006150E6"/>
    <w:rsid w:val="00616991"/>
    <w:rsid w:val="00616DE0"/>
    <w:rsid w:val="006170F0"/>
    <w:rsid w:val="00617454"/>
    <w:rsid w:val="006203D3"/>
    <w:rsid w:val="0062096D"/>
    <w:rsid w:val="0062111A"/>
    <w:rsid w:val="006212A2"/>
    <w:rsid w:val="00621661"/>
    <w:rsid w:val="00621C9C"/>
    <w:rsid w:val="006223CC"/>
    <w:rsid w:val="00622610"/>
    <w:rsid w:val="0062296B"/>
    <w:rsid w:val="00623013"/>
    <w:rsid w:val="00623100"/>
    <w:rsid w:val="00623886"/>
    <w:rsid w:val="00623C21"/>
    <w:rsid w:val="006247B9"/>
    <w:rsid w:val="00624972"/>
    <w:rsid w:val="006250D6"/>
    <w:rsid w:val="0062561A"/>
    <w:rsid w:val="0062579F"/>
    <w:rsid w:val="006257D1"/>
    <w:rsid w:val="00625994"/>
    <w:rsid w:val="00625C2D"/>
    <w:rsid w:val="00625CA4"/>
    <w:rsid w:val="00626D2F"/>
    <w:rsid w:val="00627046"/>
    <w:rsid w:val="006275F4"/>
    <w:rsid w:val="006277E2"/>
    <w:rsid w:val="00627CA8"/>
    <w:rsid w:val="00627E1A"/>
    <w:rsid w:val="00630271"/>
    <w:rsid w:val="00630369"/>
    <w:rsid w:val="0063062D"/>
    <w:rsid w:val="00630D40"/>
    <w:rsid w:val="0063179E"/>
    <w:rsid w:val="006317EE"/>
    <w:rsid w:val="00632575"/>
    <w:rsid w:val="00632C1A"/>
    <w:rsid w:val="00632D2F"/>
    <w:rsid w:val="00632D3D"/>
    <w:rsid w:val="00632DD5"/>
    <w:rsid w:val="00633172"/>
    <w:rsid w:val="00633327"/>
    <w:rsid w:val="006336F6"/>
    <w:rsid w:val="006337E4"/>
    <w:rsid w:val="0063393B"/>
    <w:rsid w:val="00633945"/>
    <w:rsid w:val="00633B33"/>
    <w:rsid w:val="006345C3"/>
    <w:rsid w:val="006346A3"/>
    <w:rsid w:val="0063480C"/>
    <w:rsid w:val="00634D0C"/>
    <w:rsid w:val="00634ED0"/>
    <w:rsid w:val="00634FE8"/>
    <w:rsid w:val="00635753"/>
    <w:rsid w:val="0063622F"/>
    <w:rsid w:val="006366FE"/>
    <w:rsid w:val="00636749"/>
    <w:rsid w:val="0063685A"/>
    <w:rsid w:val="0063696D"/>
    <w:rsid w:val="00636F07"/>
    <w:rsid w:val="00637002"/>
    <w:rsid w:val="006378EF"/>
    <w:rsid w:val="0064051A"/>
    <w:rsid w:val="006407B4"/>
    <w:rsid w:val="00640D4E"/>
    <w:rsid w:val="006414A8"/>
    <w:rsid w:val="006414FF"/>
    <w:rsid w:val="006416F3"/>
    <w:rsid w:val="00641752"/>
    <w:rsid w:val="00641DA0"/>
    <w:rsid w:val="00641E99"/>
    <w:rsid w:val="006420EA"/>
    <w:rsid w:val="006421BA"/>
    <w:rsid w:val="006421D4"/>
    <w:rsid w:val="00642288"/>
    <w:rsid w:val="00642533"/>
    <w:rsid w:val="00643EFF"/>
    <w:rsid w:val="00644DC5"/>
    <w:rsid w:val="00644F89"/>
    <w:rsid w:val="006457BF"/>
    <w:rsid w:val="006458C3"/>
    <w:rsid w:val="00645F0D"/>
    <w:rsid w:val="0064756D"/>
    <w:rsid w:val="00647714"/>
    <w:rsid w:val="0064782C"/>
    <w:rsid w:val="00647B83"/>
    <w:rsid w:val="00647F04"/>
    <w:rsid w:val="0065094D"/>
    <w:rsid w:val="00650A4E"/>
    <w:rsid w:val="00650B65"/>
    <w:rsid w:val="00650DDE"/>
    <w:rsid w:val="00651039"/>
    <w:rsid w:val="0065104A"/>
    <w:rsid w:val="006515D7"/>
    <w:rsid w:val="00651A4C"/>
    <w:rsid w:val="006521C7"/>
    <w:rsid w:val="0065220F"/>
    <w:rsid w:val="006525C9"/>
    <w:rsid w:val="006526AD"/>
    <w:rsid w:val="0065349D"/>
    <w:rsid w:val="006540F9"/>
    <w:rsid w:val="00654128"/>
    <w:rsid w:val="006542A1"/>
    <w:rsid w:val="006543ED"/>
    <w:rsid w:val="006544D9"/>
    <w:rsid w:val="006548E3"/>
    <w:rsid w:val="00654B38"/>
    <w:rsid w:val="00655280"/>
    <w:rsid w:val="00655E5F"/>
    <w:rsid w:val="00656A63"/>
    <w:rsid w:val="006571F4"/>
    <w:rsid w:val="006575F7"/>
    <w:rsid w:val="00657B11"/>
    <w:rsid w:val="00657D25"/>
    <w:rsid w:val="00657E65"/>
    <w:rsid w:val="006600DF"/>
    <w:rsid w:val="006601D7"/>
    <w:rsid w:val="00660497"/>
    <w:rsid w:val="00660ABC"/>
    <w:rsid w:val="00660EA3"/>
    <w:rsid w:val="00661D53"/>
    <w:rsid w:val="00661F5D"/>
    <w:rsid w:val="006627D2"/>
    <w:rsid w:val="00662AF4"/>
    <w:rsid w:val="00663069"/>
    <w:rsid w:val="006635BD"/>
    <w:rsid w:val="00664117"/>
    <w:rsid w:val="006642FA"/>
    <w:rsid w:val="00664449"/>
    <w:rsid w:val="00664E8A"/>
    <w:rsid w:val="00665500"/>
    <w:rsid w:val="0066581A"/>
    <w:rsid w:val="0066592A"/>
    <w:rsid w:val="00665E9F"/>
    <w:rsid w:val="006663A0"/>
    <w:rsid w:val="00666729"/>
    <w:rsid w:val="00666861"/>
    <w:rsid w:val="00666AC1"/>
    <w:rsid w:val="00666D1D"/>
    <w:rsid w:val="0066740C"/>
    <w:rsid w:val="0066747A"/>
    <w:rsid w:val="00667BE1"/>
    <w:rsid w:val="006704CF"/>
    <w:rsid w:val="006706BD"/>
    <w:rsid w:val="00670C38"/>
    <w:rsid w:val="00671107"/>
    <w:rsid w:val="00671B7E"/>
    <w:rsid w:val="00672059"/>
    <w:rsid w:val="00672339"/>
    <w:rsid w:val="00672666"/>
    <w:rsid w:val="00672811"/>
    <w:rsid w:val="00672843"/>
    <w:rsid w:val="006728F0"/>
    <w:rsid w:val="00672D41"/>
    <w:rsid w:val="00672DE4"/>
    <w:rsid w:val="00673A87"/>
    <w:rsid w:val="00673AD9"/>
    <w:rsid w:val="00675391"/>
    <w:rsid w:val="0067545D"/>
    <w:rsid w:val="00675644"/>
    <w:rsid w:val="006758F5"/>
    <w:rsid w:val="00675D83"/>
    <w:rsid w:val="00675D95"/>
    <w:rsid w:val="00675EDE"/>
    <w:rsid w:val="006763CA"/>
    <w:rsid w:val="006764FF"/>
    <w:rsid w:val="00676788"/>
    <w:rsid w:val="006767FE"/>
    <w:rsid w:val="00676FEE"/>
    <w:rsid w:val="006771B5"/>
    <w:rsid w:val="00677856"/>
    <w:rsid w:val="00677DE0"/>
    <w:rsid w:val="00680C27"/>
    <w:rsid w:val="00680FAB"/>
    <w:rsid w:val="006816F2"/>
    <w:rsid w:val="00681952"/>
    <w:rsid w:val="00681CD6"/>
    <w:rsid w:val="00681D62"/>
    <w:rsid w:val="00681E17"/>
    <w:rsid w:val="0068260C"/>
    <w:rsid w:val="00682B47"/>
    <w:rsid w:val="00682B86"/>
    <w:rsid w:val="00682BED"/>
    <w:rsid w:val="00682DF6"/>
    <w:rsid w:val="00682FD5"/>
    <w:rsid w:val="0068339E"/>
    <w:rsid w:val="006835AE"/>
    <w:rsid w:val="006836D5"/>
    <w:rsid w:val="00684023"/>
    <w:rsid w:val="00684541"/>
    <w:rsid w:val="0068487E"/>
    <w:rsid w:val="00684D31"/>
    <w:rsid w:val="00684E65"/>
    <w:rsid w:val="00684F02"/>
    <w:rsid w:val="0068506F"/>
    <w:rsid w:val="006856BD"/>
    <w:rsid w:val="006859B5"/>
    <w:rsid w:val="00685A4C"/>
    <w:rsid w:val="00685D34"/>
    <w:rsid w:val="00685EAD"/>
    <w:rsid w:val="006861E8"/>
    <w:rsid w:val="0068633C"/>
    <w:rsid w:val="006863EA"/>
    <w:rsid w:val="0068652B"/>
    <w:rsid w:val="00686A99"/>
    <w:rsid w:val="00686CD3"/>
    <w:rsid w:val="00687638"/>
    <w:rsid w:val="0068785A"/>
    <w:rsid w:val="00687B77"/>
    <w:rsid w:val="006907D8"/>
    <w:rsid w:val="0069094A"/>
    <w:rsid w:val="00690F8C"/>
    <w:rsid w:val="006918F5"/>
    <w:rsid w:val="00692180"/>
    <w:rsid w:val="00692274"/>
    <w:rsid w:val="0069257A"/>
    <w:rsid w:val="006927D1"/>
    <w:rsid w:val="00692A1C"/>
    <w:rsid w:val="00692A5E"/>
    <w:rsid w:val="00692BA6"/>
    <w:rsid w:val="00692FD4"/>
    <w:rsid w:val="006930D3"/>
    <w:rsid w:val="00693F46"/>
    <w:rsid w:val="00693FC2"/>
    <w:rsid w:val="0069423F"/>
    <w:rsid w:val="006945BF"/>
    <w:rsid w:val="00695983"/>
    <w:rsid w:val="00695A56"/>
    <w:rsid w:val="00695C21"/>
    <w:rsid w:val="006965BF"/>
    <w:rsid w:val="006975BE"/>
    <w:rsid w:val="0069760C"/>
    <w:rsid w:val="00697655"/>
    <w:rsid w:val="00697A9A"/>
    <w:rsid w:val="00697C62"/>
    <w:rsid w:val="00697DF2"/>
    <w:rsid w:val="00697F96"/>
    <w:rsid w:val="00697FD7"/>
    <w:rsid w:val="006A03E0"/>
    <w:rsid w:val="006A04F5"/>
    <w:rsid w:val="006A0AC4"/>
    <w:rsid w:val="006A0B0B"/>
    <w:rsid w:val="006A0B7E"/>
    <w:rsid w:val="006A1079"/>
    <w:rsid w:val="006A1AC8"/>
    <w:rsid w:val="006A22C6"/>
    <w:rsid w:val="006A2CD3"/>
    <w:rsid w:val="006A338A"/>
    <w:rsid w:val="006A3791"/>
    <w:rsid w:val="006A45A7"/>
    <w:rsid w:val="006A49FF"/>
    <w:rsid w:val="006A4D7C"/>
    <w:rsid w:val="006A5420"/>
    <w:rsid w:val="006A5774"/>
    <w:rsid w:val="006A58E8"/>
    <w:rsid w:val="006A599E"/>
    <w:rsid w:val="006A59CE"/>
    <w:rsid w:val="006A5AB5"/>
    <w:rsid w:val="006A5C64"/>
    <w:rsid w:val="006A5D68"/>
    <w:rsid w:val="006A60AD"/>
    <w:rsid w:val="006A64FF"/>
    <w:rsid w:val="006A7562"/>
    <w:rsid w:val="006B0224"/>
    <w:rsid w:val="006B0457"/>
    <w:rsid w:val="006B1D01"/>
    <w:rsid w:val="006B246B"/>
    <w:rsid w:val="006B2F9C"/>
    <w:rsid w:val="006B3F9B"/>
    <w:rsid w:val="006B4091"/>
    <w:rsid w:val="006B44FD"/>
    <w:rsid w:val="006B4C72"/>
    <w:rsid w:val="006B6B9F"/>
    <w:rsid w:val="006B70DD"/>
    <w:rsid w:val="006B734B"/>
    <w:rsid w:val="006B739D"/>
    <w:rsid w:val="006B74C1"/>
    <w:rsid w:val="006B7AEF"/>
    <w:rsid w:val="006B7DBB"/>
    <w:rsid w:val="006B7E03"/>
    <w:rsid w:val="006C051A"/>
    <w:rsid w:val="006C0949"/>
    <w:rsid w:val="006C198E"/>
    <w:rsid w:val="006C1F3C"/>
    <w:rsid w:val="006C2699"/>
    <w:rsid w:val="006C290D"/>
    <w:rsid w:val="006C2A13"/>
    <w:rsid w:val="006C2FE0"/>
    <w:rsid w:val="006C3618"/>
    <w:rsid w:val="006C4D07"/>
    <w:rsid w:val="006C4F7C"/>
    <w:rsid w:val="006C5675"/>
    <w:rsid w:val="006C5CA3"/>
    <w:rsid w:val="006C65DF"/>
    <w:rsid w:val="006C6860"/>
    <w:rsid w:val="006C6B2B"/>
    <w:rsid w:val="006C6C71"/>
    <w:rsid w:val="006C70BC"/>
    <w:rsid w:val="006C7BF7"/>
    <w:rsid w:val="006D00F5"/>
    <w:rsid w:val="006D021F"/>
    <w:rsid w:val="006D04E7"/>
    <w:rsid w:val="006D09F0"/>
    <w:rsid w:val="006D0D9A"/>
    <w:rsid w:val="006D0E10"/>
    <w:rsid w:val="006D1085"/>
    <w:rsid w:val="006D155D"/>
    <w:rsid w:val="006D1997"/>
    <w:rsid w:val="006D1CA1"/>
    <w:rsid w:val="006D1FEF"/>
    <w:rsid w:val="006D2155"/>
    <w:rsid w:val="006D238D"/>
    <w:rsid w:val="006D26DC"/>
    <w:rsid w:val="006D2818"/>
    <w:rsid w:val="006D2AA9"/>
    <w:rsid w:val="006D400F"/>
    <w:rsid w:val="006D4922"/>
    <w:rsid w:val="006D4D9A"/>
    <w:rsid w:val="006D4EB5"/>
    <w:rsid w:val="006D5034"/>
    <w:rsid w:val="006D54CD"/>
    <w:rsid w:val="006D562F"/>
    <w:rsid w:val="006D5A95"/>
    <w:rsid w:val="006D5B54"/>
    <w:rsid w:val="006D5DE1"/>
    <w:rsid w:val="006D6660"/>
    <w:rsid w:val="006D66C7"/>
    <w:rsid w:val="006D6EBE"/>
    <w:rsid w:val="006D7866"/>
    <w:rsid w:val="006E03B4"/>
    <w:rsid w:val="006E0772"/>
    <w:rsid w:val="006E0E3A"/>
    <w:rsid w:val="006E1315"/>
    <w:rsid w:val="006E1A1E"/>
    <w:rsid w:val="006E1B7C"/>
    <w:rsid w:val="006E2214"/>
    <w:rsid w:val="006E251B"/>
    <w:rsid w:val="006E292E"/>
    <w:rsid w:val="006E2A2C"/>
    <w:rsid w:val="006E3360"/>
    <w:rsid w:val="006E3927"/>
    <w:rsid w:val="006E39E3"/>
    <w:rsid w:val="006E3CBF"/>
    <w:rsid w:val="006E4AFD"/>
    <w:rsid w:val="006E52D8"/>
    <w:rsid w:val="006E598C"/>
    <w:rsid w:val="006E5BA3"/>
    <w:rsid w:val="006E5DD8"/>
    <w:rsid w:val="006E68D4"/>
    <w:rsid w:val="006E6E50"/>
    <w:rsid w:val="006E6FC8"/>
    <w:rsid w:val="006E7454"/>
    <w:rsid w:val="006E7827"/>
    <w:rsid w:val="006E782C"/>
    <w:rsid w:val="006F018F"/>
    <w:rsid w:val="006F02E2"/>
    <w:rsid w:val="006F0537"/>
    <w:rsid w:val="006F0582"/>
    <w:rsid w:val="006F0AFE"/>
    <w:rsid w:val="006F0BFA"/>
    <w:rsid w:val="006F0FA1"/>
    <w:rsid w:val="006F1536"/>
    <w:rsid w:val="006F28EB"/>
    <w:rsid w:val="006F2EA4"/>
    <w:rsid w:val="006F3425"/>
    <w:rsid w:val="006F3806"/>
    <w:rsid w:val="006F3C37"/>
    <w:rsid w:val="006F3DAA"/>
    <w:rsid w:val="006F45D7"/>
    <w:rsid w:val="006F4BD2"/>
    <w:rsid w:val="006F4C8C"/>
    <w:rsid w:val="006F4EDA"/>
    <w:rsid w:val="006F5C36"/>
    <w:rsid w:val="006F6A21"/>
    <w:rsid w:val="006F6F3F"/>
    <w:rsid w:val="006F7CD4"/>
    <w:rsid w:val="006F7D98"/>
    <w:rsid w:val="0070026A"/>
    <w:rsid w:val="00700604"/>
    <w:rsid w:val="00700833"/>
    <w:rsid w:val="00700CF5"/>
    <w:rsid w:val="0070119D"/>
    <w:rsid w:val="00701534"/>
    <w:rsid w:val="00701913"/>
    <w:rsid w:val="00701E01"/>
    <w:rsid w:val="0070216B"/>
    <w:rsid w:val="00702EC6"/>
    <w:rsid w:val="00703590"/>
    <w:rsid w:val="007035A7"/>
    <w:rsid w:val="00703E8E"/>
    <w:rsid w:val="00704483"/>
    <w:rsid w:val="00704B04"/>
    <w:rsid w:val="00704C28"/>
    <w:rsid w:val="00704D4B"/>
    <w:rsid w:val="007050CB"/>
    <w:rsid w:val="00705303"/>
    <w:rsid w:val="007054A7"/>
    <w:rsid w:val="00705A71"/>
    <w:rsid w:val="00705C21"/>
    <w:rsid w:val="00706E3D"/>
    <w:rsid w:val="00706E58"/>
    <w:rsid w:val="007077F9"/>
    <w:rsid w:val="00707F0B"/>
    <w:rsid w:val="0071024C"/>
    <w:rsid w:val="00710460"/>
    <w:rsid w:val="00710748"/>
    <w:rsid w:val="007108DE"/>
    <w:rsid w:val="00710906"/>
    <w:rsid w:val="00710B3E"/>
    <w:rsid w:val="00710F95"/>
    <w:rsid w:val="007110E0"/>
    <w:rsid w:val="007117F9"/>
    <w:rsid w:val="00711AB3"/>
    <w:rsid w:val="00711B61"/>
    <w:rsid w:val="00711E60"/>
    <w:rsid w:val="00712363"/>
    <w:rsid w:val="007123A6"/>
    <w:rsid w:val="007127DA"/>
    <w:rsid w:val="00712A62"/>
    <w:rsid w:val="00713757"/>
    <w:rsid w:val="00713965"/>
    <w:rsid w:val="00713DD2"/>
    <w:rsid w:val="00713FFA"/>
    <w:rsid w:val="00714376"/>
    <w:rsid w:val="00714852"/>
    <w:rsid w:val="007159C7"/>
    <w:rsid w:val="00716402"/>
    <w:rsid w:val="0071666F"/>
    <w:rsid w:val="007167A1"/>
    <w:rsid w:val="00716877"/>
    <w:rsid w:val="00716CAC"/>
    <w:rsid w:val="0071763B"/>
    <w:rsid w:val="00717A1F"/>
    <w:rsid w:val="0072059B"/>
    <w:rsid w:val="007208F7"/>
    <w:rsid w:val="007209F0"/>
    <w:rsid w:val="00721933"/>
    <w:rsid w:val="007226B4"/>
    <w:rsid w:val="00723825"/>
    <w:rsid w:val="00723D68"/>
    <w:rsid w:val="0072464C"/>
    <w:rsid w:val="00724BEA"/>
    <w:rsid w:val="00724D65"/>
    <w:rsid w:val="007255D8"/>
    <w:rsid w:val="0072593A"/>
    <w:rsid w:val="00725FF0"/>
    <w:rsid w:val="007264F6"/>
    <w:rsid w:val="00726762"/>
    <w:rsid w:val="00726F54"/>
    <w:rsid w:val="007271A4"/>
    <w:rsid w:val="00727655"/>
    <w:rsid w:val="007276B9"/>
    <w:rsid w:val="00727837"/>
    <w:rsid w:val="00727C2B"/>
    <w:rsid w:val="00730373"/>
    <w:rsid w:val="007305F3"/>
    <w:rsid w:val="00730BE6"/>
    <w:rsid w:val="00730CD3"/>
    <w:rsid w:val="00732237"/>
    <w:rsid w:val="00732254"/>
    <w:rsid w:val="00732417"/>
    <w:rsid w:val="007324A2"/>
    <w:rsid w:val="007328F6"/>
    <w:rsid w:val="00732FD8"/>
    <w:rsid w:val="00733110"/>
    <w:rsid w:val="007338E1"/>
    <w:rsid w:val="007342F7"/>
    <w:rsid w:val="00734FFB"/>
    <w:rsid w:val="00735536"/>
    <w:rsid w:val="00735EA1"/>
    <w:rsid w:val="00736A29"/>
    <w:rsid w:val="00736C0C"/>
    <w:rsid w:val="00736E03"/>
    <w:rsid w:val="00736F98"/>
    <w:rsid w:val="00737012"/>
    <w:rsid w:val="007371E4"/>
    <w:rsid w:val="00737214"/>
    <w:rsid w:val="007372AA"/>
    <w:rsid w:val="0073748A"/>
    <w:rsid w:val="007378BF"/>
    <w:rsid w:val="00737AEA"/>
    <w:rsid w:val="00737E34"/>
    <w:rsid w:val="00737F2A"/>
    <w:rsid w:val="0074019B"/>
    <w:rsid w:val="00740236"/>
    <w:rsid w:val="00740F31"/>
    <w:rsid w:val="0074127E"/>
    <w:rsid w:val="007417D7"/>
    <w:rsid w:val="00741B27"/>
    <w:rsid w:val="007424D2"/>
    <w:rsid w:val="00742B0B"/>
    <w:rsid w:val="00742BE5"/>
    <w:rsid w:val="00742CFC"/>
    <w:rsid w:val="00742E96"/>
    <w:rsid w:val="00743382"/>
    <w:rsid w:val="0074422A"/>
    <w:rsid w:val="007446C3"/>
    <w:rsid w:val="00744951"/>
    <w:rsid w:val="00744952"/>
    <w:rsid w:val="007456E8"/>
    <w:rsid w:val="0074595D"/>
    <w:rsid w:val="00745C16"/>
    <w:rsid w:val="00745DD1"/>
    <w:rsid w:val="00745EF4"/>
    <w:rsid w:val="007464BD"/>
    <w:rsid w:val="0074671F"/>
    <w:rsid w:val="00746905"/>
    <w:rsid w:val="007471A7"/>
    <w:rsid w:val="007472AA"/>
    <w:rsid w:val="0074730E"/>
    <w:rsid w:val="00747332"/>
    <w:rsid w:val="00747476"/>
    <w:rsid w:val="0074760F"/>
    <w:rsid w:val="00747D1F"/>
    <w:rsid w:val="0075012F"/>
    <w:rsid w:val="007505D9"/>
    <w:rsid w:val="007506C3"/>
    <w:rsid w:val="007508DA"/>
    <w:rsid w:val="00751713"/>
    <w:rsid w:val="00751E1F"/>
    <w:rsid w:val="007521B9"/>
    <w:rsid w:val="007521F2"/>
    <w:rsid w:val="00752794"/>
    <w:rsid w:val="00752C4C"/>
    <w:rsid w:val="007530D1"/>
    <w:rsid w:val="00753CA1"/>
    <w:rsid w:val="007547BF"/>
    <w:rsid w:val="00754994"/>
    <w:rsid w:val="00754C12"/>
    <w:rsid w:val="00754F19"/>
    <w:rsid w:val="00755152"/>
    <w:rsid w:val="0075569A"/>
    <w:rsid w:val="0075571A"/>
    <w:rsid w:val="00755ED2"/>
    <w:rsid w:val="007562A6"/>
    <w:rsid w:val="0075664F"/>
    <w:rsid w:val="007567C1"/>
    <w:rsid w:val="00756CB5"/>
    <w:rsid w:val="00757333"/>
    <w:rsid w:val="00757517"/>
    <w:rsid w:val="007575E9"/>
    <w:rsid w:val="007577D2"/>
    <w:rsid w:val="007578C3"/>
    <w:rsid w:val="00757C2E"/>
    <w:rsid w:val="00760E2A"/>
    <w:rsid w:val="007611BB"/>
    <w:rsid w:val="007615FC"/>
    <w:rsid w:val="00761DC8"/>
    <w:rsid w:val="00761DDD"/>
    <w:rsid w:val="00762D1C"/>
    <w:rsid w:val="0076364F"/>
    <w:rsid w:val="00763D4B"/>
    <w:rsid w:val="007647C8"/>
    <w:rsid w:val="00764E19"/>
    <w:rsid w:val="007657B2"/>
    <w:rsid w:val="00765807"/>
    <w:rsid w:val="00765C33"/>
    <w:rsid w:val="00765F9E"/>
    <w:rsid w:val="0076686F"/>
    <w:rsid w:val="00767803"/>
    <w:rsid w:val="00767A36"/>
    <w:rsid w:val="00767CA6"/>
    <w:rsid w:val="007701F5"/>
    <w:rsid w:val="0077167D"/>
    <w:rsid w:val="00771DCD"/>
    <w:rsid w:val="007721DE"/>
    <w:rsid w:val="007726D4"/>
    <w:rsid w:val="00772B22"/>
    <w:rsid w:val="00772B26"/>
    <w:rsid w:val="007737EF"/>
    <w:rsid w:val="00773C3D"/>
    <w:rsid w:val="00773DDA"/>
    <w:rsid w:val="00775080"/>
    <w:rsid w:val="00775505"/>
    <w:rsid w:val="00775994"/>
    <w:rsid w:val="007759BA"/>
    <w:rsid w:val="00775D59"/>
    <w:rsid w:val="00776660"/>
    <w:rsid w:val="0077682B"/>
    <w:rsid w:val="00776856"/>
    <w:rsid w:val="0077717B"/>
    <w:rsid w:val="0077775B"/>
    <w:rsid w:val="0077788F"/>
    <w:rsid w:val="00777A23"/>
    <w:rsid w:val="00777D8F"/>
    <w:rsid w:val="007804D5"/>
    <w:rsid w:val="00780650"/>
    <w:rsid w:val="00780A34"/>
    <w:rsid w:val="00780BE0"/>
    <w:rsid w:val="00781057"/>
    <w:rsid w:val="00781231"/>
    <w:rsid w:val="00781726"/>
    <w:rsid w:val="00781B8F"/>
    <w:rsid w:val="00781CDE"/>
    <w:rsid w:val="00782ACF"/>
    <w:rsid w:val="00783173"/>
    <w:rsid w:val="007831B2"/>
    <w:rsid w:val="00783910"/>
    <w:rsid w:val="00783A25"/>
    <w:rsid w:val="00783D87"/>
    <w:rsid w:val="00784B30"/>
    <w:rsid w:val="00784BBD"/>
    <w:rsid w:val="00784D1D"/>
    <w:rsid w:val="007857AF"/>
    <w:rsid w:val="00785E5C"/>
    <w:rsid w:val="00785E7F"/>
    <w:rsid w:val="00785FEA"/>
    <w:rsid w:val="007861C1"/>
    <w:rsid w:val="00786326"/>
    <w:rsid w:val="007863C9"/>
    <w:rsid w:val="00786874"/>
    <w:rsid w:val="00786889"/>
    <w:rsid w:val="00786E63"/>
    <w:rsid w:val="00787102"/>
    <w:rsid w:val="00790538"/>
    <w:rsid w:val="00790A4E"/>
    <w:rsid w:val="00790DB5"/>
    <w:rsid w:val="00791009"/>
    <w:rsid w:val="00791D0D"/>
    <w:rsid w:val="00791E27"/>
    <w:rsid w:val="007924C8"/>
    <w:rsid w:val="0079266C"/>
    <w:rsid w:val="00793D15"/>
    <w:rsid w:val="00795136"/>
    <w:rsid w:val="007959B0"/>
    <w:rsid w:val="00796037"/>
    <w:rsid w:val="00796129"/>
    <w:rsid w:val="0079682B"/>
    <w:rsid w:val="00796E41"/>
    <w:rsid w:val="007970A4"/>
    <w:rsid w:val="0079755D"/>
    <w:rsid w:val="00797AD0"/>
    <w:rsid w:val="00797B5C"/>
    <w:rsid w:val="00797BA9"/>
    <w:rsid w:val="00797C0A"/>
    <w:rsid w:val="007A0244"/>
    <w:rsid w:val="007A02A2"/>
    <w:rsid w:val="007A0BE8"/>
    <w:rsid w:val="007A0CD6"/>
    <w:rsid w:val="007A1651"/>
    <w:rsid w:val="007A17CD"/>
    <w:rsid w:val="007A1B51"/>
    <w:rsid w:val="007A1E9E"/>
    <w:rsid w:val="007A2D4A"/>
    <w:rsid w:val="007A2E82"/>
    <w:rsid w:val="007A37BA"/>
    <w:rsid w:val="007A3A16"/>
    <w:rsid w:val="007A3AE6"/>
    <w:rsid w:val="007A4627"/>
    <w:rsid w:val="007A4BA9"/>
    <w:rsid w:val="007A4D95"/>
    <w:rsid w:val="007A512B"/>
    <w:rsid w:val="007A5830"/>
    <w:rsid w:val="007A5F75"/>
    <w:rsid w:val="007A654C"/>
    <w:rsid w:val="007A6AF1"/>
    <w:rsid w:val="007A7C2C"/>
    <w:rsid w:val="007B0347"/>
    <w:rsid w:val="007B059E"/>
    <w:rsid w:val="007B073E"/>
    <w:rsid w:val="007B1518"/>
    <w:rsid w:val="007B1B0F"/>
    <w:rsid w:val="007B1B31"/>
    <w:rsid w:val="007B1B3C"/>
    <w:rsid w:val="007B20D7"/>
    <w:rsid w:val="007B26E4"/>
    <w:rsid w:val="007B29A5"/>
    <w:rsid w:val="007B3673"/>
    <w:rsid w:val="007B3895"/>
    <w:rsid w:val="007B3F22"/>
    <w:rsid w:val="007B4174"/>
    <w:rsid w:val="007B46C1"/>
    <w:rsid w:val="007B4D86"/>
    <w:rsid w:val="007B5398"/>
    <w:rsid w:val="007B5A51"/>
    <w:rsid w:val="007B5DC0"/>
    <w:rsid w:val="007B6019"/>
    <w:rsid w:val="007B6032"/>
    <w:rsid w:val="007B69C5"/>
    <w:rsid w:val="007B6CB7"/>
    <w:rsid w:val="007B70C4"/>
    <w:rsid w:val="007B7138"/>
    <w:rsid w:val="007B758C"/>
    <w:rsid w:val="007B79ED"/>
    <w:rsid w:val="007B7E0B"/>
    <w:rsid w:val="007C0470"/>
    <w:rsid w:val="007C0B4E"/>
    <w:rsid w:val="007C1CDD"/>
    <w:rsid w:val="007C29DB"/>
    <w:rsid w:val="007C2F54"/>
    <w:rsid w:val="007C35F3"/>
    <w:rsid w:val="007C3B0F"/>
    <w:rsid w:val="007C3E2B"/>
    <w:rsid w:val="007C423A"/>
    <w:rsid w:val="007C4B69"/>
    <w:rsid w:val="007C4CCB"/>
    <w:rsid w:val="007C4D2B"/>
    <w:rsid w:val="007C512E"/>
    <w:rsid w:val="007C55DF"/>
    <w:rsid w:val="007C5C54"/>
    <w:rsid w:val="007C5CEE"/>
    <w:rsid w:val="007C5F41"/>
    <w:rsid w:val="007C620E"/>
    <w:rsid w:val="007C6C59"/>
    <w:rsid w:val="007C742B"/>
    <w:rsid w:val="007D0128"/>
    <w:rsid w:val="007D0F23"/>
    <w:rsid w:val="007D16FD"/>
    <w:rsid w:val="007D2787"/>
    <w:rsid w:val="007D2A4B"/>
    <w:rsid w:val="007D2CCF"/>
    <w:rsid w:val="007D2DF5"/>
    <w:rsid w:val="007D2EA0"/>
    <w:rsid w:val="007D369B"/>
    <w:rsid w:val="007D36EE"/>
    <w:rsid w:val="007D3859"/>
    <w:rsid w:val="007D3A89"/>
    <w:rsid w:val="007D3BDC"/>
    <w:rsid w:val="007D413C"/>
    <w:rsid w:val="007D44B5"/>
    <w:rsid w:val="007D467A"/>
    <w:rsid w:val="007D4B2C"/>
    <w:rsid w:val="007D4F11"/>
    <w:rsid w:val="007D520E"/>
    <w:rsid w:val="007D5BAC"/>
    <w:rsid w:val="007D609D"/>
    <w:rsid w:val="007D6418"/>
    <w:rsid w:val="007E06EE"/>
    <w:rsid w:val="007E0B98"/>
    <w:rsid w:val="007E1307"/>
    <w:rsid w:val="007E1B1F"/>
    <w:rsid w:val="007E1B2D"/>
    <w:rsid w:val="007E2A2F"/>
    <w:rsid w:val="007E2E2C"/>
    <w:rsid w:val="007E316C"/>
    <w:rsid w:val="007E35F5"/>
    <w:rsid w:val="007E3C43"/>
    <w:rsid w:val="007E3DC7"/>
    <w:rsid w:val="007E4291"/>
    <w:rsid w:val="007E42AF"/>
    <w:rsid w:val="007E496C"/>
    <w:rsid w:val="007E4D52"/>
    <w:rsid w:val="007E5104"/>
    <w:rsid w:val="007E567E"/>
    <w:rsid w:val="007E5C0A"/>
    <w:rsid w:val="007E5D82"/>
    <w:rsid w:val="007E5E73"/>
    <w:rsid w:val="007E62BE"/>
    <w:rsid w:val="007E62CE"/>
    <w:rsid w:val="007E62EB"/>
    <w:rsid w:val="007E6385"/>
    <w:rsid w:val="007E70BC"/>
    <w:rsid w:val="007F010F"/>
    <w:rsid w:val="007F06E9"/>
    <w:rsid w:val="007F1012"/>
    <w:rsid w:val="007F178F"/>
    <w:rsid w:val="007F1C49"/>
    <w:rsid w:val="007F2081"/>
    <w:rsid w:val="007F20D5"/>
    <w:rsid w:val="007F28AC"/>
    <w:rsid w:val="007F28BC"/>
    <w:rsid w:val="007F2AFB"/>
    <w:rsid w:val="007F2E5D"/>
    <w:rsid w:val="007F367A"/>
    <w:rsid w:val="007F3AC4"/>
    <w:rsid w:val="007F411A"/>
    <w:rsid w:val="007F4293"/>
    <w:rsid w:val="007F4376"/>
    <w:rsid w:val="007F457E"/>
    <w:rsid w:val="007F46FF"/>
    <w:rsid w:val="007F5018"/>
    <w:rsid w:val="007F54A2"/>
    <w:rsid w:val="007F58D3"/>
    <w:rsid w:val="007F62B6"/>
    <w:rsid w:val="007F6395"/>
    <w:rsid w:val="007F66C3"/>
    <w:rsid w:val="007F69A5"/>
    <w:rsid w:val="007F6D9B"/>
    <w:rsid w:val="007F734F"/>
    <w:rsid w:val="007F77E8"/>
    <w:rsid w:val="007F7B7F"/>
    <w:rsid w:val="007F7FCE"/>
    <w:rsid w:val="00800583"/>
    <w:rsid w:val="00800D65"/>
    <w:rsid w:val="0080109D"/>
    <w:rsid w:val="00801636"/>
    <w:rsid w:val="008017C4"/>
    <w:rsid w:val="00801897"/>
    <w:rsid w:val="008023EB"/>
    <w:rsid w:val="0080263C"/>
    <w:rsid w:val="00802A33"/>
    <w:rsid w:val="00803BCB"/>
    <w:rsid w:val="0080434C"/>
    <w:rsid w:val="0080533D"/>
    <w:rsid w:val="008058D0"/>
    <w:rsid w:val="008058D2"/>
    <w:rsid w:val="00805AE5"/>
    <w:rsid w:val="00805BBE"/>
    <w:rsid w:val="00806635"/>
    <w:rsid w:val="00806C56"/>
    <w:rsid w:val="00807543"/>
    <w:rsid w:val="0080774F"/>
    <w:rsid w:val="0080786A"/>
    <w:rsid w:val="008079B2"/>
    <w:rsid w:val="00807A25"/>
    <w:rsid w:val="00807CDE"/>
    <w:rsid w:val="008101D8"/>
    <w:rsid w:val="00810567"/>
    <w:rsid w:val="00810A54"/>
    <w:rsid w:val="008119FC"/>
    <w:rsid w:val="00811CEC"/>
    <w:rsid w:val="00812206"/>
    <w:rsid w:val="00812383"/>
    <w:rsid w:val="008123BD"/>
    <w:rsid w:val="008127A1"/>
    <w:rsid w:val="00812A2F"/>
    <w:rsid w:val="00812F3B"/>
    <w:rsid w:val="00812FF9"/>
    <w:rsid w:val="008135EC"/>
    <w:rsid w:val="00813FFF"/>
    <w:rsid w:val="008141F6"/>
    <w:rsid w:val="00814436"/>
    <w:rsid w:val="00814A50"/>
    <w:rsid w:val="00814D9B"/>
    <w:rsid w:val="00814E42"/>
    <w:rsid w:val="00815043"/>
    <w:rsid w:val="008158E7"/>
    <w:rsid w:val="00815FBE"/>
    <w:rsid w:val="00816333"/>
    <w:rsid w:val="00816440"/>
    <w:rsid w:val="00816511"/>
    <w:rsid w:val="008168E0"/>
    <w:rsid w:val="00816EAE"/>
    <w:rsid w:val="008171A4"/>
    <w:rsid w:val="00817378"/>
    <w:rsid w:val="00817581"/>
    <w:rsid w:val="0081765D"/>
    <w:rsid w:val="0081770D"/>
    <w:rsid w:val="00817723"/>
    <w:rsid w:val="008178DE"/>
    <w:rsid w:val="008200AC"/>
    <w:rsid w:val="00820661"/>
    <w:rsid w:val="00820E1A"/>
    <w:rsid w:val="00821091"/>
    <w:rsid w:val="00821542"/>
    <w:rsid w:val="0082163D"/>
    <w:rsid w:val="008221CD"/>
    <w:rsid w:val="008221EA"/>
    <w:rsid w:val="00822565"/>
    <w:rsid w:val="00822620"/>
    <w:rsid w:val="0082284D"/>
    <w:rsid w:val="008230B7"/>
    <w:rsid w:val="00823159"/>
    <w:rsid w:val="00823631"/>
    <w:rsid w:val="008238A7"/>
    <w:rsid w:val="00823E83"/>
    <w:rsid w:val="008245BF"/>
    <w:rsid w:val="008249C1"/>
    <w:rsid w:val="00825009"/>
    <w:rsid w:val="00825710"/>
    <w:rsid w:val="00825897"/>
    <w:rsid w:val="00826E92"/>
    <w:rsid w:val="00827079"/>
    <w:rsid w:val="0082742F"/>
    <w:rsid w:val="00827C4B"/>
    <w:rsid w:val="00827C5F"/>
    <w:rsid w:val="00827E56"/>
    <w:rsid w:val="00830700"/>
    <w:rsid w:val="00830808"/>
    <w:rsid w:val="008309A8"/>
    <w:rsid w:val="00830A39"/>
    <w:rsid w:val="00831034"/>
    <w:rsid w:val="008312E4"/>
    <w:rsid w:val="00831FA5"/>
    <w:rsid w:val="0083220E"/>
    <w:rsid w:val="0083237C"/>
    <w:rsid w:val="0083271A"/>
    <w:rsid w:val="00833FF4"/>
    <w:rsid w:val="008341AA"/>
    <w:rsid w:val="008343C3"/>
    <w:rsid w:val="00834475"/>
    <w:rsid w:val="00834F71"/>
    <w:rsid w:val="00835502"/>
    <w:rsid w:val="008355FD"/>
    <w:rsid w:val="00835832"/>
    <w:rsid w:val="00835B4D"/>
    <w:rsid w:val="00835ECC"/>
    <w:rsid w:val="00835EE9"/>
    <w:rsid w:val="008361FC"/>
    <w:rsid w:val="00836602"/>
    <w:rsid w:val="00836F88"/>
    <w:rsid w:val="0083743B"/>
    <w:rsid w:val="0083764D"/>
    <w:rsid w:val="00837E4D"/>
    <w:rsid w:val="00837E79"/>
    <w:rsid w:val="00837ECD"/>
    <w:rsid w:val="00840085"/>
    <w:rsid w:val="00840648"/>
    <w:rsid w:val="00840CF3"/>
    <w:rsid w:val="00840D4D"/>
    <w:rsid w:val="00842415"/>
    <w:rsid w:val="0084245B"/>
    <w:rsid w:val="0084261B"/>
    <w:rsid w:val="00842BAF"/>
    <w:rsid w:val="00842C34"/>
    <w:rsid w:val="0084345D"/>
    <w:rsid w:val="00843554"/>
    <w:rsid w:val="00843CB1"/>
    <w:rsid w:val="0084454E"/>
    <w:rsid w:val="008446A6"/>
    <w:rsid w:val="0084482A"/>
    <w:rsid w:val="008457A7"/>
    <w:rsid w:val="0084589C"/>
    <w:rsid w:val="008458E5"/>
    <w:rsid w:val="0084699E"/>
    <w:rsid w:val="00846AFB"/>
    <w:rsid w:val="00846BFA"/>
    <w:rsid w:val="00846C8E"/>
    <w:rsid w:val="00846E9B"/>
    <w:rsid w:val="008470C9"/>
    <w:rsid w:val="008471FF"/>
    <w:rsid w:val="0084783C"/>
    <w:rsid w:val="00850668"/>
    <w:rsid w:val="00851B8E"/>
    <w:rsid w:val="0085254F"/>
    <w:rsid w:val="008529D2"/>
    <w:rsid w:val="008529E7"/>
    <w:rsid w:val="00852CDB"/>
    <w:rsid w:val="008533C0"/>
    <w:rsid w:val="00853BFC"/>
    <w:rsid w:val="008545A5"/>
    <w:rsid w:val="008548B6"/>
    <w:rsid w:val="008549AE"/>
    <w:rsid w:val="00854D05"/>
    <w:rsid w:val="00854E8B"/>
    <w:rsid w:val="008556C2"/>
    <w:rsid w:val="00855E6F"/>
    <w:rsid w:val="0085640F"/>
    <w:rsid w:val="0085658F"/>
    <w:rsid w:val="00856D0E"/>
    <w:rsid w:val="008570E2"/>
    <w:rsid w:val="00860751"/>
    <w:rsid w:val="00860BD7"/>
    <w:rsid w:val="00861182"/>
    <w:rsid w:val="008611B3"/>
    <w:rsid w:val="00861B55"/>
    <w:rsid w:val="00861D67"/>
    <w:rsid w:val="00861FDC"/>
    <w:rsid w:val="008625B4"/>
    <w:rsid w:val="00862C3F"/>
    <w:rsid w:val="00863365"/>
    <w:rsid w:val="008637C9"/>
    <w:rsid w:val="00863DB7"/>
    <w:rsid w:val="00863E28"/>
    <w:rsid w:val="00863FDC"/>
    <w:rsid w:val="00864543"/>
    <w:rsid w:val="00864C7A"/>
    <w:rsid w:val="008656FD"/>
    <w:rsid w:val="00865A24"/>
    <w:rsid w:val="00865ECE"/>
    <w:rsid w:val="008660C6"/>
    <w:rsid w:val="008662E0"/>
    <w:rsid w:val="0086635B"/>
    <w:rsid w:val="008666C7"/>
    <w:rsid w:val="0086681E"/>
    <w:rsid w:val="008669E6"/>
    <w:rsid w:val="00867894"/>
    <w:rsid w:val="00867F24"/>
    <w:rsid w:val="00870212"/>
    <w:rsid w:val="00870648"/>
    <w:rsid w:val="00870BC2"/>
    <w:rsid w:val="00870E9F"/>
    <w:rsid w:val="00870ED8"/>
    <w:rsid w:val="008713E3"/>
    <w:rsid w:val="008714ED"/>
    <w:rsid w:val="00871615"/>
    <w:rsid w:val="00871A00"/>
    <w:rsid w:val="00871E51"/>
    <w:rsid w:val="008725A7"/>
    <w:rsid w:val="008732FD"/>
    <w:rsid w:val="00873401"/>
    <w:rsid w:val="0087358B"/>
    <w:rsid w:val="0087389D"/>
    <w:rsid w:val="00873DB7"/>
    <w:rsid w:val="008742FB"/>
    <w:rsid w:val="00874982"/>
    <w:rsid w:val="00875267"/>
    <w:rsid w:val="008755E4"/>
    <w:rsid w:val="0087572C"/>
    <w:rsid w:val="0087658B"/>
    <w:rsid w:val="00876A9C"/>
    <w:rsid w:val="00876AB4"/>
    <w:rsid w:val="00876E59"/>
    <w:rsid w:val="008775B8"/>
    <w:rsid w:val="00877A8A"/>
    <w:rsid w:val="00877E73"/>
    <w:rsid w:val="008802F4"/>
    <w:rsid w:val="00880426"/>
    <w:rsid w:val="008805C8"/>
    <w:rsid w:val="00880881"/>
    <w:rsid w:val="00880AFE"/>
    <w:rsid w:val="00880F88"/>
    <w:rsid w:val="00881305"/>
    <w:rsid w:val="008813C7"/>
    <w:rsid w:val="00881979"/>
    <w:rsid w:val="00881D9E"/>
    <w:rsid w:val="00881EE3"/>
    <w:rsid w:val="00882E7C"/>
    <w:rsid w:val="00883143"/>
    <w:rsid w:val="0088388B"/>
    <w:rsid w:val="00884072"/>
    <w:rsid w:val="00884567"/>
    <w:rsid w:val="00884E38"/>
    <w:rsid w:val="00884E62"/>
    <w:rsid w:val="00884EFE"/>
    <w:rsid w:val="008853A0"/>
    <w:rsid w:val="008859C7"/>
    <w:rsid w:val="00885B14"/>
    <w:rsid w:val="00885BE0"/>
    <w:rsid w:val="00885DFD"/>
    <w:rsid w:val="008860A4"/>
    <w:rsid w:val="00886217"/>
    <w:rsid w:val="008863E2"/>
    <w:rsid w:val="00886516"/>
    <w:rsid w:val="00886661"/>
    <w:rsid w:val="008867ED"/>
    <w:rsid w:val="008871C0"/>
    <w:rsid w:val="008873E4"/>
    <w:rsid w:val="00887958"/>
    <w:rsid w:val="00887A61"/>
    <w:rsid w:val="00890040"/>
    <w:rsid w:val="00890415"/>
    <w:rsid w:val="008906AD"/>
    <w:rsid w:val="00890C2E"/>
    <w:rsid w:val="00890F3D"/>
    <w:rsid w:val="00891358"/>
    <w:rsid w:val="008915C1"/>
    <w:rsid w:val="00891CC2"/>
    <w:rsid w:val="008929F5"/>
    <w:rsid w:val="00892A24"/>
    <w:rsid w:val="00892D49"/>
    <w:rsid w:val="00893082"/>
    <w:rsid w:val="00893280"/>
    <w:rsid w:val="00893D0E"/>
    <w:rsid w:val="00893ED0"/>
    <w:rsid w:val="0089402A"/>
    <w:rsid w:val="0089411E"/>
    <w:rsid w:val="008943FB"/>
    <w:rsid w:val="00894AD6"/>
    <w:rsid w:val="00894DF3"/>
    <w:rsid w:val="0089576F"/>
    <w:rsid w:val="008959E7"/>
    <w:rsid w:val="00896734"/>
    <w:rsid w:val="008975FF"/>
    <w:rsid w:val="008A054C"/>
    <w:rsid w:val="008A0707"/>
    <w:rsid w:val="008A0865"/>
    <w:rsid w:val="008A0870"/>
    <w:rsid w:val="008A08FD"/>
    <w:rsid w:val="008A0B2E"/>
    <w:rsid w:val="008A2954"/>
    <w:rsid w:val="008A2F1B"/>
    <w:rsid w:val="008A3596"/>
    <w:rsid w:val="008A35BD"/>
    <w:rsid w:val="008A368E"/>
    <w:rsid w:val="008A37E9"/>
    <w:rsid w:val="008A38EE"/>
    <w:rsid w:val="008A3B07"/>
    <w:rsid w:val="008A3D4E"/>
    <w:rsid w:val="008A47CA"/>
    <w:rsid w:val="008A4803"/>
    <w:rsid w:val="008A4A3A"/>
    <w:rsid w:val="008A50C1"/>
    <w:rsid w:val="008A55B0"/>
    <w:rsid w:val="008A5C34"/>
    <w:rsid w:val="008A5F72"/>
    <w:rsid w:val="008A61B6"/>
    <w:rsid w:val="008A6C3B"/>
    <w:rsid w:val="008A72E6"/>
    <w:rsid w:val="008A7EA1"/>
    <w:rsid w:val="008B0698"/>
    <w:rsid w:val="008B06DF"/>
    <w:rsid w:val="008B0876"/>
    <w:rsid w:val="008B0AEA"/>
    <w:rsid w:val="008B0D49"/>
    <w:rsid w:val="008B1170"/>
    <w:rsid w:val="008B1A9B"/>
    <w:rsid w:val="008B1EBE"/>
    <w:rsid w:val="008B2716"/>
    <w:rsid w:val="008B28AE"/>
    <w:rsid w:val="008B2ED3"/>
    <w:rsid w:val="008B3F60"/>
    <w:rsid w:val="008B4149"/>
    <w:rsid w:val="008B4A57"/>
    <w:rsid w:val="008B4EAC"/>
    <w:rsid w:val="008B4FE3"/>
    <w:rsid w:val="008B52E0"/>
    <w:rsid w:val="008B5711"/>
    <w:rsid w:val="008B5781"/>
    <w:rsid w:val="008B5C72"/>
    <w:rsid w:val="008B657A"/>
    <w:rsid w:val="008B6E6D"/>
    <w:rsid w:val="008B70A6"/>
    <w:rsid w:val="008B7128"/>
    <w:rsid w:val="008B725C"/>
    <w:rsid w:val="008B736F"/>
    <w:rsid w:val="008C0321"/>
    <w:rsid w:val="008C043D"/>
    <w:rsid w:val="008C0878"/>
    <w:rsid w:val="008C0FCE"/>
    <w:rsid w:val="008C148B"/>
    <w:rsid w:val="008C1678"/>
    <w:rsid w:val="008C1999"/>
    <w:rsid w:val="008C2446"/>
    <w:rsid w:val="008C266D"/>
    <w:rsid w:val="008C27DE"/>
    <w:rsid w:val="008C31FD"/>
    <w:rsid w:val="008C3582"/>
    <w:rsid w:val="008C3741"/>
    <w:rsid w:val="008C39FE"/>
    <w:rsid w:val="008C3FAD"/>
    <w:rsid w:val="008C4116"/>
    <w:rsid w:val="008C4531"/>
    <w:rsid w:val="008C4746"/>
    <w:rsid w:val="008C4CE2"/>
    <w:rsid w:val="008C4DBC"/>
    <w:rsid w:val="008C4DBF"/>
    <w:rsid w:val="008C5A41"/>
    <w:rsid w:val="008C5B92"/>
    <w:rsid w:val="008C5EE7"/>
    <w:rsid w:val="008C6519"/>
    <w:rsid w:val="008C69D2"/>
    <w:rsid w:val="008C73A8"/>
    <w:rsid w:val="008C75DE"/>
    <w:rsid w:val="008C7B5C"/>
    <w:rsid w:val="008D03AE"/>
    <w:rsid w:val="008D07EA"/>
    <w:rsid w:val="008D0858"/>
    <w:rsid w:val="008D089A"/>
    <w:rsid w:val="008D0CE8"/>
    <w:rsid w:val="008D1D19"/>
    <w:rsid w:val="008D278D"/>
    <w:rsid w:val="008D299B"/>
    <w:rsid w:val="008D2A2E"/>
    <w:rsid w:val="008D3200"/>
    <w:rsid w:val="008D33E2"/>
    <w:rsid w:val="008D3CDA"/>
    <w:rsid w:val="008D53C0"/>
    <w:rsid w:val="008D5474"/>
    <w:rsid w:val="008D5626"/>
    <w:rsid w:val="008D59E3"/>
    <w:rsid w:val="008D5B9D"/>
    <w:rsid w:val="008D626D"/>
    <w:rsid w:val="008D674F"/>
    <w:rsid w:val="008D680D"/>
    <w:rsid w:val="008D77BD"/>
    <w:rsid w:val="008D7F1D"/>
    <w:rsid w:val="008E027E"/>
    <w:rsid w:val="008E07CC"/>
    <w:rsid w:val="008E0BCA"/>
    <w:rsid w:val="008E1298"/>
    <w:rsid w:val="008E273E"/>
    <w:rsid w:val="008E32C0"/>
    <w:rsid w:val="008E33B3"/>
    <w:rsid w:val="008E3D66"/>
    <w:rsid w:val="008E40AD"/>
    <w:rsid w:val="008E44F7"/>
    <w:rsid w:val="008E4F84"/>
    <w:rsid w:val="008E5564"/>
    <w:rsid w:val="008E5648"/>
    <w:rsid w:val="008E57CC"/>
    <w:rsid w:val="008E57CF"/>
    <w:rsid w:val="008E644A"/>
    <w:rsid w:val="008E7056"/>
    <w:rsid w:val="008E76A2"/>
    <w:rsid w:val="008E7758"/>
    <w:rsid w:val="008E7931"/>
    <w:rsid w:val="008E7B37"/>
    <w:rsid w:val="008E7EC3"/>
    <w:rsid w:val="008F0D7A"/>
    <w:rsid w:val="008F1005"/>
    <w:rsid w:val="008F1081"/>
    <w:rsid w:val="008F12A9"/>
    <w:rsid w:val="008F1434"/>
    <w:rsid w:val="008F20B9"/>
    <w:rsid w:val="008F2A3E"/>
    <w:rsid w:val="008F2EE0"/>
    <w:rsid w:val="008F2FBA"/>
    <w:rsid w:val="008F3212"/>
    <w:rsid w:val="008F330F"/>
    <w:rsid w:val="008F34A7"/>
    <w:rsid w:val="008F3DD3"/>
    <w:rsid w:val="008F4262"/>
    <w:rsid w:val="008F4EB7"/>
    <w:rsid w:val="008F50B6"/>
    <w:rsid w:val="008F5351"/>
    <w:rsid w:val="008F5911"/>
    <w:rsid w:val="008F59FF"/>
    <w:rsid w:val="008F5B6E"/>
    <w:rsid w:val="008F6B77"/>
    <w:rsid w:val="008F6D53"/>
    <w:rsid w:val="008F72ED"/>
    <w:rsid w:val="008F74CF"/>
    <w:rsid w:val="008F76C5"/>
    <w:rsid w:val="008F798F"/>
    <w:rsid w:val="008F7BDB"/>
    <w:rsid w:val="008F7BDD"/>
    <w:rsid w:val="00900018"/>
    <w:rsid w:val="00900543"/>
    <w:rsid w:val="009007A9"/>
    <w:rsid w:val="00900876"/>
    <w:rsid w:val="00900D0A"/>
    <w:rsid w:val="0090106F"/>
    <w:rsid w:val="0090134F"/>
    <w:rsid w:val="00901807"/>
    <w:rsid w:val="00901F9E"/>
    <w:rsid w:val="00901FDA"/>
    <w:rsid w:val="00901FDD"/>
    <w:rsid w:val="009022CC"/>
    <w:rsid w:val="00902457"/>
    <w:rsid w:val="00903342"/>
    <w:rsid w:val="0090358C"/>
    <w:rsid w:val="00903A30"/>
    <w:rsid w:val="00903B65"/>
    <w:rsid w:val="00903C6D"/>
    <w:rsid w:val="00903F6B"/>
    <w:rsid w:val="0090479E"/>
    <w:rsid w:val="009047CE"/>
    <w:rsid w:val="00905057"/>
    <w:rsid w:val="00905A68"/>
    <w:rsid w:val="00906377"/>
    <w:rsid w:val="009068DA"/>
    <w:rsid w:val="00906AB2"/>
    <w:rsid w:val="00907482"/>
    <w:rsid w:val="00907C06"/>
    <w:rsid w:val="00910B9E"/>
    <w:rsid w:val="00910F4A"/>
    <w:rsid w:val="00911214"/>
    <w:rsid w:val="00911244"/>
    <w:rsid w:val="00911576"/>
    <w:rsid w:val="00911FF8"/>
    <w:rsid w:val="00912642"/>
    <w:rsid w:val="00912B05"/>
    <w:rsid w:val="00912E35"/>
    <w:rsid w:val="0091387A"/>
    <w:rsid w:val="009139D1"/>
    <w:rsid w:val="00913A61"/>
    <w:rsid w:val="00913B4E"/>
    <w:rsid w:val="00913B70"/>
    <w:rsid w:val="00913DC8"/>
    <w:rsid w:val="0091428C"/>
    <w:rsid w:val="00914FAA"/>
    <w:rsid w:val="00914FFC"/>
    <w:rsid w:val="00915414"/>
    <w:rsid w:val="009156F8"/>
    <w:rsid w:val="00915752"/>
    <w:rsid w:val="009158EB"/>
    <w:rsid w:val="0091592A"/>
    <w:rsid w:val="00916234"/>
    <w:rsid w:val="00916387"/>
    <w:rsid w:val="00917A36"/>
    <w:rsid w:val="00917B4E"/>
    <w:rsid w:val="00917F3D"/>
    <w:rsid w:val="009203E2"/>
    <w:rsid w:val="00920429"/>
    <w:rsid w:val="0092080F"/>
    <w:rsid w:val="009208BE"/>
    <w:rsid w:val="00920C65"/>
    <w:rsid w:val="00920E3D"/>
    <w:rsid w:val="00920F57"/>
    <w:rsid w:val="009213B0"/>
    <w:rsid w:val="0092192C"/>
    <w:rsid w:val="00922745"/>
    <w:rsid w:val="00922AA4"/>
    <w:rsid w:val="0092321E"/>
    <w:rsid w:val="00923F43"/>
    <w:rsid w:val="0092488F"/>
    <w:rsid w:val="00924A6D"/>
    <w:rsid w:val="00924DA6"/>
    <w:rsid w:val="00924E5D"/>
    <w:rsid w:val="00925451"/>
    <w:rsid w:val="0092555A"/>
    <w:rsid w:val="009255C6"/>
    <w:rsid w:val="00925C45"/>
    <w:rsid w:val="00926485"/>
    <w:rsid w:val="00926E22"/>
    <w:rsid w:val="00927149"/>
    <w:rsid w:val="0092746A"/>
    <w:rsid w:val="00927E88"/>
    <w:rsid w:val="009300ED"/>
    <w:rsid w:val="00930528"/>
    <w:rsid w:val="00930E51"/>
    <w:rsid w:val="00930FDE"/>
    <w:rsid w:val="00931574"/>
    <w:rsid w:val="00931F4E"/>
    <w:rsid w:val="009324C2"/>
    <w:rsid w:val="00932ACD"/>
    <w:rsid w:val="00932C25"/>
    <w:rsid w:val="00932F15"/>
    <w:rsid w:val="00933175"/>
    <w:rsid w:val="00933410"/>
    <w:rsid w:val="00934046"/>
    <w:rsid w:val="00935501"/>
    <w:rsid w:val="009356A0"/>
    <w:rsid w:val="009357C7"/>
    <w:rsid w:val="009358B2"/>
    <w:rsid w:val="00935956"/>
    <w:rsid w:val="00935ECE"/>
    <w:rsid w:val="009369AD"/>
    <w:rsid w:val="00936BB8"/>
    <w:rsid w:val="00936F28"/>
    <w:rsid w:val="009372D5"/>
    <w:rsid w:val="0093773C"/>
    <w:rsid w:val="00937BDA"/>
    <w:rsid w:val="00937D0E"/>
    <w:rsid w:val="00937E85"/>
    <w:rsid w:val="009409B5"/>
    <w:rsid w:val="00940E33"/>
    <w:rsid w:val="009410F5"/>
    <w:rsid w:val="00941226"/>
    <w:rsid w:val="009425A4"/>
    <w:rsid w:val="0094268B"/>
    <w:rsid w:val="00942C9C"/>
    <w:rsid w:val="00942EBB"/>
    <w:rsid w:val="009430E0"/>
    <w:rsid w:val="009433BF"/>
    <w:rsid w:val="009437D0"/>
    <w:rsid w:val="009439DC"/>
    <w:rsid w:val="00943AA5"/>
    <w:rsid w:val="00943CDD"/>
    <w:rsid w:val="00943DD8"/>
    <w:rsid w:val="009447BF"/>
    <w:rsid w:val="00945516"/>
    <w:rsid w:val="009455D2"/>
    <w:rsid w:val="009478B8"/>
    <w:rsid w:val="00947ECC"/>
    <w:rsid w:val="009507AD"/>
    <w:rsid w:val="00950BFD"/>
    <w:rsid w:val="00951146"/>
    <w:rsid w:val="00951D0D"/>
    <w:rsid w:val="00951D79"/>
    <w:rsid w:val="00951FF6"/>
    <w:rsid w:val="00952533"/>
    <w:rsid w:val="009526D7"/>
    <w:rsid w:val="009529E5"/>
    <w:rsid w:val="00952DC9"/>
    <w:rsid w:val="00952F38"/>
    <w:rsid w:val="009530B9"/>
    <w:rsid w:val="00953509"/>
    <w:rsid w:val="009535FA"/>
    <w:rsid w:val="0095388B"/>
    <w:rsid w:val="00953C55"/>
    <w:rsid w:val="00954BB7"/>
    <w:rsid w:val="009550CA"/>
    <w:rsid w:val="0095532A"/>
    <w:rsid w:val="00955909"/>
    <w:rsid w:val="009559E6"/>
    <w:rsid w:val="00955CB4"/>
    <w:rsid w:val="009562DC"/>
    <w:rsid w:val="00956AAF"/>
    <w:rsid w:val="0095709B"/>
    <w:rsid w:val="00957496"/>
    <w:rsid w:val="00957643"/>
    <w:rsid w:val="00957886"/>
    <w:rsid w:val="009578EB"/>
    <w:rsid w:val="00960179"/>
    <w:rsid w:val="00960346"/>
    <w:rsid w:val="00960861"/>
    <w:rsid w:val="00961562"/>
    <w:rsid w:val="009615B3"/>
    <w:rsid w:val="00961918"/>
    <w:rsid w:val="00961AFC"/>
    <w:rsid w:val="00961B03"/>
    <w:rsid w:val="00961CF7"/>
    <w:rsid w:val="009620A2"/>
    <w:rsid w:val="009621F1"/>
    <w:rsid w:val="009624E5"/>
    <w:rsid w:val="00962783"/>
    <w:rsid w:val="009631C9"/>
    <w:rsid w:val="009633D4"/>
    <w:rsid w:val="009633EE"/>
    <w:rsid w:val="009633FB"/>
    <w:rsid w:val="009634CD"/>
    <w:rsid w:val="00963A8E"/>
    <w:rsid w:val="00963BBB"/>
    <w:rsid w:val="009642BC"/>
    <w:rsid w:val="009644E6"/>
    <w:rsid w:val="0096475D"/>
    <w:rsid w:val="00964A98"/>
    <w:rsid w:val="0096524A"/>
    <w:rsid w:val="00965548"/>
    <w:rsid w:val="009655A1"/>
    <w:rsid w:val="009661B9"/>
    <w:rsid w:val="00966718"/>
    <w:rsid w:val="0096671E"/>
    <w:rsid w:val="009668F4"/>
    <w:rsid w:val="00966931"/>
    <w:rsid w:val="00967B85"/>
    <w:rsid w:val="009708B5"/>
    <w:rsid w:val="00970AFB"/>
    <w:rsid w:val="00970F0E"/>
    <w:rsid w:val="00970F6C"/>
    <w:rsid w:val="00970FCE"/>
    <w:rsid w:val="00971663"/>
    <w:rsid w:val="00971735"/>
    <w:rsid w:val="009720C0"/>
    <w:rsid w:val="0097252F"/>
    <w:rsid w:val="00972FCD"/>
    <w:rsid w:val="0097348D"/>
    <w:rsid w:val="00973AF6"/>
    <w:rsid w:val="00973C69"/>
    <w:rsid w:val="00973E5F"/>
    <w:rsid w:val="00974064"/>
    <w:rsid w:val="009740E8"/>
    <w:rsid w:val="00974751"/>
    <w:rsid w:val="00974C4F"/>
    <w:rsid w:val="00974C81"/>
    <w:rsid w:val="00974FAA"/>
    <w:rsid w:val="009754CC"/>
    <w:rsid w:val="00975AC3"/>
    <w:rsid w:val="00975BAE"/>
    <w:rsid w:val="00976027"/>
    <w:rsid w:val="009764EE"/>
    <w:rsid w:val="009765C6"/>
    <w:rsid w:val="00976748"/>
    <w:rsid w:val="00976CE4"/>
    <w:rsid w:val="0097745C"/>
    <w:rsid w:val="009803EF"/>
    <w:rsid w:val="00980633"/>
    <w:rsid w:val="00980900"/>
    <w:rsid w:val="00980B62"/>
    <w:rsid w:val="00981B25"/>
    <w:rsid w:val="00982163"/>
    <w:rsid w:val="0098218F"/>
    <w:rsid w:val="009821B6"/>
    <w:rsid w:val="0098248B"/>
    <w:rsid w:val="00982D5F"/>
    <w:rsid w:val="00982DBA"/>
    <w:rsid w:val="00983A41"/>
    <w:rsid w:val="00983D9F"/>
    <w:rsid w:val="00984789"/>
    <w:rsid w:val="009854A4"/>
    <w:rsid w:val="00986214"/>
    <w:rsid w:val="009862F8"/>
    <w:rsid w:val="00986A47"/>
    <w:rsid w:val="0098726E"/>
    <w:rsid w:val="00987C8A"/>
    <w:rsid w:val="00987FC9"/>
    <w:rsid w:val="00990E39"/>
    <w:rsid w:val="00990FAE"/>
    <w:rsid w:val="00991142"/>
    <w:rsid w:val="009921FE"/>
    <w:rsid w:val="009925B6"/>
    <w:rsid w:val="00992C33"/>
    <w:rsid w:val="00992F36"/>
    <w:rsid w:val="00993040"/>
    <w:rsid w:val="009930AD"/>
    <w:rsid w:val="009934BE"/>
    <w:rsid w:val="0099392B"/>
    <w:rsid w:val="00993B39"/>
    <w:rsid w:val="00993BA0"/>
    <w:rsid w:val="00993D7F"/>
    <w:rsid w:val="00993E99"/>
    <w:rsid w:val="00994275"/>
    <w:rsid w:val="0099448B"/>
    <w:rsid w:val="0099480E"/>
    <w:rsid w:val="00994A3D"/>
    <w:rsid w:val="00995105"/>
    <w:rsid w:val="009953E6"/>
    <w:rsid w:val="009957A3"/>
    <w:rsid w:val="00995D80"/>
    <w:rsid w:val="009966F5"/>
    <w:rsid w:val="00996F46"/>
    <w:rsid w:val="00997420"/>
    <w:rsid w:val="00997846"/>
    <w:rsid w:val="00997EB5"/>
    <w:rsid w:val="009A006C"/>
    <w:rsid w:val="009A021A"/>
    <w:rsid w:val="009A02B0"/>
    <w:rsid w:val="009A07A6"/>
    <w:rsid w:val="009A0A08"/>
    <w:rsid w:val="009A0A65"/>
    <w:rsid w:val="009A0E54"/>
    <w:rsid w:val="009A0EA5"/>
    <w:rsid w:val="009A0EFF"/>
    <w:rsid w:val="009A1268"/>
    <w:rsid w:val="009A1B16"/>
    <w:rsid w:val="009A21A2"/>
    <w:rsid w:val="009A286B"/>
    <w:rsid w:val="009A2C41"/>
    <w:rsid w:val="009A32C6"/>
    <w:rsid w:val="009A3872"/>
    <w:rsid w:val="009A3B30"/>
    <w:rsid w:val="009A3FCE"/>
    <w:rsid w:val="009A415B"/>
    <w:rsid w:val="009A4369"/>
    <w:rsid w:val="009A4B61"/>
    <w:rsid w:val="009A5142"/>
    <w:rsid w:val="009A5530"/>
    <w:rsid w:val="009A56D0"/>
    <w:rsid w:val="009A5710"/>
    <w:rsid w:val="009A5B14"/>
    <w:rsid w:val="009A5C2A"/>
    <w:rsid w:val="009A5DD4"/>
    <w:rsid w:val="009A6477"/>
    <w:rsid w:val="009A6658"/>
    <w:rsid w:val="009A67F0"/>
    <w:rsid w:val="009A6975"/>
    <w:rsid w:val="009A70B6"/>
    <w:rsid w:val="009A7F37"/>
    <w:rsid w:val="009A7F60"/>
    <w:rsid w:val="009B048C"/>
    <w:rsid w:val="009B05C5"/>
    <w:rsid w:val="009B0803"/>
    <w:rsid w:val="009B0DFD"/>
    <w:rsid w:val="009B1314"/>
    <w:rsid w:val="009B1B5E"/>
    <w:rsid w:val="009B20C0"/>
    <w:rsid w:val="009B21BB"/>
    <w:rsid w:val="009B2279"/>
    <w:rsid w:val="009B2941"/>
    <w:rsid w:val="009B29BA"/>
    <w:rsid w:val="009B3863"/>
    <w:rsid w:val="009B3E76"/>
    <w:rsid w:val="009B3F3D"/>
    <w:rsid w:val="009B4471"/>
    <w:rsid w:val="009B5226"/>
    <w:rsid w:val="009B52DD"/>
    <w:rsid w:val="009B5A85"/>
    <w:rsid w:val="009B5C5C"/>
    <w:rsid w:val="009B63BB"/>
    <w:rsid w:val="009B696A"/>
    <w:rsid w:val="009B7551"/>
    <w:rsid w:val="009B7A4D"/>
    <w:rsid w:val="009B7E2D"/>
    <w:rsid w:val="009C04C3"/>
    <w:rsid w:val="009C04CD"/>
    <w:rsid w:val="009C0ABD"/>
    <w:rsid w:val="009C0BFE"/>
    <w:rsid w:val="009C159A"/>
    <w:rsid w:val="009C16D0"/>
    <w:rsid w:val="009C1E2D"/>
    <w:rsid w:val="009C21A1"/>
    <w:rsid w:val="009C2875"/>
    <w:rsid w:val="009C2968"/>
    <w:rsid w:val="009C2E19"/>
    <w:rsid w:val="009C302B"/>
    <w:rsid w:val="009C316E"/>
    <w:rsid w:val="009C3687"/>
    <w:rsid w:val="009C4019"/>
    <w:rsid w:val="009C409C"/>
    <w:rsid w:val="009C43F9"/>
    <w:rsid w:val="009C477A"/>
    <w:rsid w:val="009C47F6"/>
    <w:rsid w:val="009C4AD9"/>
    <w:rsid w:val="009C4B80"/>
    <w:rsid w:val="009C4E27"/>
    <w:rsid w:val="009C4F1A"/>
    <w:rsid w:val="009C53FA"/>
    <w:rsid w:val="009C585B"/>
    <w:rsid w:val="009C5F7B"/>
    <w:rsid w:val="009C62CD"/>
    <w:rsid w:val="009C6458"/>
    <w:rsid w:val="009C648D"/>
    <w:rsid w:val="009C7543"/>
    <w:rsid w:val="009C78FB"/>
    <w:rsid w:val="009D015F"/>
    <w:rsid w:val="009D028D"/>
    <w:rsid w:val="009D0CAA"/>
    <w:rsid w:val="009D1092"/>
    <w:rsid w:val="009D11EE"/>
    <w:rsid w:val="009D177B"/>
    <w:rsid w:val="009D1843"/>
    <w:rsid w:val="009D18C1"/>
    <w:rsid w:val="009D204F"/>
    <w:rsid w:val="009D27F6"/>
    <w:rsid w:val="009D2F51"/>
    <w:rsid w:val="009D41B5"/>
    <w:rsid w:val="009D41DB"/>
    <w:rsid w:val="009D476C"/>
    <w:rsid w:val="009D4AE4"/>
    <w:rsid w:val="009D4E92"/>
    <w:rsid w:val="009D53B6"/>
    <w:rsid w:val="009D5E7D"/>
    <w:rsid w:val="009D63CE"/>
    <w:rsid w:val="009D7126"/>
    <w:rsid w:val="009D784F"/>
    <w:rsid w:val="009E02BD"/>
    <w:rsid w:val="009E05ED"/>
    <w:rsid w:val="009E0792"/>
    <w:rsid w:val="009E0D64"/>
    <w:rsid w:val="009E121E"/>
    <w:rsid w:val="009E1378"/>
    <w:rsid w:val="009E1FB0"/>
    <w:rsid w:val="009E2711"/>
    <w:rsid w:val="009E2E21"/>
    <w:rsid w:val="009E2E2C"/>
    <w:rsid w:val="009E3060"/>
    <w:rsid w:val="009E331B"/>
    <w:rsid w:val="009E3371"/>
    <w:rsid w:val="009E341F"/>
    <w:rsid w:val="009E3494"/>
    <w:rsid w:val="009E3670"/>
    <w:rsid w:val="009E3DD7"/>
    <w:rsid w:val="009E4C98"/>
    <w:rsid w:val="009E4E50"/>
    <w:rsid w:val="009E510E"/>
    <w:rsid w:val="009E5D9C"/>
    <w:rsid w:val="009E66EC"/>
    <w:rsid w:val="009E6AB7"/>
    <w:rsid w:val="009E6CF7"/>
    <w:rsid w:val="009E70ED"/>
    <w:rsid w:val="009E7123"/>
    <w:rsid w:val="009E7154"/>
    <w:rsid w:val="009E7228"/>
    <w:rsid w:val="009E7688"/>
    <w:rsid w:val="009E785A"/>
    <w:rsid w:val="009E7E9B"/>
    <w:rsid w:val="009F0AFA"/>
    <w:rsid w:val="009F0B4D"/>
    <w:rsid w:val="009F1768"/>
    <w:rsid w:val="009F1B55"/>
    <w:rsid w:val="009F1EEA"/>
    <w:rsid w:val="009F27B5"/>
    <w:rsid w:val="009F289D"/>
    <w:rsid w:val="009F2B45"/>
    <w:rsid w:val="009F3262"/>
    <w:rsid w:val="009F3738"/>
    <w:rsid w:val="009F39A5"/>
    <w:rsid w:val="009F3E48"/>
    <w:rsid w:val="009F4723"/>
    <w:rsid w:val="009F4E35"/>
    <w:rsid w:val="009F4F16"/>
    <w:rsid w:val="009F54B6"/>
    <w:rsid w:val="009F5A7D"/>
    <w:rsid w:val="009F5CCF"/>
    <w:rsid w:val="009F5E19"/>
    <w:rsid w:val="009F6481"/>
    <w:rsid w:val="009F650C"/>
    <w:rsid w:val="009F660B"/>
    <w:rsid w:val="009F6658"/>
    <w:rsid w:val="009F6899"/>
    <w:rsid w:val="009F699E"/>
    <w:rsid w:val="009F6C60"/>
    <w:rsid w:val="009F6EE0"/>
    <w:rsid w:val="009F7A8B"/>
    <w:rsid w:val="009F7BD0"/>
    <w:rsid w:val="009F7D60"/>
    <w:rsid w:val="009F7E58"/>
    <w:rsid w:val="00A000E1"/>
    <w:rsid w:val="00A00162"/>
    <w:rsid w:val="00A00F00"/>
    <w:rsid w:val="00A013A6"/>
    <w:rsid w:val="00A01759"/>
    <w:rsid w:val="00A02732"/>
    <w:rsid w:val="00A02E7C"/>
    <w:rsid w:val="00A02F6E"/>
    <w:rsid w:val="00A02F90"/>
    <w:rsid w:val="00A03461"/>
    <w:rsid w:val="00A0356A"/>
    <w:rsid w:val="00A039E6"/>
    <w:rsid w:val="00A03E7D"/>
    <w:rsid w:val="00A042AB"/>
    <w:rsid w:val="00A046F5"/>
    <w:rsid w:val="00A04AB1"/>
    <w:rsid w:val="00A055E4"/>
    <w:rsid w:val="00A05832"/>
    <w:rsid w:val="00A05A18"/>
    <w:rsid w:val="00A05A95"/>
    <w:rsid w:val="00A060C9"/>
    <w:rsid w:val="00A06370"/>
    <w:rsid w:val="00A067A0"/>
    <w:rsid w:val="00A06D5F"/>
    <w:rsid w:val="00A06D97"/>
    <w:rsid w:val="00A06E09"/>
    <w:rsid w:val="00A0727F"/>
    <w:rsid w:val="00A075FD"/>
    <w:rsid w:val="00A07B75"/>
    <w:rsid w:val="00A07F4A"/>
    <w:rsid w:val="00A10DA9"/>
    <w:rsid w:val="00A11065"/>
    <w:rsid w:val="00A11933"/>
    <w:rsid w:val="00A12726"/>
    <w:rsid w:val="00A127B8"/>
    <w:rsid w:val="00A1289F"/>
    <w:rsid w:val="00A12DB9"/>
    <w:rsid w:val="00A12EF2"/>
    <w:rsid w:val="00A13024"/>
    <w:rsid w:val="00A1313E"/>
    <w:rsid w:val="00A13284"/>
    <w:rsid w:val="00A13531"/>
    <w:rsid w:val="00A136C7"/>
    <w:rsid w:val="00A13C77"/>
    <w:rsid w:val="00A13D30"/>
    <w:rsid w:val="00A13D73"/>
    <w:rsid w:val="00A142B4"/>
    <w:rsid w:val="00A14CCF"/>
    <w:rsid w:val="00A15D17"/>
    <w:rsid w:val="00A1613C"/>
    <w:rsid w:val="00A1676A"/>
    <w:rsid w:val="00A172CD"/>
    <w:rsid w:val="00A17C1F"/>
    <w:rsid w:val="00A17F30"/>
    <w:rsid w:val="00A200E2"/>
    <w:rsid w:val="00A202D4"/>
    <w:rsid w:val="00A204CD"/>
    <w:rsid w:val="00A20DDA"/>
    <w:rsid w:val="00A2102D"/>
    <w:rsid w:val="00A211FB"/>
    <w:rsid w:val="00A21FC6"/>
    <w:rsid w:val="00A22143"/>
    <w:rsid w:val="00A221C9"/>
    <w:rsid w:val="00A221DB"/>
    <w:rsid w:val="00A23065"/>
    <w:rsid w:val="00A23645"/>
    <w:rsid w:val="00A23F00"/>
    <w:rsid w:val="00A2426A"/>
    <w:rsid w:val="00A24D8C"/>
    <w:rsid w:val="00A25191"/>
    <w:rsid w:val="00A2593D"/>
    <w:rsid w:val="00A25CD7"/>
    <w:rsid w:val="00A271C6"/>
    <w:rsid w:val="00A27572"/>
    <w:rsid w:val="00A2785D"/>
    <w:rsid w:val="00A27A60"/>
    <w:rsid w:val="00A27B59"/>
    <w:rsid w:val="00A27C8C"/>
    <w:rsid w:val="00A30411"/>
    <w:rsid w:val="00A307C9"/>
    <w:rsid w:val="00A30E5D"/>
    <w:rsid w:val="00A30ED0"/>
    <w:rsid w:val="00A316C3"/>
    <w:rsid w:val="00A318E3"/>
    <w:rsid w:val="00A31A09"/>
    <w:rsid w:val="00A31C73"/>
    <w:rsid w:val="00A325E3"/>
    <w:rsid w:val="00A325F6"/>
    <w:rsid w:val="00A32808"/>
    <w:rsid w:val="00A328AB"/>
    <w:rsid w:val="00A32B4A"/>
    <w:rsid w:val="00A32B68"/>
    <w:rsid w:val="00A33106"/>
    <w:rsid w:val="00A33AE6"/>
    <w:rsid w:val="00A33D02"/>
    <w:rsid w:val="00A33F51"/>
    <w:rsid w:val="00A3430F"/>
    <w:rsid w:val="00A34553"/>
    <w:rsid w:val="00A3504E"/>
    <w:rsid w:val="00A350AB"/>
    <w:rsid w:val="00A353FF"/>
    <w:rsid w:val="00A35863"/>
    <w:rsid w:val="00A35AC8"/>
    <w:rsid w:val="00A35E7E"/>
    <w:rsid w:val="00A360E1"/>
    <w:rsid w:val="00A36A65"/>
    <w:rsid w:val="00A36E1D"/>
    <w:rsid w:val="00A374B4"/>
    <w:rsid w:val="00A374D7"/>
    <w:rsid w:val="00A37921"/>
    <w:rsid w:val="00A37DF2"/>
    <w:rsid w:val="00A40406"/>
    <w:rsid w:val="00A40B26"/>
    <w:rsid w:val="00A41435"/>
    <w:rsid w:val="00A41816"/>
    <w:rsid w:val="00A41A3E"/>
    <w:rsid w:val="00A41C29"/>
    <w:rsid w:val="00A429AF"/>
    <w:rsid w:val="00A42CB0"/>
    <w:rsid w:val="00A42FDD"/>
    <w:rsid w:val="00A43517"/>
    <w:rsid w:val="00A43979"/>
    <w:rsid w:val="00A43C7B"/>
    <w:rsid w:val="00A43D5A"/>
    <w:rsid w:val="00A43F66"/>
    <w:rsid w:val="00A43F92"/>
    <w:rsid w:val="00A43FE9"/>
    <w:rsid w:val="00A4449D"/>
    <w:rsid w:val="00A44688"/>
    <w:rsid w:val="00A448E6"/>
    <w:rsid w:val="00A44C2A"/>
    <w:rsid w:val="00A44D10"/>
    <w:rsid w:val="00A44F15"/>
    <w:rsid w:val="00A45023"/>
    <w:rsid w:val="00A451D7"/>
    <w:rsid w:val="00A45D34"/>
    <w:rsid w:val="00A4634F"/>
    <w:rsid w:val="00A46705"/>
    <w:rsid w:val="00A468AD"/>
    <w:rsid w:val="00A469CE"/>
    <w:rsid w:val="00A46A6C"/>
    <w:rsid w:val="00A471A9"/>
    <w:rsid w:val="00A501C4"/>
    <w:rsid w:val="00A504E1"/>
    <w:rsid w:val="00A505DA"/>
    <w:rsid w:val="00A50FA7"/>
    <w:rsid w:val="00A5248E"/>
    <w:rsid w:val="00A524C3"/>
    <w:rsid w:val="00A52DFF"/>
    <w:rsid w:val="00A52F89"/>
    <w:rsid w:val="00A53A67"/>
    <w:rsid w:val="00A542FB"/>
    <w:rsid w:val="00A543A0"/>
    <w:rsid w:val="00A54957"/>
    <w:rsid w:val="00A54A6D"/>
    <w:rsid w:val="00A54CB1"/>
    <w:rsid w:val="00A5505A"/>
    <w:rsid w:val="00A55071"/>
    <w:rsid w:val="00A55612"/>
    <w:rsid w:val="00A5598A"/>
    <w:rsid w:val="00A55B6A"/>
    <w:rsid w:val="00A56942"/>
    <w:rsid w:val="00A57179"/>
    <w:rsid w:val="00A57441"/>
    <w:rsid w:val="00A600BD"/>
    <w:rsid w:val="00A60360"/>
    <w:rsid w:val="00A6070E"/>
    <w:rsid w:val="00A60A53"/>
    <w:rsid w:val="00A60FCB"/>
    <w:rsid w:val="00A610BA"/>
    <w:rsid w:val="00A612C9"/>
    <w:rsid w:val="00A61D43"/>
    <w:rsid w:val="00A61E4C"/>
    <w:rsid w:val="00A61EB9"/>
    <w:rsid w:val="00A6207A"/>
    <w:rsid w:val="00A628DE"/>
    <w:rsid w:val="00A62B0D"/>
    <w:rsid w:val="00A62C92"/>
    <w:rsid w:val="00A62DEF"/>
    <w:rsid w:val="00A63251"/>
    <w:rsid w:val="00A63309"/>
    <w:rsid w:val="00A6357C"/>
    <w:rsid w:val="00A63F7B"/>
    <w:rsid w:val="00A644EB"/>
    <w:rsid w:val="00A64BBD"/>
    <w:rsid w:val="00A64D9E"/>
    <w:rsid w:val="00A65625"/>
    <w:rsid w:val="00A6576D"/>
    <w:rsid w:val="00A65B30"/>
    <w:rsid w:val="00A65C29"/>
    <w:rsid w:val="00A661B8"/>
    <w:rsid w:val="00A6631F"/>
    <w:rsid w:val="00A6688A"/>
    <w:rsid w:val="00A66BEC"/>
    <w:rsid w:val="00A67041"/>
    <w:rsid w:val="00A67257"/>
    <w:rsid w:val="00A67507"/>
    <w:rsid w:val="00A678E6"/>
    <w:rsid w:val="00A67B27"/>
    <w:rsid w:val="00A70462"/>
    <w:rsid w:val="00A70F2F"/>
    <w:rsid w:val="00A70F4C"/>
    <w:rsid w:val="00A7112C"/>
    <w:rsid w:val="00A71CAE"/>
    <w:rsid w:val="00A7279D"/>
    <w:rsid w:val="00A727D1"/>
    <w:rsid w:val="00A72AB7"/>
    <w:rsid w:val="00A7376D"/>
    <w:rsid w:val="00A737E9"/>
    <w:rsid w:val="00A73C91"/>
    <w:rsid w:val="00A74324"/>
    <w:rsid w:val="00A74486"/>
    <w:rsid w:val="00A7496A"/>
    <w:rsid w:val="00A75CAD"/>
    <w:rsid w:val="00A760BA"/>
    <w:rsid w:val="00A7619A"/>
    <w:rsid w:val="00A7678D"/>
    <w:rsid w:val="00A76994"/>
    <w:rsid w:val="00A77D83"/>
    <w:rsid w:val="00A8019D"/>
    <w:rsid w:val="00A8019F"/>
    <w:rsid w:val="00A808D6"/>
    <w:rsid w:val="00A80AAA"/>
    <w:rsid w:val="00A81881"/>
    <w:rsid w:val="00A81BF8"/>
    <w:rsid w:val="00A81C0C"/>
    <w:rsid w:val="00A81C47"/>
    <w:rsid w:val="00A8241B"/>
    <w:rsid w:val="00A83231"/>
    <w:rsid w:val="00A83692"/>
    <w:rsid w:val="00A83906"/>
    <w:rsid w:val="00A83A0A"/>
    <w:rsid w:val="00A84A56"/>
    <w:rsid w:val="00A84BD0"/>
    <w:rsid w:val="00A84F73"/>
    <w:rsid w:val="00A85358"/>
    <w:rsid w:val="00A85B3E"/>
    <w:rsid w:val="00A85DE5"/>
    <w:rsid w:val="00A86A57"/>
    <w:rsid w:val="00A86ECE"/>
    <w:rsid w:val="00A8724C"/>
    <w:rsid w:val="00A87343"/>
    <w:rsid w:val="00A8759D"/>
    <w:rsid w:val="00A87C72"/>
    <w:rsid w:val="00A87ED9"/>
    <w:rsid w:val="00A9015A"/>
    <w:rsid w:val="00A90AE7"/>
    <w:rsid w:val="00A913CB"/>
    <w:rsid w:val="00A92515"/>
    <w:rsid w:val="00A9273F"/>
    <w:rsid w:val="00A9309F"/>
    <w:rsid w:val="00A938D2"/>
    <w:rsid w:val="00A93930"/>
    <w:rsid w:val="00A93C39"/>
    <w:rsid w:val="00A93C76"/>
    <w:rsid w:val="00A93ECD"/>
    <w:rsid w:val="00A946EB"/>
    <w:rsid w:val="00A950C0"/>
    <w:rsid w:val="00A95B4F"/>
    <w:rsid w:val="00A95C95"/>
    <w:rsid w:val="00A95DD4"/>
    <w:rsid w:val="00A96B30"/>
    <w:rsid w:val="00A96FF5"/>
    <w:rsid w:val="00A97164"/>
    <w:rsid w:val="00A9745A"/>
    <w:rsid w:val="00A97517"/>
    <w:rsid w:val="00A97828"/>
    <w:rsid w:val="00A97C47"/>
    <w:rsid w:val="00AA03AD"/>
    <w:rsid w:val="00AA0B88"/>
    <w:rsid w:val="00AA0BDF"/>
    <w:rsid w:val="00AA103C"/>
    <w:rsid w:val="00AA16AB"/>
    <w:rsid w:val="00AA1854"/>
    <w:rsid w:val="00AA1B34"/>
    <w:rsid w:val="00AA2B65"/>
    <w:rsid w:val="00AA3350"/>
    <w:rsid w:val="00AA350F"/>
    <w:rsid w:val="00AA38B3"/>
    <w:rsid w:val="00AA4058"/>
    <w:rsid w:val="00AA47D4"/>
    <w:rsid w:val="00AA4F34"/>
    <w:rsid w:val="00AA507F"/>
    <w:rsid w:val="00AA57BA"/>
    <w:rsid w:val="00AA5F02"/>
    <w:rsid w:val="00AA6832"/>
    <w:rsid w:val="00AA6966"/>
    <w:rsid w:val="00AA6ADB"/>
    <w:rsid w:val="00AA6DDE"/>
    <w:rsid w:val="00AA72B8"/>
    <w:rsid w:val="00AA73F0"/>
    <w:rsid w:val="00AA7EB6"/>
    <w:rsid w:val="00AB0340"/>
    <w:rsid w:val="00AB097B"/>
    <w:rsid w:val="00AB1335"/>
    <w:rsid w:val="00AB13BE"/>
    <w:rsid w:val="00AB17FB"/>
    <w:rsid w:val="00AB1A12"/>
    <w:rsid w:val="00AB2621"/>
    <w:rsid w:val="00AB27B0"/>
    <w:rsid w:val="00AB2C57"/>
    <w:rsid w:val="00AB2F0E"/>
    <w:rsid w:val="00AB3876"/>
    <w:rsid w:val="00AB3BCB"/>
    <w:rsid w:val="00AB3E2F"/>
    <w:rsid w:val="00AB4C74"/>
    <w:rsid w:val="00AB4C76"/>
    <w:rsid w:val="00AB4DEF"/>
    <w:rsid w:val="00AB528A"/>
    <w:rsid w:val="00AB5752"/>
    <w:rsid w:val="00AB616B"/>
    <w:rsid w:val="00AB6216"/>
    <w:rsid w:val="00AB68D3"/>
    <w:rsid w:val="00AB6C91"/>
    <w:rsid w:val="00AB6E42"/>
    <w:rsid w:val="00AB78D2"/>
    <w:rsid w:val="00AB7E1A"/>
    <w:rsid w:val="00AC0462"/>
    <w:rsid w:val="00AC0920"/>
    <w:rsid w:val="00AC10C3"/>
    <w:rsid w:val="00AC1399"/>
    <w:rsid w:val="00AC1575"/>
    <w:rsid w:val="00AC15F7"/>
    <w:rsid w:val="00AC1DD4"/>
    <w:rsid w:val="00AC1E13"/>
    <w:rsid w:val="00AC1E36"/>
    <w:rsid w:val="00AC2331"/>
    <w:rsid w:val="00AC2702"/>
    <w:rsid w:val="00AC2A24"/>
    <w:rsid w:val="00AC2AB9"/>
    <w:rsid w:val="00AC2B3C"/>
    <w:rsid w:val="00AC2E5A"/>
    <w:rsid w:val="00AC3475"/>
    <w:rsid w:val="00AC34C9"/>
    <w:rsid w:val="00AC36BB"/>
    <w:rsid w:val="00AC3766"/>
    <w:rsid w:val="00AC436C"/>
    <w:rsid w:val="00AC4816"/>
    <w:rsid w:val="00AC5047"/>
    <w:rsid w:val="00AC564D"/>
    <w:rsid w:val="00AC5DD6"/>
    <w:rsid w:val="00AC623F"/>
    <w:rsid w:val="00AC7241"/>
    <w:rsid w:val="00AC7392"/>
    <w:rsid w:val="00AD0059"/>
    <w:rsid w:val="00AD016E"/>
    <w:rsid w:val="00AD0612"/>
    <w:rsid w:val="00AD0B96"/>
    <w:rsid w:val="00AD0DB7"/>
    <w:rsid w:val="00AD104A"/>
    <w:rsid w:val="00AD112C"/>
    <w:rsid w:val="00AD1280"/>
    <w:rsid w:val="00AD34A9"/>
    <w:rsid w:val="00AD3951"/>
    <w:rsid w:val="00AD420F"/>
    <w:rsid w:val="00AD437C"/>
    <w:rsid w:val="00AD4494"/>
    <w:rsid w:val="00AD4ACD"/>
    <w:rsid w:val="00AD4E54"/>
    <w:rsid w:val="00AD5A57"/>
    <w:rsid w:val="00AD5CB5"/>
    <w:rsid w:val="00AD5D13"/>
    <w:rsid w:val="00AD5EA8"/>
    <w:rsid w:val="00AD7001"/>
    <w:rsid w:val="00AD7389"/>
    <w:rsid w:val="00AD7411"/>
    <w:rsid w:val="00AD793F"/>
    <w:rsid w:val="00AD7B53"/>
    <w:rsid w:val="00AD7BB5"/>
    <w:rsid w:val="00AD7DA3"/>
    <w:rsid w:val="00AE0D31"/>
    <w:rsid w:val="00AE0E28"/>
    <w:rsid w:val="00AE205A"/>
    <w:rsid w:val="00AE222C"/>
    <w:rsid w:val="00AE2AB4"/>
    <w:rsid w:val="00AE32E6"/>
    <w:rsid w:val="00AE36EB"/>
    <w:rsid w:val="00AE397D"/>
    <w:rsid w:val="00AE3AFE"/>
    <w:rsid w:val="00AE42E0"/>
    <w:rsid w:val="00AE4E6A"/>
    <w:rsid w:val="00AE545B"/>
    <w:rsid w:val="00AE6480"/>
    <w:rsid w:val="00AE6613"/>
    <w:rsid w:val="00AE6F0C"/>
    <w:rsid w:val="00AE6FB5"/>
    <w:rsid w:val="00AE7B63"/>
    <w:rsid w:val="00AE7FA2"/>
    <w:rsid w:val="00AF004D"/>
    <w:rsid w:val="00AF09B4"/>
    <w:rsid w:val="00AF1158"/>
    <w:rsid w:val="00AF13C0"/>
    <w:rsid w:val="00AF14C0"/>
    <w:rsid w:val="00AF17DC"/>
    <w:rsid w:val="00AF1C4E"/>
    <w:rsid w:val="00AF271E"/>
    <w:rsid w:val="00AF28F5"/>
    <w:rsid w:val="00AF30A6"/>
    <w:rsid w:val="00AF40C7"/>
    <w:rsid w:val="00AF46A5"/>
    <w:rsid w:val="00AF4CDC"/>
    <w:rsid w:val="00AF4E36"/>
    <w:rsid w:val="00AF505F"/>
    <w:rsid w:val="00AF5094"/>
    <w:rsid w:val="00AF5D66"/>
    <w:rsid w:val="00AF5EEA"/>
    <w:rsid w:val="00AF721E"/>
    <w:rsid w:val="00AF77C4"/>
    <w:rsid w:val="00AF7A11"/>
    <w:rsid w:val="00AF7F39"/>
    <w:rsid w:val="00B0032C"/>
    <w:rsid w:val="00B00825"/>
    <w:rsid w:val="00B00925"/>
    <w:rsid w:val="00B01639"/>
    <w:rsid w:val="00B017F8"/>
    <w:rsid w:val="00B02262"/>
    <w:rsid w:val="00B03DCE"/>
    <w:rsid w:val="00B03F47"/>
    <w:rsid w:val="00B04559"/>
    <w:rsid w:val="00B0467F"/>
    <w:rsid w:val="00B04EFE"/>
    <w:rsid w:val="00B05195"/>
    <w:rsid w:val="00B05789"/>
    <w:rsid w:val="00B05F20"/>
    <w:rsid w:val="00B05FBF"/>
    <w:rsid w:val="00B06033"/>
    <w:rsid w:val="00B06074"/>
    <w:rsid w:val="00B060F4"/>
    <w:rsid w:val="00B068A3"/>
    <w:rsid w:val="00B06D5F"/>
    <w:rsid w:val="00B06EB4"/>
    <w:rsid w:val="00B0701A"/>
    <w:rsid w:val="00B07086"/>
    <w:rsid w:val="00B072E1"/>
    <w:rsid w:val="00B076D0"/>
    <w:rsid w:val="00B078F5"/>
    <w:rsid w:val="00B07B43"/>
    <w:rsid w:val="00B10BAA"/>
    <w:rsid w:val="00B1153D"/>
    <w:rsid w:val="00B123BF"/>
    <w:rsid w:val="00B124BB"/>
    <w:rsid w:val="00B12606"/>
    <w:rsid w:val="00B127FC"/>
    <w:rsid w:val="00B13299"/>
    <w:rsid w:val="00B137F1"/>
    <w:rsid w:val="00B137F5"/>
    <w:rsid w:val="00B13AFA"/>
    <w:rsid w:val="00B13B84"/>
    <w:rsid w:val="00B13D7F"/>
    <w:rsid w:val="00B13DC1"/>
    <w:rsid w:val="00B13DC4"/>
    <w:rsid w:val="00B14133"/>
    <w:rsid w:val="00B14261"/>
    <w:rsid w:val="00B159EE"/>
    <w:rsid w:val="00B16071"/>
    <w:rsid w:val="00B1682E"/>
    <w:rsid w:val="00B168FF"/>
    <w:rsid w:val="00B17061"/>
    <w:rsid w:val="00B17E5C"/>
    <w:rsid w:val="00B202EA"/>
    <w:rsid w:val="00B20916"/>
    <w:rsid w:val="00B20A69"/>
    <w:rsid w:val="00B20F3E"/>
    <w:rsid w:val="00B21432"/>
    <w:rsid w:val="00B21A84"/>
    <w:rsid w:val="00B21B97"/>
    <w:rsid w:val="00B21D72"/>
    <w:rsid w:val="00B21F7D"/>
    <w:rsid w:val="00B221A1"/>
    <w:rsid w:val="00B22404"/>
    <w:rsid w:val="00B224F8"/>
    <w:rsid w:val="00B2299C"/>
    <w:rsid w:val="00B22DB7"/>
    <w:rsid w:val="00B23384"/>
    <w:rsid w:val="00B23666"/>
    <w:rsid w:val="00B245A9"/>
    <w:rsid w:val="00B24AC7"/>
    <w:rsid w:val="00B250BC"/>
    <w:rsid w:val="00B2516B"/>
    <w:rsid w:val="00B256A1"/>
    <w:rsid w:val="00B25842"/>
    <w:rsid w:val="00B25F66"/>
    <w:rsid w:val="00B260F0"/>
    <w:rsid w:val="00B26502"/>
    <w:rsid w:val="00B26561"/>
    <w:rsid w:val="00B265F1"/>
    <w:rsid w:val="00B26705"/>
    <w:rsid w:val="00B26762"/>
    <w:rsid w:val="00B26C5B"/>
    <w:rsid w:val="00B27159"/>
    <w:rsid w:val="00B27858"/>
    <w:rsid w:val="00B27B88"/>
    <w:rsid w:val="00B27C5C"/>
    <w:rsid w:val="00B27F9C"/>
    <w:rsid w:val="00B3035A"/>
    <w:rsid w:val="00B30C5A"/>
    <w:rsid w:val="00B30DB7"/>
    <w:rsid w:val="00B30DF2"/>
    <w:rsid w:val="00B312BA"/>
    <w:rsid w:val="00B31A1B"/>
    <w:rsid w:val="00B31E91"/>
    <w:rsid w:val="00B32159"/>
    <w:rsid w:val="00B32321"/>
    <w:rsid w:val="00B3246E"/>
    <w:rsid w:val="00B331F5"/>
    <w:rsid w:val="00B333D8"/>
    <w:rsid w:val="00B35838"/>
    <w:rsid w:val="00B36077"/>
    <w:rsid w:val="00B36129"/>
    <w:rsid w:val="00B36744"/>
    <w:rsid w:val="00B3773C"/>
    <w:rsid w:val="00B3797E"/>
    <w:rsid w:val="00B37D72"/>
    <w:rsid w:val="00B37E69"/>
    <w:rsid w:val="00B40305"/>
    <w:rsid w:val="00B40DD9"/>
    <w:rsid w:val="00B40E53"/>
    <w:rsid w:val="00B41021"/>
    <w:rsid w:val="00B41433"/>
    <w:rsid w:val="00B4176A"/>
    <w:rsid w:val="00B417CD"/>
    <w:rsid w:val="00B41B51"/>
    <w:rsid w:val="00B41BA8"/>
    <w:rsid w:val="00B42128"/>
    <w:rsid w:val="00B42398"/>
    <w:rsid w:val="00B43277"/>
    <w:rsid w:val="00B43CA6"/>
    <w:rsid w:val="00B44392"/>
    <w:rsid w:val="00B44B48"/>
    <w:rsid w:val="00B44D69"/>
    <w:rsid w:val="00B44F4F"/>
    <w:rsid w:val="00B45452"/>
    <w:rsid w:val="00B4553C"/>
    <w:rsid w:val="00B46884"/>
    <w:rsid w:val="00B46D9E"/>
    <w:rsid w:val="00B470BF"/>
    <w:rsid w:val="00B47153"/>
    <w:rsid w:val="00B47FD4"/>
    <w:rsid w:val="00B519D2"/>
    <w:rsid w:val="00B519ED"/>
    <w:rsid w:val="00B51B7C"/>
    <w:rsid w:val="00B5244C"/>
    <w:rsid w:val="00B5295E"/>
    <w:rsid w:val="00B5310E"/>
    <w:rsid w:val="00B532D4"/>
    <w:rsid w:val="00B534B0"/>
    <w:rsid w:val="00B53894"/>
    <w:rsid w:val="00B53B26"/>
    <w:rsid w:val="00B53CF5"/>
    <w:rsid w:val="00B54CCC"/>
    <w:rsid w:val="00B54CFA"/>
    <w:rsid w:val="00B5528B"/>
    <w:rsid w:val="00B55527"/>
    <w:rsid w:val="00B55AC9"/>
    <w:rsid w:val="00B55D0B"/>
    <w:rsid w:val="00B55E9D"/>
    <w:rsid w:val="00B55F39"/>
    <w:rsid w:val="00B56520"/>
    <w:rsid w:val="00B60306"/>
    <w:rsid w:val="00B6031E"/>
    <w:rsid w:val="00B6055E"/>
    <w:rsid w:val="00B61093"/>
    <w:rsid w:val="00B611C9"/>
    <w:rsid w:val="00B616A7"/>
    <w:rsid w:val="00B61FF3"/>
    <w:rsid w:val="00B6361A"/>
    <w:rsid w:val="00B63B25"/>
    <w:rsid w:val="00B63B29"/>
    <w:rsid w:val="00B63E92"/>
    <w:rsid w:val="00B6442F"/>
    <w:rsid w:val="00B64850"/>
    <w:rsid w:val="00B64B0A"/>
    <w:rsid w:val="00B65666"/>
    <w:rsid w:val="00B660C0"/>
    <w:rsid w:val="00B66321"/>
    <w:rsid w:val="00B663A1"/>
    <w:rsid w:val="00B6657A"/>
    <w:rsid w:val="00B668CE"/>
    <w:rsid w:val="00B66BD8"/>
    <w:rsid w:val="00B66DDF"/>
    <w:rsid w:val="00B67BE3"/>
    <w:rsid w:val="00B67EBF"/>
    <w:rsid w:val="00B7090F"/>
    <w:rsid w:val="00B70BF6"/>
    <w:rsid w:val="00B70FA7"/>
    <w:rsid w:val="00B715E7"/>
    <w:rsid w:val="00B71B6C"/>
    <w:rsid w:val="00B721AF"/>
    <w:rsid w:val="00B7270C"/>
    <w:rsid w:val="00B72C9E"/>
    <w:rsid w:val="00B730B5"/>
    <w:rsid w:val="00B73265"/>
    <w:rsid w:val="00B733C5"/>
    <w:rsid w:val="00B73A99"/>
    <w:rsid w:val="00B741B3"/>
    <w:rsid w:val="00B745CF"/>
    <w:rsid w:val="00B7490D"/>
    <w:rsid w:val="00B75334"/>
    <w:rsid w:val="00B755D4"/>
    <w:rsid w:val="00B76221"/>
    <w:rsid w:val="00B76802"/>
    <w:rsid w:val="00B769E1"/>
    <w:rsid w:val="00B770A5"/>
    <w:rsid w:val="00B775A5"/>
    <w:rsid w:val="00B777A6"/>
    <w:rsid w:val="00B77DF6"/>
    <w:rsid w:val="00B77E44"/>
    <w:rsid w:val="00B77F51"/>
    <w:rsid w:val="00B8002A"/>
    <w:rsid w:val="00B80253"/>
    <w:rsid w:val="00B80455"/>
    <w:rsid w:val="00B80E6E"/>
    <w:rsid w:val="00B80F60"/>
    <w:rsid w:val="00B8102A"/>
    <w:rsid w:val="00B816E3"/>
    <w:rsid w:val="00B81793"/>
    <w:rsid w:val="00B81E99"/>
    <w:rsid w:val="00B82263"/>
    <w:rsid w:val="00B82B29"/>
    <w:rsid w:val="00B82E87"/>
    <w:rsid w:val="00B8381A"/>
    <w:rsid w:val="00B8402F"/>
    <w:rsid w:val="00B84A85"/>
    <w:rsid w:val="00B859F6"/>
    <w:rsid w:val="00B85F09"/>
    <w:rsid w:val="00B8638C"/>
    <w:rsid w:val="00B86513"/>
    <w:rsid w:val="00B86921"/>
    <w:rsid w:val="00B8692C"/>
    <w:rsid w:val="00B86C00"/>
    <w:rsid w:val="00B87543"/>
    <w:rsid w:val="00B879BA"/>
    <w:rsid w:val="00B87F83"/>
    <w:rsid w:val="00B90391"/>
    <w:rsid w:val="00B9098F"/>
    <w:rsid w:val="00B910DE"/>
    <w:rsid w:val="00B91127"/>
    <w:rsid w:val="00B911F8"/>
    <w:rsid w:val="00B915DC"/>
    <w:rsid w:val="00B91744"/>
    <w:rsid w:val="00B91AF1"/>
    <w:rsid w:val="00B930AF"/>
    <w:rsid w:val="00B93714"/>
    <w:rsid w:val="00B93B64"/>
    <w:rsid w:val="00B9435C"/>
    <w:rsid w:val="00B951A9"/>
    <w:rsid w:val="00B9544F"/>
    <w:rsid w:val="00B95E40"/>
    <w:rsid w:val="00B960F4"/>
    <w:rsid w:val="00B96A83"/>
    <w:rsid w:val="00B96D38"/>
    <w:rsid w:val="00B96D9C"/>
    <w:rsid w:val="00B96FFE"/>
    <w:rsid w:val="00B97064"/>
    <w:rsid w:val="00B972CC"/>
    <w:rsid w:val="00B974C1"/>
    <w:rsid w:val="00B9763D"/>
    <w:rsid w:val="00B976DF"/>
    <w:rsid w:val="00B97B51"/>
    <w:rsid w:val="00BA0427"/>
    <w:rsid w:val="00BA0732"/>
    <w:rsid w:val="00BA0BF0"/>
    <w:rsid w:val="00BA0FC6"/>
    <w:rsid w:val="00BA1F77"/>
    <w:rsid w:val="00BA23A4"/>
    <w:rsid w:val="00BA2CA9"/>
    <w:rsid w:val="00BA2EC7"/>
    <w:rsid w:val="00BA2F27"/>
    <w:rsid w:val="00BA31B1"/>
    <w:rsid w:val="00BA33B9"/>
    <w:rsid w:val="00BA39B3"/>
    <w:rsid w:val="00BA3F93"/>
    <w:rsid w:val="00BA42D5"/>
    <w:rsid w:val="00BA4871"/>
    <w:rsid w:val="00BA4D64"/>
    <w:rsid w:val="00BA5097"/>
    <w:rsid w:val="00BA5712"/>
    <w:rsid w:val="00BA5FB9"/>
    <w:rsid w:val="00BA6A50"/>
    <w:rsid w:val="00BA7283"/>
    <w:rsid w:val="00BA7508"/>
    <w:rsid w:val="00BA7A67"/>
    <w:rsid w:val="00BA7A8D"/>
    <w:rsid w:val="00BA7AF8"/>
    <w:rsid w:val="00BB00C5"/>
    <w:rsid w:val="00BB0B4D"/>
    <w:rsid w:val="00BB0C6C"/>
    <w:rsid w:val="00BB1294"/>
    <w:rsid w:val="00BB130A"/>
    <w:rsid w:val="00BB133F"/>
    <w:rsid w:val="00BB20A0"/>
    <w:rsid w:val="00BB2784"/>
    <w:rsid w:val="00BB28FF"/>
    <w:rsid w:val="00BB2D5B"/>
    <w:rsid w:val="00BB2D66"/>
    <w:rsid w:val="00BB31AE"/>
    <w:rsid w:val="00BB440C"/>
    <w:rsid w:val="00BB4DB9"/>
    <w:rsid w:val="00BB7E98"/>
    <w:rsid w:val="00BB7F58"/>
    <w:rsid w:val="00BC0256"/>
    <w:rsid w:val="00BC04C1"/>
    <w:rsid w:val="00BC069A"/>
    <w:rsid w:val="00BC09B9"/>
    <w:rsid w:val="00BC0AD6"/>
    <w:rsid w:val="00BC0B3C"/>
    <w:rsid w:val="00BC0CCD"/>
    <w:rsid w:val="00BC0D37"/>
    <w:rsid w:val="00BC0EF8"/>
    <w:rsid w:val="00BC12FD"/>
    <w:rsid w:val="00BC1D9A"/>
    <w:rsid w:val="00BC1E15"/>
    <w:rsid w:val="00BC1EDC"/>
    <w:rsid w:val="00BC245B"/>
    <w:rsid w:val="00BC299F"/>
    <w:rsid w:val="00BC2B91"/>
    <w:rsid w:val="00BC2D9C"/>
    <w:rsid w:val="00BC2F4B"/>
    <w:rsid w:val="00BC3F75"/>
    <w:rsid w:val="00BC3FEA"/>
    <w:rsid w:val="00BC546A"/>
    <w:rsid w:val="00BC56A6"/>
    <w:rsid w:val="00BC56EC"/>
    <w:rsid w:val="00BC596C"/>
    <w:rsid w:val="00BC5BE3"/>
    <w:rsid w:val="00BC5DB8"/>
    <w:rsid w:val="00BC68A2"/>
    <w:rsid w:val="00BC6B00"/>
    <w:rsid w:val="00BC7028"/>
    <w:rsid w:val="00BC7029"/>
    <w:rsid w:val="00BD0068"/>
    <w:rsid w:val="00BD0645"/>
    <w:rsid w:val="00BD0F63"/>
    <w:rsid w:val="00BD1C53"/>
    <w:rsid w:val="00BD25F0"/>
    <w:rsid w:val="00BD286C"/>
    <w:rsid w:val="00BD2D89"/>
    <w:rsid w:val="00BD2E20"/>
    <w:rsid w:val="00BD30E1"/>
    <w:rsid w:val="00BD31B8"/>
    <w:rsid w:val="00BD361C"/>
    <w:rsid w:val="00BD372E"/>
    <w:rsid w:val="00BD3BB1"/>
    <w:rsid w:val="00BD46FD"/>
    <w:rsid w:val="00BD55E9"/>
    <w:rsid w:val="00BD5927"/>
    <w:rsid w:val="00BD68B0"/>
    <w:rsid w:val="00BD6CF9"/>
    <w:rsid w:val="00BD6D4A"/>
    <w:rsid w:val="00BD762D"/>
    <w:rsid w:val="00BD76FF"/>
    <w:rsid w:val="00BD7BCA"/>
    <w:rsid w:val="00BD7C07"/>
    <w:rsid w:val="00BD7CBB"/>
    <w:rsid w:val="00BD7FE5"/>
    <w:rsid w:val="00BE04ED"/>
    <w:rsid w:val="00BE1A73"/>
    <w:rsid w:val="00BE1C36"/>
    <w:rsid w:val="00BE21DA"/>
    <w:rsid w:val="00BE2220"/>
    <w:rsid w:val="00BE2511"/>
    <w:rsid w:val="00BE2567"/>
    <w:rsid w:val="00BE265D"/>
    <w:rsid w:val="00BE27D5"/>
    <w:rsid w:val="00BE3438"/>
    <w:rsid w:val="00BE3925"/>
    <w:rsid w:val="00BE3DD0"/>
    <w:rsid w:val="00BE41D7"/>
    <w:rsid w:val="00BE556C"/>
    <w:rsid w:val="00BE5AE5"/>
    <w:rsid w:val="00BE5CD8"/>
    <w:rsid w:val="00BE5F98"/>
    <w:rsid w:val="00BE60BE"/>
    <w:rsid w:val="00BE7193"/>
    <w:rsid w:val="00BE7B73"/>
    <w:rsid w:val="00BE7F23"/>
    <w:rsid w:val="00BF0AB0"/>
    <w:rsid w:val="00BF0ADC"/>
    <w:rsid w:val="00BF0EF9"/>
    <w:rsid w:val="00BF1003"/>
    <w:rsid w:val="00BF181E"/>
    <w:rsid w:val="00BF1F45"/>
    <w:rsid w:val="00BF1F77"/>
    <w:rsid w:val="00BF2503"/>
    <w:rsid w:val="00BF2926"/>
    <w:rsid w:val="00BF2A17"/>
    <w:rsid w:val="00BF30EA"/>
    <w:rsid w:val="00BF383A"/>
    <w:rsid w:val="00BF39C5"/>
    <w:rsid w:val="00BF3AE3"/>
    <w:rsid w:val="00BF41C3"/>
    <w:rsid w:val="00BF462E"/>
    <w:rsid w:val="00BF46E6"/>
    <w:rsid w:val="00BF491E"/>
    <w:rsid w:val="00BF4C5A"/>
    <w:rsid w:val="00BF4D1D"/>
    <w:rsid w:val="00BF54C4"/>
    <w:rsid w:val="00BF5BCD"/>
    <w:rsid w:val="00BF5C9F"/>
    <w:rsid w:val="00BF5D30"/>
    <w:rsid w:val="00BF615F"/>
    <w:rsid w:val="00BF628E"/>
    <w:rsid w:val="00BF64CE"/>
    <w:rsid w:val="00BF75E5"/>
    <w:rsid w:val="00BF77F2"/>
    <w:rsid w:val="00BF7807"/>
    <w:rsid w:val="00BF7F30"/>
    <w:rsid w:val="00C000C8"/>
    <w:rsid w:val="00C00111"/>
    <w:rsid w:val="00C006AF"/>
    <w:rsid w:val="00C00DC6"/>
    <w:rsid w:val="00C00F44"/>
    <w:rsid w:val="00C012CD"/>
    <w:rsid w:val="00C01548"/>
    <w:rsid w:val="00C0180B"/>
    <w:rsid w:val="00C02900"/>
    <w:rsid w:val="00C03455"/>
    <w:rsid w:val="00C03483"/>
    <w:rsid w:val="00C036F4"/>
    <w:rsid w:val="00C03908"/>
    <w:rsid w:val="00C03EDB"/>
    <w:rsid w:val="00C044F3"/>
    <w:rsid w:val="00C079C3"/>
    <w:rsid w:val="00C079DE"/>
    <w:rsid w:val="00C111C9"/>
    <w:rsid w:val="00C11BEE"/>
    <w:rsid w:val="00C11E92"/>
    <w:rsid w:val="00C12C8E"/>
    <w:rsid w:val="00C12CCD"/>
    <w:rsid w:val="00C13B94"/>
    <w:rsid w:val="00C14F3F"/>
    <w:rsid w:val="00C15203"/>
    <w:rsid w:val="00C15498"/>
    <w:rsid w:val="00C161A9"/>
    <w:rsid w:val="00C16D84"/>
    <w:rsid w:val="00C17142"/>
    <w:rsid w:val="00C174C3"/>
    <w:rsid w:val="00C17DDE"/>
    <w:rsid w:val="00C17E4E"/>
    <w:rsid w:val="00C20C2E"/>
    <w:rsid w:val="00C20ECA"/>
    <w:rsid w:val="00C21532"/>
    <w:rsid w:val="00C21843"/>
    <w:rsid w:val="00C218CD"/>
    <w:rsid w:val="00C21F1C"/>
    <w:rsid w:val="00C22AC7"/>
    <w:rsid w:val="00C22DA4"/>
    <w:rsid w:val="00C22F65"/>
    <w:rsid w:val="00C23A39"/>
    <w:rsid w:val="00C23ABD"/>
    <w:rsid w:val="00C23BFB"/>
    <w:rsid w:val="00C23E41"/>
    <w:rsid w:val="00C23EB2"/>
    <w:rsid w:val="00C243C8"/>
    <w:rsid w:val="00C244F4"/>
    <w:rsid w:val="00C24566"/>
    <w:rsid w:val="00C24582"/>
    <w:rsid w:val="00C25855"/>
    <w:rsid w:val="00C25C5A"/>
    <w:rsid w:val="00C262D7"/>
    <w:rsid w:val="00C26363"/>
    <w:rsid w:val="00C263AB"/>
    <w:rsid w:val="00C26CC0"/>
    <w:rsid w:val="00C26DAF"/>
    <w:rsid w:val="00C26DD0"/>
    <w:rsid w:val="00C2702B"/>
    <w:rsid w:val="00C270B0"/>
    <w:rsid w:val="00C27199"/>
    <w:rsid w:val="00C30753"/>
    <w:rsid w:val="00C308E6"/>
    <w:rsid w:val="00C30C33"/>
    <w:rsid w:val="00C311AA"/>
    <w:rsid w:val="00C31791"/>
    <w:rsid w:val="00C31C9F"/>
    <w:rsid w:val="00C33121"/>
    <w:rsid w:val="00C33457"/>
    <w:rsid w:val="00C335B7"/>
    <w:rsid w:val="00C335FC"/>
    <w:rsid w:val="00C3380F"/>
    <w:rsid w:val="00C33970"/>
    <w:rsid w:val="00C33D9B"/>
    <w:rsid w:val="00C33E85"/>
    <w:rsid w:val="00C3406D"/>
    <w:rsid w:val="00C341B4"/>
    <w:rsid w:val="00C34A6F"/>
    <w:rsid w:val="00C35117"/>
    <w:rsid w:val="00C354BB"/>
    <w:rsid w:val="00C35E2D"/>
    <w:rsid w:val="00C361A4"/>
    <w:rsid w:val="00C3717B"/>
    <w:rsid w:val="00C3725B"/>
    <w:rsid w:val="00C3729A"/>
    <w:rsid w:val="00C37314"/>
    <w:rsid w:val="00C37C03"/>
    <w:rsid w:val="00C37F79"/>
    <w:rsid w:val="00C408DC"/>
    <w:rsid w:val="00C410AE"/>
    <w:rsid w:val="00C41938"/>
    <w:rsid w:val="00C41939"/>
    <w:rsid w:val="00C41D80"/>
    <w:rsid w:val="00C4223F"/>
    <w:rsid w:val="00C42C69"/>
    <w:rsid w:val="00C438BA"/>
    <w:rsid w:val="00C451D5"/>
    <w:rsid w:val="00C45A85"/>
    <w:rsid w:val="00C4669A"/>
    <w:rsid w:val="00C47567"/>
    <w:rsid w:val="00C479C2"/>
    <w:rsid w:val="00C515E2"/>
    <w:rsid w:val="00C51AB6"/>
    <w:rsid w:val="00C526E3"/>
    <w:rsid w:val="00C52BB7"/>
    <w:rsid w:val="00C52C63"/>
    <w:rsid w:val="00C534BA"/>
    <w:rsid w:val="00C534CF"/>
    <w:rsid w:val="00C53640"/>
    <w:rsid w:val="00C5373F"/>
    <w:rsid w:val="00C53E33"/>
    <w:rsid w:val="00C540CC"/>
    <w:rsid w:val="00C54530"/>
    <w:rsid w:val="00C54A43"/>
    <w:rsid w:val="00C54EAA"/>
    <w:rsid w:val="00C552BB"/>
    <w:rsid w:val="00C5696A"/>
    <w:rsid w:val="00C56DD4"/>
    <w:rsid w:val="00C572B0"/>
    <w:rsid w:val="00C574C4"/>
    <w:rsid w:val="00C57724"/>
    <w:rsid w:val="00C60A23"/>
    <w:rsid w:val="00C60DF6"/>
    <w:rsid w:val="00C6140F"/>
    <w:rsid w:val="00C61D0B"/>
    <w:rsid w:val="00C62163"/>
    <w:rsid w:val="00C630F4"/>
    <w:rsid w:val="00C63480"/>
    <w:rsid w:val="00C63604"/>
    <w:rsid w:val="00C63838"/>
    <w:rsid w:val="00C64775"/>
    <w:rsid w:val="00C653D9"/>
    <w:rsid w:val="00C656D3"/>
    <w:rsid w:val="00C65B4C"/>
    <w:rsid w:val="00C65C1A"/>
    <w:rsid w:val="00C6633A"/>
    <w:rsid w:val="00C66389"/>
    <w:rsid w:val="00C66B4B"/>
    <w:rsid w:val="00C66D49"/>
    <w:rsid w:val="00C6715A"/>
    <w:rsid w:val="00C677E7"/>
    <w:rsid w:val="00C67DD6"/>
    <w:rsid w:val="00C70362"/>
    <w:rsid w:val="00C7160E"/>
    <w:rsid w:val="00C71C4A"/>
    <w:rsid w:val="00C72125"/>
    <w:rsid w:val="00C722B0"/>
    <w:rsid w:val="00C7266E"/>
    <w:rsid w:val="00C73D3D"/>
    <w:rsid w:val="00C740B0"/>
    <w:rsid w:val="00C74C01"/>
    <w:rsid w:val="00C75767"/>
    <w:rsid w:val="00C76540"/>
    <w:rsid w:val="00C7672B"/>
    <w:rsid w:val="00C76763"/>
    <w:rsid w:val="00C76816"/>
    <w:rsid w:val="00C76ADC"/>
    <w:rsid w:val="00C76DDF"/>
    <w:rsid w:val="00C7793F"/>
    <w:rsid w:val="00C77C85"/>
    <w:rsid w:val="00C8026B"/>
    <w:rsid w:val="00C80599"/>
    <w:rsid w:val="00C8067D"/>
    <w:rsid w:val="00C812A0"/>
    <w:rsid w:val="00C81472"/>
    <w:rsid w:val="00C8151C"/>
    <w:rsid w:val="00C81EB1"/>
    <w:rsid w:val="00C825F1"/>
    <w:rsid w:val="00C82D0D"/>
    <w:rsid w:val="00C83888"/>
    <w:rsid w:val="00C83A69"/>
    <w:rsid w:val="00C83E1F"/>
    <w:rsid w:val="00C8460C"/>
    <w:rsid w:val="00C8475B"/>
    <w:rsid w:val="00C8481F"/>
    <w:rsid w:val="00C8492A"/>
    <w:rsid w:val="00C84DF5"/>
    <w:rsid w:val="00C85196"/>
    <w:rsid w:val="00C853F2"/>
    <w:rsid w:val="00C85991"/>
    <w:rsid w:val="00C866BC"/>
    <w:rsid w:val="00C86ADF"/>
    <w:rsid w:val="00C872B6"/>
    <w:rsid w:val="00C87A2F"/>
    <w:rsid w:val="00C87F03"/>
    <w:rsid w:val="00C90372"/>
    <w:rsid w:val="00C90807"/>
    <w:rsid w:val="00C90F36"/>
    <w:rsid w:val="00C912A2"/>
    <w:rsid w:val="00C91427"/>
    <w:rsid w:val="00C9192D"/>
    <w:rsid w:val="00C91D4F"/>
    <w:rsid w:val="00C926C1"/>
    <w:rsid w:val="00C92F89"/>
    <w:rsid w:val="00C931CD"/>
    <w:rsid w:val="00C93F28"/>
    <w:rsid w:val="00C94356"/>
    <w:rsid w:val="00C94641"/>
    <w:rsid w:val="00C94FA6"/>
    <w:rsid w:val="00C958B6"/>
    <w:rsid w:val="00C95F4C"/>
    <w:rsid w:val="00C968F6"/>
    <w:rsid w:val="00C96965"/>
    <w:rsid w:val="00C96AC7"/>
    <w:rsid w:val="00C96B24"/>
    <w:rsid w:val="00C97780"/>
    <w:rsid w:val="00C97B6A"/>
    <w:rsid w:val="00CA0EA4"/>
    <w:rsid w:val="00CA1018"/>
    <w:rsid w:val="00CA11CA"/>
    <w:rsid w:val="00CA136C"/>
    <w:rsid w:val="00CA1CB8"/>
    <w:rsid w:val="00CA2593"/>
    <w:rsid w:val="00CA276B"/>
    <w:rsid w:val="00CA31E8"/>
    <w:rsid w:val="00CA3851"/>
    <w:rsid w:val="00CA3B81"/>
    <w:rsid w:val="00CA4231"/>
    <w:rsid w:val="00CA43A9"/>
    <w:rsid w:val="00CA46D3"/>
    <w:rsid w:val="00CA479C"/>
    <w:rsid w:val="00CA4841"/>
    <w:rsid w:val="00CA52F0"/>
    <w:rsid w:val="00CA5736"/>
    <w:rsid w:val="00CA5787"/>
    <w:rsid w:val="00CA5A6C"/>
    <w:rsid w:val="00CA5D0C"/>
    <w:rsid w:val="00CA5F67"/>
    <w:rsid w:val="00CA6192"/>
    <w:rsid w:val="00CA63B4"/>
    <w:rsid w:val="00CA64E9"/>
    <w:rsid w:val="00CA6837"/>
    <w:rsid w:val="00CA7145"/>
    <w:rsid w:val="00CA731E"/>
    <w:rsid w:val="00CA7436"/>
    <w:rsid w:val="00CA76A6"/>
    <w:rsid w:val="00CA789C"/>
    <w:rsid w:val="00CA7942"/>
    <w:rsid w:val="00CA7E97"/>
    <w:rsid w:val="00CB06AF"/>
    <w:rsid w:val="00CB0A60"/>
    <w:rsid w:val="00CB1416"/>
    <w:rsid w:val="00CB15A1"/>
    <w:rsid w:val="00CB1D48"/>
    <w:rsid w:val="00CB1F01"/>
    <w:rsid w:val="00CB2107"/>
    <w:rsid w:val="00CB2320"/>
    <w:rsid w:val="00CB262C"/>
    <w:rsid w:val="00CB2881"/>
    <w:rsid w:val="00CB2D32"/>
    <w:rsid w:val="00CB303C"/>
    <w:rsid w:val="00CB356D"/>
    <w:rsid w:val="00CB35A1"/>
    <w:rsid w:val="00CB3658"/>
    <w:rsid w:val="00CB3904"/>
    <w:rsid w:val="00CB3B12"/>
    <w:rsid w:val="00CB3E21"/>
    <w:rsid w:val="00CB3E45"/>
    <w:rsid w:val="00CB4C25"/>
    <w:rsid w:val="00CB4F4C"/>
    <w:rsid w:val="00CB57F8"/>
    <w:rsid w:val="00CB5B67"/>
    <w:rsid w:val="00CB6D03"/>
    <w:rsid w:val="00CB7620"/>
    <w:rsid w:val="00CB7813"/>
    <w:rsid w:val="00CB783C"/>
    <w:rsid w:val="00CB7ACB"/>
    <w:rsid w:val="00CB7CB5"/>
    <w:rsid w:val="00CC0B2F"/>
    <w:rsid w:val="00CC0C06"/>
    <w:rsid w:val="00CC1E00"/>
    <w:rsid w:val="00CC2F77"/>
    <w:rsid w:val="00CC33F0"/>
    <w:rsid w:val="00CC3D00"/>
    <w:rsid w:val="00CC3D03"/>
    <w:rsid w:val="00CC3D92"/>
    <w:rsid w:val="00CC4051"/>
    <w:rsid w:val="00CC4DE6"/>
    <w:rsid w:val="00CC52B2"/>
    <w:rsid w:val="00CC594B"/>
    <w:rsid w:val="00CC5D5A"/>
    <w:rsid w:val="00CC6064"/>
    <w:rsid w:val="00CC61B2"/>
    <w:rsid w:val="00CC6313"/>
    <w:rsid w:val="00CC659F"/>
    <w:rsid w:val="00CC6D5B"/>
    <w:rsid w:val="00CC736C"/>
    <w:rsid w:val="00CC766C"/>
    <w:rsid w:val="00CC7772"/>
    <w:rsid w:val="00CC789B"/>
    <w:rsid w:val="00CC7DA4"/>
    <w:rsid w:val="00CD02E2"/>
    <w:rsid w:val="00CD050B"/>
    <w:rsid w:val="00CD05AC"/>
    <w:rsid w:val="00CD0D97"/>
    <w:rsid w:val="00CD1060"/>
    <w:rsid w:val="00CD11DF"/>
    <w:rsid w:val="00CD13B7"/>
    <w:rsid w:val="00CD1636"/>
    <w:rsid w:val="00CD1918"/>
    <w:rsid w:val="00CD199F"/>
    <w:rsid w:val="00CD1A48"/>
    <w:rsid w:val="00CD1F7B"/>
    <w:rsid w:val="00CD2016"/>
    <w:rsid w:val="00CD2544"/>
    <w:rsid w:val="00CD297C"/>
    <w:rsid w:val="00CD2CC9"/>
    <w:rsid w:val="00CD2F86"/>
    <w:rsid w:val="00CD3D8D"/>
    <w:rsid w:val="00CD3E22"/>
    <w:rsid w:val="00CD3E60"/>
    <w:rsid w:val="00CD4099"/>
    <w:rsid w:val="00CD40F3"/>
    <w:rsid w:val="00CD45AF"/>
    <w:rsid w:val="00CD4868"/>
    <w:rsid w:val="00CD4962"/>
    <w:rsid w:val="00CD4CA5"/>
    <w:rsid w:val="00CD4DC8"/>
    <w:rsid w:val="00CD5080"/>
    <w:rsid w:val="00CD5240"/>
    <w:rsid w:val="00CD531F"/>
    <w:rsid w:val="00CD5898"/>
    <w:rsid w:val="00CD5AB7"/>
    <w:rsid w:val="00CD62C0"/>
    <w:rsid w:val="00CD75CC"/>
    <w:rsid w:val="00CD7954"/>
    <w:rsid w:val="00CD7F91"/>
    <w:rsid w:val="00CE0619"/>
    <w:rsid w:val="00CE0B35"/>
    <w:rsid w:val="00CE0B9A"/>
    <w:rsid w:val="00CE0D42"/>
    <w:rsid w:val="00CE0E75"/>
    <w:rsid w:val="00CE0F6F"/>
    <w:rsid w:val="00CE1915"/>
    <w:rsid w:val="00CE1C54"/>
    <w:rsid w:val="00CE1E49"/>
    <w:rsid w:val="00CE1FCF"/>
    <w:rsid w:val="00CE24FF"/>
    <w:rsid w:val="00CE2926"/>
    <w:rsid w:val="00CE2C92"/>
    <w:rsid w:val="00CE2D36"/>
    <w:rsid w:val="00CE3ADB"/>
    <w:rsid w:val="00CE3F9B"/>
    <w:rsid w:val="00CE40CB"/>
    <w:rsid w:val="00CE4D27"/>
    <w:rsid w:val="00CE4DAD"/>
    <w:rsid w:val="00CE51D1"/>
    <w:rsid w:val="00CE59D3"/>
    <w:rsid w:val="00CE695F"/>
    <w:rsid w:val="00CE6980"/>
    <w:rsid w:val="00CE6ADF"/>
    <w:rsid w:val="00CE6B51"/>
    <w:rsid w:val="00CE6E2E"/>
    <w:rsid w:val="00CE70B2"/>
    <w:rsid w:val="00CE7429"/>
    <w:rsid w:val="00CE7597"/>
    <w:rsid w:val="00CE76DC"/>
    <w:rsid w:val="00CE7DCB"/>
    <w:rsid w:val="00CF0830"/>
    <w:rsid w:val="00CF0DC7"/>
    <w:rsid w:val="00CF1AE2"/>
    <w:rsid w:val="00CF3596"/>
    <w:rsid w:val="00CF36A7"/>
    <w:rsid w:val="00CF406A"/>
    <w:rsid w:val="00CF492B"/>
    <w:rsid w:val="00CF49EB"/>
    <w:rsid w:val="00CF49F2"/>
    <w:rsid w:val="00CF5CAA"/>
    <w:rsid w:val="00CF66C0"/>
    <w:rsid w:val="00CF67B8"/>
    <w:rsid w:val="00CF68AF"/>
    <w:rsid w:val="00CF6CE0"/>
    <w:rsid w:val="00CF6D77"/>
    <w:rsid w:val="00CF7E81"/>
    <w:rsid w:val="00CF7E9C"/>
    <w:rsid w:val="00D00189"/>
    <w:rsid w:val="00D00391"/>
    <w:rsid w:val="00D00701"/>
    <w:rsid w:val="00D00852"/>
    <w:rsid w:val="00D012D5"/>
    <w:rsid w:val="00D020A2"/>
    <w:rsid w:val="00D026DF"/>
    <w:rsid w:val="00D02B3B"/>
    <w:rsid w:val="00D031C5"/>
    <w:rsid w:val="00D032A0"/>
    <w:rsid w:val="00D03470"/>
    <w:rsid w:val="00D034F7"/>
    <w:rsid w:val="00D0351E"/>
    <w:rsid w:val="00D03A70"/>
    <w:rsid w:val="00D042A9"/>
    <w:rsid w:val="00D0469C"/>
    <w:rsid w:val="00D04E9F"/>
    <w:rsid w:val="00D04F7A"/>
    <w:rsid w:val="00D05B5A"/>
    <w:rsid w:val="00D06A8E"/>
    <w:rsid w:val="00D06BD1"/>
    <w:rsid w:val="00D06EB4"/>
    <w:rsid w:val="00D06EDE"/>
    <w:rsid w:val="00D07658"/>
    <w:rsid w:val="00D07BE3"/>
    <w:rsid w:val="00D07F8F"/>
    <w:rsid w:val="00D102C8"/>
    <w:rsid w:val="00D10626"/>
    <w:rsid w:val="00D114B3"/>
    <w:rsid w:val="00D118CA"/>
    <w:rsid w:val="00D12029"/>
    <w:rsid w:val="00D12971"/>
    <w:rsid w:val="00D13022"/>
    <w:rsid w:val="00D13A8E"/>
    <w:rsid w:val="00D13BF6"/>
    <w:rsid w:val="00D1445C"/>
    <w:rsid w:val="00D149B1"/>
    <w:rsid w:val="00D149B7"/>
    <w:rsid w:val="00D154CC"/>
    <w:rsid w:val="00D15513"/>
    <w:rsid w:val="00D15768"/>
    <w:rsid w:val="00D15949"/>
    <w:rsid w:val="00D16110"/>
    <w:rsid w:val="00D16BD3"/>
    <w:rsid w:val="00D16D00"/>
    <w:rsid w:val="00D17173"/>
    <w:rsid w:val="00D172B1"/>
    <w:rsid w:val="00D1768C"/>
    <w:rsid w:val="00D176A3"/>
    <w:rsid w:val="00D17CD1"/>
    <w:rsid w:val="00D202F3"/>
    <w:rsid w:val="00D205B6"/>
    <w:rsid w:val="00D20846"/>
    <w:rsid w:val="00D209A7"/>
    <w:rsid w:val="00D20E62"/>
    <w:rsid w:val="00D21357"/>
    <w:rsid w:val="00D21B44"/>
    <w:rsid w:val="00D21BB6"/>
    <w:rsid w:val="00D220CE"/>
    <w:rsid w:val="00D226B6"/>
    <w:rsid w:val="00D22A51"/>
    <w:rsid w:val="00D22D65"/>
    <w:rsid w:val="00D234D7"/>
    <w:rsid w:val="00D23AEE"/>
    <w:rsid w:val="00D23AEF"/>
    <w:rsid w:val="00D23CE5"/>
    <w:rsid w:val="00D2445C"/>
    <w:rsid w:val="00D2448A"/>
    <w:rsid w:val="00D248B0"/>
    <w:rsid w:val="00D24B18"/>
    <w:rsid w:val="00D24CEC"/>
    <w:rsid w:val="00D24DCF"/>
    <w:rsid w:val="00D255B7"/>
    <w:rsid w:val="00D25613"/>
    <w:rsid w:val="00D2587C"/>
    <w:rsid w:val="00D258B0"/>
    <w:rsid w:val="00D25D20"/>
    <w:rsid w:val="00D25FB2"/>
    <w:rsid w:val="00D26404"/>
    <w:rsid w:val="00D26479"/>
    <w:rsid w:val="00D264A0"/>
    <w:rsid w:val="00D26B43"/>
    <w:rsid w:val="00D26D31"/>
    <w:rsid w:val="00D27A34"/>
    <w:rsid w:val="00D30719"/>
    <w:rsid w:val="00D30984"/>
    <w:rsid w:val="00D30DF5"/>
    <w:rsid w:val="00D3173F"/>
    <w:rsid w:val="00D31943"/>
    <w:rsid w:val="00D31B97"/>
    <w:rsid w:val="00D31DE0"/>
    <w:rsid w:val="00D31DF0"/>
    <w:rsid w:val="00D32554"/>
    <w:rsid w:val="00D32F93"/>
    <w:rsid w:val="00D32FD3"/>
    <w:rsid w:val="00D32FE1"/>
    <w:rsid w:val="00D333CE"/>
    <w:rsid w:val="00D333EA"/>
    <w:rsid w:val="00D337B7"/>
    <w:rsid w:val="00D33F4A"/>
    <w:rsid w:val="00D3440A"/>
    <w:rsid w:val="00D344B5"/>
    <w:rsid w:val="00D35313"/>
    <w:rsid w:val="00D3570C"/>
    <w:rsid w:val="00D35947"/>
    <w:rsid w:val="00D359C6"/>
    <w:rsid w:val="00D3601D"/>
    <w:rsid w:val="00D36201"/>
    <w:rsid w:val="00D3646A"/>
    <w:rsid w:val="00D36F7B"/>
    <w:rsid w:val="00D36FAC"/>
    <w:rsid w:val="00D36FB4"/>
    <w:rsid w:val="00D37078"/>
    <w:rsid w:val="00D3790C"/>
    <w:rsid w:val="00D37AA2"/>
    <w:rsid w:val="00D4090E"/>
    <w:rsid w:val="00D41AC1"/>
    <w:rsid w:val="00D424E8"/>
    <w:rsid w:val="00D425A3"/>
    <w:rsid w:val="00D4265B"/>
    <w:rsid w:val="00D4282C"/>
    <w:rsid w:val="00D42E4F"/>
    <w:rsid w:val="00D42EEC"/>
    <w:rsid w:val="00D4314D"/>
    <w:rsid w:val="00D43AD5"/>
    <w:rsid w:val="00D44106"/>
    <w:rsid w:val="00D441D1"/>
    <w:rsid w:val="00D44503"/>
    <w:rsid w:val="00D44DAF"/>
    <w:rsid w:val="00D452F4"/>
    <w:rsid w:val="00D45475"/>
    <w:rsid w:val="00D45983"/>
    <w:rsid w:val="00D45A14"/>
    <w:rsid w:val="00D460CD"/>
    <w:rsid w:val="00D464DC"/>
    <w:rsid w:val="00D474C0"/>
    <w:rsid w:val="00D47611"/>
    <w:rsid w:val="00D479D9"/>
    <w:rsid w:val="00D47B7D"/>
    <w:rsid w:val="00D50352"/>
    <w:rsid w:val="00D503B4"/>
    <w:rsid w:val="00D505AB"/>
    <w:rsid w:val="00D5075A"/>
    <w:rsid w:val="00D5092A"/>
    <w:rsid w:val="00D50A75"/>
    <w:rsid w:val="00D50AF2"/>
    <w:rsid w:val="00D50DBB"/>
    <w:rsid w:val="00D5117A"/>
    <w:rsid w:val="00D512D0"/>
    <w:rsid w:val="00D51722"/>
    <w:rsid w:val="00D51B17"/>
    <w:rsid w:val="00D52F05"/>
    <w:rsid w:val="00D532D0"/>
    <w:rsid w:val="00D54790"/>
    <w:rsid w:val="00D55067"/>
    <w:rsid w:val="00D55677"/>
    <w:rsid w:val="00D55FB1"/>
    <w:rsid w:val="00D56471"/>
    <w:rsid w:val="00D564ED"/>
    <w:rsid w:val="00D5653F"/>
    <w:rsid w:val="00D568A3"/>
    <w:rsid w:val="00D56999"/>
    <w:rsid w:val="00D56EA9"/>
    <w:rsid w:val="00D56F3F"/>
    <w:rsid w:val="00D571A1"/>
    <w:rsid w:val="00D57454"/>
    <w:rsid w:val="00D574AD"/>
    <w:rsid w:val="00D57546"/>
    <w:rsid w:val="00D57CC7"/>
    <w:rsid w:val="00D57EFC"/>
    <w:rsid w:val="00D60B6A"/>
    <w:rsid w:val="00D61640"/>
    <w:rsid w:val="00D61682"/>
    <w:rsid w:val="00D61962"/>
    <w:rsid w:val="00D619BA"/>
    <w:rsid w:val="00D61D26"/>
    <w:rsid w:val="00D63B95"/>
    <w:rsid w:val="00D63BC8"/>
    <w:rsid w:val="00D64467"/>
    <w:rsid w:val="00D64623"/>
    <w:rsid w:val="00D64A78"/>
    <w:rsid w:val="00D64AA8"/>
    <w:rsid w:val="00D64DA9"/>
    <w:rsid w:val="00D6529A"/>
    <w:rsid w:val="00D6535C"/>
    <w:rsid w:val="00D65786"/>
    <w:rsid w:val="00D65801"/>
    <w:rsid w:val="00D6580B"/>
    <w:rsid w:val="00D65CDB"/>
    <w:rsid w:val="00D66278"/>
    <w:rsid w:val="00D66B45"/>
    <w:rsid w:val="00D66F49"/>
    <w:rsid w:val="00D678FD"/>
    <w:rsid w:val="00D70111"/>
    <w:rsid w:val="00D7059D"/>
    <w:rsid w:val="00D70CC3"/>
    <w:rsid w:val="00D713BE"/>
    <w:rsid w:val="00D7151F"/>
    <w:rsid w:val="00D71679"/>
    <w:rsid w:val="00D718E2"/>
    <w:rsid w:val="00D72185"/>
    <w:rsid w:val="00D729B6"/>
    <w:rsid w:val="00D7480D"/>
    <w:rsid w:val="00D75345"/>
    <w:rsid w:val="00D75854"/>
    <w:rsid w:val="00D75897"/>
    <w:rsid w:val="00D75BB8"/>
    <w:rsid w:val="00D76236"/>
    <w:rsid w:val="00D76401"/>
    <w:rsid w:val="00D7647A"/>
    <w:rsid w:val="00D76917"/>
    <w:rsid w:val="00D776C5"/>
    <w:rsid w:val="00D778CE"/>
    <w:rsid w:val="00D804BF"/>
    <w:rsid w:val="00D805A3"/>
    <w:rsid w:val="00D80B8B"/>
    <w:rsid w:val="00D810F4"/>
    <w:rsid w:val="00D81B88"/>
    <w:rsid w:val="00D82100"/>
    <w:rsid w:val="00D822CA"/>
    <w:rsid w:val="00D82312"/>
    <w:rsid w:val="00D82320"/>
    <w:rsid w:val="00D8237B"/>
    <w:rsid w:val="00D823DB"/>
    <w:rsid w:val="00D82678"/>
    <w:rsid w:val="00D8271C"/>
    <w:rsid w:val="00D828DB"/>
    <w:rsid w:val="00D82908"/>
    <w:rsid w:val="00D82938"/>
    <w:rsid w:val="00D82C80"/>
    <w:rsid w:val="00D82D98"/>
    <w:rsid w:val="00D8300D"/>
    <w:rsid w:val="00D84711"/>
    <w:rsid w:val="00D84821"/>
    <w:rsid w:val="00D84B1E"/>
    <w:rsid w:val="00D858B1"/>
    <w:rsid w:val="00D85F18"/>
    <w:rsid w:val="00D86184"/>
    <w:rsid w:val="00D8649C"/>
    <w:rsid w:val="00D8673F"/>
    <w:rsid w:val="00D86BAD"/>
    <w:rsid w:val="00D86D10"/>
    <w:rsid w:val="00D86E71"/>
    <w:rsid w:val="00D87AF8"/>
    <w:rsid w:val="00D87BDC"/>
    <w:rsid w:val="00D87D86"/>
    <w:rsid w:val="00D87E0C"/>
    <w:rsid w:val="00D904C6"/>
    <w:rsid w:val="00D90CDD"/>
    <w:rsid w:val="00D91479"/>
    <w:rsid w:val="00D91C23"/>
    <w:rsid w:val="00D91FED"/>
    <w:rsid w:val="00D9253B"/>
    <w:rsid w:val="00D93DF3"/>
    <w:rsid w:val="00D9440A"/>
    <w:rsid w:val="00D9451E"/>
    <w:rsid w:val="00D9470D"/>
    <w:rsid w:val="00D94D28"/>
    <w:rsid w:val="00D94F3C"/>
    <w:rsid w:val="00D956EE"/>
    <w:rsid w:val="00D95A47"/>
    <w:rsid w:val="00D95EC3"/>
    <w:rsid w:val="00D960BD"/>
    <w:rsid w:val="00D962EC"/>
    <w:rsid w:val="00D96645"/>
    <w:rsid w:val="00D96937"/>
    <w:rsid w:val="00D96A76"/>
    <w:rsid w:val="00D96E50"/>
    <w:rsid w:val="00D971E0"/>
    <w:rsid w:val="00D97433"/>
    <w:rsid w:val="00D97C5D"/>
    <w:rsid w:val="00DA0323"/>
    <w:rsid w:val="00DA04D3"/>
    <w:rsid w:val="00DA04DF"/>
    <w:rsid w:val="00DA0AC5"/>
    <w:rsid w:val="00DA11B7"/>
    <w:rsid w:val="00DA1BA1"/>
    <w:rsid w:val="00DA23AB"/>
    <w:rsid w:val="00DA25B0"/>
    <w:rsid w:val="00DA2BBD"/>
    <w:rsid w:val="00DA389F"/>
    <w:rsid w:val="00DA39BC"/>
    <w:rsid w:val="00DA3A59"/>
    <w:rsid w:val="00DA44CF"/>
    <w:rsid w:val="00DA48C7"/>
    <w:rsid w:val="00DA4DED"/>
    <w:rsid w:val="00DA5203"/>
    <w:rsid w:val="00DA5C53"/>
    <w:rsid w:val="00DA5F5F"/>
    <w:rsid w:val="00DA6024"/>
    <w:rsid w:val="00DA6150"/>
    <w:rsid w:val="00DA66F0"/>
    <w:rsid w:val="00DA7165"/>
    <w:rsid w:val="00DA7F57"/>
    <w:rsid w:val="00DB0012"/>
    <w:rsid w:val="00DB00A0"/>
    <w:rsid w:val="00DB015A"/>
    <w:rsid w:val="00DB04C4"/>
    <w:rsid w:val="00DB066A"/>
    <w:rsid w:val="00DB0F11"/>
    <w:rsid w:val="00DB1520"/>
    <w:rsid w:val="00DB1841"/>
    <w:rsid w:val="00DB1ABB"/>
    <w:rsid w:val="00DB1D6D"/>
    <w:rsid w:val="00DB2382"/>
    <w:rsid w:val="00DB2F30"/>
    <w:rsid w:val="00DB3D7C"/>
    <w:rsid w:val="00DB3E08"/>
    <w:rsid w:val="00DB451E"/>
    <w:rsid w:val="00DB476E"/>
    <w:rsid w:val="00DB5608"/>
    <w:rsid w:val="00DB56F5"/>
    <w:rsid w:val="00DB62AF"/>
    <w:rsid w:val="00DB673A"/>
    <w:rsid w:val="00DB7D44"/>
    <w:rsid w:val="00DB7E19"/>
    <w:rsid w:val="00DC0017"/>
    <w:rsid w:val="00DC01DE"/>
    <w:rsid w:val="00DC0404"/>
    <w:rsid w:val="00DC0907"/>
    <w:rsid w:val="00DC0C7F"/>
    <w:rsid w:val="00DC1045"/>
    <w:rsid w:val="00DC133B"/>
    <w:rsid w:val="00DC14E0"/>
    <w:rsid w:val="00DC165D"/>
    <w:rsid w:val="00DC19A3"/>
    <w:rsid w:val="00DC19B0"/>
    <w:rsid w:val="00DC2295"/>
    <w:rsid w:val="00DC24E8"/>
    <w:rsid w:val="00DC2A29"/>
    <w:rsid w:val="00DC36C9"/>
    <w:rsid w:val="00DC3D81"/>
    <w:rsid w:val="00DC491A"/>
    <w:rsid w:val="00DC601E"/>
    <w:rsid w:val="00DC61F3"/>
    <w:rsid w:val="00DC6F85"/>
    <w:rsid w:val="00DC71F8"/>
    <w:rsid w:val="00DC72F8"/>
    <w:rsid w:val="00DC7919"/>
    <w:rsid w:val="00DC7BA3"/>
    <w:rsid w:val="00DC7DA5"/>
    <w:rsid w:val="00DD0B86"/>
    <w:rsid w:val="00DD1422"/>
    <w:rsid w:val="00DD1463"/>
    <w:rsid w:val="00DD18A6"/>
    <w:rsid w:val="00DD1949"/>
    <w:rsid w:val="00DD21E1"/>
    <w:rsid w:val="00DD261B"/>
    <w:rsid w:val="00DD261E"/>
    <w:rsid w:val="00DD2AC6"/>
    <w:rsid w:val="00DD2C8F"/>
    <w:rsid w:val="00DD348B"/>
    <w:rsid w:val="00DD3865"/>
    <w:rsid w:val="00DD3C54"/>
    <w:rsid w:val="00DD3C7D"/>
    <w:rsid w:val="00DD45D4"/>
    <w:rsid w:val="00DD489F"/>
    <w:rsid w:val="00DD4A21"/>
    <w:rsid w:val="00DD5343"/>
    <w:rsid w:val="00DD5A7E"/>
    <w:rsid w:val="00DD6159"/>
    <w:rsid w:val="00DD6C14"/>
    <w:rsid w:val="00DD6CEB"/>
    <w:rsid w:val="00DD6DAB"/>
    <w:rsid w:val="00DD6FE9"/>
    <w:rsid w:val="00DD71D0"/>
    <w:rsid w:val="00DD71D8"/>
    <w:rsid w:val="00DD724C"/>
    <w:rsid w:val="00DD733B"/>
    <w:rsid w:val="00DD77EA"/>
    <w:rsid w:val="00DD785A"/>
    <w:rsid w:val="00DE02AF"/>
    <w:rsid w:val="00DE03AF"/>
    <w:rsid w:val="00DE0C86"/>
    <w:rsid w:val="00DE0CC4"/>
    <w:rsid w:val="00DE42EA"/>
    <w:rsid w:val="00DE42FC"/>
    <w:rsid w:val="00DE4BDF"/>
    <w:rsid w:val="00DE4F61"/>
    <w:rsid w:val="00DE66F5"/>
    <w:rsid w:val="00DE6874"/>
    <w:rsid w:val="00DE6B30"/>
    <w:rsid w:val="00DE6D70"/>
    <w:rsid w:val="00DE7866"/>
    <w:rsid w:val="00DE7AA4"/>
    <w:rsid w:val="00DE7FF1"/>
    <w:rsid w:val="00DF006A"/>
    <w:rsid w:val="00DF0844"/>
    <w:rsid w:val="00DF0B87"/>
    <w:rsid w:val="00DF0F72"/>
    <w:rsid w:val="00DF1556"/>
    <w:rsid w:val="00DF16C0"/>
    <w:rsid w:val="00DF1745"/>
    <w:rsid w:val="00DF1D6F"/>
    <w:rsid w:val="00DF1F60"/>
    <w:rsid w:val="00DF2238"/>
    <w:rsid w:val="00DF2600"/>
    <w:rsid w:val="00DF26FF"/>
    <w:rsid w:val="00DF27C3"/>
    <w:rsid w:val="00DF2F37"/>
    <w:rsid w:val="00DF301B"/>
    <w:rsid w:val="00DF375F"/>
    <w:rsid w:val="00DF3960"/>
    <w:rsid w:val="00DF3B40"/>
    <w:rsid w:val="00DF3D5A"/>
    <w:rsid w:val="00DF410D"/>
    <w:rsid w:val="00DF432A"/>
    <w:rsid w:val="00DF4468"/>
    <w:rsid w:val="00DF470B"/>
    <w:rsid w:val="00DF5355"/>
    <w:rsid w:val="00DF5412"/>
    <w:rsid w:val="00DF5984"/>
    <w:rsid w:val="00DF5DF2"/>
    <w:rsid w:val="00DF66CB"/>
    <w:rsid w:val="00DF6A35"/>
    <w:rsid w:val="00DF6D1E"/>
    <w:rsid w:val="00DF7020"/>
    <w:rsid w:val="00DF70C3"/>
    <w:rsid w:val="00DF7501"/>
    <w:rsid w:val="00DF78AA"/>
    <w:rsid w:val="00DF7934"/>
    <w:rsid w:val="00DF7F8F"/>
    <w:rsid w:val="00E001CE"/>
    <w:rsid w:val="00E005DC"/>
    <w:rsid w:val="00E00C7E"/>
    <w:rsid w:val="00E017DD"/>
    <w:rsid w:val="00E01C21"/>
    <w:rsid w:val="00E020F7"/>
    <w:rsid w:val="00E026E1"/>
    <w:rsid w:val="00E02E82"/>
    <w:rsid w:val="00E035EC"/>
    <w:rsid w:val="00E03CA4"/>
    <w:rsid w:val="00E03D42"/>
    <w:rsid w:val="00E03E51"/>
    <w:rsid w:val="00E0402B"/>
    <w:rsid w:val="00E04249"/>
    <w:rsid w:val="00E043E5"/>
    <w:rsid w:val="00E045BF"/>
    <w:rsid w:val="00E046C6"/>
    <w:rsid w:val="00E047A5"/>
    <w:rsid w:val="00E04818"/>
    <w:rsid w:val="00E04A1D"/>
    <w:rsid w:val="00E04F68"/>
    <w:rsid w:val="00E05036"/>
    <w:rsid w:val="00E051CE"/>
    <w:rsid w:val="00E052C2"/>
    <w:rsid w:val="00E05553"/>
    <w:rsid w:val="00E057F7"/>
    <w:rsid w:val="00E06167"/>
    <w:rsid w:val="00E06285"/>
    <w:rsid w:val="00E06619"/>
    <w:rsid w:val="00E066AD"/>
    <w:rsid w:val="00E0685E"/>
    <w:rsid w:val="00E0711D"/>
    <w:rsid w:val="00E07969"/>
    <w:rsid w:val="00E07DD3"/>
    <w:rsid w:val="00E07F9C"/>
    <w:rsid w:val="00E10B56"/>
    <w:rsid w:val="00E11497"/>
    <w:rsid w:val="00E11F3E"/>
    <w:rsid w:val="00E11F41"/>
    <w:rsid w:val="00E11F6E"/>
    <w:rsid w:val="00E12306"/>
    <w:rsid w:val="00E124BD"/>
    <w:rsid w:val="00E137D4"/>
    <w:rsid w:val="00E13A85"/>
    <w:rsid w:val="00E14106"/>
    <w:rsid w:val="00E141C1"/>
    <w:rsid w:val="00E1483C"/>
    <w:rsid w:val="00E14B39"/>
    <w:rsid w:val="00E14D9E"/>
    <w:rsid w:val="00E14F90"/>
    <w:rsid w:val="00E1511F"/>
    <w:rsid w:val="00E1568A"/>
    <w:rsid w:val="00E15AA2"/>
    <w:rsid w:val="00E165AD"/>
    <w:rsid w:val="00E165E3"/>
    <w:rsid w:val="00E171C7"/>
    <w:rsid w:val="00E17B0F"/>
    <w:rsid w:val="00E17D42"/>
    <w:rsid w:val="00E20003"/>
    <w:rsid w:val="00E200F5"/>
    <w:rsid w:val="00E2034D"/>
    <w:rsid w:val="00E21B10"/>
    <w:rsid w:val="00E21FD9"/>
    <w:rsid w:val="00E221C2"/>
    <w:rsid w:val="00E222D4"/>
    <w:rsid w:val="00E22366"/>
    <w:rsid w:val="00E225DC"/>
    <w:rsid w:val="00E22FDD"/>
    <w:rsid w:val="00E23F14"/>
    <w:rsid w:val="00E241C3"/>
    <w:rsid w:val="00E24430"/>
    <w:rsid w:val="00E24555"/>
    <w:rsid w:val="00E24969"/>
    <w:rsid w:val="00E24BFF"/>
    <w:rsid w:val="00E25609"/>
    <w:rsid w:val="00E25E3F"/>
    <w:rsid w:val="00E25F63"/>
    <w:rsid w:val="00E264C4"/>
    <w:rsid w:val="00E26896"/>
    <w:rsid w:val="00E275BE"/>
    <w:rsid w:val="00E27CCD"/>
    <w:rsid w:val="00E307FD"/>
    <w:rsid w:val="00E30899"/>
    <w:rsid w:val="00E30D8F"/>
    <w:rsid w:val="00E31FD0"/>
    <w:rsid w:val="00E3287B"/>
    <w:rsid w:val="00E32F59"/>
    <w:rsid w:val="00E330A5"/>
    <w:rsid w:val="00E33393"/>
    <w:rsid w:val="00E33930"/>
    <w:rsid w:val="00E3407A"/>
    <w:rsid w:val="00E340C2"/>
    <w:rsid w:val="00E345F1"/>
    <w:rsid w:val="00E3494E"/>
    <w:rsid w:val="00E34A7D"/>
    <w:rsid w:val="00E34CE3"/>
    <w:rsid w:val="00E34F24"/>
    <w:rsid w:val="00E3527A"/>
    <w:rsid w:val="00E3576E"/>
    <w:rsid w:val="00E35873"/>
    <w:rsid w:val="00E35BF4"/>
    <w:rsid w:val="00E36A47"/>
    <w:rsid w:val="00E36AF0"/>
    <w:rsid w:val="00E36B48"/>
    <w:rsid w:val="00E3792D"/>
    <w:rsid w:val="00E37C65"/>
    <w:rsid w:val="00E40261"/>
    <w:rsid w:val="00E4032C"/>
    <w:rsid w:val="00E4036B"/>
    <w:rsid w:val="00E40967"/>
    <w:rsid w:val="00E40D65"/>
    <w:rsid w:val="00E40DE8"/>
    <w:rsid w:val="00E418A3"/>
    <w:rsid w:val="00E41B8C"/>
    <w:rsid w:val="00E422CB"/>
    <w:rsid w:val="00E4287B"/>
    <w:rsid w:val="00E42938"/>
    <w:rsid w:val="00E42A34"/>
    <w:rsid w:val="00E42DC8"/>
    <w:rsid w:val="00E432CF"/>
    <w:rsid w:val="00E4339C"/>
    <w:rsid w:val="00E43460"/>
    <w:rsid w:val="00E43494"/>
    <w:rsid w:val="00E43EC0"/>
    <w:rsid w:val="00E441A9"/>
    <w:rsid w:val="00E44463"/>
    <w:rsid w:val="00E44558"/>
    <w:rsid w:val="00E45090"/>
    <w:rsid w:val="00E4510E"/>
    <w:rsid w:val="00E4568A"/>
    <w:rsid w:val="00E45893"/>
    <w:rsid w:val="00E459F6"/>
    <w:rsid w:val="00E45F16"/>
    <w:rsid w:val="00E45F8F"/>
    <w:rsid w:val="00E469CD"/>
    <w:rsid w:val="00E4751E"/>
    <w:rsid w:val="00E47BB7"/>
    <w:rsid w:val="00E50200"/>
    <w:rsid w:val="00E504F1"/>
    <w:rsid w:val="00E5062C"/>
    <w:rsid w:val="00E50A6C"/>
    <w:rsid w:val="00E50C02"/>
    <w:rsid w:val="00E50F93"/>
    <w:rsid w:val="00E515B9"/>
    <w:rsid w:val="00E51A70"/>
    <w:rsid w:val="00E5228A"/>
    <w:rsid w:val="00E52410"/>
    <w:rsid w:val="00E52CD8"/>
    <w:rsid w:val="00E530BF"/>
    <w:rsid w:val="00E5335A"/>
    <w:rsid w:val="00E5357D"/>
    <w:rsid w:val="00E54212"/>
    <w:rsid w:val="00E54423"/>
    <w:rsid w:val="00E54760"/>
    <w:rsid w:val="00E5505D"/>
    <w:rsid w:val="00E5547D"/>
    <w:rsid w:val="00E55592"/>
    <w:rsid w:val="00E556AB"/>
    <w:rsid w:val="00E5596E"/>
    <w:rsid w:val="00E560DF"/>
    <w:rsid w:val="00E56108"/>
    <w:rsid w:val="00E56414"/>
    <w:rsid w:val="00E56722"/>
    <w:rsid w:val="00E568B4"/>
    <w:rsid w:val="00E56B9C"/>
    <w:rsid w:val="00E571B4"/>
    <w:rsid w:val="00E57482"/>
    <w:rsid w:val="00E574CA"/>
    <w:rsid w:val="00E578B5"/>
    <w:rsid w:val="00E57904"/>
    <w:rsid w:val="00E6004C"/>
    <w:rsid w:val="00E600F1"/>
    <w:rsid w:val="00E61552"/>
    <w:rsid w:val="00E6191E"/>
    <w:rsid w:val="00E61D8F"/>
    <w:rsid w:val="00E6225D"/>
    <w:rsid w:val="00E623BC"/>
    <w:rsid w:val="00E62B4B"/>
    <w:rsid w:val="00E631C9"/>
    <w:rsid w:val="00E63222"/>
    <w:rsid w:val="00E6387F"/>
    <w:rsid w:val="00E63954"/>
    <w:rsid w:val="00E63CFE"/>
    <w:rsid w:val="00E63E6B"/>
    <w:rsid w:val="00E63F03"/>
    <w:rsid w:val="00E65070"/>
    <w:rsid w:val="00E659E0"/>
    <w:rsid w:val="00E66418"/>
    <w:rsid w:val="00E66618"/>
    <w:rsid w:val="00E66786"/>
    <w:rsid w:val="00E671F5"/>
    <w:rsid w:val="00E67247"/>
    <w:rsid w:val="00E67675"/>
    <w:rsid w:val="00E67B1C"/>
    <w:rsid w:val="00E70887"/>
    <w:rsid w:val="00E7089F"/>
    <w:rsid w:val="00E708B5"/>
    <w:rsid w:val="00E70B59"/>
    <w:rsid w:val="00E70CFB"/>
    <w:rsid w:val="00E718AF"/>
    <w:rsid w:val="00E718D6"/>
    <w:rsid w:val="00E71AE4"/>
    <w:rsid w:val="00E71CE9"/>
    <w:rsid w:val="00E71F85"/>
    <w:rsid w:val="00E72151"/>
    <w:rsid w:val="00E72432"/>
    <w:rsid w:val="00E72855"/>
    <w:rsid w:val="00E72A0C"/>
    <w:rsid w:val="00E73098"/>
    <w:rsid w:val="00E73365"/>
    <w:rsid w:val="00E73E95"/>
    <w:rsid w:val="00E740AB"/>
    <w:rsid w:val="00E740FB"/>
    <w:rsid w:val="00E74590"/>
    <w:rsid w:val="00E7470C"/>
    <w:rsid w:val="00E748C7"/>
    <w:rsid w:val="00E74B38"/>
    <w:rsid w:val="00E74FE2"/>
    <w:rsid w:val="00E75137"/>
    <w:rsid w:val="00E752E9"/>
    <w:rsid w:val="00E75452"/>
    <w:rsid w:val="00E763AF"/>
    <w:rsid w:val="00E769C5"/>
    <w:rsid w:val="00E76BF2"/>
    <w:rsid w:val="00E76D1A"/>
    <w:rsid w:val="00E771B4"/>
    <w:rsid w:val="00E7739B"/>
    <w:rsid w:val="00E77450"/>
    <w:rsid w:val="00E777D9"/>
    <w:rsid w:val="00E77F76"/>
    <w:rsid w:val="00E80D30"/>
    <w:rsid w:val="00E817CF"/>
    <w:rsid w:val="00E81D9F"/>
    <w:rsid w:val="00E81FB9"/>
    <w:rsid w:val="00E82841"/>
    <w:rsid w:val="00E82B95"/>
    <w:rsid w:val="00E82EA6"/>
    <w:rsid w:val="00E83FBF"/>
    <w:rsid w:val="00E846FC"/>
    <w:rsid w:val="00E84779"/>
    <w:rsid w:val="00E847E4"/>
    <w:rsid w:val="00E84A6E"/>
    <w:rsid w:val="00E84FDC"/>
    <w:rsid w:val="00E85DA7"/>
    <w:rsid w:val="00E86C4F"/>
    <w:rsid w:val="00E86E60"/>
    <w:rsid w:val="00E86F5B"/>
    <w:rsid w:val="00E87EC5"/>
    <w:rsid w:val="00E9011B"/>
    <w:rsid w:val="00E908BE"/>
    <w:rsid w:val="00E90F5D"/>
    <w:rsid w:val="00E912AC"/>
    <w:rsid w:val="00E9137B"/>
    <w:rsid w:val="00E9275F"/>
    <w:rsid w:val="00E92E77"/>
    <w:rsid w:val="00E9333E"/>
    <w:rsid w:val="00E9366A"/>
    <w:rsid w:val="00E93AA4"/>
    <w:rsid w:val="00E94145"/>
    <w:rsid w:val="00E94C2E"/>
    <w:rsid w:val="00E9514E"/>
    <w:rsid w:val="00E9526D"/>
    <w:rsid w:val="00E95398"/>
    <w:rsid w:val="00E95552"/>
    <w:rsid w:val="00E95AC0"/>
    <w:rsid w:val="00E95FDE"/>
    <w:rsid w:val="00E9632E"/>
    <w:rsid w:val="00E96792"/>
    <w:rsid w:val="00E96F14"/>
    <w:rsid w:val="00E970A0"/>
    <w:rsid w:val="00E9719B"/>
    <w:rsid w:val="00E97422"/>
    <w:rsid w:val="00E978F9"/>
    <w:rsid w:val="00E9794D"/>
    <w:rsid w:val="00E979CC"/>
    <w:rsid w:val="00E97A25"/>
    <w:rsid w:val="00EA0290"/>
    <w:rsid w:val="00EA052A"/>
    <w:rsid w:val="00EA0AC2"/>
    <w:rsid w:val="00EA0BD1"/>
    <w:rsid w:val="00EA0C25"/>
    <w:rsid w:val="00EA14F1"/>
    <w:rsid w:val="00EA1C97"/>
    <w:rsid w:val="00EA1F38"/>
    <w:rsid w:val="00EA2A13"/>
    <w:rsid w:val="00EA2A83"/>
    <w:rsid w:val="00EA41CA"/>
    <w:rsid w:val="00EA45F4"/>
    <w:rsid w:val="00EA4692"/>
    <w:rsid w:val="00EA46CD"/>
    <w:rsid w:val="00EA4858"/>
    <w:rsid w:val="00EA4CA1"/>
    <w:rsid w:val="00EA5838"/>
    <w:rsid w:val="00EA5E31"/>
    <w:rsid w:val="00EA6447"/>
    <w:rsid w:val="00EA666F"/>
    <w:rsid w:val="00EA6840"/>
    <w:rsid w:val="00EA69C2"/>
    <w:rsid w:val="00EA6BD2"/>
    <w:rsid w:val="00EA7771"/>
    <w:rsid w:val="00EA7961"/>
    <w:rsid w:val="00EB0C8C"/>
    <w:rsid w:val="00EB1252"/>
    <w:rsid w:val="00EB2604"/>
    <w:rsid w:val="00EB2766"/>
    <w:rsid w:val="00EB2D35"/>
    <w:rsid w:val="00EB3529"/>
    <w:rsid w:val="00EB357C"/>
    <w:rsid w:val="00EB37E9"/>
    <w:rsid w:val="00EB39A2"/>
    <w:rsid w:val="00EB39C2"/>
    <w:rsid w:val="00EB3A94"/>
    <w:rsid w:val="00EB3F10"/>
    <w:rsid w:val="00EB4017"/>
    <w:rsid w:val="00EB45F3"/>
    <w:rsid w:val="00EB4D29"/>
    <w:rsid w:val="00EB4E79"/>
    <w:rsid w:val="00EB51E7"/>
    <w:rsid w:val="00EB54C5"/>
    <w:rsid w:val="00EB6183"/>
    <w:rsid w:val="00EB72E4"/>
    <w:rsid w:val="00EB7DB8"/>
    <w:rsid w:val="00EC0500"/>
    <w:rsid w:val="00EC0D95"/>
    <w:rsid w:val="00EC0E85"/>
    <w:rsid w:val="00EC12A5"/>
    <w:rsid w:val="00EC14DB"/>
    <w:rsid w:val="00EC1DFC"/>
    <w:rsid w:val="00EC238A"/>
    <w:rsid w:val="00EC2409"/>
    <w:rsid w:val="00EC26BC"/>
    <w:rsid w:val="00EC2FF5"/>
    <w:rsid w:val="00EC314F"/>
    <w:rsid w:val="00EC3383"/>
    <w:rsid w:val="00EC3745"/>
    <w:rsid w:val="00EC39C2"/>
    <w:rsid w:val="00EC4241"/>
    <w:rsid w:val="00EC429A"/>
    <w:rsid w:val="00EC4361"/>
    <w:rsid w:val="00EC4618"/>
    <w:rsid w:val="00EC4A95"/>
    <w:rsid w:val="00EC5289"/>
    <w:rsid w:val="00EC6ADB"/>
    <w:rsid w:val="00EC6C33"/>
    <w:rsid w:val="00EC6ECE"/>
    <w:rsid w:val="00EC7035"/>
    <w:rsid w:val="00EC704B"/>
    <w:rsid w:val="00EC779B"/>
    <w:rsid w:val="00EC7839"/>
    <w:rsid w:val="00EC7B38"/>
    <w:rsid w:val="00EC7C96"/>
    <w:rsid w:val="00ED003E"/>
    <w:rsid w:val="00ED0760"/>
    <w:rsid w:val="00ED09F5"/>
    <w:rsid w:val="00ED15BA"/>
    <w:rsid w:val="00ED1643"/>
    <w:rsid w:val="00ED1802"/>
    <w:rsid w:val="00ED1D52"/>
    <w:rsid w:val="00ED217A"/>
    <w:rsid w:val="00ED238C"/>
    <w:rsid w:val="00ED2638"/>
    <w:rsid w:val="00ED29E7"/>
    <w:rsid w:val="00ED2D2A"/>
    <w:rsid w:val="00ED3586"/>
    <w:rsid w:val="00ED35BB"/>
    <w:rsid w:val="00ED3BD6"/>
    <w:rsid w:val="00ED435D"/>
    <w:rsid w:val="00ED5061"/>
    <w:rsid w:val="00ED52BB"/>
    <w:rsid w:val="00ED66D8"/>
    <w:rsid w:val="00ED69C8"/>
    <w:rsid w:val="00ED6B0B"/>
    <w:rsid w:val="00ED6C59"/>
    <w:rsid w:val="00ED7238"/>
    <w:rsid w:val="00ED730E"/>
    <w:rsid w:val="00ED7B69"/>
    <w:rsid w:val="00ED7FC0"/>
    <w:rsid w:val="00EE0382"/>
    <w:rsid w:val="00EE0389"/>
    <w:rsid w:val="00EE05E5"/>
    <w:rsid w:val="00EE0A44"/>
    <w:rsid w:val="00EE0B81"/>
    <w:rsid w:val="00EE0CA9"/>
    <w:rsid w:val="00EE0DD4"/>
    <w:rsid w:val="00EE14EC"/>
    <w:rsid w:val="00EE1AEF"/>
    <w:rsid w:val="00EE1E0F"/>
    <w:rsid w:val="00EE1E9A"/>
    <w:rsid w:val="00EE2AB8"/>
    <w:rsid w:val="00EE33B8"/>
    <w:rsid w:val="00EE39E8"/>
    <w:rsid w:val="00EE4B33"/>
    <w:rsid w:val="00EE502F"/>
    <w:rsid w:val="00EE505A"/>
    <w:rsid w:val="00EE54E9"/>
    <w:rsid w:val="00EE5DA8"/>
    <w:rsid w:val="00EE62F6"/>
    <w:rsid w:val="00EE6C22"/>
    <w:rsid w:val="00EE780C"/>
    <w:rsid w:val="00EE7E7F"/>
    <w:rsid w:val="00EF0081"/>
    <w:rsid w:val="00EF01CD"/>
    <w:rsid w:val="00EF0753"/>
    <w:rsid w:val="00EF08B6"/>
    <w:rsid w:val="00EF135E"/>
    <w:rsid w:val="00EF14CF"/>
    <w:rsid w:val="00EF1D90"/>
    <w:rsid w:val="00EF3754"/>
    <w:rsid w:val="00EF3B78"/>
    <w:rsid w:val="00EF3C0A"/>
    <w:rsid w:val="00EF4691"/>
    <w:rsid w:val="00EF5199"/>
    <w:rsid w:val="00EF53B8"/>
    <w:rsid w:val="00EF57D6"/>
    <w:rsid w:val="00EF58DA"/>
    <w:rsid w:val="00EF5996"/>
    <w:rsid w:val="00EF5B66"/>
    <w:rsid w:val="00EF6F8D"/>
    <w:rsid w:val="00EF7740"/>
    <w:rsid w:val="00EF7A98"/>
    <w:rsid w:val="00EF7E6B"/>
    <w:rsid w:val="00F004F9"/>
    <w:rsid w:val="00F005CB"/>
    <w:rsid w:val="00F00D22"/>
    <w:rsid w:val="00F00D62"/>
    <w:rsid w:val="00F00F7A"/>
    <w:rsid w:val="00F0121A"/>
    <w:rsid w:val="00F01543"/>
    <w:rsid w:val="00F01874"/>
    <w:rsid w:val="00F01CB5"/>
    <w:rsid w:val="00F0228C"/>
    <w:rsid w:val="00F02307"/>
    <w:rsid w:val="00F0243F"/>
    <w:rsid w:val="00F02823"/>
    <w:rsid w:val="00F038CB"/>
    <w:rsid w:val="00F04D9B"/>
    <w:rsid w:val="00F055F8"/>
    <w:rsid w:val="00F05792"/>
    <w:rsid w:val="00F057E7"/>
    <w:rsid w:val="00F05873"/>
    <w:rsid w:val="00F06038"/>
    <w:rsid w:val="00F0633C"/>
    <w:rsid w:val="00F066C4"/>
    <w:rsid w:val="00F06CEE"/>
    <w:rsid w:val="00F078BC"/>
    <w:rsid w:val="00F07D68"/>
    <w:rsid w:val="00F1002D"/>
    <w:rsid w:val="00F10308"/>
    <w:rsid w:val="00F110F3"/>
    <w:rsid w:val="00F112C3"/>
    <w:rsid w:val="00F11F96"/>
    <w:rsid w:val="00F1252A"/>
    <w:rsid w:val="00F12945"/>
    <w:rsid w:val="00F12E02"/>
    <w:rsid w:val="00F1325A"/>
    <w:rsid w:val="00F135D3"/>
    <w:rsid w:val="00F1395E"/>
    <w:rsid w:val="00F14DD6"/>
    <w:rsid w:val="00F15481"/>
    <w:rsid w:val="00F15882"/>
    <w:rsid w:val="00F1589E"/>
    <w:rsid w:val="00F15A8D"/>
    <w:rsid w:val="00F15E38"/>
    <w:rsid w:val="00F16B9A"/>
    <w:rsid w:val="00F16CB2"/>
    <w:rsid w:val="00F17042"/>
    <w:rsid w:val="00F17260"/>
    <w:rsid w:val="00F17D7C"/>
    <w:rsid w:val="00F17F8A"/>
    <w:rsid w:val="00F2019E"/>
    <w:rsid w:val="00F20FCF"/>
    <w:rsid w:val="00F21260"/>
    <w:rsid w:val="00F215B6"/>
    <w:rsid w:val="00F21A6D"/>
    <w:rsid w:val="00F21CB9"/>
    <w:rsid w:val="00F224C1"/>
    <w:rsid w:val="00F2279E"/>
    <w:rsid w:val="00F22F99"/>
    <w:rsid w:val="00F2304A"/>
    <w:rsid w:val="00F23109"/>
    <w:rsid w:val="00F23684"/>
    <w:rsid w:val="00F23B9C"/>
    <w:rsid w:val="00F23D9A"/>
    <w:rsid w:val="00F23F43"/>
    <w:rsid w:val="00F24BEF"/>
    <w:rsid w:val="00F253F1"/>
    <w:rsid w:val="00F25739"/>
    <w:rsid w:val="00F26203"/>
    <w:rsid w:val="00F2633A"/>
    <w:rsid w:val="00F26D62"/>
    <w:rsid w:val="00F272CD"/>
    <w:rsid w:val="00F2732F"/>
    <w:rsid w:val="00F279C6"/>
    <w:rsid w:val="00F27DDE"/>
    <w:rsid w:val="00F302DF"/>
    <w:rsid w:val="00F305C7"/>
    <w:rsid w:val="00F308D9"/>
    <w:rsid w:val="00F30EAC"/>
    <w:rsid w:val="00F3120E"/>
    <w:rsid w:val="00F31262"/>
    <w:rsid w:val="00F31B3B"/>
    <w:rsid w:val="00F31B60"/>
    <w:rsid w:val="00F32091"/>
    <w:rsid w:val="00F32394"/>
    <w:rsid w:val="00F33026"/>
    <w:rsid w:val="00F332CE"/>
    <w:rsid w:val="00F335EF"/>
    <w:rsid w:val="00F33B9E"/>
    <w:rsid w:val="00F34218"/>
    <w:rsid w:val="00F345F3"/>
    <w:rsid w:val="00F34FFA"/>
    <w:rsid w:val="00F350C9"/>
    <w:rsid w:val="00F3608D"/>
    <w:rsid w:val="00F364B5"/>
    <w:rsid w:val="00F36D51"/>
    <w:rsid w:val="00F373E0"/>
    <w:rsid w:val="00F375E5"/>
    <w:rsid w:val="00F376D2"/>
    <w:rsid w:val="00F37ACE"/>
    <w:rsid w:val="00F37E1A"/>
    <w:rsid w:val="00F40637"/>
    <w:rsid w:val="00F4106A"/>
    <w:rsid w:val="00F41113"/>
    <w:rsid w:val="00F41288"/>
    <w:rsid w:val="00F415D8"/>
    <w:rsid w:val="00F41A24"/>
    <w:rsid w:val="00F41E73"/>
    <w:rsid w:val="00F42226"/>
    <w:rsid w:val="00F42DEA"/>
    <w:rsid w:val="00F42E51"/>
    <w:rsid w:val="00F42F96"/>
    <w:rsid w:val="00F4376C"/>
    <w:rsid w:val="00F43DD4"/>
    <w:rsid w:val="00F43E24"/>
    <w:rsid w:val="00F44833"/>
    <w:rsid w:val="00F44E8F"/>
    <w:rsid w:val="00F44F55"/>
    <w:rsid w:val="00F45035"/>
    <w:rsid w:val="00F453B1"/>
    <w:rsid w:val="00F456DF"/>
    <w:rsid w:val="00F459E3"/>
    <w:rsid w:val="00F45C69"/>
    <w:rsid w:val="00F462EA"/>
    <w:rsid w:val="00F46442"/>
    <w:rsid w:val="00F47242"/>
    <w:rsid w:val="00F47244"/>
    <w:rsid w:val="00F47503"/>
    <w:rsid w:val="00F47CE5"/>
    <w:rsid w:val="00F47E00"/>
    <w:rsid w:val="00F5030E"/>
    <w:rsid w:val="00F503B9"/>
    <w:rsid w:val="00F506C6"/>
    <w:rsid w:val="00F5110D"/>
    <w:rsid w:val="00F51FE5"/>
    <w:rsid w:val="00F523B5"/>
    <w:rsid w:val="00F52775"/>
    <w:rsid w:val="00F52AFA"/>
    <w:rsid w:val="00F52DCC"/>
    <w:rsid w:val="00F53B79"/>
    <w:rsid w:val="00F54243"/>
    <w:rsid w:val="00F54597"/>
    <w:rsid w:val="00F54CF9"/>
    <w:rsid w:val="00F55104"/>
    <w:rsid w:val="00F5513C"/>
    <w:rsid w:val="00F5537C"/>
    <w:rsid w:val="00F55E08"/>
    <w:rsid w:val="00F56129"/>
    <w:rsid w:val="00F57042"/>
    <w:rsid w:val="00F57224"/>
    <w:rsid w:val="00F57936"/>
    <w:rsid w:val="00F57C05"/>
    <w:rsid w:val="00F57EF4"/>
    <w:rsid w:val="00F57FEE"/>
    <w:rsid w:val="00F60582"/>
    <w:rsid w:val="00F60EDC"/>
    <w:rsid w:val="00F61219"/>
    <w:rsid w:val="00F61979"/>
    <w:rsid w:val="00F61B62"/>
    <w:rsid w:val="00F61C22"/>
    <w:rsid w:val="00F62102"/>
    <w:rsid w:val="00F6264A"/>
    <w:rsid w:val="00F6278B"/>
    <w:rsid w:val="00F62C13"/>
    <w:rsid w:val="00F62C41"/>
    <w:rsid w:val="00F630FC"/>
    <w:rsid w:val="00F6335D"/>
    <w:rsid w:val="00F6350B"/>
    <w:rsid w:val="00F63A37"/>
    <w:rsid w:val="00F63CC1"/>
    <w:rsid w:val="00F640E4"/>
    <w:rsid w:val="00F64367"/>
    <w:rsid w:val="00F65130"/>
    <w:rsid w:val="00F662F8"/>
    <w:rsid w:val="00F66300"/>
    <w:rsid w:val="00F668F6"/>
    <w:rsid w:val="00F670B8"/>
    <w:rsid w:val="00F6710B"/>
    <w:rsid w:val="00F6723B"/>
    <w:rsid w:val="00F67BFF"/>
    <w:rsid w:val="00F67CE0"/>
    <w:rsid w:val="00F67DF5"/>
    <w:rsid w:val="00F67E41"/>
    <w:rsid w:val="00F67ECD"/>
    <w:rsid w:val="00F7003F"/>
    <w:rsid w:val="00F701F0"/>
    <w:rsid w:val="00F7062F"/>
    <w:rsid w:val="00F710CE"/>
    <w:rsid w:val="00F7160D"/>
    <w:rsid w:val="00F71BAC"/>
    <w:rsid w:val="00F71CD9"/>
    <w:rsid w:val="00F7264B"/>
    <w:rsid w:val="00F72F88"/>
    <w:rsid w:val="00F736A3"/>
    <w:rsid w:val="00F73B06"/>
    <w:rsid w:val="00F74055"/>
    <w:rsid w:val="00F742C3"/>
    <w:rsid w:val="00F74E7F"/>
    <w:rsid w:val="00F75568"/>
    <w:rsid w:val="00F76394"/>
    <w:rsid w:val="00F76CB1"/>
    <w:rsid w:val="00F76FB9"/>
    <w:rsid w:val="00F77294"/>
    <w:rsid w:val="00F7782D"/>
    <w:rsid w:val="00F77A75"/>
    <w:rsid w:val="00F77F5A"/>
    <w:rsid w:val="00F804E3"/>
    <w:rsid w:val="00F80683"/>
    <w:rsid w:val="00F80E84"/>
    <w:rsid w:val="00F810DC"/>
    <w:rsid w:val="00F82203"/>
    <w:rsid w:val="00F82B69"/>
    <w:rsid w:val="00F82DDE"/>
    <w:rsid w:val="00F82DEB"/>
    <w:rsid w:val="00F82DFE"/>
    <w:rsid w:val="00F836EB"/>
    <w:rsid w:val="00F83EE1"/>
    <w:rsid w:val="00F83F94"/>
    <w:rsid w:val="00F8427A"/>
    <w:rsid w:val="00F8478F"/>
    <w:rsid w:val="00F847D9"/>
    <w:rsid w:val="00F84968"/>
    <w:rsid w:val="00F851A5"/>
    <w:rsid w:val="00F861CF"/>
    <w:rsid w:val="00F86BA0"/>
    <w:rsid w:val="00F8708F"/>
    <w:rsid w:val="00F87A5F"/>
    <w:rsid w:val="00F87FC0"/>
    <w:rsid w:val="00F90092"/>
    <w:rsid w:val="00F902B5"/>
    <w:rsid w:val="00F908EE"/>
    <w:rsid w:val="00F90A59"/>
    <w:rsid w:val="00F90CE3"/>
    <w:rsid w:val="00F9136B"/>
    <w:rsid w:val="00F91506"/>
    <w:rsid w:val="00F9192E"/>
    <w:rsid w:val="00F9194A"/>
    <w:rsid w:val="00F9199D"/>
    <w:rsid w:val="00F91B27"/>
    <w:rsid w:val="00F91C2B"/>
    <w:rsid w:val="00F91D87"/>
    <w:rsid w:val="00F92397"/>
    <w:rsid w:val="00F92846"/>
    <w:rsid w:val="00F92FC4"/>
    <w:rsid w:val="00F93465"/>
    <w:rsid w:val="00F9362D"/>
    <w:rsid w:val="00F93664"/>
    <w:rsid w:val="00F9383F"/>
    <w:rsid w:val="00F944CA"/>
    <w:rsid w:val="00F94E05"/>
    <w:rsid w:val="00F95109"/>
    <w:rsid w:val="00F95972"/>
    <w:rsid w:val="00F96593"/>
    <w:rsid w:val="00F96C80"/>
    <w:rsid w:val="00F96D89"/>
    <w:rsid w:val="00F9732D"/>
    <w:rsid w:val="00F9776D"/>
    <w:rsid w:val="00F979C1"/>
    <w:rsid w:val="00FA036C"/>
    <w:rsid w:val="00FA0C6B"/>
    <w:rsid w:val="00FA1C95"/>
    <w:rsid w:val="00FA2110"/>
    <w:rsid w:val="00FA25BD"/>
    <w:rsid w:val="00FA281A"/>
    <w:rsid w:val="00FA2DA2"/>
    <w:rsid w:val="00FA3ADA"/>
    <w:rsid w:val="00FA3CC2"/>
    <w:rsid w:val="00FA3DDA"/>
    <w:rsid w:val="00FA3F53"/>
    <w:rsid w:val="00FA453E"/>
    <w:rsid w:val="00FA4AFD"/>
    <w:rsid w:val="00FA4CB2"/>
    <w:rsid w:val="00FA5344"/>
    <w:rsid w:val="00FA55C0"/>
    <w:rsid w:val="00FA56E2"/>
    <w:rsid w:val="00FA5BB4"/>
    <w:rsid w:val="00FA64E7"/>
    <w:rsid w:val="00FA6841"/>
    <w:rsid w:val="00FA6E92"/>
    <w:rsid w:val="00FA770C"/>
    <w:rsid w:val="00FA780A"/>
    <w:rsid w:val="00FA7B6F"/>
    <w:rsid w:val="00FB096D"/>
    <w:rsid w:val="00FB0D82"/>
    <w:rsid w:val="00FB1820"/>
    <w:rsid w:val="00FB1BA0"/>
    <w:rsid w:val="00FB1C95"/>
    <w:rsid w:val="00FB3543"/>
    <w:rsid w:val="00FB381E"/>
    <w:rsid w:val="00FB39E2"/>
    <w:rsid w:val="00FB3D41"/>
    <w:rsid w:val="00FB5858"/>
    <w:rsid w:val="00FB58BA"/>
    <w:rsid w:val="00FB5D49"/>
    <w:rsid w:val="00FB74E7"/>
    <w:rsid w:val="00FB7D53"/>
    <w:rsid w:val="00FC0035"/>
    <w:rsid w:val="00FC1127"/>
    <w:rsid w:val="00FC140B"/>
    <w:rsid w:val="00FC1E6C"/>
    <w:rsid w:val="00FC1EA6"/>
    <w:rsid w:val="00FC2A54"/>
    <w:rsid w:val="00FC2D99"/>
    <w:rsid w:val="00FC32B8"/>
    <w:rsid w:val="00FC38C6"/>
    <w:rsid w:val="00FC38D8"/>
    <w:rsid w:val="00FC3C1C"/>
    <w:rsid w:val="00FC44C2"/>
    <w:rsid w:val="00FC50DC"/>
    <w:rsid w:val="00FC5552"/>
    <w:rsid w:val="00FC5B64"/>
    <w:rsid w:val="00FC6108"/>
    <w:rsid w:val="00FC672E"/>
    <w:rsid w:val="00FC6811"/>
    <w:rsid w:val="00FC6914"/>
    <w:rsid w:val="00FC6A57"/>
    <w:rsid w:val="00FC6C07"/>
    <w:rsid w:val="00FC761F"/>
    <w:rsid w:val="00FD0715"/>
    <w:rsid w:val="00FD0A5E"/>
    <w:rsid w:val="00FD1639"/>
    <w:rsid w:val="00FD18B9"/>
    <w:rsid w:val="00FD1B83"/>
    <w:rsid w:val="00FD26F8"/>
    <w:rsid w:val="00FD291C"/>
    <w:rsid w:val="00FD2AB7"/>
    <w:rsid w:val="00FD2FAE"/>
    <w:rsid w:val="00FD2FF7"/>
    <w:rsid w:val="00FD3F63"/>
    <w:rsid w:val="00FD468F"/>
    <w:rsid w:val="00FD55FC"/>
    <w:rsid w:val="00FD60A0"/>
    <w:rsid w:val="00FD6ABE"/>
    <w:rsid w:val="00FD6B98"/>
    <w:rsid w:val="00FD707A"/>
    <w:rsid w:val="00FD72C4"/>
    <w:rsid w:val="00FD7324"/>
    <w:rsid w:val="00FD7662"/>
    <w:rsid w:val="00FD7B1B"/>
    <w:rsid w:val="00FD7CF5"/>
    <w:rsid w:val="00FD7E5C"/>
    <w:rsid w:val="00FE0649"/>
    <w:rsid w:val="00FE090C"/>
    <w:rsid w:val="00FE091E"/>
    <w:rsid w:val="00FE0FE0"/>
    <w:rsid w:val="00FE1046"/>
    <w:rsid w:val="00FE1D08"/>
    <w:rsid w:val="00FE1E2B"/>
    <w:rsid w:val="00FE1F4A"/>
    <w:rsid w:val="00FE24FE"/>
    <w:rsid w:val="00FE27F5"/>
    <w:rsid w:val="00FE3309"/>
    <w:rsid w:val="00FE34BE"/>
    <w:rsid w:val="00FE393F"/>
    <w:rsid w:val="00FE3EE0"/>
    <w:rsid w:val="00FE44C1"/>
    <w:rsid w:val="00FE4C48"/>
    <w:rsid w:val="00FE4CCE"/>
    <w:rsid w:val="00FE4E33"/>
    <w:rsid w:val="00FE5456"/>
    <w:rsid w:val="00FE5E8A"/>
    <w:rsid w:val="00FE6533"/>
    <w:rsid w:val="00FE6FB8"/>
    <w:rsid w:val="00FE7492"/>
    <w:rsid w:val="00FE76D8"/>
    <w:rsid w:val="00FE7B1D"/>
    <w:rsid w:val="00FE7D78"/>
    <w:rsid w:val="00FE7E1E"/>
    <w:rsid w:val="00FF02DB"/>
    <w:rsid w:val="00FF079B"/>
    <w:rsid w:val="00FF0BF6"/>
    <w:rsid w:val="00FF0C66"/>
    <w:rsid w:val="00FF0EA1"/>
    <w:rsid w:val="00FF107B"/>
    <w:rsid w:val="00FF1247"/>
    <w:rsid w:val="00FF1343"/>
    <w:rsid w:val="00FF1378"/>
    <w:rsid w:val="00FF1696"/>
    <w:rsid w:val="00FF1949"/>
    <w:rsid w:val="00FF1CAF"/>
    <w:rsid w:val="00FF2072"/>
    <w:rsid w:val="00FF3773"/>
    <w:rsid w:val="00FF397B"/>
    <w:rsid w:val="00FF4283"/>
    <w:rsid w:val="00FF44AB"/>
    <w:rsid w:val="00FF4B9C"/>
    <w:rsid w:val="00FF5209"/>
    <w:rsid w:val="00FF5615"/>
    <w:rsid w:val="00FF5A00"/>
    <w:rsid w:val="00FF5EF1"/>
    <w:rsid w:val="00FF6124"/>
    <w:rsid w:val="00FF6738"/>
    <w:rsid w:val="00FF67F2"/>
    <w:rsid w:val="00FF6C4E"/>
    <w:rsid w:val="00FF6D57"/>
    <w:rsid w:val="00FF6D82"/>
    <w:rsid w:val="00FF6F90"/>
    <w:rsid w:val="00FF7E50"/>
    <w:rsid w:val="014A14D6"/>
    <w:rsid w:val="01761461"/>
    <w:rsid w:val="019B5D33"/>
    <w:rsid w:val="01CF0D89"/>
    <w:rsid w:val="01DB6127"/>
    <w:rsid w:val="020D657A"/>
    <w:rsid w:val="0223236F"/>
    <w:rsid w:val="022624E7"/>
    <w:rsid w:val="02287C7B"/>
    <w:rsid w:val="02952C5E"/>
    <w:rsid w:val="02AC0069"/>
    <w:rsid w:val="02BC242F"/>
    <w:rsid w:val="02E465FD"/>
    <w:rsid w:val="02FB5F01"/>
    <w:rsid w:val="03215A7A"/>
    <w:rsid w:val="03AC38D7"/>
    <w:rsid w:val="03AF33C1"/>
    <w:rsid w:val="03C5064A"/>
    <w:rsid w:val="03CA0201"/>
    <w:rsid w:val="03FD520D"/>
    <w:rsid w:val="04250D9C"/>
    <w:rsid w:val="04324399"/>
    <w:rsid w:val="046E5030"/>
    <w:rsid w:val="047A5783"/>
    <w:rsid w:val="047C774D"/>
    <w:rsid w:val="048B7990"/>
    <w:rsid w:val="049B596F"/>
    <w:rsid w:val="04CC1D57"/>
    <w:rsid w:val="04E83035"/>
    <w:rsid w:val="05105453"/>
    <w:rsid w:val="053A2227"/>
    <w:rsid w:val="05410997"/>
    <w:rsid w:val="056F47F6"/>
    <w:rsid w:val="058246A6"/>
    <w:rsid w:val="059A5C98"/>
    <w:rsid w:val="05E41A1D"/>
    <w:rsid w:val="05FE5DE3"/>
    <w:rsid w:val="060D3F99"/>
    <w:rsid w:val="065B4DA2"/>
    <w:rsid w:val="06636FB2"/>
    <w:rsid w:val="06A64F55"/>
    <w:rsid w:val="06B55198"/>
    <w:rsid w:val="06C66471"/>
    <w:rsid w:val="06C90C44"/>
    <w:rsid w:val="06F35CC1"/>
    <w:rsid w:val="07041C7C"/>
    <w:rsid w:val="07222102"/>
    <w:rsid w:val="073B6441"/>
    <w:rsid w:val="07D97889"/>
    <w:rsid w:val="07E30E61"/>
    <w:rsid w:val="07F461D2"/>
    <w:rsid w:val="080B666F"/>
    <w:rsid w:val="083B16CD"/>
    <w:rsid w:val="085207C5"/>
    <w:rsid w:val="089B2A84"/>
    <w:rsid w:val="08AB319A"/>
    <w:rsid w:val="092142EF"/>
    <w:rsid w:val="09525099"/>
    <w:rsid w:val="09774987"/>
    <w:rsid w:val="09B8437B"/>
    <w:rsid w:val="09E15FA8"/>
    <w:rsid w:val="0A00361B"/>
    <w:rsid w:val="0A1C5118"/>
    <w:rsid w:val="0A294445"/>
    <w:rsid w:val="0A456833"/>
    <w:rsid w:val="0A785EBE"/>
    <w:rsid w:val="0A99114F"/>
    <w:rsid w:val="0AA753AB"/>
    <w:rsid w:val="0AC54D37"/>
    <w:rsid w:val="0ACB4F8A"/>
    <w:rsid w:val="0B0A4050"/>
    <w:rsid w:val="0B1F52D6"/>
    <w:rsid w:val="0B544A8F"/>
    <w:rsid w:val="0B564557"/>
    <w:rsid w:val="0B5A4560"/>
    <w:rsid w:val="0B952081"/>
    <w:rsid w:val="0B960351"/>
    <w:rsid w:val="0B9E1294"/>
    <w:rsid w:val="0BB43C70"/>
    <w:rsid w:val="0BDD7D11"/>
    <w:rsid w:val="0C746EAB"/>
    <w:rsid w:val="0C8A49D1"/>
    <w:rsid w:val="0C8E44C1"/>
    <w:rsid w:val="0CB8497B"/>
    <w:rsid w:val="0CE42333"/>
    <w:rsid w:val="0CF555B7"/>
    <w:rsid w:val="0CF57E91"/>
    <w:rsid w:val="0D06116E"/>
    <w:rsid w:val="0D305579"/>
    <w:rsid w:val="0D4C1C87"/>
    <w:rsid w:val="0D5867A2"/>
    <w:rsid w:val="0D5B47C8"/>
    <w:rsid w:val="0D7A2C98"/>
    <w:rsid w:val="0DA252ED"/>
    <w:rsid w:val="0DB25FD8"/>
    <w:rsid w:val="0E3C6626"/>
    <w:rsid w:val="0E7A1107"/>
    <w:rsid w:val="0E8006B4"/>
    <w:rsid w:val="0E947D89"/>
    <w:rsid w:val="0EB63057"/>
    <w:rsid w:val="0ECD60CB"/>
    <w:rsid w:val="0ED57398"/>
    <w:rsid w:val="0ED87C76"/>
    <w:rsid w:val="0EE53CAA"/>
    <w:rsid w:val="0EEC3721"/>
    <w:rsid w:val="0F01750C"/>
    <w:rsid w:val="0F0942D3"/>
    <w:rsid w:val="0F342827"/>
    <w:rsid w:val="0F4B48EC"/>
    <w:rsid w:val="0F630EB1"/>
    <w:rsid w:val="0F6A1754"/>
    <w:rsid w:val="0F6B6962"/>
    <w:rsid w:val="0FBE2456"/>
    <w:rsid w:val="0FBF030D"/>
    <w:rsid w:val="0FC26FE7"/>
    <w:rsid w:val="0FCF7A0F"/>
    <w:rsid w:val="0FD3668F"/>
    <w:rsid w:val="0FE443F8"/>
    <w:rsid w:val="0FE53F92"/>
    <w:rsid w:val="0FED5C57"/>
    <w:rsid w:val="0FFA2E60"/>
    <w:rsid w:val="10075607"/>
    <w:rsid w:val="101501AD"/>
    <w:rsid w:val="104C0B22"/>
    <w:rsid w:val="106F0518"/>
    <w:rsid w:val="10807302"/>
    <w:rsid w:val="1083627A"/>
    <w:rsid w:val="108B13C2"/>
    <w:rsid w:val="10A92DD3"/>
    <w:rsid w:val="113349F9"/>
    <w:rsid w:val="116515C8"/>
    <w:rsid w:val="1175349A"/>
    <w:rsid w:val="1184061B"/>
    <w:rsid w:val="11EE5EEA"/>
    <w:rsid w:val="11FC1ECD"/>
    <w:rsid w:val="12284C92"/>
    <w:rsid w:val="124A3F3F"/>
    <w:rsid w:val="127C4DBC"/>
    <w:rsid w:val="129B16E6"/>
    <w:rsid w:val="129E4D82"/>
    <w:rsid w:val="12AC31BF"/>
    <w:rsid w:val="12D84F2E"/>
    <w:rsid w:val="12D940DE"/>
    <w:rsid w:val="12E14C45"/>
    <w:rsid w:val="12F6691D"/>
    <w:rsid w:val="1303121D"/>
    <w:rsid w:val="132C25A9"/>
    <w:rsid w:val="133142B3"/>
    <w:rsid w:val="13516249"/>
    <w:rsid w:val="13555C66"/>
    <w:rsid w:val="135A334F"/>
    <w:rsid w:val="1379754E"/>
    <w:rsid w:val="137E6702"/>
    <w:rsid w:val="13855EF2"/>
    <w:rsid w:val="139A42D3"/>
    <w:rsid w:val="139B3968"/>
    <w:rsid w:val="13A50343"/>
    <w:rsid w:val="13AA0314"/>
    <w:rsid w:val="13B660AC"/>
    <w:rsid w:val="13BF31B2"/>
    <w:rsid w:val="13BF47FD"/>
    <w:rsid w:val="13D12EE6"/>
    <w:rsid w:val="13F758F1"/>
    <w:rsid w:val="13FA2E27"/>
    <w:rsid w:val="14382F65"/>
    <w:rsid w:val="14732CC4"/>
    <w:rsid w:val="14787805"/>
    <w:rsid w:val="1486741F"/>
    <w:rsid w:val="14A012B1"/>
    <w:rsid w:val="14C57CDA"/>
    <w:rsid w:val="14D40EDF"/>
    <w:rsid w:val="14E13D7A"/>
    <w:rsid w:val="14E60FC5"/>
    <w:rsid w:val="14F94DE7"/>
    <w:rsid w:val="151C63E2"/>
    <w:rsid w:val="15320708"/>
    <w:rsid w:val="15320AA9"/>
    <w:rsid w:val="154B447A"/>
    <w:rsid w:val="15B531D6"/>
    <w:rsid w:val="15D46D50"/>
    <w:rsid w:val="15F34711"/>
    <w:rsid w:val="15F90702"/>
    <w:rsid w:val="15FC29A5"/>
    <w:rsid w:val="16077093"/>
    <w:rsid w:val="160F7CF5"/>
    <w:rsid w:val="162166CB"/>
    <w:rsid w:val="16375ECF"/>
    <w:rsid w:val="16B40898"/>
    <w:rsid w:val="16C968FB"/>
    <w:rsid w:val="16DA6555"/>
    <w:rsid w:val="16E80C72"/>
    <w:rsid w:val="1705493D"/>
    <w:rsid w:val="17215DB7"/>
    <w:rsid w:val="1736653A"/>
    <w:rsid w:val="174C7453"/>
    <w:rsid w:val="177A699D"/>
    <w:rsid w:val="17B46CFB"/>
    <w:rsid w:val="17D8243D"/>
    <w:rsid w:val="18367024"/>
    <w:rsid w:val="18381BC6"/>
    <w:rsid w:val="185F0EA1"/>
    <w:rsid w:val="18624A54"/>
    <w:rsid w:val="186938B7"/>
    <w:rsid w:val="18851D55"/>
    <w:rsid w:val="18A72D85"/>
    <w:rsid w:val="18C13618"/>
    <w:rsid w:val="18F460C2"/>
    <w:rsid w:val="19051B6A"/>
    <w:rsid w:val="19150E7F"/>
    <w:rsid w:val="191E097B"/>
    <w:rsid w:val="19206410"/>
    <w:rsid w:val="193E287A"/>
    <w:rsid w:val="195720DF"/>
    <w:rsid w:val="19622356"/>
    <w:rsid w:val="19802244"/>
    <w:rsid w:val="198028E2"/>
    <w:rsid w:val="199155F1"/>
    <w:rsid w:val="19930475"/>
    <w:rsid w:val="19A12CBE"/>
    <w:rsid w:val="19E1230A"/>
    <w:rsid w:val="19E962F6"/>
    <w:rsid w:val="1A225F12"/>
    <w:rsid w:val="1A295829"/>
    <w:rsid w:val="1A2F6BB8"/>
    <w:rsid w:val="1A352354"/>
    <w:rsid w:val="1A47372A"/>
    <w:rsid w:val="1A556EF5"/>
    <w:rsid w:val="1A69108E"/>
    <w:rsid w:val="1A7D03A7"/>
    <w:rsid w:val="1A877ED4"/>
    <w:rsid w:val="1AF776D6"/>
    <w:rsid w:val="1B3452EB"/>
    <w:rsid w:val="1B8013F7"/>
    <w:rsid w:val="1B8E049C"/>
    <w:rsid w:val="1B920893"/>
    <w:rsid w:val="1B9B0E19"/>
    <w:rsid w:val="1B9E3FF5"/>
    <w:rsid w:val="1BB13295"/>
    <w:rsid w:val="1BB9498B"/>
    <w:rsid w:val="1BCC1DC6"/>
    <w:rsid w:val="1BDC4942"/>
    <w:rsid w:val="1BEF012E"/>
    <w:rsid w:val="1BF80445"/>
    <w:rsid w:val="1BF92425"/>
    <w:rsid w:val="1C2E32EC"/>
    <w:rsid w:val="1C6E39C8"/>
    <w:rsid w:val="1C8F12C8"/>
    <w:rsid w:val="1C9A707C"/>
    <w:rsid w:val="1CA52637"/>
    <w:rsid w:val="1CA7512B"/>
    <w:rsid w:val="1CAC44F0"/>
    <w:rsid w:val="1CF55E97"/>
    <w:rsid w:val="1CF63BC0"/>
    <w:rsid w:val="1D72244E"/>
    <w:rsid w:val="1D8A5E16"/>
    <w:rsid w:val="1D9F3C04"/>
    <w:rsid w:val="1DB91B5D"/>
    <w:rsid w:val="1DC9230F"/>
    <w:rsid w:val="1DFC3698"/>
    <w:rsid w:val="1E0345E3"/>
    <w:rsid w:val="1E0647C5"/>
    <w:rsid w:val="1E3608F3"/>
    <w:rsid w:val="1E7E516C"/>
    <w:rsid w:val="1EA22E46"/>
    <w:rsid w:val="1EBF46A7"/>
    <w:rsid w:val="1EDF2369"/>
    <w:rsid w:val="1F040613"/>
    <w:rsid w:val="1F200154"/>
    <w:rsid w:val="1F417171"/>
    <w:rsid w:val="1F4B4494"/>
    <w:rsid w:val="1F582468"/>
    <w:rsid w:val="1F8C2A73"/>
    <w:rsid w:val="1F8C3809"/>
    <w:rsid w:val="1F8D6BFE"/>
    <w:rsid w:val="1FC87893"/>
    <w:rsid w:val="1FCD2AA2"/>
    <w:rsid w:val="1FCD6C57"/>
    <w:rsid w:val="200B7C2C"/>
    <w:rsid w:val="20172063"/>
    <w:rsid w:val="20346CD6"/>
    <w:rsid w:val="20436F19"/>
    <w:rsid w:val="204C4276"/>
    <w:rsid w:val="20567506"/>
    <w:rsid w:val="205A2A93"/>
    <w:rsid w:val="20914128"/>
    <w:rsid w:val="20E22450"/>
    <w:rsid w:val="213B5E42"/>
    <w:rsid w:val="214178FD"/>
    <w:rsid w:val="2191285E"/>
    <w:rsid w:val="21EF7359"/>
    <w:rsid w:val="21F0363B"/>
    <w:rsid w:val="21F94D1F"/>
    <w:rsid w:val="22206454"/>
    <w:rsid w:val="22241AE3"/>
    <w:rsid w:val="223457A3"/>
    <w:rsid w:val="22360C22"/>
    <w:rsid w:val="22397D58"/>
    <w:rsid w:val="223E448F"/>
    <w:rsid w:val="22424DB1"/>
    <w:rsid w:val="225B3EBB"/>
    <w:rsid w:val="22832D4C"/>
    <w:rsid w:val="228C4BA7"/>
    <w:rsid w:val="22920A1B"/>
    <w:rsid w:val="22CB660A"/>
    <w:rsid w:val="22D35196"/>
    <w:rsid w:val="22DB0789"/>
    <w:rsid w:val="2307194D"/>
    <w:rsid w:val="231F117D"/>
    <w:rsid w:val="234500A6"/>
    <w:rsid w:val="23620EA2"/>
    <w:rsid w:val="23640EA6"/>
    <w:rsid w:val="23662313"/>
    <w:rsid w:val="237F37C8"/>
    <w:rsid w:val="238547DE"/>
    <w:rsid w:val="23CA2319"/>
    <w:rsid w:val="23E4668C"/>
    <w:rsid w:val="23F24EDE"/>
    <w:rsid w:val="24352EBB"/>
    <w:rsid w:val="245636BF"/>
    <w:rsid w:val="2456729E"/>
    <w:rsid w:val="247C0254"/>
    <w:rsid w:val="24A3267C"/>
    <w:rsid w:val="24E85830"/>
    <w:rsid w:val="2500391B"/>
    <w:rsid w:val="25043B62"/>
    <w:rsid w:val="25295B12"/>
    <w:rsid w:val="252A328F"/>
    <w:rsid w:val="25425D52"/>
    <w:rsid w:val="25503253"/>
    <w:rsid w:val="25787F96"/>
    <w:rsid w:val="25897AC4"/>
    <w:rsid w:val="25CF3ED6"/>
    <w:rsid w:val="25D725DE"/>
    <w:rsid w:val="25DA20CE"/>
    <w:rsid w:val="261F3F85"/>
    <w:rsid w:val="26280FB8"/>
    <w:rsid w:val="26341C2C"/>
    <w:rsid w:val="263961BD"/>
    <w:rsid w:val="265745BF"/>
    <w:rsid w:val="2666008D"/>
    <w:rsid w:val="266A1901"/>
    <w:rsid w:val="266B7F83"/>
    <w:rsid w:val="26A52B1C"/>
    <w:rsid w:val="26E21CEE"/>
    <w:rsid w:val="272938E6"/>
    <w:rsid w:val="272A2EE3"/>
    <w:rsid w:val="273713E4"/>
    <w:rsid w:val="274769D1"/>
    <w:rsid w:val="2778394C"/>
    <w:rsid w:val="27BD3A55"/>
    <w:rsid w:val="27D329D2"/>
    <w:rsid w:val="27E47572"/>
    <w:rsid w:val="28056DA0"/>
    <w:rsid w:val="282E0A77"/>
    <w:rsid w:val="283261F1"/>
    <w:rsid w:val="287C121A"/>
    <w:rsid w:val="28987C75"/>
    <w:rsid w:val="28D00AD7"/>
    <w:rsid w:val="2908745E"/>
    <w:rsid w:val="29485C35"/>
    <w:rsid w:val="294F0E2A"/>
    <w:rsid w:val="29A749BD"/>
    <w:rsid w:val="29B570DA"/>
    <w:rsid w:val="29D04EE7"/>
    <w:rsid w:val="29D84B76"/>
    <w:rsid w:val="29F83574"/>
    <w:rsid w:val="2A0B5E22"/>
    <w:rsid w:val="2A1262DA"/>
    <w:rsid w:val="2A1C3B9F"/>
    <w:rsid w:val="2A367F13"/>
    <w:rsid w:val="2A4E7AC9"/>
    <w:rsid w:val="2A6571D9"/>
    <w:rsid w:val="2A7C19A5"/>
    <w:rsid w:val="2AA077A9"/>
    <w:rsid w:val="2AA1765E"/>
    <w:rsid w:val="2AF459E0"/>
    <w:rsid w:val="2B4413A5"/>
    <w:rsid w:val="2B623335"/>
    <w:rsid w:val="2B6F71A6"/>
    <w:rsid w:val="2B9F589A"/>
    <w:rsid w:val="2BBE286E"/>
    <w:rsid w:val="2BFD78DC"/>
    <w:rsid w:val="2C752714"/>
    <w:rsid w:val="2C7B1E59"/>
    <w:rsid w:val="2C7F52AD"/>
    <w:rsid w:val="2C867957"/>
    <w:rsid w:val="2CE4003B"/>
    <w:rsid w:val="2CFF1CB4"/>
    <w:rsid w:val="2D0363AE"/>
    <w:rsid w:val="2D142369"/>
    <w:rsid w:val="2D311100"/>
    <w:rsid w:val="2D5B7F98"/>
    <w:rsid w:val="2D8868B3"/>
    <w:rsid w:val="2D957CF5"/>
    <w:rsid w:val="2DAD1E71"/>
    <w:rsid w:val="2DDD37EA"/>
    <w:rsid w:val="2DEF2F2B"/>
    <w:rsid w:val="2DF13843"/>
    <w:rsid w:val="2E0B6942"/>
    <w:rsid w:val="2E1237FA"/>
    <w:rsid w:val="2E13617D"/>
    <w:rsid w:val="2E911F29"/>
    <w:rsid w:val="2E9338AB"/>
    <w:rsid w:val="2ECA43EE"/>
    <w:rsid w:val="2ED9575E"/>
    <w:rsid w:val="2EF0181A"/>
    <w:rsid w:val="2EFE144D"/>
    <w:rsid w:val="2F0106CB"/>
    <w:rsid w:val="2F1D3524"/>
    <w:rsid w:val="2F3A1EFF"/>
    <w:rsid w:val="2F8530AA"/>
    <w:rsid w:val="2FD72080"/>
    <w:rsid w:val="2FEA2E83"/>
    <w:rsid w:val="300B5864"/>
    <w:rsid w:val="300D151A"/>
    <w:rsid w:val="301E35DD"/>
    <w:rsid w:val="306E7FE2"/>
    <w:rsid w:val="309D08C8"/>
    <w:rsid w:val="30AA4E20"/>
    <w:rsid w:val="30B5232B"/>
    <w:rsid w:val="30EF1041"/>
    <w:rsid w:val="30F5600E"/>
    <w:rsid w:val="314F1BC2"/>
    <w:rsid w:val="315947EF"/>
    <w:rsid w:val="31666628"/>
    <w:rsid w:val="316D218A"/>
    <w:rsid w:val="316D3DD0"/>
    <w:rsid w:val="3172765E"/>
    <w:rsid w:val="318B0720"/>
    <w:rsid w:val="31E30425"/>
    <w:rsid w:val="32031062"/>
    <w:rsid w:val="32563F2B"/>
    <w:rsid w:val="32DF0D23"/>
    <w:rsid w:val="33010C9A"/>
    <w:rsid w:val="331E31C4"/>
    <w:rsid w:val="33254432"/>
    <w:rsid w:val="335A2AA0"/>
    <w:rsid w:val="33613FFE"/>
    <w:rsid w:val="336143E6"/>
    <w:rsid w:val="3364747B"/>
    <w:rsid w:val="337445BC"/>
    <w:rsid w:val="34346E4D"/>
    <w:rsid w:val="34692E8B"/>
    <w:rsid w:val="347A0E47"/>
    <w:rsid w:val="34886BFB"/>
    <w:rsid w:val="348C6C89"/>
    <w:rsid w:val="34957CEA"/>
    <w:rsid w:val="34DB376C"/>
    <w:rsid w:val="34EF4842"/>
    <w:rsid w:val="34F66FC6"/>
    <w:rsid w:val="352670DE"/>
    <w:rsid w:val="35305866"/>
    <w:rsid w:val="3537548D"/>
    <w:rsid w:val="35414F6E"/>
    <w:rsid w:val="354B6D7F"/>
    <w:rsid w:val="3576279B"/>
    <w:rsid w:val="35763E83"/>
    <w:rsid w:val="357A2DF7"/>
    <w:rsid w:val="359327CA"/>
    <w:rsid w:val="35A41BC7"/>
    <w:rsid w:val="35C70A00"/>
    <w:rsid w:val="35E37C57"/>
    <w:rsid w:val="36003B87"/>
    <w:rsid w:val="36320DCE"/>
    <w:rsid w:val="36940077"/>
    <w:rsid w:val="36993E75"/>
    <w:rsid w:val="36D3445E"/>
    <w:rsid w:val="37075C97"/>
    <w:rsid w:val="374B13F0"/>
    <w:rsid w:val="374B61CE"/>
    <w:rsid w:val="3756191A"/>
    <w:rsid w:val="37671737"/>
    <w:rsid w:val="37B704C1"/>
    <w:rsid w:val="37BF7375"/>
    <w:rsid w:val="37D75647"/>
    <w:rsid w:val="37DB681C"/>
    <w:rsid w:val="37F214F9"/>
    <w:rsid w:val="381310BB"/>
    <w:rsid w:val="38141101"/>
    <w:rsid w:val="381B0A50"/>
    <w:rsid w:val="38262F51"/>
    <w:rsid w:val="384C15E7"/>
    <w:rsid w:val="385C2E16"/>
    <w:rsid w:val="3862042D"/>
    <w:rsid w:val="3862667F"/>
    <w:rsid w:val="38904AB2"/>
    <w:rsid w:val="38A071A7"/>
    <w:rsid w:val="38A772D5"/>
    <w:rsid w:val="38C01602"/>
    <w:rsid w:val="38FC7FC9"/>
    <w:rsid w:val="39197C9B"/>
    <w:rsid w:val="39243B3D"/>
    <w:rsid w:val="396B3311"/>
    <w:rsid w:val="3975553A"/>
    <w:rsid w:val="397D3863"/>
    <w:rsid w:val="39962B19"/>
    <w:rsid w:val="39A14223"/>
    <w:rsid w:val="39A828A4"/>
    <w:rsid w:val="39E24842"/>
    <w:rsid w:val="39E7368D"/>
    <w:rsid w:val="3A0E1EEE"/>
    <w:rsid w:val="3A2E618F"/>
    <w:rsid w:val="3A346490"/>
    <w:rsid w:val="3A8B1791"/>
    <w:rsid w:val="3AC25A37"/>
    <w:rsid w:val="3AC56C4A"/>
    <w:rsid w:val="3AD0485E"/>
    <w:rsid w:val="3AD84480"/>
    <w:rsid w:val="3AE73B09"/>
    <w:rsid w:val="3B011BDC"/>
    <w:rsid w:val="3B074C26"/>
    <w:rsid w:val="3B1B0D67"/>
    <w:rsid w:val="3B217D32"/>
    <w:rsid w:val="3B68689B"/>
    <w:rsid w:val="3B6B584A"/>
    <w:rsid w:val="3BC574B5"/>
    <w:rsid w:val="3BFA7031"/>
    <w:rsid w:val="3C0D6901"/>
    <w:rsid w:val="3C6D55F2"/>
    <w:rsid w:val="3CC2593E"/>
    <w:rsid w:val="3D1433A2"/>
    <w:rsid w:val="3D163594"/>
    <w:rsid w:val="3D29758D"/>
    <w:rsid w:val="3D3D4FC4"/>
    <w:rsid w:val="3D93125D"/>
    <w:rsid w:val="3D9C2ADA"/>
    <w:rsid w:val="3DB8289D"/>
    <w:rsid w:val="3DC93E69"/>
    <w:rsid w:val="3E2724E7"/>
    <w:rsid w:val="3E27676D"/>
    <w:rsid w:val="3E401642"/>
    <w:rsid w:val="3E795988"/>
    <w:rsid w:val="3E8804C1"/>
    <w:rsid w:val="3E907376"/>
    <w:rsid w:val="3ECB4852"/>
    <w:rsid w:val="3ECC2C5C"/>
    <w:rsid w:val="3EDE3CCE"/>
    <w:rsid w:val="3F177A97"/>
    <w:rsid w:val="3F213F04"/>
    <w:rsid w:val="3F421D64"/>
    <w:rsid w:val="3F951D52"/>
    <w:rsid w:val="3FC901E2"/>
    <w:rsid w:val="40363F4D"/>
    <w:rsid w:val="40477F08"/>
    <w:rsid w:val="40682DD1"/>
    <w:rsid w:val="40AF00F4"/>
    <w:rsid w:val="40C1415E"/>
    <w:rsid w:val="40C41559"/>
    <w:rsid w:val="410D3D4D"/>
    <w:rsid w:val="41112B20"/>
    <w:rsid w:val="41377EA7"/>
    <w:rsid w:val="413F78B7"/>
    <w:rsid w:val="415914C1"/>
    <w:rsid w:val="41766CF7"/>
    <w:rsid w:val="418677AA"/>
    <w:rsid w:val="41B25855"/>
    <w:rsid w:val="41B62AEC"/>
    <w:rsid w:val="41BC374E"/>
    <w:rsid w:val="41C90103"/>
    <w:rsid w:val="4255690C"/>
    <w:rsid w:val="42597C94"/>
    <w:rsid w:val="42764AD5"/>
    <w:rsid w:val="427D0B61"/>
    <w:rsid w:val="428606F1"/>
    <w:rsid w:val="429B3FD5"/>
    <w:rsid w:val="42C330C4"/>
    <w:rsid w:val="42C65A5C"/>
    <w:rsid w:val="42C822A4"/>
    <w:rsid w:val="42EB101F"/>
    <w:rsid w:val="43140575"/>
    <w:rsid w:val="432E01C8"/>
    <w:rsid w:val="434846C3"/>
    <w:rsid w:val="434B078A"/>
    <w:rsid w:val="438870AF"/>
    <w:rsid w:val="43A126F0"/>
    <w:rsid w:val="43B27D8E"/>
    <w:rsid w:val="43BA2B9E"/>
    <w:rsid w:val="43E80323"/>
    <w:rsid w:val="43EA6644"/>
    <w:rsid w:val="43FA5FE2"/>
    <w:rsid w:val="44322D4A"/>
    <w:rsid w:val="444A6219"/>
    <w:rsid w:val="44A26055"/>
    <w:rsid w:val="44F77F05"/>
    <w:rsid w:val="45065628"/>
    <w:rsid w:val="45542E15"/>
    <w:rsid w:val="458B6612"/>
    <w:rsid w:val="45D03A9B"/>
    <w:rsid w:val="45D8555E"/>
    <w:rsid w:val="45F770E7"/>
    <w:rsid w:val="4618414C"/>
    <w:rsid w:val="46197037"/>
    <w:rsid w:val="463351B6"/>
    <w:rsid w:val="46611B89"/>
    <w:rsid w:val="469D4D26"/>
    <w:rsid w:val="46AB6703"/>
    <w:rsid w:val="46BC589A"/>
    <w:rsid w:val="4736312B"/>
    <w:rsid w:val="47412E3C"/>
    <w:rsid w:val="47486A40"/>
    <w:rsid w:val="475E0317"/>
    <w:rsid w:val="476602F6"/>
    <w:rsid w:val="478F0B12"/>
    <w:rsid w:val="4791079B"/>
    <w:rsid w:val="479B3792"/>
    <w:rsid w:val="47A02B50"/>
    <w:rsid w:val="47A869D1"/>
    <w:rsid w:val="47AC1243"/>
    <w:rsid w:val="47AD2D46"/>
    <w:rsid w:val="47C02B27"/>
    <w:rsid w:val="47C031D6"/>
    <w:rsid w:val="47FF5F01"/>
    <w:rsid w:val="481B23A3"/>
    <w:rsid w:val="485B2011"/>
    <w:rsid w:val="4880045B"/>
    <w:rsid w:val="48966751"/>
    <w:rsid w:val="489F24E0"/>
    <w:rsid w:val="48A94357"/>
    <w:rsid w:val="48AC1C02"/>
    <w:rsid w:val="48B872A7"/>
    <w:rsid w:val="48BE60EA"/>
    <w:rsid w:val="48BF0F83"/>
    <w:rsid w:val="4948005A"/>
    <w:rsid w:val="494A1A6E"/>
    <w:rsid w:val="498E6BA8"/>
    <w:rsid w:val="49AE1FB3"/>
    <w:rsid w:val="49B75E5F"/>
    <w:rsid w:val="49D74501"/>
    <w:rsid w:val="4A3634C7"/>
    <w:rsid w:val="4A3B4A5C"/>
    <w:rsid w:val="4A566406"/>
    <w:rsid w:val="4AAB53E3"/>
    <w:rsid w:val="4AD44DC9"/>
    <w:rsid w:val="4AEC75EE"/>
    <w:rsid w:val="4AEF36A5"/>
    <w:rsid w:val="4AF306B5"/>
    <w:rsid w:val="4B0522CA"/>
    <w:rsid w:val="4B447D1C"/>
    <w:rsid w:val="4B5C0D0B"/>
    <w:rsid w:val="4C8B5BC6"/>
    <w:rsid w:val="4CA70CF1"/>
    <w:rsid w:val="4D081D6E"/>
    <w:rsid w:val="4D153050"/>
    <w:rsid w:val="4D1A2C2C"/>
    <w:rsid w:val="4D3B0DF4"/>
    <w:rsid w:val="4D4C3002"/>
    <w:rsid w:val="4D5214EF"/>
    <w:rsid w:val="4D79052A"/>
    <w:rsid w:val="4D7E0E31"/>
    <w:rsid w:val="4D8F77C9"/>
    <w:rsid w:val="4D987FF5"/>
    <w:rsid w:val="4DCF7BA8"/>
    <w:rsid w:val="4DD82969"/>
    <w:rsid w:val="4E025A20"/>
    <w:rsid w:val="4E355844"/>
    <w:rsid w:val="4E3B5B69"/>
    <w:rsid w:val="4E4C43BA"/>
    <w:rsid w:val="4E7B0D91"/>
    <w:rsid w:val="4E86751A"/>
    <w:rsid w:val="4E9667EE"/>
    <w:rsid w:val="4E997359"/>
    <w:rsid w:val="4EAF3848"/>
    <w:rsid w:val="4ED92F65"/>
    <w:rsid w:val="4EDD4E60"/>
    <w:rsid w:val="4EFB2D25"/>
    <w:rsid w:val="4F0D3938"/>
    <w:rsid w:val="4F3E57BE"/>
    <w:rsid w:val="4F46001C"/>
    <w:rsid w:val="4F766E4A"/>
    <w:rsid w:val="4F7D13F7"/>
    <w:rsid w:val="4FFF6735"/>
    <w:rsid w:val="50224539"/>
    <w:rsid w:val="503B7ECA"/>
    <w:rsid w:val="50454464"/>
    <w:rsid w:val="50544178"/>
    <w:rsid w:val="50562373"/>
    <w:rsid w:val="50A0169A"/>
    <w:rsid w:val="50AE7376"/>
    <w:rsid w:val="50C059FE"/>
    <w:rsid w:val="50D15CF8"/>
    <w:rsid w:val="50F46C84"/>
    <w:rsid w:val="51113F85"/>
    <w:rsid w:val="512962D7"/>
    <w:rsid w:val="51501312"/>
    <w:rsid w:val="518D4B89"/>
    <w:rsid w:val="519059F2"/>
    <w:rsid w:val="51A72DA3"/>
    <w:rsid w:val="51D6733E"/>
    <w:rsid w:val="51D718C7"/>
    <w:rsid w:val="51EC265D"/>
    <w:rsid w:val="51F06CF2"/>
    <w:rsid w:val="51FB0B52"/>
    <w:rsid w:val="520C2D5F"/>
    <w:rsid w:val="522176A0"/>
    <w:rsid w:val="52493DF8"/>
    <w:rsid w:val="52C06024"/>
    <w:rsid w:val="52CF44B9"/>
    <w:rsid w:val="52E863D3"/>
    <w:rsid w:val="53147F85"/>
    <w:rsid w:val="532A2A4A"/>
    <w:rsid w:val="533407C0"/>
    <w:rsid w:val="535D7D17"/>
    <w:rsid w:val="536426E8"/>
    <w:rsid w:val="53C71634"/>
    <w:rsid w:val="53DF072C"/>
    <w:rsid w:val="53FA37B7"/>
    <w:rsid w:val="542E3461"/>
    <w:rsid w:val="54414F42"/>
    <w:rsid w:val="547D2C1A"/>
    <w:rsid w:val="54D83366"/>
    <w:rsid w:val="54DE6C35"/>
    <w:rsid w:val="54F1690F"/>
    <w:rsid w:val="54F324F8"/>
    <w:rsid w:val="55381ED8"/>
    <w:rsid w:val="553B4B8E"/>
    <w:rsid w:val="5543788A"/>
    <w:rsid w:val="55480C59"/>
    <w:rsid w:val="554F18E1"/>
    <w:rsid w:val="557650C0"/>
    <w:rsid w:val="55BE4C30"/>
    <w:rsid w:val="55D32512"/>
    <w:rsid w:val="563C719E"/>
    <w:rsid w:val="563E7AA9"/>
    <w:rsid w:val="568850AA"/>
    <w:rsid w:val="56C25B6C"/>
    <w:rsid w:val="56F22E81"/>
    <w:rsid w:val="570D735E"/>
    <w:rsid w:val="57140367"/>
    <w:rsid w:val="57154464"/>
    <w:rsid w:val="57313F33"/>
    <w:rsid w:val="5748072D"/>
    <w:rsid w:val="575D6106"/>
    <w:rsid w:val="577358B3"/>
    <w:rsid w:val="5795532F"/>
    <w:rsid w:val="57A35F14"/>
    <w:rsid w:val="57B9772B"/>
    <w:rsid w:val="57BD6FD6"/>
    <w:rsid w:val="57E01E89"/>
    <w:rsid w:val="57E83927"/>
    <w:rsid w:val="57FB5891"/>
    <w:rsid w:val="5805272B"/>
    <w:rsid w:val="5814296E"/>
    <w:rsid w:val="581A153C"/>
    <w:rsid w:val="58207C04"/>
    <w:rsid w:val="582912B6"/>
    <w:rsid w:val="585A4F2F"/>
    <w:rsid w:val="585D65C1"/>
    <w:rsid w:val="58B303D9"/>
    <w:rsid w:val="58F70628"/>
    <w:rsid w:val="58FA7DB6"/>
    <w:rsid w:val="58FC58DC"/>
    <w:rsid w:val="595765E7"/>
    <w:rsid w:val="597638E0"/>
    <w:rsid w:val="59A05FAE"/>
    <w:rsid w:val="59A349B6"/>
    <w:rsid w:val="59CB2704"/>
    <w:rsid w:val="59E1204C"/>
    <w:rsid w:val="5A0A04CC"/>
    <w:rsid w:val="5A28406B"/>
    <w:rsid w:val="5A56162A"/>
    <w:rsid w:val="5A582FE6"/>
    <w:rsid w:val="5ACE32A8"/>
    <w:rsid w:val="5B1F079D"/>
    <w:rsid w:val="5B526733"/>
    <w:rsid w:val="5B527A35"/>
    <w:rsid w:val="5B562F03"/>
    <w:rsid w:val="5B571B76"/>
    <w:rsid w:val="5B5F03A4"/>
    <w:rsid w:val="5B8A1310"/>
    <w:rsid w:val="5B8D3163"/>
    <w:rsid w:val="5BF1122A"/>
    <w:rsid w:val="5C063D09"/>
    <w:rsid w:val="5C080114"/>
    <w:rsid w:val="5C12295F"/>
    <w:rsid w:val="5C127F2F"/>
    <w:rsid w:val="5C283EC9"/>
    <w:rsid w:val="5C32705D"/>
    <w:rsid w:val="5C437174"/>
    <w:rsid w:val="5CA2305B"/>
    <w:rsid w:val="5CE72BA5"/>
    <w:rsid w:val="5D0E7222"/>
    <w:rsid w:val="5D51434E"/>
    <w:rsid w:val="5D6B74D4"/>
    <w:rsid w:val="5D716BFF"/>
    <w:rsid w:val="5DAE4430"/>
    <w:rsid w:val="5DB71AE2"/>
    <w:rsid w:val="5DBF46C1"/>
    <w:rsid w:val="5DC23EA0"/>
    <w:rsid w:val="5DC866D4"/>
    <w:rsid w:val="5E50108F"/>
    <w:rsid w:val="5EA12E97"/>
    <w:rsid w:val="5EDB4749"/>
    <w:rsid w:val="5F2416FD"/>
    <w:rsid w:val="5F29531B"/>
    <w:rsid w:val="5F2D2C93"/>
    <w:rsid w:val="5F5A335C"/>
    <w:rsid w:val="5F750196"/>
    <w:rsid w:val="5F9728E0"/>
    <w:rsid w:val="5F9F09A1"/>
    <w:rsid w:val="5FBE1B3D"/>
    <w:rsid w:val="5FC03B07"/>
    <w:rsid w:val="5FD737D1"/>
    <w:rsid w:val="600A7372"/>
    <w:rsid w:val="603077A1"/>
    <w:rsid w:val="60384C08"/>
    <w:rsid w:val="603D5158"/>
    <w:rsid w:val="604A3DA3"/>
    <w:rsid w:val="60673F83"/>
    <w:rsid w:val="606968D4"/>
    <w:rsid w:val="60940AF0"/>
    <w:rsid w:val="60972017"/>
    <w:rsid w:val="60A11A1B"/>
    <w:rsid w:val="60A26FD1"/>
    <w:rsid w:val="60AE3960"/>
    <w:rsid w:val="60DA6DED"/>
    <w:rsid w:val="612158E8"/>
    <w:rsid w:val="612913C7"/>
    <w:rsid w:val="612B7408"/>
    <w:rsid w:val="6148180F"/>
    <w:rsid w:val="617B7D81"/>
    <w:rsid w:val="61A90EE7"/>
    <w:rsid w:val="61B70402"/>
    <w:rsid w:val="61ED3995"/>
    <w:rsid w:val="61F656FB"/>
    <w:rsid w:val="61FB55A6"/>
    <w:rsid w:val="62524AEA"/>
    <w:rsid w:val="62610F56"/>
    <w:rsid w:val="6275524C"/>
    <w:rsid w:val="628462D0"/>
    <w:rsid w:val="62B60044"/>
    <w:rsid w:val="62EE44E7"/>
    <w:rsid w:val="62F6602C"/>
    <w:rsid w:val="630B0D25"/>
    <w:rsid w:val="63350368"/>
    <w:rsid w:val="633B5253"/>
    <w:rsid w:val="63673563"/>
    <w:rsid w:val="637E5499"/>
    <w:rsid w:val="6388493C"/>
    <w:rsid w:val="639D576F"/>
    <w:rsid w:val="63A63014"/>
    <w:rsid w:val="63E678B4"/>
    <w:rsid w:val="63EC3E4B"/>
    <w:rsid w:val="642C28A1"/>
    <w:rsid w:val="644D16E1"/>
    <w:rsid w:val="64586E92"/>
    <w:rsid w:val="64680C55"/>
    <w:rsid w:val="64772ADA"/>
    <w:rsid w:val="64861D7B"/>
    <w:rsid w:val="648D6455"/>
    <w:rsid w:val="64A05B01"/>
    <w:rsid w:val="65501489"/>
    <w:rsid w:val="65521636"/>
    <w:rsid w:val="655C29BA"/>
    <w:rsid w:val="65742EC7"/>
    <w:rsid w:val="6580369E"/>
    <w:rsid w:val="65931376"/>
    <w:rsid w:val="65D24D07"/>
    <w:rsid w:val="65E816C2"/>
    <w:rsid w:val="660364FC"/>
    <w:rsid w:val="660E7CE2"/>
    <w:rsid w:val="666D68AF"/>
    <w:rsid w:val="66B141AA"/>
    <w:rsid w:val="66C8504F"/>
    <w:rsid w:val="66CC3556"/>
    <w:rsid w:val="66E638C0"/>
    <w:rsid w:val="66E95763"/>
    <w:rsid w:val="66FF1E88"/>
    <w:rsid w:val="6725610F"/>
    <w:rsid w:val="672C1A82"/>
    <w:rsid w:val="6759645C"/>
    <w:rsid w:val="676C20F3"/>
    <w:rsid w:val="676C45F3"/>
    <w:rsid w:val="67801DCE"/>
    <w:rsid w:val="67F53618"/>
    <w:rsid w:val="6804655B"/>
    <w:rsid w:val="6820733F"/>
    <w:rsid w:val="68210EBB"/>
    <w:rsid w:val="68281AB8"/>
    <w:rsid w:val="688C4126"/>
    <w:rsid w:val="68A851D6"/>
    <w:rsid w:val="68C301C4"/>
    <w:rsid w:val="68F42334"/>
    <w:rsid w:val="68F465CF"/>
    <w:rsid w:val="691B590A"/>
    <w:rsid w:val="69423AFE"/>
    <w:rsid w:val="694D30F2"/>
    <w:rsid w:val="69572F2E"/>
    <w:rsid w:val="69601EB7"/>
    <w:rsid w:val="69631A3C"/>
    <w:rsid w:val="697F4AA5"/>
    <w:rsid w:val="699B5379"/>
    <w:rsid w:val="69B34B93"/>
    <w:rsid w:val="69B549C5"/>
    <w:rsid w:val="69C51D1A"/>
    <w:rsid w:val="69DF102E"/>
    <w:rsid w:val="69F13A07"/>
    <w:rsid w:val="69F45E5D"/>
    <w:rsid w:val="6A3A2708"/>
    <w:rsid w:val="6A44239D"/>
    <w:rsid w:val="6A4721BE"/>
    <w:rsid w:val="6A75300F"/>
    <w:rsid w:val="6AA735D6"/>
    <w:rsid w:val="6AC81AC2"/>
    <w:rsid w:val="6AD246EE"/>
    <w:rsid w:val="6AD93563"/>
    <w:rsid w:val="6ADD7165"/>
    <w:rsid w:val="6AEB755E"/>
    <w:rsid w:val="6B296FCD"/>
    <w:rsid w:val="6B2D5DC9"/>
    <w:rsid w:val="6B39476E"/>
    <w:rsid w:val="6B3E69F2"/>
    <w:rsid w:val="6B6E6329"/>
    <w:rsid w:val="6BB34520"/>
    <w:rsid w:val="6BF665EC"/>
    <w:rsid w:val="6BFD6405"/>
    <w:rsid w:val="6C1A459F"/>
    <w:rsid w:val="6C2350B1"/>
    <w:rsid w:val="6C2E1FA5"/>
    <w:rsid w:val="6C68086C"/>
    <w:rsid w:val="6C7D68DC"/>
    <w:rsid w:val="6C9672F5"/>
    <w:rsid w:val="6CAF1D3C"/>
    <w:rsid w:val="6CD40BF2"/>
    <w:rsid w:val="6CE030B0"/>
    <w:rsid w:val="6CF556F7"/>
    <w:rsid w:val="6D4A4A10"/>
    <w:rsid w:val="6D4B6130"/>
    <w:rsid w:val="6D6E4F1D"/>
    <w:rsid w:val="6D792DBA"/>
    <w:rsid w:val="6D846501"/>
    <w:rsid w:val="6D940869"/>
    <w:rsid w:val="6DA00AD4"/>
    <w:rsid w:val="6DB14A8F"/>
    <w:rsid w:val="6DB9605E"/>
    <w:rsid w:val="6E2200E3"/>
    <w:rsid w:val="6E6F7FAE"/>
    <w:rsid w:val="6EB0094B"/>
    <w:rsid w:val="6EF50F9E"/>
    <w:rsid w:val="6F082DD5"/>
    <w:rsid w:val="6F16554D"/>
    <w:rsid w:val="6F1B4E65"/>
    <w:rsid w:val="6F2C2BA0"/>
    <w:rsid w:val="6F2E3093"/>
    <w:rsid w:val="6F4162E7"/>
    <w:rsid w:val="6F5953DE"/>
    <w:rsid w:val="6F8259ED"/>
    <w:rsid w:val="6F9603E0"/>
    <w:rsid w:val="6FD459CC"/>
    <w:rsid w:val="702B3C28"/>
    <w:rsid w:val="7054775D"/>
    <w:rsid w:val="7056191E"/>
    <w:rsid w:val="705D4A5A"/>
    <w:rsid w:val="70983CE4"/>
    <w:rsid w:val="70B22023"/>
    <w:rsid w:val="70D43718"/>
    <w:rsid w:val="70D91188"/>
    <w:rsid w:val="70DC4260"/>
    <w:rsid w:val="70E22E6B"/>
    <w:rsid w:val="70E44F58"/>
    <w:rsid w:val="71265794"/>
    <w:rsid w:val="713E1F13"/>
    <w:rsid w:val="714176D5"/>
    <w:rsid w:val="714D0F73"/>
    <w:rsid w:val="71645191"/>
    <w:rsid w:val="717007BD"/>
    <w:rsid w:val="719A3A8C"/>
    <w:rsid w:val="719F355D"/>
    <w:rsid w:val="719F6A56"/>
    <w:rsid w:val="71A1306D"/>
    <w:rsid w:val="71A843FB"/>
    <w:rsid w:val="71C304CB"/>
    <w:rsid w:val="71D21648"/>
    <w:rsid w:val="71E80C9B"/>
    <w:rsid w:val="72013855"/>
    <w:rsid w:val="720D24B0"/>
    <w:rsid w:val="722021E3"/>
    <w:rsid w:val="72302EC2"/>
    <w:rsid w:val="72802C82"/>
    <w:rsid w:val="72A110C3"/>
    <w:rsid w:val="72E451C2"/>
    <w:rsid w:val="72E804B1"/>
    <w:rsid w:val="73047407"/>
    <w:rsid w:val="73055543"/>
    <w:rsid w:val="735F4E81"/>
    <w:rsid w:val="738E367E"/>
    <w:rsid w:val="73A806E2"/>
    <w:rsid w:val="73A966D8"/>
    <w:rsid w:val="73DB1B03"/>
    <w:rsid w:val="73DB4206"/>
    <w:rsid w:val="73EF6311"/>
    <w:rsid w:val="73FE2B4F"/>
    <w:rsid w:val="7416564C"/>
    <w:rsid w:val="742A559B"/>
    <w:rsid w:val="7447614D"/>
    <w:rsid w:val="747F1A52"/>
    <w:rsid w:val="74984A16"/>
    <w:rsid w:val="74A94712"/>
    <w:rsid w:val="74C01A5C"/>
    <w:rsid w:val="74C57302"/>
    <w:rsid w:val="74D3178F"/>
    <w:rsid w:val="74F636CF"/>
    <w:rsid w:val="753905B0"/>
    <w:rsid w:val="75401397"/>
    <w:rsid w:val="75575F1C"/>
    <w:rsid w:val="75604BFB"/>
    <w:rsid w:val="757F4F2B"/>
    <w:rsid w:val="759063C7"/>
    <w:rsid w:val="75915B3B"/>
    <w:rsid w:val="75F36C04"/>
    <w:rsid w:val="75F6664F"/>
    <w:rsid w:val="76360CCA"/>
    <w:rsid w:val="764E16EE"/>
    <w:rsid w:val="765949AE"/>
    <w:rsid w:val="76830F93"/>
    <w:rsid w:val="76CA0970"/>
    <w:rsid w:val="76E934EC"/>
    <w:rsid w:val="7702635B"/>
    <w:rsid w:val="773A0A2A"/>
    <w:rsid w:val="774C708A"/>
    <w:rsid w:val="77694336"/>
    <w:rsid w:val="777A75D4"/>
    <w:rsid w:val="778D79A7"/>
    <w:rsid w:val="77A1279F"/>
    <w:rsid w:val="77A6318B"/>
    <w:rsid w:val="77B021B5"/>
    <w:rsid w:val="77BC4187"/>
    <w:rsid w:val="77D5581E"/>
    <w:rsid w:val="78034139"/>
    <w:rsid w:val="7829682B"/>
    <w:rsid w:val="78987324"/>
    <w:rsid w:val="78DB6E64"/>
    <w:rsid w:val="78FB178A"/>
    <w:rsid w:val="79065074"/>
    <w:rsid w:val="792720A9"/>
    <w:rsid w:val="798412AA"/>
    <w:rsid w:val="79870D9A"/>
    <w:rsid w:val="79A67426"/>
    <w:rsid w:val="79AB2CDA"/>
    <w:rsid w:val="79C42A3C"/>
    <w:rsid w:val="79D34622"/>
    <w:rsid w:val="79EA2E23"/>
    <w:rsid w:val="79F54A3E"/>
    <w:rsid w:val="7A195DA1"/>
    <w:rsid w:val="7A56161A"/>
    <w:rsid w:val="7A700510"/>
    <w:rsid w:val="7A9E639B"/>
    <w:rsid w:val="7AA240DD"/>
    <w:rsid w:val="7AAB7433"/>
    <w:rsid w:val="7AB03EDB"/>
    <w:rsid w:val="7AB756AF"/>
    <w:rsid w:val="7B2D1921"/>
    <w:rsid w:val="7B361CCA"/>
    <w:rsid w:val="7B3F44E4"/>
    <w:rsid w:val="7B687429"/>
    <w:rsid w:val="7B7517F2"/>
    <w:rsid w:val="7B7E4979"/>
    <w:rsid w:val="7BCB1412"/>
    <w:rsid w:val="7BEE05A2"/>
    <w:rsid w:val="7BF3017A"/>
    <w:rsid w:val="7BFA4903"/>
    <w:rsid w:val="7C0132AF"/>
    <w:rsid w:val="7C0A6D20"/>
    <w:rsid w:val="7C2C6727"/>
    <w:rsid w:val="7C75792F"/>
    <w:rsid w:val="7CAB2FF1"/>
    <w:rsid w:val="7CD15B82"/>
    <w:rsid w:val="7CED7B6F"/>
    <w:rsid w:val="7D603DDC"/>
    <w:rsid w:val="7D622EA5"/>
    <w:rsid w:val="7D757DAE"/>
    <w:rsid w:val="7D7F24B4"/>
    <w:rsid w:val="7D7F72F7"/>
    <w:rsid w:val="7D951EC0"/>
    <w:rsid w:val="7DA168CE"/>
    <w:rsid w:val="7DC9372F"/>
    <w:rsid w:val="7DDC0746"/>
    <w:rsid w:val="7DF92132"/>
    <w:rsid w:val="7E497A3C"/>
    <w:rsid w:val="7E553215"/>
    <w:rsid w:val="7E631DD5"/>
    <w:rsid w:val="7E7328E3"/>
    <w:rsid w:val="7E826EBB"/>
    <w:rsid w:val="7E827ED4"/>
    <w:rsid w:val="7ED21F55"/>
    <w:rsid w:val="7ED5043F"/>
    <w:rsid w:val="7EE54599"/>
    <w:rsid w:val="7F2A28F3"/>
    <w:rsid w:val="7F66749C"/>
    <w:rsid w:val="7F90133D"/>
    <w:rsid w:val="7F9972B4"/>
    <w:rsid w:val="7FAB20C8"/>
    <w:rsid w:val="7FC37164"/>
    <w:rsid w:val="7FDA33F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4"/>
    <w:qFormat/>
    <w:uiPriority w:val="0"/>
    <w:pPr>
      <w:keepNext/>
      <w:keepLines/>
      <w:spacing w:before="240" w:after="240" w:line="240" w:lineRule="atLeast"/>
      <w:outlineLvl w:val="0"/>
    </w:pPr>
    <w:rPr>
      <w:rFonts w:eastAsia="黑体"/>
      <w:bCs/>
      <w:kern w:val="44"/>
      <w:sz w:val="24"/>
      <w:szCs w:val="44"/>
    </w:rPr>
  </w:style>
  <w:style w:type="paragraph" w:styleId="3">
    <w:name w:val="heading 2"/>
    <w:basedOn w:val="1"/>
    <w:next w:val="4"/>
    <w:link w:val="59"/>
    <w:qFormat/>
    <w:uiPriority w:val="0"/>
    <w:pPr>
      <w:keepNext/>
      <w:keepLines/>
      <w:spacing w:before="260" w:after="260" w:line="480" w:lineRule="exact"/>
      <w:jc w:val="center"/>
      <w:outlineLvl w:val="1"/>
    </w:pPr>
    <w:rPr>
      <w:rFonts w:ascii="宋体" w:hAnsi="宋体" w:eastAsia="黑体"/>
      <w:bCs/>
      <w:i/>
      <w:iCs/>
      <w:sz w:val="24"/>
      <w:szCs w:val="20"/>
    </w:rPr>
  </w:style>
  <w:style w:type="paragraph" w:styleId="5">
    <w:name w:val="heading 3"/>
    <w:basedOn w:val="1"/>
    <w:next w:val="4"/>
    <w:link w:val="63"/>
    <w:qFormat/>
    <w:uiPriority w:val="0"/>
    <w:pPr>
      <w:keepNext/>
      <w:keepLines/>
      <w:widowControl/>
      <w:spacing w:before="120" w:after="120" w:line="360" w:lineRule="auto"/>
      <w:jc w:val="center"/>
      <w:outlineLvl w:val="2"/>
    </w:pPr>
    <w:rPr>
      <w:b/>
      <w:kern w:val="0"/>
      <w:sz w:val="32"/>
      <w:szCs w:val="20"/>
    </w:rPr>
  </w:style>
  <w:style w:type="paragraph" w:styleId="6">
    <w:name w:val="heading 4"/>
    <w:basedOn w:val="1"/>
    <w:next w:val="4"/>
    <w:qFormat/>
    <w:uiPriority w:val="0"/>
    <w:pPr>
      <w:keepNext/>
      <w:adjustRightInd w:val="0"/>
      <w:spacing w:line="420" w:lineRule="atLeast"/>
      <w:ind w:firstLine="454"/>
      <w:jc w:val="center"/>
      <w:textAlignment w:val="baseline"/>
      <w:outlineLvl w:val="3"/>
    </w:pPr>
    <w:rPr>
      <w:i/>
      <w:kern w:val="0"/>
      <w:szCs w:val="20"/>
    </w:rPr>
  </w:style>
  <w:style w:type="paragraph" w:styleId="7">
    <w:name w:val="heading 5"/>
    <w:basedOn w:val="1"/>
    <w:next w:val="1"/>
    <w:semiHidden/>
    <w:unhideWhenUsed/>
    <w:qFormat/>
    <w:uiPriority w:val="0"/>
    <w:pPr>
      <w:keepNext/>
      <w:keepLines/>
      <w:spacing w:before="280" w:beforeLines="0" w:beforeAutospacing="0" w:after="290" w:afterLines="0" w:afterAutospacing="0" w:line="372" w:lineRule="auto"/>
      <w:outlineLvl w:val="4"/>
    </w:pPr>
    <w:rPr>
      <w:b/>
      <w:sz w:val="28"/>
    </w:rPr>
  </w:style>
  <w:style w:type="paragraph" w:styleId="8">
    <w:name w:val="heading 6"/>
    <w:basedOn w:val="1"/>
    <w:next w:val="1"/>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9">
    <w:name w:val="heading 7"/>
    <w:basedOn w:val="1"/>
    <w:next w:val="1"/>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10">
    <w:name w:val="heading 8"/>
    <w:basedOn w:val="1"/>
    <w:next w:val="1"/>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1">
    <w:name w:val="heading 9"/>
    <w:basedOn w:val="1"/>
    <w:next w:val="1"/>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42">
    <w:name w:val="Default Paragraph Font"/>
    <w:semiHidden/>
    <w:qFormat/>
    <w:uiPriority w:val="0"/>
  </w:style>
  <w:style w:type="table" w:default="1" w:styleId="40">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12">
    <w:name w:val="toc 7"/>
    <w:basedOn w:val="1"/>
    <w:next w:val="1"/>
    <w:unhideWhenUsed/>
    <w:qFormat/>
    <w:uiPriority w:val="39"/>
    <w:pPr>
      <w:ind w:left="2520" w:leftChars="1200"/>
    </w:pPr>
    <w:rPr>
      <w:rFonts w:ascii="Calibri" w:hAnsi="Calibri" w:eastAsia="宋体" w:cs="Times New Roman"/>
      <w:szCs w:val="22"/>
    </w:rPr>
  </w:style>
  <w:style w:type="paragraph" w:styleId="13">
    <w:name w:val="caption"/>
    <w:basedOn w:val="1"/>
    <w:next w:val="1"/>
    <w:qFormat/>
    <w:uiPriority w:val="0"/>
    <w:rPr>
      <w:rFonts w:ascii="Arial" w:hAnsi="Arial" w:eastAsia="黑体" w:cs="Arial"/>
      <w:sz w:val="20"/>
      <w:szCs w:val="20"/>
    </w:rPr>
  </w:style>
  <w:style w:type="paragraph" w:styleId="14">
    <w:name w:val="Document Map"/>
    <w:basedOn w:val="1"/>
    <w:link w:val="57"/>
    <w:qFormat/>
    <w:uiPriority w:val="0"/>
    <w:rPr>
      <w:rFonts w:ascii="宋体"/>
      <w:sz w:val="18"/>
      <w:szCs w:val="18"/>
    </w:rPr>
  </w:style>
  <w:style w:type="paragraph" w:styleId="15">
    <w:name w:val="annotation text"/>
    <w:basedOn w:val="1"/>
    <w:link w:val="51"/>
    <w:qFormat/>
    <w:uiPriority w:val="0"/>
    <w:pPr>
      <w:jc w:val="left"/>
    </w:pPr>
  </w:style>
  <w:style w:type="paragraph" w:styleId="16">
    <w:name w:val="Body Text 3"/>
    <w:basedOn w:val="1"/>
    <w:link w:val="49"/>
    <w:qFormat/>
    <w:uiPriority w:val="0"/>
    <w:rPr>
      <w:rFonts w:ascii="宋体"/>
      <w:sz w:val="24"/>
      <w:szCs w:val="20"/>
    </w:rPr>
  </w:style>
  <w:style w:type="paragraph" w:styleId="17">
    <w:name w:val="Body Text"/>
    <w:basedOn w:val="1"/>
    <w:qFormat/>
    <w:uiPriority w:val="0"/>
    <w:pPr>
      <w:spacing w:after="120"/>
    </w:pPr>
  </w:style>
  <w:style w:type="paragraph" w:styleId="18">
    <w:name w:val="Body Text Indent"/>
    <w:basedOn w:val="1"/>
    <w:qFormat/>
    <w:uiPriority w:val="0"/>
    <w:pPr>
      <w:spacing w:after="120"/>
      <w:ind w:left="420" w:leftChars="200"/>
    </w:pPr>
  </w:style>
  <w:style w:type="paragraph" w:styleId="19">
    <w:name w:val="toc 5"/>
    <w:basedOn w:val="1"/>
    <w:next w:val="1"/>
    <w:unhideWhenUsed/>
    <w:qFormat/>
    <w:uiPriority w:val="39"/>
    <w:pPr>
      <w:ind w:left="1680" w:leftChars="800"/>
    </w:pPr>
    <w:rPr>
      <w:rFonts w:ascii="Calibri" w:hAnsi="Calibri" w:eastAsia="宋体" w:cs="Times New Roman"/>
      <w:szCs w:val="22"/>
    </w:rPr>
  </w:style>
  <w:style w:type="paragraph" w:styleId="20">
    <w:name w:val="toc 3"/>
    <w:basedOn w:val="1"/>
    <w:next w:val="1"/>
    <w:unhideWhenUsed/>
    <w:qFormat/>
    <w:uiPriority w:val="39"/>
    <w:pPr>
      <w:widowControl/>
      <w:spacing w:after="100" w:line="276" w:lineRule="auto"/>
      <w:ind w:left="440"/>
      <w:jc w:val="left"/>
    </w:pPr>
    <w:rPr>
      <w:rFonts w:ascii="Calibri" w:hAnsi="Calibri" w:eastAsia="宋体" w:cs="Times New Roman"/>
      <w:kern w:val="0"/>
      <w:sz w:val="22"/>
      <w:szCs w:val="22"/>
    </w:rPr>
  </w:style>
  <w:style w:type="paragraph" w:styleId="21">
    <w:name w:val="Plain Text"/>
    <w:basedOn w:val="1"/>
    <w:link w:val="56"/>
    <w:qFormat/>
    <w:uiPriority w:val="0"/>
    <w:rPr>
      <w:rFonts w:ascii="宋体" w:hAnsi="Courier New"/>
      <w:szCs w:val="20"/>
    </w:rPr>
  </w:style>
  <w:style w:type="paragraph" w:styleId="22">
    <w:name w:val="toc 8"/>
    <w:basedOn w:val="1"/>
    <w:next w:val="1"/>
    <w:unhideWhenUsed/>
    <w:qFormat/>
    <w:uiPriority w:val="39"/>
    <w:pPr>
      <w:ind w:left="2940" w:leftChars="1400"/>
    </w:pPr>
    <w:rPr>
      <w:rFonts w:ascii="Calibri" w:hAnsi="Calibri" w:eastAsia="宋体" w:cs="Times New Roman"/>
      <w:szCs w:val="22"/>
    </w:rPr>
  </w:style>
  <w:style w:type="paragraph" w:styleId="23">
    <w:name w:val="Date"/>
    <w:basedOn w:val="1"/>
    <w:next w:val="1"/>
    <w:qFormat/>
    <w:uiPriority w:val="0"/>
    <w:rPr>
      <w:sz w:val="24"/>
      <w:szCs w:val="20"/>
    </w:rPr>
  </w:style>
  <w:style w:type="paragraph" w:styleId="24">
    <w:name w:val="Body Text Indent 2"/>
    <w:basedOn w:val="1"/>
    <w:qFormat/>
    <w:uiPriority w:val="0"/>
    <w:pPr>
      <w:spacing w:line="500" w:lineRule="exact"/>
      <w:ind w:firstLine="540" w:firstLineChars="200"/>
    </w:pPr>
    <w:rPr>
      <w:rFonts w:ascii="宋体" w:hAnsi="宋体"/>
      <w:sz w:val="27"/>
      <w:szCs w:val="27"/>
    </w:rPr>
  </w:style>
  <w:style w:type="paragraph" w:styleId="25">
    <w:name w:val="endnote text"/>
    <w:basedOn w:val="1"/>
    <w:semiHidden/>
    <w:qFormat/>
    <w:uiPriority w:val="0"/>
    <w:pPr>
      <w:snapToGrid w:val="0"/>
      <w:jc w:val="left"/>
    </w:pPr>
  </w:style>
  <w:style w:type="paragraph" w:styleId="26">
    <w:name w:val="Balloon Text"/>
    <w:basedOn w:val="1"/>
    <w:semiHidden/>
    <w:qFormat/>
    <w:uiPriority w:val="0"/>
    <w:rPr>
      <w:sz w:val="18"/>
      <w:szCs w:val="18"/>
    </w:rPr>
  </w:style>
  <w:style w:type="paragraph" w:styleId="27">
    <w:name w:val="footer"/>
    <w:basedOn w:val="1"/>
    <w:link w:val="52"/>
    <w:qFormat/>
    <w:uiPriority w:val="0"/>
    <w:pPr>
      <w:tabs>
        <w:tab w:val="center" w:pos="4153"/>
        <w:tab w:val="right" w:pos="8306"/>
      </w:tabs>
      <w:snapToGrid w:val="0"/>
      <w:jc w:val="left"/>
    </w:pPr>
    <w:rPr>
      <w:sz w:val="18"/>
      <w:szCs w:val="18"/>
    </w:rPr>
  </w:style>
  <w:style w:type="paragraph" w:styleId="28">
    <w:name w:val="header"/>
    <w:basedOn w:val="1"/>
    <w:link w:val="66"/>
    <w:qFormat/>
    <w:uiPriority w:val="0"/>
    <w:pPr>
      <w:tabs>
        <w:tab w:val="center" w:pos="4153"/>
        <w:tab w:val="right" w:pos="8306"/>
      </w:tabs>
      <w:snapToGrid w:val="0"/>
      <w:jc w:val="center"/>
    </w:pPr>
    <w:rPr>
      <w:sz w:val="18"/>
      <w:szCs w:val="18"/>
    </w:rPr>
  </w:style>
  <w:style w:type="paragraph" w:styleId="29">
    <w:name w:val="toc 1"/>
    <w:basedOn w:val="1"/>
    <w:next w:val="1"/>
    <w:qFormat/>
    <w:uiPriority w:val="39"/>
    <w:pPr>
      <w:tabs>
        <w:tab w:val="left" w:pos="425"/>
        <w:tab w:val="right" w:leader="dot" w:pos="8805"/>
      </w:tabs>
      <w:spacing w:line="440" w:lineRule="exact"/>
      <w:jc w:val="center"/>
    </w:pPr>
    <w:rPr>
      <w:color w:val="000000"/>
      <w:sz w:val="20"/>
      <w:szCs w:val="20"/>
    </w:rPr>
  </w:style>
  <w:style w:type="paragraph" w:styleId="30">
    <w:name w:val="toc 4"/>
    <w:basedOn w:val="1"/>
    <w:next w:val="1"/>
    <w:unhideWhenUsed/>
    <w:qFormat/>
    <w:uiPriority w:val="39"/>
    <w:pPr>
      <w:ind w:left="1260" w:leftChars="600"/>
    </w:pPr>
    <w:rPr>
      <w:rFonts w:ascii="Calibri" w:hAnsi="Calibri" w:eastAsia="宋体" w:cs="Times New Roman"/>
      <w:szCs w:val="22"/>
    </w:rPr>
  </w:style>
  <w:style w:type="paragraph" w:styleId="31">
    <w:name w:val="footnote text"/>
    <w:basedOn w:val="1"/>
    <w:link w:val="58"/>
    <w:qFormat/>
    <w:uiPriority w:val="0"/>
    <w:pPr>
      <w:adjustRightInd w:val="0"/>
      <w:snapToGrid w:val="0"/>
      <w:spacing w:line="420" w:lineRule="atLeast"/>
      <w:ind w:firstLine="454"/>
      <w:jc w:val="left"/>
      <w:textAlignment w:val="baseline"/>
    </w:pPr>
    <w:rPr>
      <w:kern w:val="0"/>
      <w:sz w:val="18"/>
      <w:szCs w:val="20"/>
    </w:rPr>
  </w:style>
  <w:style w:type="paragraph" w:styleId="32">
    <w:name w:val="toc 6"/>
    <w:basedOn w:val="1"/>
    <w:next w:val="1"/>
    <w:unhideWhenUsed/>
    <w:qFormat/>
    <w:uiPriority w:val="39"/>
    <w:pPr>
      <w:ind w:left="2100" w:leftChars="1000"/>
    </w:pPr>
    <w:rPr>
      <w:rFonts w:ascii="Calibri" w:hAnsi="Calibri" w:eastAsia="宋体" w:cs="Times New Roman"/>
      <w:szCs w:val="22"/>
    </w:rPr>
  </w:style>
  <w:style w:type="paragraph" w:styleId="33">
    <w:name w:val="Body Text Indent 3"/>
    <w:basedOn w:val="1"/>
    <w:qFormat/>
    <w:uiPriority w:val="0"/>
    <w:pPr>
      <w:spacing w:after="120"/>
      <w:ind w:left="420" w:leftChars="200"/>
    </w:pPr>
    <w:rPr>
      <w:sz w:val="16"/>
      <w:szCs w:val="16"/>
    </w:rPr>
  </w:style>
  <w:style w:type="paragraph" w:styleId="34">
    <w:name w:val="toc 2"/>
    <w:basedOn w:val="1"/>
    <w:next w:val="1"/>
    <w:qFormat/>
    <w:uiPriority w:val="39"/>
    <w:pPr>
      <w:ind w:left="420" w:leftChars="200"/>
    </w:pPr>
  </w:style>
  <w:style w:type="paragraph" w:styleId="35">
    <w:name w:val="toc 9"/>
    <w:basedOn w:val="1"/>
    <w:next w:val="1"/>
    <w:unhideWhenUsed/>
    <w:qFormat/>
    <w:uiPriority w:val="39"/>
    <w:pPr>
      <w:ind w:left="3360" w:leftChars="1600"/>
    </w:pPr>
    <w:rPr>
      <w:rFonts w:ascii="Calibri" w:hAnsi="Calibri" w:eastAsia="宋体" w:cs="Times New Roman"/>
      <w:szCs w:val="22"/>
    </w:rPr>
  </w:style>
  <w:style w:type="paragraph" w:styleId="36">
    <w:name w:val="Body Text 2"/>
    <w:basedOn w:val="1"/>
    <w:qFormat/>
    <w:uiPriority w:val="0"/>
    <w:pPr>
      <w:spacing w:after="120" w:line="480" w:lineRule="auto"/>
    </w:pPr>
  </w:style>
  <w:style w:type="paragraph" w:styleId="37">
    <w:name w:val="index 1"/>
    <w:basedOn w:val="1"/>
    <w:next w:val="1"/>
    <w:semiHidden/>
    <w:qFormat/>
    <w:uiPriority w:val="0"/>
    <w:pPr>
      <w:spacing w:line="220" w:lineRule="exact"/>
      <w:jc w:val="center"/>
    </w:pPr>
    <w:rPr>
      <w:rFonts w:ascii="仿宋_GB2312" w:eastAsia="仿宋_GB2312"/>
      <w:szCs w:val="21"/>
    </w:rPr>
  </w:style>
  <w:style w:type="paragraph" w:styleId="38">
    <w:name w:val="Title"/>
    <w:basedOn w:val="1"/>
    <w:link w:val="54"/>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39">
    <w:name w:val="annotation subject"/>
    <w:basedOn w:val="15"/>
    <w:next w:val="15"/>
    <w:link w:val="50"/>
    <w:qFormat/>
    <w:uiPriority w:val="0"/>
    <w:rPr>
      <w:b/>
      <w:bCs/>
    </w:rPr>
  </w:style>
  <w:style w:type="table" w:styleId="41">
    <w:name w:val="Table Grid"/>
    <w:basedOn w:val="4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3">
    <w:name w:val="endnote reference"/>
    <w:semiHidden/>
    <w:qFormat/>
    <w:uiPriority w:val="0"/>
    <w:rPr>
      <w:vertAlign w:val="superscript"/>
    </w:rPr>
  </w:style>
  <w:style w:type="character" w:styleId="44">
    <w:name w:val="page number"/>
    <w:basedOn w:val="42"/>
    <w:qFormat/>
    <w:uiPriority w:val="0"/>
  </w:style>
  <w:style w:type="character" w:styleId="45">
    <w:name w:val="FollowedHyperlink"/>
    <w:qFormat/>
    <w:uiPriority w:val="0"/>
    <w:rPr>
      <w:color w:val="800080"/>
      <w:u w:val="single"/>
    </w:rPr>
  </w:style>
  <w:style w:type="character" w:styleId="46">
    <w:name w:val="Hyperlink"/>
    <w:qFormat/>
    <w:uiPriority w:val="99"/>
    <w:rPr>
      <w:color w:val="0000FF"/>
      <w:u w:val="single"/>
    </w:rPr>
  </w:style>
  <w:style w:type="character" w:styleId="47">
    <w:name w:val="annotation reference"/>
    <w:qFormat/>
    <w:uiPriority w:val="0"/>
    <w:rPr>
      <w:sz w:val="21"/>
      <w:szCs w:val="21"/>
    </w:rPr>
  </w:style>
  <w:style w:type="character" w:styleId="48">
    <w:name w:val="footnote reference"/>
    <w:qFormat/>
    <w:uiPriority w:val="0"/>
    <w:rPr>
      <w:vertAlign w:val="superscript"/>
    </w:rPr>
  </w:style>
  <w:style w:type="character" w:customStyle="1" w:styleId="49">
    <w:name w:val="正文文本 3 Char"/>
    <w:basedOn w:val="42"/>
    <w:link w:val="16"/>
    <w:qFormat/>
    <w:uiPriority w:val="0"/>
    <w:rPr>
      <w:rFonts w:ascii="宋体"/>
      <w:kern w:val="2"/>
      <w:sz w:val="24"/>
    </w:rPr>
  </w:style>
  <w:style w:type="character" w:customStyle="1" w:styleId="50">
    <w:name w:val="批注主题 Char"/>
    <w:link w:val="39"/>
    <w:qFormat/>
    <w:uiPriority w:val="0"/>
    <w:rPr>
      <w:b/>
      <w:bCs/>
      <w:kern w:val="2"/>
      <w:sz w:val="21"/>
      <w:szCs w:val="24"/>
    </w:rPr>
  </w:style>
  <w:style w:type="character" w:customStyle="1" w:styleId="51">
    <w:name w:val="批注文字 Char"/>
    <w:basedOn w:val="42"/>
    <w:link w:val="15"/>
    <w:qFormat/>
    <w:uiPriority w:val="0"/>
    <w:rPr>
      <w:kern w:val="2"/>
      <w:sz w:val="21"/>
      <w:szCs w:val="24"/>
    </w:rPr>
  </w:style>
  <w:style w:type="character" w:customStyle="1" w:styleId="52">
    <w:name w:val="页脚 Char"/>
    <w:link w:val="27"/>
    <w:qFormat/>
    <w:uiPriority w:val="0"/>
    <w:rPr>
      <w:rFonts w:eastAsia="宋体"/>
      <w:kern w:val="2"/>
      <w:sz w:val="18"/>
      <w:szCs w:val="18"/>
      <w:lang w:val="en-US" w:eastAsia="zh-CN" w:bidi="ar-SA"/>
    </w:rPr>
  </w:style>
  <w:style w:type="character" w:customStyle="1" w:styleId="53">
    <w:name w:val="font161"/>
    <w:qFormat/>
    <w:uiPriority w:val="0"/>
    <w:rPr>
      <w:b/>
      <w:bCs/>
      <w:sz w:val="32"/>
      <w:szCs w:val="32"/>
    </w:rPr>
  </w:style>
  <w:style w:type="character" w:customStyle="1" w:styleId="54">
    <w:name w:val="标题 Char"/>
    <w:link w:val="38"/>
    <w:qFormat/>
    <w:uiPriority w:val="0"/>
    <w:rPr>
      <w:rFonts w:ascii="Arial" w:hAnsi="Arial" w:eastAsia="宋体"/>
      <w:b/>
      <w:sz w:val="32"/>
      <w:lang w:val="en-US" w:eastAsia="zh-CN" w:bidi="ar-SA"/>
    </w:rPr>
  </w:style>
  <w:style w:type="character" w:customStyle="1" w:styleId="55">
    <w:name w:val="数字"/>
    <w:qFormat/>
    <w:uiPriority w:val="0"/>
    <w:rPr>
      <w:rFonts w:eastAsia="黑体"/>
      <w:b/>
      <w:sz w:val="21"/>
    </w:rPr>
  </w:style>
  <w:style w:type="character" w:customStyle="1" w:styleId="56">
    <w:name w:val="纯文本 Char"/>
    <w:link w:val="21"/>
    <w:qFormat/>
    <w:uiPriority w:val="0"/>
    <w:rPr>
      <w:rFonts w:ascii="宋体" w:hAnsi="Courier New" w:eastAsia="宋体"/>
      <w:kern w:val="2"/>
      <w:sz w:val="21"/>
      <w:lang w:val="en-US" w:eastAsia="zh-CN" w:bidi="ar-SA"/>
    </w:rPr>
  </w:style>
  <w:style w:type="character" w:customStyle="1" w:styleId="57">
    <w:name w:val="文档结构图 Char"/>
    <w:link w:val="14"/>
    <w:qFormat/>
    <w:uiPriority w:val="0"/>
    <w:rPr>
      <w:rFonts w:ascii="宋体"/>
      <w:kern w:val="2"/>
      <w:sz w:val="18"/>
      <w:szCs w:val="18"/>
    </w:rPr>
  </w:style>
  <w:style w:type="character" w:customStyle="1" w:styleId="58">
    <w:name w:val="脚注文本 Char"/>
    <w:link w:val="31"/>
    <w:qFormat/>
    <w:uiPriority w:val="0"/>
    <w:rPr>
      <w:sz w:val="18"/>
    </w:rPr>
  </w:style>
  <w:style w:type="character" w:customStyle="1" w:styleId="59">
    <w:name w:val="标题 2 Char"/>
    <w:link w:val="3"/>
    <w:qFormat/>
    <w:uiPriority w:val="0"/>
    <w:rPr>
      <w:rFonts w:ascii="宋体" w:hAnsi="宋体" w:eastAsia="黑体"/>
      <w:bCs/>
      <w:i/>
      <w:iCs/>
      <w:kern w:val="2"/>
      <w:sz w:val="24"/>
    </w:rPr>
  </w:style>
  <w:style w:type="character" w:customStyle="1" w:styleId="60">
    <w:name w:val="H001 Char"/>
    <w:link w:val="61"/>
    <w:qFormat/>
    <w:uiPriority w:val="0"/>
    <w:rPr>
      <w:rFonts w:eastAsia="黑体"/>
      <w:bCs/>
      <w:kern w:val="44"/>
      <w:sz w:val="24"/>
      <w:szCs w:val="44"/>
    </w:rPr>
  </w:style>
  <w:style w:type="paragraph" w:customStyle="1" w:styleId="61">
    <w:name w:val="H001"/>
    <w:basedOn w:val="2"/>
    <w:link w:val="60"/>
    <w:qFormat/>
    <w:uiPriority w:val="0"/>
    <w:pPr>
      <w:spacing w:before="240" w:after="240" w:line="240" w:lineRule="exact"/>
    </w:pPr>
    <w:rPr>
      <w:rFonts w:eastAsia="黑体"/>
      <w:sz w:val="24"/>
    </w:rPr>
  </w:style>
  <w:style w:type="character" w:customStyle="1" w:styleId="62">
    <w:name w:val="脚注文本 字符1"/>
    <w:semiHidden/>
    <w:qFormat/>
    <w:locked/>
    <w:uiPriority w:val="0"/>
    <w:rPr>
      <w:kern w:val="2"/>
      <w:sz w:val="18"/>
      <w:szCs w:val="18"/>
    </w:rPr>
  </w:style>
  <w:style w:type="character" w:customStyle="1" w:styleId="63">
    <w:name w:val="标题 3 Char"/>
    <w:link w:val="5"/>
    <w:qFormat/>
    <w:uiPriority w:val="0"/>
    <w:rPr>
      <w:b/>
      <w:sz w:val="32"/>
    </w:rPr>
  </w:style>
  <w:style w:type="character" w:customStyle="1" w:styleId="64">
    <w:name w:val="标题 1 Char"/>
    <w:link w:val="2"/>
    <w:qFormat/>
    <w:uiPriority w:val="0"/>
    <w:rPr>
      <w:rFonts w:eastAsia="黑体"/>
      <w:bCs/>
      <w:kern w:val="44"/>
      <w:sz w:val="24"/>
      <w:szCs w:val="44"/>
    </w:rPr>
  </w:style>
  <w:style w:type="character" w:customStyle="1" w:styleId="65">
    <w:name w:val="未处理的提及"/>
    <w:unhideWhenUsed/>
    <w:qFormat/>
    <w:uiPriority w:val="99"/>
    <w:rPr>
      <w:color w:val="808080"/>
      <w:shd w:val="clear" w:color="auto" w:fill="E6E6E6"/>
    </w:rPr>
  </w:style>
  <w:style w:type="character" w:customStyle="1" w:styleId="66">
    <w:name w:val="页眉 Char"/>
    <w:basedOn w:val="42"/>
    <w:link w:val="28"/>
    <w:qFormat/>
    <w:uiPriority w:val="0"/>
    <w:rPr>
      <w:kern w:val="2"/>
      <w:sz w:val="18"/>
      <w:szCs w:val="18"/>
    </w:rPr>
  </w:style>
  <w:style w:type="paragraph" w:customStyle="1" w:styleId="67">
    <w:name w:val="2"/>
    <w:basedOn w:val="1"/>
    <w:qFormat/>
    <w:uiPriority w:val="0"/>
    <w:pPr>
      <w:adjustRightInd w:val="0"/>
      <w:spacing w:line="420" w:lineRule="atLeast"/>
      <w:ind w:left="1134" w:hanging="227"/>
      <w:textAlignment w:val="baseline"/>
    </w:pPr>
    <w:rPr>
      <w:kern w:val="0"/>
      <w:szCs w:val="20"/>
    </w:rPr>
  </w:style>
  <w:style w:type="paragraph" w:customStyle="1" w:styleId="68">
    <w:name w:val="表格2"/>
    <w:basedOn w:val="1"/>
    <w:qFormat/>
    <w:uiPriority w:val="0"/>
    <w:pPr>
      <w:adjustRightInd w:val="0"/>
      <w:spacing w:line="420" w:lineRule="atLeast"/>
      <w:ind w:left="284" w:firstLine="454"/>
      <w:textAlignment w:val="baseline"/>
    </w:pPr>
    <w:rPr>
      <w:kern w:val="0"/>
      <w:szCs w:val="20"/>
    </w:rPr>
  </w:style>
  <w:style w:type="paragraph" w:customStyle="1" w:styleId="69">
    <w:name w:val="表格6"/>
    <w:basedOn w:val="70"/>
    <w:qFormat/>
    <w:uiPriority w:val="0"/>
    <w:pPr>
      <w:ind w:left="737" w:firstLine="0"/>
    </w:pPr>
  </w:style>
  <w:style w:type="paragraph" w:customStyle="1" w:styleId="70">
    <w:name w:val="表格5"/>
    <w:basedOn w:val="68"/>
    <w:qFormat/>
    <w:uiPriority w:val="0"/>
    <w:pPr>
      <w:ind w:left="1021" w:hanging="284"/>
    </w:pPr>
    <w:rPr>
      <w:rFonts w:ascii="宋体"/>
    </w:rPr>
  </w:style>
  <w:style w:type="paragraph" w:customStyle="1" w:styleId="71">
    <w:name w:val=" Char Char Char"/>
    <w:basedOn w:val="1"/>
    <w:qFormat/>
    <w:uiPriority w:val="0"/>
    <w:rPr>
      <w:szCs w:val="20"/>
    </w:rPr>
  </w:style>
  <w:style w:type="paragraph" w:customStyle="1" w:styleId="72">
    <w:name w:val="af15hichaf0dbchf15cgrid"/>
    <w:qFormat/>
    <w:uiPriority w:val="0"/>
    <w:pPr>
      <w:widowControl w:val="0"/>
      <w:tabs>
        <w:tab w:val="center" w:pos="4320"/>
        <w:tab w:val="right" w:pos="8640"/>
      </w:tabs>
      <w:adjustRightInd w:val="0"/>
      <w:spacing w:line="315" w:lineRule="atLeast"/>
      <w:jc w:val="both"/>
      <w:textAlignment w:val="baseline"/>
    </w:pPr>
    <w:rPr>
      <w:rFonts w:ascii="宋体" w:hAnsi="Times New Roman" w:eastAsia="宋体" w:cs="Times New Roman"/>
      <w:sz w:val="21"/>
      <w:lang w:val="en-US" w:eastAsia="zh-CN" w:bidi="ar-SA"/>
    </w:rPr>
  </w:style>
  <w:style w:type="paragraph" w:customStyle="1" w:styleId="73">
    <w:name w:val="表格3"/>
    <w:basedOn w:val="1"/>
    <w:qFormat/>
    <w:uiPriority w:val="0"/>
    <w:pPr>
      <w:adjustRightInd w:val="0"/>
      <w:spacing w:line="420" w:lineRule="atLeast"/>
      <w:textAlignment w:val="baseline"/>
    </w:pPr>
    <w:rPr>
      <w:rFonts w:eastAsia="楷体"/>
      <w:kern w:val="0"/>
      <w:szCs w:val="20"/>
    </w:rPr>
  </w:style>
  <w:style w:type="paragraph" w:customStyle="1" w:styleId="74">
    <w:name w:val="表中"/>
    <w:basedOn w:val="1"/>
    <w:qFormat/>
    <w:uiPriority w:val="0"/>
    <w:pPr>
      <w:adjustRightInd w:val="0"/>
      <w:spacing w:line="360" w:lineRule="atLeast"/>
      <w:jc w:val="center"/>
      <w:textAlignment w:val="baseline"/>
    </w:pPr>
    <w:rPr>
      <w:kern w:val="0"/>
      <w:szCs w:val="20"/>
    </w:rPr>
  </w:style>
  <w:style w:type="paragraph" w:customStyle="1" w:styleId="75">
    <w:name w:val="表格4"/>
    <w:basedOn w:val="1"/>
    <w:qFormat/>
    <w:uiPriority w:val="0"/>
    <w:pPr>
      <w:adjustRightInd w:val="0"/>
      <w:spacing w:line="420" w:lineRule="atLeast"/>
      <w:ind w:left="1021"/>
      <w:textAlignment w:val="baseline"/>
    </w:pPr>
    <w:rPr>
      <w:kern w:val="0"/>
      <w:szCs w:val="20"/>
    </w:rPr>
  </w:style>
  <w:style w:type="paragraph" w:customStyle="1" w:styleId="76">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77">
    <w:name w:val="1"/>
    <w:basedOn w:val="1"/>
    <w:next w:val="1"/>
    <w:qFormat/>
    <w:uiPriority w:val="0"/>
  </w:style>
  <w:style w:type="paragraph" w:customStyle="1" w:styleId="78">
    <w:name w:val="表格文字"/>
    <w:basedOn w:val="1"/>
    <w:qFormat/>
    <w:uiPriority w:val="0"/>
    <w:pPr>
      <w:adjustRightInd w:val="0"/>
      <w:spacing w:line="420" w:lineRule="atLeast"/>
      <w:jc w:val="left"/>
      <w:textAlignment w:val="baseline"/>
    </w:pPr>
    <w:rPr>
      <w:kern w:val="0"/>
      <w:szCs w:val="20"/>
    </w:rPr>
  </w:style>
  <w:style w:type="paragraph" w:customStyle="1" w:styleId="79">
    <w:name w:val="表格"/>
    <w:basedOn w:val="1"/>
    <w:qFormat/>
    <w:uiPriority w:val="0"/>
    <w:pPr>
      <w:jc w:val="center"/>
      <w:textAlignment w:val="center"/>
    </w:pPr>
    <w:rPr>
      <w:rFonts w:ascii="华文细黑" w:hAnsi="华文细黑"/>
      <w:kern w:val="0"/>
      <w:szCs w:val="20"/>
    </w:rPr>
  </w:style>
  <w:style w:type="paragraph" w:customStyle="1" w:styleId="80">
    <w:name w:val="表格方字"/>
    <w:basedOn w:val="1"/>
    <w:qFormat/>
    <w:uiPriority w:val="0"/>
    <w:pPr>
      <w:adjustRightInd w:val="0"/>
      <w:spacing w:before="60" w:after="60" w:line="420" w:lineRule="atLeast"/>
      <w:jc w:val="left"/>
      <w:textAlignment w:val="baseline"/>
    </w:pPr>
    <w:rPr>
      <w:kern w:val="0"/>
      <w:szCs w:val="20"/>
    </w:rPr>
  </w:style>
  <w:style w:type="paragraph" w:customStyle="1" w:styleId="81">
    <w:name w:val="表头"/>
    <w:basedOn w:val="80"/>
    <w:qFormat/>
    <w:uiPriority w:val="0"/>
    <w:rPr>
      <w:rFonts w:ascii="黑体" w:eastAsia="黑体"/>
      <w:b/>
    </w:rPr>
  </w:style>
  <w:style w:type="paragraph" w:customStyle="1" w:styleId="82">
    <w:name w:val="表格1"/>
    <w:basedOn w:val="1"/>
    <w:qFormat/>
    <w:uiPriority w:val="0"/>
    <w:pPr>
      <w:adjustRightInd w:val="0"/>
      <w:spacing w:line="420" w:lineRule="atLeast"/>
      <w:ind w:left="284"/>
      <w:textAlignment w:val="baseline"/>
    </w:pPr>
    <w:rPr>
      <w:kern w:val="0"/>
      <w:szCs w:val="20"/>
    </w:rPr>
  </w:style>
  <w:style w:type="paragraph" w:customStyle="1" w:styleId="83">
    <w:name w:val=" Char Char Char Char Char Char"/>
    <w:basedOn w:val="1"/>
    <w:qFormat/>
    <w:uiPriority w:val="0"/>
  </w:style>
  <w:style w:type="paragraph" w:customStyle="1" w:styleId="84">
    <w:name w:val=" Char"/>
    <w:basedOn w:val="1"/>
    <w:qFormat/>
    <w:uiPriority w:val="0"/>
  </w:style>
  <w:style w:type="paragraph" w:customStyle="1" w:styleId="85">
    <w:name w:val=" Char1"/>
    <w:basedOn w:val="1"/>
    <w:qFormat/>
    <w:uiPriority w:val="0"/>
  </w:style>
  <w:style w:type="paragraph" w:customStyle="1" w:styleId="86">
    <w:name w:val="Char"/>
    <w:basedOn w:val="1"/>
    <w:qFormat/>
    <w:uiPriority w:val="0"/>
  </w:style>
  <w:style w:type="paragraph" w:customStyle="1" w:styleId="87">
    <w:name w:val=" Char Char Char Char Char Char Char Char Char Char Char Char Char Char Char Char Char Char1 Char Char Char Char"/>
    <w:basedOn w:val="1"/>
    <w:qFormat/>
    <w:uiPriority w:val="0"/>
  </w:style>
  <w:style w:type="paragraph" w:customStyle="1" w:styleId="88">
    <w:name w:val="_Style 86"/>
    <w:semiHidden/>
    <w:qFormat/>
    <w:uiPriority w:val="99"/>
    <w:rPr>
      <w:rFonts w:ascii="Times New Roman" w:hAnsi="Times New Roman" w:eastAsia="宋体" w:cs="Times New Roman"/>
      <w:kern w:val="2"/>
      <w:sz w:val="21"/>
      <w:szCs w:val="24"/>
      <w:lang w:val="en-US" w:eastAsia="zh-CN" w:bidi="ar-SA"/>
    </w:rPr>
  </w:style>
  <w:style w:type="paragraph" w:customStyle="1" w:styleId="89">
    <w:name w:val="_Style 87"/>
    <w:basedOn w:val="2"/>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90">
    <w:name w:val="Char Char Char"/>
    <w:basedOn w:val="1"/>
    <w:qFormat/>
    <w:uiPriority w:val="0"/>
    <w:rPr>
      <w:szCs w:val="20"/>
    </w:rPr>
  </w:style>
  <w:style w:type="paragraph" w:customStyle="1" w:styleId="91">
    <w:name w:val="WPSOffice手动目录 1"/>
    <w:qFormat/>
    <w:uiPriority w:val="0"/>
    <w:pPr>
      <w:ind w:leftChars="0"/>
    </w:pPr>
    <w:rPr>
      <w:rFonts w:ascii="Times New Roman" w:hAnsi="Times New Roman" w:eastAsia="宋体" w:cs="Times New Roman"/>
      <w:sz w:val="20"/>
      <w:szCs w:val="20"/>
    </w:rPr>
  </w:style>
  <w:style w:type="paragraph" w:customStyle="1" w:styleId="92">
    <w:name w:val="WPSOffice手动目录 3"/>
    <w:qFormat/>
    <w:uiPriority w:val="0"/>
    <w:pPr>
      <w:ind w:leftChars="400"/>
    </w:pPr>
    <w:rPr>
      <w:rFonts w:ascii="Times New Roman" w:hAnsi="Times New Roman" w:eastAsia="宋体" w:cs="Times New Roman"/>
      <w:sz w:val="20"/>
      <w:szCs w:val="20"/>
    </w:rPr>
  </w:style>
  <w:style w:type="paragraph" w:customStyle="1" w:styleId="93">
    <w:name w:val="WPSOffice手动目录 2"/>
    <w:qFormat/>
    <w:uiPriority w:val="0"/>
    <w:pPr>
      <w:ind w:leftChars="200"/>
    </w:pPr>
    <w:rPr>
      <w:rFonts w:ascii="Times New Roman" w:hAnsi="Times New Roman" w:eastAsia="宋体" w:cs="Times New Roman"/>
      <w:sz w:val="20"/>
      <w:szCs w:val="20"/>
    </w:rPr>
  </w:style>
  <w:style w:type="table" w:customStyle="1" w:styleId="94">
    <w:name w:val="Table Normal"/>
    <w:autoRedefine/>
    <w:semiHidden/>
    <w:unhideWhenUsed/>
    <w:qFormat/>
    <w:uiPriority w:val="0"/>
    <w:tblPr>
      <w:tblCellMar>
        <w:top w:w="0" w:type="dxa"/>
        <w:left w:w="0" w:type="dxa"/>
        <w:bottom w:w="0" w:type="dxa"/>
        <w:right w:w="0" w:type="dxa"/>
      </w:tblCellMar>
    </w:tblPr>
  </w:style>
  <w:style w:type="paragraph" w:customStyle="1" w:styleId="9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96">
    <w:name w:val="Table Text"/>
    <w:basedOn w:val="1"/>
    <w:autoRedefine/>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2.xml"/><Relationship Id="rId46" Type="http://schemas.openxmlformats.org/officeDocument/2006/relationships/fontTable" Target="fontTable.xml"/><Relationship Id="rId45" Type="http://schemas.openxmlformats.org/officeDocument/2006/relationships/customXml" Target="../customXml/item1.xml"/><Relationship Id="rId44" Type="http://schemas.openxmlformats.org/officeDocument/2006/relationships/image" Target="media/image1.wmf"/><Relationship Id="rId43" Type="http://schemas.openxmlformats.org/officeDocument/2006/relationships/oleObject" Target="embeddings/oleObject1.bin"/><Relationship Id="rId42" Type="http://schemas.openxmlformats.org/officeDocument/2006/relationships/theme" Target="theme/theme1.xml"/><Relationship Id="rId41" Type="http://schemas.openxmlformats.org/officeDocument/2006/relationships/footer" Target="footer20.xml"/><Relationship Id="rId40" Type="http://schemas.openxmlformats.org/officeDocument/2006/relationships/header" Target="header18.xml"/><Relationship Id="rId4" Type="http://schemas.openxmlformats.org/officeDocument/2006/relationships/header" Target="header1.xml"/><Relationship Id="rId39" Type="http://schemas.openxmlformats.org/officeDocument/2006/relationships/header" Target="header17.xml"/><Relationship Id="rId38" Type="http://schemas.openxmlformats.org/officeDocument/2006/relationships/footer" Target="footer19.xml"/><Relationship Id="rId37" Type="http://schemas.openxmlformats.org/officeDocument/2006/relationships/footer" Target="footer18.xml"/><Relationship Id="rId36" Type="http://schemas.openxmlformats.org/officeDocument/2006/relationships/header" Target="header16.xml"/><Relationship Id="rId35" Type="http://schemas.openxmlformats.org/officeDocument/2006/relationships/header" Target="header15.xml"/><Relationship Id="rId34" Type="http://schemas.openxmlformats.org/officeDocument/2006/relationships/footer" Target="footer17.xml"/><Relationship Id="rId33" Type="http://schemas.openxmlformats.org/officeDocument/2006/relationships/header" Target="header14.xml"/><Relationship Id="rId32" Type="http://schemas.openxmlformats.org/officeDocument/2006/relationships/footer" Target="footer16.xml"/><Relationship Id="rId31" Type="http://schemas.openxmlformats.org/officeDocument/2006/relationships/header" Target="header13.xml"/><Relationship Id="rId30" Type="http://schemas.openxmlformats.org/officeDocument/2006/relationships/footer" Target="footer15.xml"/><Relationship Id="rId3" Type="http://schemas.openxmlformats.org/officeDocument/2006/relationships/footnotes" Target="footnotes.xml"/><Relationship Id="rId29" Type="http://schemas.openxmlformats.org/officeDocument/2006/relationships/header" Target="header12.xml"/><Relationship Id="rId28" Type="http://schemas.openxmlformats.org/officeDocument/2006/relationships/footer" Target="footer14.xml"/><Relationship Id="rId27" Type="http://schemas.openxmlformats.org/officeDocument/2006/relationships/header" Target="header11.xml"/><Relationship Id="rId26" Type="http://schemas.openxmlformats.org/officeDocument/2006/relationships/footer" Target="footer13.xml"/><Relationship Id="rId25" Type="http://schemas.openxmlformats.org/officeDocument/2006/relationships/footer" Target="footer12.xml"/><Relationship Id="rId24" Type="http://schemas.openxmlformats.org/officeDocument/2006/relationships/header" Target="header10.xml"/><Relationship Id="rId23" Type="http://schemas.openxmlformats.org/officeDocument/2006/relationships/header" Target="header9.xml"/><Relationship Id="rId22" Type="http://schemas.openxmlformats.org/officeDocument/2006/relationships/footer" Target="footer11.xml"/><Relationship Id="rId21" Type="http://schemas.openxmlformats.org/officeDocument/2006/relationships/footer" Target="footer10.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217</Pages>
  <Words>105</Words>
  <Characters>114</Characters>
  <Lines>1513</Lines>
  <Paragraphs>426</Paragraphs>
  <TotalTime>12</TotalTime>
  <ScaleCrop>false</ScaleCrop>
  <LinksUpToDate>false</LinksUpToDate>
  <CharactersWithSpaces>132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2016-09-27T13:48:00Z</dcterms:created>
  <dc:creator>袁静</dc:creator>
  <cp:lastModifiedBy>Administrator</cp:lastModifiedBy>
  <cp:lastPrinted>2026-08-07T08:43:27Z</cp:lastPrinted>
  <dcterms:modified xsi:type="dcterms:W3CDTF">2026-08-07T08:45:17Z</dcterms:modified>
  <dc:title>公路工程标准施工招标文件</dc:title>
  <cp:revision>1807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E3BEFD882CE74D3FAF69DCAF169EA5DF_13</vt:lpwstr>
  </property>
  <property fmtid="{D5CDD505-2E9C-101B-9397-08002B2CF9AE}" pid="4" name="KSOTemplateDocerSaveRecord">
    <vt:lpwstr>eyJoZGlkIjoiNWU0ZmY5NmNjMDFmYzhkM2RlNGYxYjhhOTZmNmQ0ZDYiLCJ1c2VySWQiOiI5MDc0MDU4MDAifQ==</vt:lpwstr>
  </property>
</Properties>
</file>